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47625</wp:posOffset>
            </wp:positionV>
            <wp:extent cx="164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80645</wp:posOffset>
            </wp:positionV>
            <wp:extent cx="1645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 w:lineRule="exact"/>
        <w:rPr>
          <w:sz w:val="24"/>
          <w:szCs w:val="24"/>
          <w:color w:val="auto"/>
        </w:rPr>
      </w:pPr>
    </w:p>
    <w:p>
      <w:pPr>
        <w:ind w:left="4260" w:right="3640" w:hanging="4252"/>
        <w:spacing w:after="0" w:line="330" w:lineRule="auto"/>
        <w:tabs>
          <w:tab w:leader="none" w:pos="58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2020</w:t>
      </w:r>
    </w:p>
    <w:p>
      <w:pPr>
        <w:ind w:left="55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6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w:t>
      </w:r>
    </w:p>
    <w:p>
      <w:pPr>
        <w:spacing w:after="0" w:line="3" w:lineRule="exact"/>
        <w:rPr>
          <w:rFonts w:ascii="MS PGothic" w:cs="MS PGothic" w:eastAsia="MS PGothic" w:hAnsi="MS PGothic"/>
          <w:sz w:val="14"/>
          <w:szCs w:val="14"/>
          <w:color w:val="auto"/>
        </w:rPr>
      </w:pPr>
    </w:p>
    <w:p>
      <w:pPr>
        <w:ind w:left="58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FROMTO</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001-38560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66675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Aerpio Pharmaceuticals, Inc.</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74930</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0"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4320" w:type="dxa"/>
            <w:vAlign w:val="bottom"/>
            <w:gridSpan w:val="2"/>
          </w:tcPr>
          <w:p>
            <w:pPr>
              <w:jc w:val="center"/>
              <w:ind w:left="1228"/>
              <w:spacing w:after="0"/>
              <w:rPr>
                <w:sz w:val="20"/>
                <w:szCs w:val="20"/>
                <w:color w:val="auto"/>
              </w:rPr>
            </w:pPr>
            <w:r>
              <w:rPr>
                <w:rFonts w:ascii="Arial" w:cs="Arial" w:eastAsia="Arial" w:hAnsi="Arial"/>
                <w:sz w:val="14"/>
                <w:szCs w:val="14"/>
                <w:b w:val="1"/>
                <w:bCs w:val="1"/>
                <w:color w:val="auto"/>
                <w:w w:val="94"/>
              </w:rPr>
              <w:t>Delaware</w:t>
            </w:r>
          </w:p>
        </w:tc>
        <w:tc>
          <w:tcPr>
            <w:tcW w:w="2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500" w:type="dxa"/>
            <w:vAlign w:val="bottom"/>
          </w:tcPr>
          <w:p>
            <w:pPr>
              <w:jc w:val="center"/>
              <w:ind w:right="2048"/>
              <w:spacing w:after="0"/>
              <w:rPr>
                <w:sz w:val="20"/>
                <w:szCs w:val="20"/>
                <w:color w:val="auto"/>
              </w:rPr>
            </w:pPr>
            <w:r>
              <w:rPr>
                <w:rFonts w:ascii="Arial" w:cs="Arial" w:eastAsia="Arial" w:hAnsi="Arial"/>
                <w:sz w:val="14"/>
                <w:szCs w:val="14"/>
                <w:b w:val="1"/>
                <w:bCs w:val="1"/>
                <w:color w:val="auto"/>
                <w:w w:val="96"/>
              </w:rPr>
              <w:t>EIN 61-1547850</w:t>
            </w:r>
          </w:p>
        </w:tc>
        <w:tc>
          <w:tcPr>
            <w:tcW w:w="0" w:type="dxa"/>
            <w:vAlign w:val="bottom"/>
          </w:tcPr>
          <w:p>
            <w:pPr>
              <w:spacing w:after="0"/>
              <w:rPr>
                <w:sz w:val="1"/>
                <w:szCs w:val="1"/>
                <w:color w:val="auto"/>
              </w:rPr>
            </w:pPr>
          </w:p>
        </w:tc>
      </w:tr>
      <w:tr>
        <w:trPr>
          <w:trHeight w:val="192"/>
        </w:trPr>
        <w:tc>
          <w:tcPr>
            <w:tcW w:w="4320" w:type="dxa"/>
            <w:vAlign w:val="bottom"/>
            <w:gridSpan w:val="2"/>
          </w:tcPr>
          <w:p>
            <w:pPr>
              <w:jc w:val="center"/>
              <w:ind w:left="1248"/>
              <w:spacing w:after="0"/>
              <w:rPr>
                <w:sz w:val="20"/>
                <w:szCs w:val="20"/>
                <w:color w:val="auto"/>
              </w:rPr>
            </w:pPr>
            <w:r>
              <w:rPr>
                <w:rFonts w:ascii="Arial" w:cs="Arial" w:eastAsia="Arial" w:hAnsi="Arial"/>
                <w:sz w:val="14"/>
                <w:szCs w:val="14"/>
                <w:b w:val="1"/>
                <w:bCs w:val="1"/>
                <w:color w:val="auto"/>
                <w:w w:val="93"/>
              </w:rPr>
              <w:t>(State or other jurisdiction of</w:t>
            </w:r>
          </w:p>
        </w:tc>
        <w:tc>
          <w:tcPr>
            <w:tcW w:w="2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500" w:type="dxa"/>
            <w:vAlign w:val="bottom"/>
          </w:tcPr>
          <w:p>
            <w:pPr>
              <w:jc w:val="center"/>
              <w:ind w:right="202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48"/>
        </w:trPr>
        <w:tc>
          <w:tcPr>
            <w:tcW w:w="4320" w:type="dxa"/>
            <w:vAlign w:val="bottom"/>
            <w:gridSpan w:val="2"/>
          </w:tcPr>
          <w:p>
            <w:pPr>
              <w:jc w:val="center"/>
              <w:ind w:left="1248"/>
              <w:spacing w:after="0" w:line="149" w:lineRule="exact"/>
              <w:rPr>
                <w:sz w:val="20"/>
                <w:szCs w:val="20"/>
                <w:color w:val="auto"/>
              </w:rPr>
            </w:pPr>
            <w:r>
              <w:rPr>
                <w:rFonts w:ascii="Arial" w:cs="Arial" w:eastAsia="Arial" w:hAnsi="Arial"/>
                <w:sz w:val="14"/>
                <w:szCs w:val="14"/>
                <w:b w:val="1"/>
                <w:bCs w:val="1"/>
                <w:color w:val="auto"/>
                <w:w w:val="94"/>
              </w:rPr>
              <w:t>incorporation or organization)</w:t>
            </w:r>
          </w:p>
        </w:tc>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500" w:type="dxa"/>
            <w:vAlign w:val="bottom"/>
          </w:tcPr>
          <w:p>
            <w:pPr>
              <w:jc w:val="center"/>
              <w:ind w:right="2048"/>
              <w:spacing w:after="0" w:line="149" w:lineRule="exact"/>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148"/>
        </w:trPr>
        <w:tc>
          <w:tcPr>
            <w:tcW w:w="4320" w:type="dxa"/>
            <w:vAlign w:val="bottom"/>
            <w:gridSpan w:val="2"/>
          </w:tcPr>
          <w:p>
            <w:pPr>
              <w:jc w:val="center"/>
              <w:ind w:left="1228"/>
              <w:spacing w:after="0" w:line="149" w:lineRule="exact"/>
              <w:rPr>
                <w:sz w:val="20"/>
                <w:szCs w:val="20"/>
                <w:color w:val="auto"/>
              </w:rPr>
            </w:pPr>
            <w:r>
              <w:rPr>
                <w:rFonts w:ascii="Arial" w:cs="Arial" w:eastAsia="Arial" w:hAnsi="Arial"/>
                <w:sz w:val="14"/>
                <w:szCs w:val="14"/>
                <w:b w:val="1"/>
                <w:bCs w:val="1"/>
                <w:color w:val="auto"/>
                <w:w w:val="97"/>
              </w:rPr>
              <w:t>9987 Carver Road, Cincinnati, OH</w:t>
            </w:r>
          </w:p>
        </w:tc>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500" w:type="dxa"/>
            <w:vAlign w:val="bottom"/>
          </w:tcPr>
          <w:p>
            <w:pPr>
              <w:jc w:val="center"/>
              <w:ind w:right="2028"/>
              <w:spacing w:after="0" w:line="149" w:lineRule="exact"/>
              <w:rPr>
                <w:sz w:val="20"/>
                <w:szCs w:val="20"/>
                <w:color w:val="auto"/>
              </w:rPr>
            </w:pPr>
            <w:r>
              <w:rPr>
                <w:rFonts w:ascii="Arial" w:cs="Arial" w:eastAsia="Arial" w:hAnsi="Arial"/>
                <w:sz w:val="14"/>
                <w:szCs w:val="14"/>
                <w:b w:val="1"/>
                <w:bCs w:val="1"/>
                <w:color w:val="auto"/>
                <w:w w:val="92"/>
              </w:rPr>
              <w:t>45242</w:t>
            </w:r>
          </w:p>
        </w:tc>
        <w:tc>
          <w:tcPr>
            <w:tcW w:w="0" w:type="dxa"/>
            <w:vAlign w:val="bottom"/>
          </w:tcPr>
          <w:p>
            <w:pPr>
              <w:spacing w:after="0"/>
              <w:rPr>
                <w:sz w:val="1"/>
                <w:szCs w:val="1"/>
                <w:color w:val="auto"/>
              </w:rPr>
            </w:pPr>
          </w:p>
        </w:tc>
      </w:tr>
      <w:tr>
        <w:trPr>
          <w:trHeight w:val="186"/>
        </w:trPr>
        <w:tc>
          <w:tcPr>
            <w:tcW w:w="4320" w:type="dxa"/>
            <w:vAlign w:val="bottom"/>
            <w:gridSpan w:val="2"/>
          </w:tcPr>
          <w:p>
            <w:pPr>
              <w:jc w:val="center"/>
              <w:ind w:left="122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500" w:type="dxa"/>
            <w:vAlign w:val="bottom"/>
          </w:tcPr>
          <w:p>
            <w:pPr>
              <w:jc w:val="center"/>
              <w:ind w:right="204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16"/>
        </w:trPr>
        <w:tc>
          <w:tcPr>
            <w:tcW w:w="7740" w:type="dxa"/>
            <w:vAlign w:val="bottom"/>
            <w:gridSpan w:val="4"/>
          </w:tcPr>
          <w:p>
            <w:pPr>
              <w:ind w:left="3560"/>
              <w:spacing w:after="0"/>
              <w:rPr>
                <w:sz w:val="20"/>
                <w:szCs w:val="20"/>
                <w:color w:val="auto"/>
              </w:rPr>
            </w:pPr>
            <w:r>
              <w:rPr>
                <w:rFonts w:ascii="Arial" w:cs="Arial" w:eastAsia="Arial" w:hAnsi="Arial"/>
                <w:sz w:val="14"/>
                <w:szCs w:val="14"/>
                <w:b w:val="1"/>
                <w:bCs w:val="1"/>
                <w:color w:val="auto"/>
                <w:w w:val="92"/>
              </w:rPr>
              <w:t>Registrant’s telephone number, including area code: (513) 985-1920</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4320" w:type="dxa"/>
            <w:vAlign w:val="bottom"/>
            <w:gridSpan w:val="2"/>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6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4320" w:type="dxa"/>
            <w:vAlign w:val="bottom"/>
            <w:gridSpan w:val="2"/>
            <w:vMerge w:val="continue"/>
          </w:tcPr>
          <w:p>
            <w:pPr>
              <w:spacing w:after="0"/>
              <w:rPr>
                <w:sz w:val="18"/>
                <w:szCs w:val="18"/>
                <w:color w:val="auto"/>
              </w:rPr>
            </w:pPr>
          </w:p>
        </w:tc>
        <w:tc>
          <w:tcPr>
            <w:tcW w:w="2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4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Title of each class</w:t>
            </w:r>
          </w:p>
        </w:tc>
        <w:tc>
          <w:tcPr>
            <w:tcW w:w="180" w:type="dxa"/>
            <w:vAlign w:val="bottom"/>
            <w:tcBorders>
              <w:bottom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jc w:val="center"/>
              <w:ind w:right="148"/>
              <w:spacing w:after="0" w:line="142" w:lineRule="exact"/>
              <w:rPr>
                <w:sz w:val="20"/>
                <w:szCs w:val="20"/>
                <w:color w:val="auto"/>
              </w:rPr>
            </w:pPr>
            <w:r>
              <w:rPr>
                <w:rFonts w:ascii="Arial" w:cs="Arial" w:eastAsia="Arial" w:hAnsi="Arial"/>
                <w:sz w:val="14"/>
                <w:szCs w:val="14"/>
                <w:color w:val="auto"/>
                <w:w w:val="94"/>
              </w:rPr>
              <w:t>Trading Symbol(s)</w:t>
            </w:r>
          </w:p>
        </w:tc>
        <w:tc>
          <w:tcPr>
            <w:tcW w:w="800" w:type="dxa"/>
            <w:vAlign w:val="bottom"/>
            <w:tcBorders>
              <w:bottom w:val="single" w:sz="8" w:color="auto"/>
            </w:tcBorders>
          </w:tcPr>
          <w:p>
            <w:pPr>
              <w:spacing w:after="0"/>
              <w:rPr>
                <w:sz w:val="12"/>
                <w:szCs w:val="12"/>
                <w:color w:val="auto"/>
              </w:rPr>
            </w:pPr>
          </w:p>
        </w:tc>
        <w:tc>
          <w:tcPr>
            <w:tcW w:w="3500" w:type="dxa"/>
            <w:vAlign w:val="bottom"/>
            <w:tcBorders>
              <w:bottom w:val="single" w:sz="8" w:color="auto"/>
              <w:right w:val="single" w:sz="8" w:color="auto"/>
            </w:tcBorders>
          </w:tcPr>
          <w:p>
            <w:pPr>
              <w:jc w:val="center"/>
              <w:ind w:right="748"/>
              <w:spacing w:after="0" w:line="142" w:lineRule="exact"/>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18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$0.0001 par value per share</w:t>
            </w:r>
          </w:p>
        </w:tc>
        <w:tc>
          <w:tcPr>
            <w:tcW w:w="18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jc w:val="center"/>
              <w:ind w:right="128"/>
              <w:spacing w:after="0"/>
              <w:rPr>
                <w:sz w:val="20"/>
                <w:szCs w:val="20"/>
                <w:color w:val="auto"/>
              </w:rPr>
            </w:pPr>
            <w:r>
              <w:rPr>
                <w:rFonts w:ascii="Arial" w:cs="Arial" w:eastAsia="Arial" w:hAnsi="Arial"/>
                <w:sz w:val="14"/>
                <w:szCs w:val="14"/>
                <w:color w:val="auto"/>
                <w:w w:val="95"/>
              </w:rPr>
              <w:t>ARPO</w:t>
            </w:r>
          </w:p>
        </w:tc>
        <w:tc>
          <w:tcPr>
            <w:tcW w:w="800" w:type="dxa"/>
            <w:vAlign w:val="bottom"/>
            <w:tcBorders>
              <w:bottom w:val="single" w:sz="8" w:color="auto"/>
            </w:tcBorders>
          </w:tcPr>
          <w:p>
            <w:pPr>
              <w:spacing w:after="0"/>
              <w:rPr>
                <w:sz w:val="15"/>
                <w:szCs w:val="15"/>
                <w:color w:val="auto"/>
              </w:rPr>
            </w:pPr>
          </w:p>
        </w:tc>
        <w:tc>
          <w:tcPr>
            <w:tcW w:w="3500" w:type="dxa"/>
            <w:vAlign w:val="bottom"/>
            <w:tcBorders>
              <w:bottom w:val="single" w:sz="8" w:color="auto"/>
              <w:right w:val="single" w:sz="8" w:color="auto"/>
            </w:tcBorders>
          </w:tcPr>
          <w:p>
            <w:pPr>
              <w:jc w:val="center"/>
              <w:ind w:right="748"/>
              <w:spacing w:after="0"/>
              <w:rPr>
                <w:sz w:val="20"/>
                <w:szCs w:val="20"/>
                <w:color w:val="auto"/>
              </w:rPr>
            </w:pPr>
            <w:r>
              <w:rPr>
                <w:rFonts w:ascii="Arial" w:cs="Arial" w:eastAsia="Arial" w:hAnsi="Arial"/>
                <w:sz w:val="14"/>
                <w:szCs w:val="14"/>
                <w:color w:val="auto"/>
                <w:w w:val="92"/>
              </w:rPr>
              <w:t>Nasdaq Capital Market</w:t>
            </w:r>
          </w:p>
        </w:tc>
        <w:tc>
          <w:tcPr>
            <w:tcW w:w="0" w:type="dxa"/>
            <w:vAlign w:val="bottom"/>
          </w:tcPr>
          <w:p>
            <w:pPr>
              <w:spacing w:after="0"/>
              <w:rPr>
                <w:sz w:val="1"/>
                <w:szCs w:val="1"/>
                <w:color w:val="auto"/>
              </w:rPr>
            </w:pPr>
          </w:p>
        </w:tc>
      </w:tr>
    </w:tbl>
    <w:p>
      <w:pPr>
        <w:spacing w:after="0" w:line="4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45" w:lineRule="exact"/>
        <w:rPr>
          <w:sz w:val="24"/>
          <w:szCs w:val="24"/>
          <w:color w:val="auto"/>
        </w:rPr>
      </w:pPr>
    </w:p>
    <w:p>
      <w:pPr>
        <w:ind w:right="3600"/>
        <w:spacing w:after="0" w:line="24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40"/>
          </w:cols>
          <w:pgMar w:left="320" w:top="239" w:right="339" w:bottom="1440" w:gutter="0" w:footer="0" w:header="0"/>
        </w:sectPr>
      </w:pPr>
    </w:p>
    <w:p>
      <w:pPr>
        <w:spacing w:after="0" w:line="45"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4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2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ind w:left="2760"/>
              <w:spacing w:after="0"/>
              <w:rPr>
                <w:sz w:val="20"/>
                <w:szCs w:val="20"/>
                <w:color w:val="auto"/>
              </w:rPr>
            </w:pPr>
            <w:r>
              <w:rPr>
                <w:rFonts w:ascii="Arial" w:cs="Arial" w:eastAsia="Arial" w:hAnsi="Arial"/>
                <w:sz w:val="14"/>
                <w:szCs w:val="14"/>
                <w:color w:val="auto"/>
              </w:rPr>
              <w:t>Accelerated filer</w:t>
            </w:r>
          </w:p>
        </w:tc>
      </w:tr>
      <w:tr>
        <w:trPr>
          <w:trHeight w:val="247"/>
        </w:trPr>
        <w:tc>
          <w:tcPr>
            <w:tcW w:w="2440" w:type="dxa"/>
            <w:vAlign w:val="bottom"/>
          </w:tcPr>
          <w:p>
            <w:pPr>
              <w:spacing w:after="0"/>
              <w:rPr>
                <w:sz w:val="20"/>
                <w:szCs w:val="20"/>
                <w:color w:val="auto"/>
              </w:rPr>
            </w:pPr>
            <w:r>
              <w:rPr>
                <w:rFonts w:ascii="Arial" w:cs="Arial" w:eastAsia="Arial" w:hAnsi="Arial"/>
                <w:sz w:val="14"/>
                <w:szCs w:val="14"/>
                <w:color w:val="auto"/>
              </w:rPr>
              <w:t>Non-accelerated filer</w:t>
            </w:r>
          </w:p>
        </w:tc>
        <w:tc>
          <w:tcPr>
            <w:tcW w:w="372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ind w:left="2760"/>
              <w:spacing w:after="0"/>
              <w:rPr>
                <w:sz w:val="20"/>
                <w:szCs w:val="20"/>
                <w:color w:val="auto"/>
              </w:rPr>
            </w:pPr>
            <w:r>
              <w:rPr>
                <w:rFonts w:ascii="Arial" w:cs="Arial" w:eastAsia="Arial" w:hAnsi="Arial"/>
                <w:sz w:val="14"/>
                <w:szCs w:val="14"/>
                <w:color w:val="auto"/>
                <w:w w:val="93"/>
              </w:rPr>
              <w:t>Smaller reporting company</w:t>
            </w:r>
          </w:p>
        </w:tc>
      </w:tr>
      <w:tr>
        <w:trPr>
          <w:trHeight w:val="226"/>
        </w:trPr>
        <w:tc>
          <w:tcPr>
            <w:tcW w:w="24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72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46" w:lineRule="exact"/>
        <w:rPr>
          <w:sz w:val="24"/>
          <w:szCs w:val="24"/>
          <w:color w:val="auto"/>
        </w:rPr>
      </w:pPr>
    </w:p>
    <w:p>
      <w:pPr>
        <w:sectPr>
          <w:pgSz w:w="11900" w:h="16838" w:orient="portrait"/>
          <w:cols w:equalWidth="0" w:num="2">
            <w:col w:w="10800" w:space="260"/>
            <w:col w:w="180"/>
          </w:cols>
          <w:pgMar w:left="320" w:top="239" w:right="339" w:bottom="1440" w:gutter="0" w:footer="0" w:header="0"/>
          <w:type w:val="continuous"/>
        </w:sect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Stock Market on June 30, 2020 was approximately $49,213,310.</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8, 2021 was 47,313,338.</w:t>
      </w:r>
    </w:p>
    <w:p>
      <w:pPr>
        <w:spacing w:after="0" w:line="92"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Summary of the Material and Other Risks Associated with Our Business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including those described in Part II, Item IA. “Risk Factors” in this Annual Report on Form 10-K. These risks include, but are not limited to, the following:</w:t>
      </w:r>
    </w:p>
    <w:p>
      <w:pPr>
        <w:spacing w:after="0" w:line="170" w:lineRule="exact"/>
        <w:rPr>
          <w:sz w:val="20"/>
          <w:szCs w:val="20"/>
          <w:color w:val="auto"/>
        </w:rPr>
      </w:pPr>
    </w:p>
    <w:p>
      <w:pPr>
        <w:ind w:left="880" w:right="20" w:hanging="440"/>
        <w:spacing w:after="0" w:line="308"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cannot assure you that our exploration of strategic alternatives will result in a transaction or that any such transaction would be successful, and the process of exploring strategic alternatives or its conclusion could adversely impact our business and our stock price.</w:t>
      </w:r>
    </w:p>
    <w:p>
      <w:pPr>
        <w:spacing w:after="0" w:line="146"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pandemic of COVID-19 and the future outbreak of other highly infectious or contagious diseases could seriously harm our research, development and potential future commercialization efforts, increase our costs and expenses and have a material adverse effect on our business, financial condition and results of operations.</w:t>
      </w:r>
    </w:p>
    <w:p>
      <w:pPr>
        <w:spacing w:after="0" w:line="183"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heavily on the success of our lead product candidate, razuprotafib. Even if we obtain favorable clinical results, we may not be able to obtain regulatory approval for, or successfully commercialize, razuprotafib.</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clinical trials of our product candidates.</w:t>
      </w:r>
    </w:p>
    <w:p>
      <w:pPr>
        <w:spacing w:after="0" w:line="225" w:lineRule="exact"/>
        <w:rPr>
          <w:rFonts w:ascii="Arial" w:cs="Arial" w:eastAsia="Arial" w:hAnsi="Arial"/>
          <w:sz w:val="18"/>
          <w:szCs w:val="18"/>
          <w:color w:val="auto"/>
        </w:rPr>
      </w:pPr>
    </w:p>
    <w:p>
      <w:pPr>
        <w:jc w:val="both"/>
        <w:ind w:left="880" w:hanging="440"/>
        <w:spacing w:after="0" w:line="259"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drug development is a lengthy and expensive process with an uncertain outcome, and positive results from preclinical studies or earlier stage clinical trials are not necessarily predictive of the results of our future clinical trials of razuprotafib. If we cannot replicate the positive results from preclinical studies or earlier stage clinical trials in subsequent clinical trials, we may be unable to successfully develop, obtain regulatory approval for and commercialize our product candidates.</w:t>
      </w:r>
    </w:p>
    <w:p>
      <w:pPr>
        <w:spacing w:after="0" w:line="186"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delays in the planned clinical development program for razuprotafib, and we do not know whether planned clinical trials will begin on time, need to be redesigned, enroll patients on time or be completed on schedule, if at all.</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efforts to protect our proprietary technologies are not adequate, we may not be able to compete effectively in our market.</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patents covering one or more of our products or product candidates could be found invalid or unenforceable if challenged.</w:t>
      </w:r>
    </w:p>
    <w:p>
      <w:pPr>
        <w:spacing w:after="0" w:line="225"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attract and keep senior management and key scientific personnel, we may be unable to successfully develop our product candidates, conduct our clinical trials and commercialize our products.</w:t>
      </w:r>
    </w:p>
    <w:p>
      <w:pPr>
        <w:spacing w:after="0" w:line="170"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 parties to conduct preclinical studies and clinical trials for our product candidates, and if they do not properly and successfully perform their obligations to us, we may not be able to obtain regulatory approvals for our product candidates.</w:t>
      </w:r>
    </w:p>
    <w:p>
      <w:pPr>
        <w:spacing w:after="0" w:line="170"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intend to rely on third parties to conduct some or all aspects of our product manufacturing, and these third parties may not perform satisfactorily.</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limited operating history may make it difficult for you to evaluate the success of our business to date and to assess our future viability.</w:t>
      </w:r>
    </w:p>
    <w:p>
      <w:pPr>
        <w:spacing w:after="0" w:line="236" w:lineRule="exact"/>
        <w:rPr>
          <w:rFonts w:ascii="Arial" w:cs="Arial" w:eastAsia="Arial" w:hAnsi="Arial"/>
          <w:sz w:val="17"/>
          <w:szCs w:val="17"/>
          <w:color w:val="auto"/>
        </w:rPr>
      </w:pPr>
    </w:p>
    <w:p>
      <w:pPr>
        <w:ind w:left="880" w:right="2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require substantial additional financing. A failure to obtain this necessary capital when needed could force us to delay, limit, reduce or terminate our product development or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left="880" w:hanging="440"/>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commercial success depends upon attaining significant market acceptance of our product candidates, if approved, among physicians, patients, third-party payors and others in the medical community.</w:t>
      </w:r>
    </w:p>
    <w:p>
      <w:pPr>
        <w:spacing w:after="0" w:line="170"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170"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or have other properties that delay or prevent their regulatory approval or limit their commercial potential.</w:t>
      </w:r>
    </w:p>
    <w:p>
      <w:pPr>
        <w:spacing w:after="0" w:line="170"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 of our common stock may be highly volatile, and may be influenced by numerous factors, some of which are beyond our control.</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 may adversely affect us or our investors.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Securities and Exchange Commission. The risks summarized above or described in full below are not the only risks that we face. Additional risks and uncertainties not presently known to us, or that we currently deem to be immaterial may also materially adversely affect our business, financial condition, results of operations and future growth prospects.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500" w:type="dxa"/>
            <w:vAlign w:val="bottom"/>
          </w:tcPr>
          <w:p>
            <w:pPr>
              <w:ind w:left="39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60" w:type="dxa"/>
            <w:vAlign w:val="bottom"/>
            <w:vMerge w:val="continue"/>
          </w:tcPr>
          <w:p>
            <w:pPr>
              <w:spacing w:after="0"/>
              <w:rPr>
                <w:sz w:val="19"/>
                <w:szCs w:val="19"/>
                <w:color w:val="auto"/>
              </w:rPr>
            </w:pPr>
          </w:p>
        </w:tc>
        <w:tc>
          <w:tcPr>
            <w:tcW w:w="9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w:t>
            </w:r>
          </w:p>
        </w:tc>
        <w:tc>
          <w:tcPr>
            <w:tcW w:w="9500" w:type="dxa"/>
            <w:vAlign w:val="bottom"/>
          </w:tcPr>
          <w:p>
            <w:pPr>
              <w:ind w:left="2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78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500" w:type="dxa"/>
            <w:vAlign w:val="bottom"/>
          </w:tcPr>
          <w:p>
            <w:pPr>
              <w:ind w:left="2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Risk Factors</w:t>
              </w:r>
            </w:hyperlink>
          </w:p>
        </w:tc>
        <w:tc>
          <w:tcPr>
            <w:tcW w:w="780" w:type="dxa"/>
            <w:vAlign w:val="bottom"/>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500" w:type="dxa"/>
            <w:vAlign w:val="bottom"/>
          </w:tcPr>
          <w:p>
            <w:pPr>
              <w:ind w:left="20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Unresolved Staff Comments</w:t>
              </w:r>
            </w:hyperlink>
          </w:p>
        </w:tc>
        <w:tc>
          <w:tcPr>
            <w:tcW w:w="780" w:type="dxa"/>
            <w:vAlign w:val="bottom"/>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65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2.</w:t>
            </w:r>
          </w:p>
        </w:tc>
        <w:tc>
          <w:tcPr>
            <w:tcW w:w="9500" w:type="dxa"/>
            <w:vAlign w:val="bottom"/>
          </w:tcPr>
          <w:p>
            <w:pPr>
              <w:ind w:left="20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Properties</w:t>
              </w:r>
            </w:hyperlink>
          </w:p>
        </w:tc>
        <w:tc>
          <w:tcPr>
            <w:tcW w:w="780" w:type="dxa"/>
            <w:vAlign w:val="bottom"/>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65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3.</w:t>
            </w:r>
          </w:p>
        </w:tc>
        <w:tc>
          <w:tcPr>
            <w:tcW w:w="9500" w:type="dxa"/>
            <w:vAlign w:val="bottom"/>
          </w:tcPr>
          <w:p>
            <w:pPr>
              <w:ind w:left="20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65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4.</w:t>
            </w:r>
          </w:p>
        </w:tc>
        <w:tc>
          <w:tcPr>
            <w:tcW w:w="9500" w:type="dxa"/>
            <w:vAlign w:val="bottom"/>
          </w:tcPr>
          <w:p>
            <w:pPr>
              <w:ind w:left="20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Mine Safety Disclosures</w:t>
              </w:r>
            </w:hyperlink>
          </w:p>
        </w:tc>
        <w:tc>
          <w:tcPr>
            <w:tcW w:w="780" w:type="dxa"/>
            <w:vAlign w:val="bottom"/>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65</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5.</w:t>
            </w:r>
          </w:p>
        </w:tc>
        <w:tc>
          <w:tcPr>
            <w:tcW w:w="9500" w:type="dxa"/>
            <w:vAlign w:val="bottom"/>
          </w:tcPr>
          <w:p>
            <w:pPr>
              <w:ind w:left="20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780" w:type="dxa"/>
            <w:vAlign w:val="bottom"/>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66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6.</w:t>
            </w:r>
          </w:p>
        </w:tc>
        <w:tc>
          <w:tcPr>
            <w:tcW w:w="9500" w:type="dxa"/>
            <w:vAlign w:val="bottom"/>
          </w:tcPr>
          <w:p>
            <w:pPr>
              <w:ind w:left="20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Selected Financial Data</w:t>
              </w:r>
            </w:hyperlink>
          </w:p>
        </w:tc>
        <w:tc>
          <w:tcPr>
            <w:tcW w:w="780" w:type="dxa"/>
            <w:vAlign w:val="bottom"/>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66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7.</w:t>
            </w:r>
          </w:p>
        </w:tc>
        <w:tc>
          <w:tcPr>
            <w:tcW w:w="9500" w:type="dxa"/>
            <w:vAlign w:val="bottom"/>
          </w:tcPr>
          <w:p>
            <w:pPr>
              <w:ind w:left="20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67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7A.</w:t>
            </w:r>
          </w:p>
        </w:tc>
        <w:tc>
          <w:tcPr>
            <w:tcW w:w="9500" w:type="dxa"/>
            <w:vAlign w:val="bottom"/>
          </w:tcPr>
          <w:p>
            <w:pPr>
              <w:ind w:left="20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79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8.</w:t>
            </w:r>
          </w:p>
        </w:tc>
        <w:tc>
          <w:tcPr>
            <w:tcW w:w="9500" w:type="dxa"/>
            <w:vAlign w:val="bottom"/>
          </w:tcPr>
          <w:p>
            <w:pPr>
              <w:ind w:left="20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Consolidated Financial Statements and Supplementary Data</w:t>
              </w:r>
            </w:hyperlink>
          </w:p>
        </w:tc>
        <w:tc>
          <w:tcPr>
            <w:tcW w:w="780" w:type="dxa"/>
            <w:vAlign w:val="bottom"/>
          </w:tcPr>
          <w:p>
            <w:pPr>
              <w:jc w:val="right"/>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79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9.</w:t>
            </w:r>
          </w:p>
        </w:tc>
        <w:tc>
          <w:tcPr>
            <w:tcW w:w="9500" w:type="dxa"/>
            <w:vAlign w:val="bottom"/>
          </w:tcPr>
          <w:p>
            <w:pPr>
              <w:ind w:left="20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Changes in and Disagreements With Accountants on Accounting and Financial Disclosure</w:t>
              </w:r>
            </w:hyperlink>
          </w:p>
        </w:tc>
        <w:tc>
          <w:tcPr>
            <w:tcW w:w="780" w:type="dxa"/>
            <w:vAlign w:val="bottom"/>
          </w:tcPr>
          <w:p>
            <w:pPr>
              <w:jc w:val="right"/>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103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9A.</w:t>
            </w:r>
          </w:p>
        </w:tc>
        <w:tc>
          <w:tcPr>
            <w:tcW w:w="9500" w:type="dxa"/>
            <w:vAlign w:val="bottom"/>
          </w:tcPr>
          <w:p>
            <w:pPr>
              <w:ind w:left="20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103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9B.</w:t>
            </w:r>
          </w:p>
        </w:tc>
        <w:tc>
          <w:tcPr>
            <w:tcW w:w="9500" w:type="dxa"/>
            <w:vAlign w:val="bottom"/>
          </w:tcPr>
          <w:p>
            <w:pPr>
              <w:ind w:left="20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104</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10.</w:t>
            </w:r>
          </w:p>
        </w:tc>
        <w:tc>
          <w:tcPr>
            <w:tcW w:w="9500" w:type="dxa"/>
            <w:vAlign w:val="bottom"/>
          </w:tcPr>
          <w:p>
            <w:pPr>
              <w:ind w:left="20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Directors, Executive Officers and Corporate Governance</w:t>
              </w:r>
            </w:hyperlink>
          </w:p>
        </w:tc>
        <w:tc>
          <w:tcPr>
            <w:tcW w:w="780" w:type="dxa"/>
            <w:vAlign w:val="bottom"/>
          </w:tcPr>
          <w:p>
            <w:pPr>
              <w:jc w:val="right"/>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105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11.</w:t>
            </w:r>
          </w:p>
        </w:tc>
        <w:tc>
          <w:tcPr>
            <w:tcW w:w="9500" w:type="dxa"/>
            <w:vAlign w:val="bottom"/>
          </w:tcPr>
          <w:p>
            <w:pPr>
              <w:ind w:left="200"/>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Executive Compensation</w:t>
              </w:r>
            </w:hyperlink>
          </w:p>
        </w:tc>
        <w:tc>
          <w:tcPr>
            <w:tcW w:w="780" w:type="dxa"/>
            <w:vAlign w:val="bottom"/>
          </w:tcPr>
          <w:p>
            <w:pPr>
              <w:jc w:val="right"/>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112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500" w:type="dxa"/>
            <w:vAlign w:val="bottom"/>
          </w:tcPr>
          <w:p>
            <w:pPr>
              <w:ind w:left="20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Security Ownership of Certain Beneficial Owners and Management and Related Stockholder Matters</w:t>
              </w:r>
            </w:hyperlink>
          </w:p>
        </w:tc>
        <w:tc>
          <w:tcPr>
            <w:tcW w:w="780" w:type="dxa"/>
            <w:vAlign w:val="bottom"/>
          </w:tcPr>
          <w:p>
            <w:pPr>
              <w:jc w:val="right"/>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117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13.</w:t>
            </w:r>
          </w:p>
        </w:tc>
        <w:tc>
          <w:tcPr>
            <w:tcW w:w="9500" w:type="dxa"/>
            <w:vAlign w:val="bottom"/>
          </w:tcPr>
          <w:p>
            <w:pPr>
              <w:ind w:left="200"/>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Certain Relationships and Related Transactions, and Director Independence</w:t>
              </w:r>
            </w:hyperlink>
          </w:p>
        </w:tc>
        <w:tc>
          <w:tcPr>
            <w:tcW w:w="780" w:type="dxa"/>
            <w:vAlign w:val="bottom"/>
          </w:tcPr>
          <w:p>
            <w:pPr>
              <w:jc w:val="right"/>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120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14.</w:t>
            </w:r>
          </w:p>
        </w:tc>
        <w:tc>
          <w:tcPr>
            <w:tcW w:w="9500" w:type="dxa"/>
            <w:vAlign w:val="bottom"/>
          </w:tcPr>
          <w:p>
            <w:pPr>
              <w:ind w:left="20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Principal Accounting Fees and Services</w:t>
              </w:r>
            </w:hyperlink>
          </w:p>
        </w:tc>
        <w:tc>
          <w:tcPr>
            <w:tcW w:w="780" w:type="dxa"/>
            <w:vAlign w:val="bottom"/>
          </w:tcPr>
          <w:p>
            <w:pPr>
              <w:jc w:val="right"/>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121</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9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15.</w:t>
            </w:r>
          </w:p>
        </w:tc>
        <w:tc>
          <w:tcPr>
            <w:tcW w:w="9500" w:type="dxa"/>
            <w:vAlign w:val="bottom"/>
          </w:tcPr>
          <w:p>
            <w:pPr>
              <w:ind w:left="200"/>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Exhibits, Consolidated Financial Statement Schedules</w:t>
              </w:r>
            </w:hyperlink>
          </w:p>
        </w:tc>
        <w:tc>
          <w:tcPr>
            <w:tcW w:w="780" w:type="dxa"/>
            <w:vAlign w:val="bottom"/>
          </w:tcPr>
          <w:p>
            <w:pPr>
              <w:jc w:val="right"/>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122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500" w:type="dxa"/>
            <w:vAlign w:val="bottom"/>
          </w:tcPr>
          <w:p>
            <w:pPr>
              <w:ind w:left="20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Form of 10-K Summary</w:t>
              </w:r>
            </w:hyperlink>
          </w:p>
        </w:tc>
        <w:tc>
          <w:tcPr>
            <w:tcW w:w="780" w:type="dxa"/>
            <w:vAlign w:val="bottom"/>
          </w:tcPr>
          <w:p>
            <w:pPr>
              <w:jc w:val="right"/>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125</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60" w:type="dxa"/>
            <w:vAlign w:val="bottom"/>
          </w:tcPr>
          <w:p>
            <w:pPr>
              <w:spacing w:after="0"/>
              <w:rPr>
                <w:sz w:val="24"/>
                <w:szCs w:val="24"/>
                <w:color w:val="auto"/>
              </w:rPr>
            </w:pPr>
          </w:p>
        </w:tc>
        <w:tc>
          <w:tcPr>
            <w:tcW w:w="9500" w:type="dxa"/>
            <w:vAlign w:val="bottom"/>
          </w:tcPr>
          <w:p>
            <w:pPr>
              <w:ind w:left="4620"/>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6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and Section 21E of the Securities Exchange Act of 1934, as amended. These forward-looking statements may be identified by forward-looking words such as “may,” “could,” “should,” “would,” “will,” “plans,” “intend,” “expect,” “anticipate,” “predicts,” “potential,” “believe,” “continue” or similar words, although not all forward-looking statements contain these identifying words. Forward-looking statements include, but are not limited to, statements regarding our strategy, future operations, anticipated financial position, future revenues and projected costs; our strategic alternatives review process and the potential transactions that may be identified and explored as a result of that process; the intended benefits from our collaboration with Gossamer Bio for GB004, including the continued development of GB004 and the milestone and royalty payments related to the collaboration; our management’s prospects, plans and objectives; and any other statements about management’s future expectations, beliefs, goals, plans or prospects constitute forward-looking statements.</w:t>
      </w:r>
    </w:p>
    <w:p>
      <w:pPr>
        <w:spacing w:after="0" w:line="8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Readers should not place undue reliance on these forward-looking statements. Our actual results may differ materially from such forward-looking statements as a result of numerous factors, some of which we may not be able to predict and may not be within our control. Factors that could cause such differences include, but are not limited to, the ability to identify and consummate strategic alternatives that yield additional value for shareholders; the timing, benefits and outcome of our strategic alternatives review process, including the determination of whether or not to pursue or consummate any strategic alternative; the structure, terms and specific risks and uncertainties associated with any potential strategic transaction; potential disruptions in our business and the stock price as a result of our exploration, review and pursuit of strategic alternatives or the public announcement thereof and any decision or transaction resulting from such review; the accuracy of our estimates regarding expense, future revenues, uses of cash, capital requirements and the need for additional financing; the continued development of GB004 and maintaining and deriving the intended benefits of the Company’s collaboration with Gossamer Bio; ability to continue to develop razuprotafib or other product candidates, including in indications related to COVID-19; our review and evaluation of strategic plans for our razuprotafib glaucoma program; our ability to attract collaborators with development, regulatory and commercialization expertise; our ability to obtain and maintain intellectual property protection for our product candidates; our ability to attract and retain key personnel, as well as those risks discussed elsewhere in this report, including under the heading “Risk Factors.” All forward-looking statements are made as of the date of this report and we do not undertake any obligation to update our forward-looking statements, except as required by applicable law.</w:t>
      </w:r>
    </w:p>
    <w:p>
      <w:pPr>
        <w:spacing w:after="0" w:line="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Unless the context requires otherwise, references to this Annual Report on Form 10-K to “Aerpio,” the “Company,” “we,” “us,” and “our” refer to Aerpio Pharmaceuticals, Inc.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Aerpio Pharmaceuticals, Inc.(“Aerpio” or the “Company”) is a biopharmaceutical company focused on developing compounds that activate Tie2 in indications in which the Company believes that activation of Tie2 may have therapeutic potential. Our product candidates include razuprotafib (formerly known as AKB-9778), a small molecule VE-PTP inhibitor.</w:t>
      </w:r>
    </w:p>
    <w:p>
      <w:pPr>
        <w:spacing w:after="0" w:line="76"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In March 2019, we announced topline results from our Phase 2b (“TIME-2b”) clinical trial of AKB-9778 for the treatment of non-proliferative diabetic retinopathy. Although the results did not meet the study’s primary endpoint, we believe that the TIME-2b study further supported the reduction of intraocular pressure (“IOP”) seen with subcutaneous razuprotafib in the previous TIME-2 study. Based on these findings, we developed a topical ocular formulation of razuprotafib, and observed in preclinical studies activation of Tie2 in Schlemm’s canal, IOP reduction via enhanced outflow facility and favorable tolerability.</w:t>
      </w:r>
    </w:p>
    <w:p>
      <w:pPr>
        <w:spacing w:after="0" w:line="8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June 2019, we initiated a double-masked, multiple-ascending dose Phase 1b clinical trial for open angle glaucoma (“OAG”). We enrolled four cohorts of 12 subjects each and subjects received increasing daily doses of a topical ocular formulation of razuprotafib or placebo for seven days. The primary endpoint of the trial was ocular safety and tolerability, with IOP lowering as the key pharmacodynamic endpoint. Based on the unmasked interim analysis of Phase 1b, limited to the first three cohorts, which showed the topical ocular administration of razuprotafib was well tolerated, and a time and dose dependent reduction in IOP that, in the highest once daily (“QD”) dose cohort peaked at 4 hours post-dose and was sustained through eight hours on day 7, returning to baseline levels at 24 hours post-dose, a cohort of 43 patients with OHT/OAG (hypertensive eyes) was added to the ongoing study to assess safety and pilot efficacy in the target patient population.</w:t>
      </w:r>
    </w:p>
    <w:p>
      <w:pPr>
        <w:spacing w:after="0" w:line="6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January 2020, we announced the results of the fifth cohort of subjects noting subjects in cohort five randomized to the active arm exhibited statistically significant decreases in IOP at all post razuprotafib administration time points on both days 1 and 7 compared with day -1 baseline values when they were being treated with prostaglandin alone. When the change is placebo-corrected, razuprotafib plus prostaglandin versus prostaglandin alone produced a statistically significant decrease in IOP on Day 7 at 0, 4 and 8 hours post dose as compared to placebo. We believed these results suggested a persistent IOP-lowering activity from adding razuprotafib to standard-of-care prostaglandin therapy. Topical ocular administration of razuprotafib was well tolerated over seven days in cohort five. There were no reports of conjunctival hemorrhage or pain on instillation during the seven days of dosing and no systemic/non-ocular AEs were observed.</w:t>
      </w:r>
    </w:p>
    <w:p>
      <w:pPr>
        <w:spacing w:after="0" w:line="8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June 2020, we initiated a Phase 2 clinical trial designed to evaluate the safety and efficacy of a topical formulation of razuprotafib in approximately 195 patients followed over a 28-day period. Patients enrolled in the trial were administered a baseline of latanoprost ophthalmic solution 0.005%, and then randomized in a 1:1:1 fashion to receive adjunctive therapy consisting of placebo, 40 mg/ml razuprotafib once-daily, or 40 mg/ml razuprotafib twice-daily. The primary endpoint of the study was mean diurnal IOP at 28 days in the razuprotafib treated groups compared to the latanoprost monotherapy group.</w:t>
      </w:r>
    </w:p>
    <w:p>
      <w:pPr>
        <w:spacing w:after="0" w:line="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December 2020, we reported that razuprotafib met the primary efficacy endpoint at Day 28 with the twice-daily (“BID”) dose group in Aerpio’s double-blind, placebo-controlled Phase 2 trial in patients with elevated IOP associated with OAG or OHT. The change from baseline in diurnal mean IOP at Day 28 of study eyes treated with razuprotafib BID plus latanoprost showed a statistically significant improvement, or drop in IOP, (two-sided p-value 0.0130 and LS mean difference of -0.92 mm Hg) compared to those treated with latanoprost monotherapy. The razuprotafib QD dose group did not show a statistically significant improvement at Day 28. Further analysis of the results demonstrated that razuprotafib had a larger IOP reduction after longer duration dosing (28 days versus 14 days) consistent with its potential mechanism of repairing Schlemm’s canal. Razuprotafib also produced larger IOP reductions in patients with higher starting IOP, or a 1.6 mm Hg IOP reduction in patients with post wash-out IOP’s of &gt;26 mm Hg and the topical drops were well tolerated in this trial. While the trial met the primary efficacy endpoint at Day 28 with the BID group, the IOP decrease was not at a level deemed sufficient to move to Phase 3 development.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right="20"/>
        <w:spacing w:after="0" w:line="273" w:lineRule="auto"/>
        <w:rPr>
          <w:sz w:val="20"/>
          <w:szCs w:val="20"/>
          <w:color w:val="auto"/>
        </w:rPr>
      </w:pPr>
      <w:r>
        <w:rPr>
          <w:rFonts w:ascii="Arial" w:cs="Arial" w:eastAsia="Arial" w:hAnsi="Arial"/>
          <w:sz w:val="17"/>
          <w:szCs w:val="17"/>
          <w:color w:val="auto"/>
        </w:rPr>
        <w:t>Following the announcement regarding the topline results from the Phase 2 clinical trial of razuprotafib in patients with elevated IOP associated with OAG or OHT, the Company initiated a process to explore a range of strategic alternatives focused on maximizing stockholder value from our clinical and preclinical assets and cash resources. As part of this process, we are exploring strategic options for partnering our programs, as well as the potential for an acquisition, company sale, merger, business combination, asset sale, in-license, out-license or other strategic transaction. Ladenburg Thalmann &amp; Co. Inc. and Duane Nash, M.D., J.D., M.B.A, continue to be retained with respect to the strategic review process. There can be no assurance that this exploration of strategic alternatives will result in the Company entering or completing any transaction.</w:t>
      </w:r>
    </w:p>
    <w:p>
      <w:pPr>
        <w:spacing w:after="0" w:line="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Additionally, in January 2021, the Company initiated a realignment plan to reduce operating costs and better align its workforce with the needs of its ongoing business. The realignment plan reduces its current workforce by 7 employees, representing approximately 58% of our workforce. As a result of this realignment plan, we estimate we will incur one-time employee related severance expenses of approximately $1.2 million in the first quarter of 2021. We anticipate the majority of the one-time employee severance liability to be paid during 2021. Each affected employee’s eligibility for such severance benefits is contingent upon such employee’s execution of a separation agreement, which includes a general release of claims against us. The charges that we expect to incur in connection with the realignment plan are subject to a number of assumptions, and actual results may differ from our original estimate. We may also incur additional costs not currently contemplated due to events that may occur as a result of, or that are associated with, the realignment plan.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 our pipeline include the following: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Acute Respiratory Distress Syndrome</w:t>
      </w:r>
    </w:p>
    <w:p>
      <w:pPr>
        <w:spacing w:after="0" w:line="11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Based on results in preclinical studies and observations in patients in TIME-2 and TIME-2b trials, we believe that a vascular endothelial receptor, Tie2, may play a pivotal role in the defense against microvascular breach in ARDS. We hypothesize that razuprotafib may have therapeutic potential for the treatment of COVID-19 associated ARDS and initiated two Phase 2 trials during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Quantum Leap Healthcare Collaboration I-SPY COVID Trial</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May 2020, we were selected by Quantum Leap Healthcare Collaborative to participate in the I-SPY COVID Trial (Investigation of Serial studies to Predict Your COVID Therapeutic Response with biomarker Integration and Adaptive Learning) to evaluate subcutaneous razuprotafib for the treatment of COVID-19 related ARDS in adult patients with critical COVID-19 (ClinicalTrials.gov Identifier: NCT04488081). The trial was initiated during the third quarter of 2020 but in January 2021, the Data Monitoring Committee recommended discontinuation of razuprotafib after 21 patients due to the complexity of monitoring patients in the setting of a surge in ICU patients. There were no apparent safety signals associated with razuprotafib in these 21 patients and we believe the scientific basis is sound for continuing to evaluate the drug in patients presenting with ARDS across a broader array of infections.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MTEC RESCUE COVID Trial</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August 2020, we announced the receipt of funding to evaluate subcutaneous razuprotafib in a new randomized, investigational trial for the prevention and treatment of ARDS in adult patients with moderate to severe COVID-19 (“RESCUE” trial; ClinicalTrials.gov Identifier: NCT04511650). The RESCUE trial will evaluate subcutaneous razuprotafib for the prevention and treatment of ARDS in adult patients with moderate to severe COVID-19 as part of the MTEC-20-09-COVID-19 Treatment Military Infectious Disease Research Program (“MIDRP”). The Medical Technology Enterprise Consortium (“MTEC”), a non-profit organization primarily funded by the U.S. Army Medical Research and Development Command, will provide up to $5.1 million of reimbursement related to qualified internal and external spending, as it relates to the clinical trial. The RESCUE clinical trial was initiated during the third quarter of 2020 but we decided to stop recruiting in February 2021 after the first 31 patients were enrolled based on challenges recruiting and monitoring patients in the current pandemic environment. There were no apparent safety signals associated with dosing COVID-19 patients in the RESCUE trial and we plan to further analyze the data to assess trends in efficacy and biomarkers. We expect to report top-line data in the second quarter of 2021.</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Diabetic Kidney Disease</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two consecutive trials, TIME-2 and TIME-2b, subcutaneous AKB-9778 showed reduction in Urine Albumin-Creatinine Ratio (“UACR”), a measure of progression of diabetic kidney disease. In a post-hoc analysis of the earlier TIME-2 clinical trial, there was a 21% reduction (geometric mean) in UACR from baseline in the AKB-9778 treatment arms, but an overall increase in UACR in the placebo arm. The prospective UACR analyses from the recently completed TIME-2b trial largely replicated the results from the previous trial and reinforced the potential beneficial effects of Tie2 activation in diabetic kidney disease. We believe that systemic treatment with AKB-9778 could have the potential to change the treatment paradigm for diabetics in the future and potentially address a major societal problem by lowering the cost of care associated generally with diabetes.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ARP-1536 and Bispecific Antibody</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ARP-1536, our humanized monoclonal antibody directed at the same target as subcutaneous razuprotafib, is in preclinical development. We are evaluating development options for ARP-1536, including subcutaneous injection for the treatment of diabetic vascular complications, e.g., diabetic nephropathy and intravitreal injection as an adjunctive therapy for diabetic macular edema. We are also developing a bispecific antibody that binds both vascular endothelial growth factor (“VEGF”) and vascular endothelial protein tyrosine phosphatase (“VE-PTP”) which is designed to inhibit VEGF activation and activate Tie2. We believe this bispecific antibody has the potential to be an improved treatment for wet AMD and diabetic macular edema via intravitreal injection.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Gossamer License Agreement</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2018, we licensed AKB-4924, a selective stabilizer of hypoxia-inducible factor-1 alpha (“HIF-1 alpha”) to Gossamer Bio, Inc. (“Gossamer”) AKB-4924, (now called GB004), is being developed for the treatment of inflammatory bowel disease (“IBD”). HIF-1 alpha is involved in mucosal wound healing and the reduction of inflammation in the gastrointestinal tract. After completing a 28-day Phase 1b study in ulcerative colitis patients during 2020, Gossamer initiated a 12-week Phase 2 study of GB004 in patients with mild-to-moderate ulcerative colitis during the second half of 2020 and expects to report top-line results from this study in the first half of 2022. Gossamer is responsible for all remaining development and commercial activities for GB004.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objective is to develop and advance compounds that activate Tie2 to treat ocular diseases and diabetic complications. We are taking the following critical steps to achieve this goal:</w:t>
      </w:r>
    </w:p>
    <w:p>
      <w:pPr>
        <w:spacing w:after="0" w:line="58" w:lineRule="exact"/>
        <w:rPr>
          <w:sz w:val="20"/>
          <w:szCs w:val="20"/>
          <w:color w:val="auto"/>
        </w:rPr>
      </w:pPr>
    </w:p>
    <w:p>
      <w:pPr>
        <w:ind w:left="440" w:right="180" w:hanging="432"/>
        <w:spacing w:after="0" w:line="282" w:lineRule="auto"/>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Explore strategic collaborations with leading organizations for the development and commercialization of promising product candidates in our pipeline</w:t>
      </w:r>
    </w:p>
    <w:p>
      <w:pPr>
        <w:spacing w:after="0" w:line="57" w:lineRule="exact"/>
        <w:rPr>
          <w:rFonts w:ascii="Arial" w:cs="Arial" w:eastAsia="Arial" w:hAnsi="Arial"/>
          <w:sz w:val="18"/>
          <w:szCs w:val="18"/>
          <w:b w:val="1"/>
          <w:bCs w:val="1"/>
          <w:color w:val="auto"/>
        </w:rPr>
      </w:pPr>
    </w:p>
    <w:p>
      <w:pPr>
        <w:ind w:left="440" w:right="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 initiated a process to explore a range of strategic alternatives focused on maximizing stockholder value from our clinical assets and cash resources. As part of this process, we are exploring strategic options for partnering our programs, as well as the potential for an acquisition, company sale, merger, business combination, asset sale, in-license, out-license or other strategic transaction. Ladenburg Thalmann &amp; Co. Inc. and Duane Nash, M.D., J.D., M.B.A, continued to be retained with respect to the strategic review process. There can be no assurance that this exploration of strategic alternatives will result in the Company entering or completing any transaction.</w:t>
      </w:r>
    </w:p>
    <w:p>
      <w:pPr>
        <w:spacing w:after="0" w:line="172" w:lineRule="exact"/>
        <w:rPr>
          <w:rFonts w:ascii="Arial" w:cs="Arial" w:eastAsia="Arial" w:hAnsi="Arial"/>
          <w:sz w:val="18"/>
          <w:szCs w:val="18"/>
          <w:b w:val="1"/>
          <w:bCs w:val="1"/>
          <w:color w:val="auto"/>
        </w:rPr>
      </w:pPr>
    </w:p>
    <w:p>
      <w:pPr>
        <w:ind w:left="440" w:hanging="432"/>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Investigate the sale, licensing or partnering of razuprotafib</w:t>
      </w:r>
    </w:p>
    <w:p>
      <w:pPr>
        <w:spacing w:after="0" w:line="121" w:lineRule="exact"/>
        <w:rPr>
          <w:rFonts w:ascii="Arial" w:cs="Arial" w:eastAsia="Arial" w:hAnsi="Arial"/>
          <w:sz w:val="18"/>
          <w:szCs w:val="18"/>
          <w:b w:val="1"/>
          <w:bCs w:val="1"/>
          <w:color w:val="auto"/>
        </w:rPr>
      </w:pPr>
    </w:p>
    <w:p>
      <w:pPr>
        <w:ind w:left="440"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While we elected not to advance razuprotafib into Phase 3 development ourselves, we believe the candidate may nevertheless have therapeutic potential in OAG, and we intend to explore strategic opportunities with third parties.</w:t>
      </w:r>
    </w:p>
    <w:p>
      <w:pPr>
        <w:spacing w:after="0" w:line="62" w:lineRule="exact"/>
        <w:rPr>
          <w:rFonts w:ascii="Arial" w:cs="Arial" w:eastAsia="Arial" w:hAnsi="Arial"/>
          <w:sz w:val="18"/>
          <w:szCs w:val="18"/>
          <w:b w:val="1"/>
          <w:bCs w:val="1"/>
          <w:color w:val="auto"/>
        </w:rPr>
      </w:pPr>
    </w:p>
    <w:p>
      <w:pPr>
        <w:ind w:left="440"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addition, based on results in preclinical studies and observations in patients in TIME-2 and TIME-2b trials, we believe that a vascular endothelial receptor, Tie2, may play a pivotal role in the defense against microvascular breach in ARDS or potentially across a broader array of infections beyond COVID-19.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ind w:left="440" w:right="60"/>
        <w:spacing w:after="0" w:line="255" w:lineRule="auto"/>
        <w:rPr>
          <w:sz w:val="20"/>
          <w:szCs w:val="20"/>
          <w:color w:val="auto"/>
        </w:rPr>
      </w:pPr>
      <w:r>
        <w:rPr>
          <w:rFonts w:ascii="Arial" w:cs="Arial" w:eastAsia="Arial" w:hAnsi="Arial"/>
          <w:sz w:val="18"/>
          <w:szCs w:val="18"/>
          <w:color w:val="auto"/>
        </w:rPr>
        <w:t>Additionally, the downregulation of Tie2 activity occurs in the vasculature of diabetics systemically, particularly in the kidney. In a post-hoc analysis of the earlier TIME-2 clinical trial, there was a 21% reduction (geometric mean) in UACR from baseline in the razuprotafib treatment arms, but an overall increase in UACR in the placebo arm. The prospective UACR analyses from the recently completed TIME-2b trial largely replicated the results from the previous trial and reinforced the potential beneficial effects of Tie2 activation in diabetic kidney disease. Based on the confirmation of decreased of UACR, a potential indicator of improved kidney function, in the completed TIME-2b trial, we are exploring strategic options for further development of razuprotafib for other indications.</w:t>
      </w:r>
    </w:p>
    <w:p>
      <w:pPr>
        <w:spacing w:after="0" w:line="80"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Explore strategic options for further development of ARP-1536 and the Bispecific antibody</w:t>
      </w:r>
    </w:p>
    <w:p>
      <w:pPr>
        <w:spacing w:after="0" w:line="121" w:lineRule="exact"/>
        <w:rPr>
          <w:rFonts w:ascii="Arial" w:cs="Arial" w:eastAsia="Arial" w:hAnsi="Arial"/>
          <w:sz w:val="18"/>
          <w:szCs w:val="18"/>
          <w:b w:val="1"/>
          <w:bCs w:val="1"/>
          <w:color w:val="auto"/>
        </w:rPr>
      </w:pPr>
    </w:p>
    <w:p>
      <w:pPr>
        <w:ind w:left="440" w:right="3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We are exploring strategic options for further development of ARP-1536, including subcutaneous injection for the treatment of diabetic vascular complications including nephropathy and intravitreal injection for the adjunctive treatment of diabetic macular edema. We are also exploring development options for the bispecific antibody as a potential treatment for wet AMD and DME via intravitreal injection.</w:t>
      </w:r>
    </w:p>
    <w:p>
      <w:pPr>
        <w:spacing w:after="0" w:line="53" w:lineRule="exact"/>
        <w:rPr>
          <w:rFonts w:ascii="Arial" w:cs="Arial" w:eastAsia="Arial" w:hAnsi="Arial"/>
          <w:sz w:val="18"/>
          <w:szCs w:val="18"/>
          <w:b w:val="1"/>
          <w:bCs w:val="1"/>
          <w:color w:val="auto"/>
        </w:rPr>
      </w:pPr>
    </w:p>
    <w:p>
      <w:pPr>
        <w:ind w:left="440" w:hanging="432"/>
        <w:spacing w:after="0"/>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Focus on cash management to preserve cash</w:t>
      </w:r>
    </w:p>
    <w:p>
      <w:pPr>
        <w:spacing w:after="0" w:line="121" w:lineRule="exact"/>
        <w:rPr>
          <w:rFonts w:ascii="Arial" w:cs="Arial" w:eastAsia="Arial" w:hAnsi="Arial"/>
          <w:sz w:val="18"/>
          <w:szCs w:val="18"/>
          <w:b w:val="1"/>
          <w:bCs w:val="1"/>
          <w:color w:val="auto"/>
        </w:rPr>
      </w:pPr>
    </w:p>
    <w:p>
      <w:pPr>
        <w:ind w:left="44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January 2021, we initiated a realignment plan to reduce operating costs and better align its workforce with the needs of our ongoing business. The realignment plan, reduces its current workforce by 7 employees, representing approximately 58% of our workforce. As a result of this realignment plan, we estimate we will incur one-time employee related severance expenses of approximately $1.2 million in the first quarter of 2021. We anticipate the majority of the one-time employee severance liability to be paid during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Razuprotafib in Open Angle Glaucoma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Unmet Medical Need:</w:t>
      </w:r>
    </w:p>
    <w:p>
      <w:pPr>
        <w:spacing w:after="0" w:line="117"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OAG is a leading cause of blindness affecting approximately 64.3 million people worldwide in 2013 with an expected increase to 76.0 million in 2020 and 118.0 million by 2040. OAG is characterized by optic nerve and neuroretina anomalies and progressive visual field defects. Elevated intraocular pressure (“IOP”) is the primary modifiable risk factor and reducing IOP is the only clinical approach shown to slow or prevent vision loss. Despite the availability of effective IOP lowering drugs, many patients require multiple agents to control IOP that together often fail to achieve target IOP. The conventional outflow pathway, consisting of the trabecular meshwork and a specialized vessel called Schlemm’s canal, controls IOP and has been identified as the site of increased resistance to aqueous humor outflow in OAG. Importantly, most current OAG therapies do not target conventional outflow, and reduce IOP by either decreasing the formation of aqueous humor or facilitating non-conventional outflow pathways. The failure of most current therapies to modify conventional outflow has been hypothesized to contribute to continued deterioration of conventional outflow and progressive increases in IOP over time. We believe that developing agents that target conventional outflow pathology directly will likely have improved therapeutic potential alone or in combination with approved glaucoma agents and may prevent progression of OAG that often occurs despite current therapy.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Role of the Tie2 Pathway in the Maintenance of Conventional Outflow:</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Recently, two independent groups have shown that Tie2 is expressed and activated in Schlemm’s canal endothelial cells during development and in the mature vessel. Disruption of the Tie2 pathway in mice by conditional knockout early in postnatal development results in failure of the formation of Schlemm’s canal, associated with increased IOP and with retinal and optic nerve pathology resembling human congenital glaucoma. Tie2 pathway disruption later in postnatal development results in degeneration of Schlemm’s canal with development of increased IOP and retinal and optic pathology reminiscent of OAG. Tie2 is most highly expressed in mature Schlemm’s canal inner wall endothelium and disruption of the Tie2 pathway results in increased cell death, or apoptosis, and reduced formation of giant vacuoles consistent with compromised conventional outflow. Supporting these preclinical findings, Tie2 loss of function variants were identified in 10 of 189 unrelated primary congenital glaucoma families, and SNPs in the Ang-1 promoter region were significantly associated with the risk of OAG. We believe that these preclinical findings along with human genetic evidence provides a sound scientific premise that activation of the Tie2 pathway in Schlemm’s canal could provide a novel conventional outflow-targeted OAG therapy.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Role of VE-PTP in Signaling Pathways and Relevance to Glaucoma:</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Aerpio has developed potent and selective small molecule inhibitors of the catalytic domain of vascular endothelial protein tyrosine phosphatase (VE-PTP). In vascular endothelial cells, razuprotafib, Aerpio’s lead VE-PTP inhibitor, activates Tie2 and triggers signaling pathways downstream of Tie2 that have been implicated in modulation of conventional outflow facility. These include endothelial nitric oxide synthase (“eNOS”) activation and Rho pathway inhibition via Rac1. In preclinical studies in mice, topical ocular razuprotafib activated Tie2 in Schlemm’s canal, increased Schelmm’s canal area and reduced IOP via enhanced outflow. Taken together these results indicate the razuprotafib reduces IOP via a novel and potentially disease modifying Tie2 mediated effect on Schlemm’s canal and conventional outflow.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379730</wp:posOffset>
            </wp:positionV>
            <wp:extent cx="2682875" cy="1954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8287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 VE-PTP inhibition as a novel conventional outflow targeted approach for glaucoma treatment</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Activation of Tie2, with razuprotafib, affects pathways commonly associated with reduction of intraocular pressure. Rhopressa and Vyzulta are recently approved glaucoma drugs which block the Rho pathway and stimulate the eNOS pathway, respectively. Inhibition of VE-PTP should provide both benefits, blocking Rho and stimulating eNOS.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Results in OAG</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results of our Phase 2b (“TIME-2b”) clinical trial showed encouraging data demonstrating the potential for razuprotafib to reduce intraocular pressure in open angle glaucoma and ocular hypertension. In June 2019, we initiated a double-masked, multiple-ascending dose Phase 1b trial and enrolled four cohorts of 12 subjects each. Subjects received increasing daily doses of a topical ocular formulation of razuprotafib or placebo for seven days. The primary endpoint of the trial was ocular safety and tolerability, with IOP lowering as the key pharmacodynamic endpoint. In October 2019, we announced interim results from our Phase 1b clinical trial. The unmasked interim analysis, limited to the first three cohorts, showed the topical ocular administration of razuprotafib was well tolerated. Compared to placebo, there was a dose dependent increase in minimal to mild conjunctival hyperemia with razuprotafib, which was transient and generally considered non-adverse, and a time and dose dependent reduction in IOP that, in the highest QD dose cohort peaked at 4 hours post-dose and was sustained through eight hours on day 7, returning to baseline levels at 24 hours post-dose. Based on these data, a fifth cohort of 43 patients was recruited with OHT/POAG and baseline IOP measurements between 17 and 27 mmHg while treated with once-daily prostaglandin therapy. Patients were randomized 3:1 to receive either razuprotafib (32 subjects) or placebo (11 subjects), administered in the morning for 7 days, while continuing their evening prostaglandin therapy. Conjunctival hyperemia, IOP, safety and pilot efficacy were assessed in the same manner as described for cohorts one to four.</w:t>
      </w:r>
    </w:p>
    <w:p>
      <w:pPr>
        <w:spacing w:after="0" w:line="7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January 2020, we announced the results of the fifth cohort of subjects noting subjects in cohort five randomized to the active arm exhibited statistically significant decreases in IOP at all post- razuprotafib administration time points on both days 1 and 7 compared with day -1 baseline values when they were being treated with prostaglandin alone.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ind w:right="180"/>
        <w:spacing w:after="0" w:line="259" w:lineRule="auto"/>
        <w:rPr>
          <w:sz w:val="20"/>
          <w:szCs w:val="20"/>
          <w:color w:val="auto"/>
        </w:rPr>
      </w:pPr>
      <w:r>
        <w:rPr>
          <w:rFonts w:ascii="Arial" w:cs="Arial" w:eastAsia="Arial" w:hAnsi="Arial"/>
          <w:sz w:val="18"/>
          <w:szCs w:val="18"/>
          <w:color w:val="auto"/>
        </w:rPr>
        <w:t>Topical ocular administration of razuprotafib was well tolerated over seven days in cohort five. In the active arm treated with razuprotafib plus prostaglandin, 21.9% of subjects experienced hyperemia compared with 9.1% of subjects in the prostaglandin-alone arm. In all cases, this hyperemia was minimal-to-mild in severity, transient in duration and generally considered non-adverse. There were no reports of conjunctival hemorrhage or pain on instillation during the seven days of dosing and no systemic/non-ocular AEs were observed.</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initiated a Phase 2 clinical trial during the second quarter of 2020 designed to evaluate the safety and efficacy of a topical formulation of razuprotafib in approximately 195 patients followed over a 28-day period. Patients enrolled in the trial were administered a baseline of latanoprost ophthalmic solution 0.005%, and then randomized in a 1:1:1 fashion to receive adjunctive therapy consisting of placebo, 40 mg/ml razuprotafib once-daily, or 40 mg/ml razuprotafib twice-daily. The primary endpoint of the study was mean diurnal IOP at 28 days in the razuprotafib treated groups compared to the latanoprost monotherapy group.</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December 2020, we reported that razuprotafib met the primary efficacy endpoint at Day 28 with the twice-daily (“BID”) dose group in Aerpio’s double-blind, placebo-controlled Phase 2 trial in patients with elevated IOP associated with OAG or OHT. The change from baseline in diurnal mean IOP at Day 28 of study eyes treated with razuprotafib BID plus latanoprost showed a statistically significant improvement, or drop in IOP, (two-sided p-value 0.0130 and LS mean difference of -0.92 mm Hg) compared to those treated with latanoprost monotherapy. The razuprotafib once-daily (“QD”) dose group did not show a statistically significant improvement at Day 28. Further analysis of the results demonstrated that razuprotafib had a larger IOP reduction after longer duration dosing (28 days versus 14 days) consistent with its potential mechanism of repairing Schlemm’s canal. Razuprotafib also produced larger IOP reductions in patients with higher starting IOP, or a 1.6 mmHg IOP reduction in patients with post wash-out IOP’s of &gt;26 mmHg. The razuprotafib topical drops were well tolerated in this trial. While the trial met the primary efficacy endpoint at Day 28 with the BID group, the IOP decrease was not at a level deemed sufficient to move to Phase 3 development.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Tie2 Mediated Vascular Stabilization in Diabetic Vascular Complications and in ARDS/COVID-19</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Tie2 is a receptor that is normally activated in healthy blood vessels. When active, Tie2 is a key regulator of vascular stability and function. In its active state, Tie2 maintains blood vessel stability by several mechanisms, including tightening the junctions between the cells that line blood vessels, maintaining support cell coverage of blood vessels, and resisting growth signaling from proliferative cytokines. In diabetic patients and in patients COVID-19, an upregulation of VE-PTP an enzyme that inactivates Tie2, may contribute to vascular destabilization.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127635</wp:posOffset>
            </wp:positionV>
            <wp:extent cx="3789045" cy="2211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8904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340" w:right="240"/>
        <w:spacing w:after="0" w:line="282" w:lineRule="auto"/>
        <w:rPr>
          <w:sz w:val="20"/>
          <w:szCs w:val="20"/>
          <w:color w:val="auto"/>
        </w:rPr>
      </w:pPr>
      <w:r>
        <w:rPr>
          <w:rFonts w:ascii="Arial" w:cs="Arial" w:eastAsia="Arial" w:hAnsi="Arial"/>
          <w:sz w:val="18"/>
          <w:szCs w:val="18"/>
          <w:b w:val="1"/>
          <w:bCs w:val="1"/>
          <w:color w:val="auto"/>
        </w:rPr>
        <w:t>Figure 2. VE-PTP is upregulated in diabetic vasculature and in hypoxic endothelial cells which is common in patients with ARDS, leading to deactivation of the Tie2 receptor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Razuprotafib</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Razuprotafib works by inhibiting VE-PTP, an enzyme that is upregulated in diabetic vasculature and hypoxic endothelial cells and that is responsible for inactivating Tie2. Razuprotafib was developed using modern drug discovery techniques such as structure-based drug design to selectively target and inhibit VE-PTP at sub-nanomolar concentrations and has a high degree of selectivity. The potency and selectivity of razuprotafib minimize the potential for off-target side effects. Inhibition of the inhibitor, VE-PTP, by razuprotafib leads to activation of Tie2.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127635</wp:posOffset>
            </wp:positionV>
            <wp:extent cx="4037330" cy="2228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3733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4. Razuprotafib binds to and inhibits the active site of VE-PTP, resulting in Tie2 activation</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are aware that Roche is developing agents that inhibit Angpt-2, a natural antagonist of Tie2. Angpt-2 can bind to Tie2 and prevent Angpt-1 dependent activation. However, simply reducing the levels of Ang-2 has no effect on the activity of VE-PTP, which inactivates Tie2 further downstream of Angpt 1/2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125730</wp:posOffset>
            </wp:positionV>
            <wp:extent cx="2760345" cy="1577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6034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3. Inhibiting VE-PTP with razuprotafib robustly activates Tie2 in human endothelial cells in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pre-clinical experiments (Shen et al. JCI 124:4564-76, 2014)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Tie2 in ARDS in COVID-19 Infections</w:t>
      </w:r>
    </w:p>
    <w:p>
      <w:pPr>
        <w:spacing w:after="0" w:line="12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Preclinical models, large human observational studies, and human genetic studies from leading groups worldwide have independently arrived at the concept that a vascular endothelial receptor, Tie2, may play a pivotal role in the defense against microvascular breach in ARDS. We hypothesize that razuprotafib, being developed as a Tie2 activating compound, could exhibit an acceptable safety profile and show therapeutic promise in the treatment of COVID-19 associated ARDS as a potentially life-saving therapeutic for patients suffering from the devasting respiratory effects of COVID-19.</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2" w:name="page13"/>
    <w:bookmarkEnd w:id="12"/>
    <w:p>
      <w:pPr>
        <w:ind w:right="140"/>
        <w:spacing w:after="0" w:line="275" w:lineRule="auto"/>
        <w:rPr>
          <w:sz w:val="20"/>
          <w:szCs w:val="20"/>
          <w:color w:val="auto"/>
        </w:rPr>
      </w:pPr>
      <w:r>
        <w:rPr>
          <w:rFonts w:ascii="Arial" w:cs="Arial" w:eastAsia="Arial" w:hAnsi="Arial"/>
          <w:sz w:val="17"/>
          <w:szCs w:val="17"/>
          <w:color w:val="auto"/>
        </w:rPr>
        <w:t>Starting in 2020, we initiated two Phase 2 clinical trials in COVID-19 patients. One with Quantum Leap Healthcare Collaborative to participate in the I-SPY COVID Trial (Investigation of Serial studies to Predict Your COVID Therapeutic Response with biomarker Integration and Adaptive Learning) to evaluate subcutaneous razuprotafib for the treatment of COVID-19 related ARDS in adult patients with critical COVID-19 and one with the military, called RESCUE, to evaluate subcutaneous razuprotafib for the prevention and treatment of ARDS in adult patients with moderate to severe COVID-19 as part of the MTEC-20-09-COVID-19 Treatment Military Infectious Disease Research Program (“MIDRP”).</w:t>
      </w:r>
    </w:p>
    <w:p>
      <w:pPr>
        <w:spacing w:after="0" w:line="6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I-SPY COVID platform trial includes a study arm that evaluated razuprotafib’s potential to sufficiently stabilize the pulmonary vasculature, in order to slow or prevent the progression of COVID-19 associated pulmonary pathology, decrease the need for ventilator support, and reduce mortality. The I-SPY COVID study of razuprotafib was stopped after 21 patients in January 2021 due to the complexity of monitoring patients in the setting of a surge in ICU patients. There were no apparent safety signals associated with razuprotafib in these 21 patients and we believe the scientific basis is sound for continuing to evaluate the drug in patients presenting with ARDS across a broader array of infections.</w:t>
      </w:r>
    </w:p>
    <w:p>
      <w:pPr>
        <w:spacing w:after="0" w:line="6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the military sponsored RESCUE trial, we are evaluating razuprotafib for the potential to exhibit an acceptable safety profile and show efficacy for treatment of ARDS in patients with moderate to severe COVID-19; potentially being a life-saving therapeutic for service members in the field suffering from the devasting respiratory and vascular effects of COVID-19. The RESCUE clinical trial was initiated during the third quarter of 2020 but in February 2021, we decided to stop recruiting after the first 31 patients were enrolled based on challenges recruiting and monitoring patients in the current pandemic environment. There were no apparent safety signals associated with dosing COVID-19 patients in the RESCUE trial and we plan to further analyze the data to assess trends in efficacy and biomarkers. We expect to report top-line data in the second quarter of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Potential Systemic Indications – Diabetic Nephropathy</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Systemic therapy with razuprotafib could also provide therapeutic benefits in other areas of the body affected by diabetes, including in the kidneys and other organ systems. Treatment that could affect vascular compromise in these tissues could potentially prevent or delay the need for more extreme interventions such as kidney dialysis or amputation. Razuprotafib showed encouraging data in a number of prespecified, key secondary endpoints, consistent with the observations in the prior Phase 2a (“TIME-2”) trial related to the changes in UACR, a measure of kidney function. In a post-hoc analysis of the earlier TIME-2 clinical trial, there was a 21% reduction (geometric mean) in UACR from baseline in the razuprotafib treatment arms, but an overall increase in UACR in the placebo arm. The prospective UACR analyses from the recently completed TIME-2b trial largely replicated the results from the previous trial and reinforced the potential beneficial effects of Tie2 activation in diabetic kidney disease.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ARP-1536</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ARP-1536 is a humanized monoclonal antibody currently in preclinical development that is directed at the same target as subcutaneous razuprotafib. ARP-1536 binds the extracellular domain of VE-PTP inhibiting its ability to interact with Tie2. Our preclinical development program has shown that inhibiting VE-PTP with an antibody results in an activity profile similar to razuprotafib. We are evaluating development options for ARP-1536, including subcutaneous injection for the treatment of diabetic vascular complications, e.g. diabetic nephropathy and intravitreal injection as an adjunctive therapy for diabetic macular edema.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Bi-specific Antibody</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also developing a bispecific antibody that binds both VEGF and VE-PTP which is designed to inhibit VEGF activation and activate Tie2. Our bispecific antibody is differentiated because it directly activates Tie2 and inhibits VEGF activation. The novel bimodal activity has been observed in a variety of cell-based models. The antibody has shown activity in animal models of retinal disease. We believe this bispecific antibody has the potential to be an improved treatment for wet AMD and diabetic macular edema via intravitreal injection.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Gossamer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June 2018, we entered into a license agreement (the “Gossamer License Agreement”) with a wholly-owned subsidiary of Gossamer, under which we granted Gossamer an exclusive, sublicensable license to develop and commercialize AKB-4924 (now called GB004) and other structurally related products worldwide, with initial development expected in the indications of induction and maintenance in ulcerative colitis and Crohn’s Disease (collectively “initial indications”). GB004, a selective stabilizer of HIF-1 alpha, works by inhibiting HIF prolyl-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ind w:right="40"/>
        <w:spacing w:after="0" w:line="255" w:lineRule="auto"/>
        <w:rPr>
          <w:sz w:val="20"/>
          <w:szCs w:val="20"/>
          <w:color w:val="auto"/>
        </w:rPr>
      </w:pPr>
      <w:r>
        <w:rPr>
          <w:rFonts w:ascii="Arial" w:cs="Arial" w:eastAsia="Arial" w:hAnsi="Arial"/>
          <w:sz w:val="18"/>
          <w:szCs w:val="18"/>
          <w:color w:val="auto"/>
        </w:rPr>
        <w:t>hydroxylase enzymes. Unlike other compounds currently in development that act broadly against all forms of HIF, GB004 selectively stabilizes a specific form of HIF, HIF-1 alpha. HIF-1 alpha has an effect on innate immunity and epithelial barrier function. However, HIF-1 alpha differs from HIF-2, in that it does not stimulate the formation of new red blood cells. Gossamer reported topline results from the Phase 1b study in ulcerative colitis patients in the second quarter of 2020 and announced, subject to developments in the ongoing COVID-19 pandemic, it initiated a 12-week Phase 2 study of GB004 in patients with mild-to-moderate ulcerative colitis during the second half of 2020. Gossamer is expected to have results of the Phase 2 study in ulcerative colitis patients in the first half of 2022.</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Gossamer is responsible for the further development and commercialization of the licensed products, and a joint development committee has been formed to oversee the development and manufacturing activities related to the licensed products.</w:t>
      </w:r>
    </w:p>
    <w:p>
      <w:pPr>
        <w:spacing w:after="0" w:line="6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On May 12, 2020, the Company entered into Amendment No. 1 to the Gossamer License Agreement (“Amendment No. 1”). Pursuant to Amendment No. 1, Gossamer made a payment to the Company of $15.0 million on May 12, 2020. For the year ended December 31, 2020, the Company recognized revenue of $15.0 million based on the terms of Amendment No. 1. No such revenue was recognized during the year ended December 31, 2019.</w:t>
      </w:r>
    </w:p>
    <w:p>
      <w:pPr>
        <w:spacing w:after="0" w:line="4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Under the terms of the Gossamer License Agreement and as amended by Amendment No. 1 (collectively, the “Amended Gossamer License Agreement”), Gossamer is obligated to use its commercially reasonable efforts to develop and commercialize licensed products in the United States, two major European countries and Japan for at least one of the initial indications. The Amended Gossamer License Agreement includes an exclusivity provision that prohibits us from developing, manufacturing or commercializing, and prohibits Gossamer from clinically developing or commercializing certain HIF stabilizing compounds other than as permitted in the Amended Gossamer License Agreement.</w:t>
      </w:r>
    </w:p>
    <w:p>
      <w:pPr>
        <w:spacing w:after="0" w:line="6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Under the terms of the Amended Gossamer License Agreement, we are eligible to receive up to $40.0 million in approval milestone payments related to indications in ulcerative colitis and Crohn’s disease, and up to $50.0 million in sales milestone payments. The Company is also eligible to receive the tiered royalties on sales of licensed products from percentages ranging from a low-single-digit to mid-single-digit, subject to certain customary reductions.</w:t>
      </w:r>
    </w:p>
    <w:p>
      <w:pPr>
        <w:spacing w:after="0" w:line="4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under certain circumstances, in lieu of receiving the foregoing milestone payments and royalties, the Company may elect to receive 20% of payments received by Gossamer and its stockholders (with some exclusions) in connection with Gossamer’s grant of a sublicense or other rights to the licensed products or if Gossamer undergoes a change of control and the value of the transaction exceeds a certain value (provided that Gossamer can prevent the Company from exercising this option if the parent company of Gossamer is the entity undergoing the change of control, in which case each of the royalty rate percentages described above would automatically be increased by low single digits). Conversely, the Company could be required to accept such 20% of those payments if Gossamer agrees to pay the Company a certain minimum upon Gossamer and its stockholders being paid. Such amount may be reduced if the transaction includes pharmaceutical candidates or products or other named asset categories in addition to the licensed products.</w:t>
      </w:r>
    </w:p>
    <w:p>
      <w:pPr>
        <w:spacing w:after="0" w:line="5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Amended Gossamer License Agreement expires on a licensed-product-by-licensed-product and country-by-country basis on the later of fifteen years from the date of first commercial sale or when there is no longer a valid patent claim covering such licensed product in such country. Either party may terminate the Amended Gossamer License Agreement for an uncured material breach by the other party or upon the bankruptcy or insolvency of the other party. Gossamer may terminate the Amended Gossamer License Agreement in the event Gossamer determines there is a potential safety or efficacy issue with the licensed products. We may terminate the Amended Gossamer License Agreement if Gossamer institutes certain actions related to the licensed patents. Under certain termination circumstances, we would have worldwide rights to the terminated program.</w:t>
      </w:r>
    </w:p>
    <w:p>
      <w:pPr>
        <w:spacing w:after="0" w:line="7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As of December 31, 2020 and 2019, all development milestones, sales-based milestones and royalty payments within the Amended Gossamer License Agreement are constrained to the point where no transaction price has been allocated to the future milestones or royalty payments.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December 31, 2020, we owned at least 40 U.S. patents, at least 32 pending U.S. provisional or non-provisional patent applications, at least 286 foreign patents and at least 94 pending foreign applications, with claims directed toward various aspects of our product candidates and research programs, not counting patents and patent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 w:name="page15"/>
    <w:bookmarkEnd w:id="14"/>
    <w:p>
      <w:pPr>
        <w:spacing w:after="0" w:line="269" w:lineRule="auto"/>
        <w:rPr>
          <w:sz w:val="20"/>
          <w:szCs w:val="20"/>
          <w:color w:val="auto"/>
        </w:rPr>
      </w:pPr>
      <w:r>
        <w:rPr>
          <w:rFonts w:ascii="Arial" w:cs="Arial" w:eastAsia="Arial" w:hAnsi="Arial"/>
          <w:sz w:val="17"/>
          <w:szCs w:val="17"/>
          <w:color w:val="auto"/>
        </w:rPr>
        <w:t>applications that have been licensed to a third party. Specifically, the claims of these patents and patent applications include compositions of matter, methods of use, drug product formulations, and methods of manufacture. Such patents and patent applications, if issued, are expected to expire on various dates from 2027 to 2041, without taking into account any possible patent term adjustments or extensions. Within the foregoing patent portfolio, as of December 31, 2020, we owned at least 10 U.S. patents, at least 7 pending U.S. provisional or non-provisional patent applications, at least 52 foreign patents and at least 32 pending foreign applications that are directed toward ARP-1536 and formulations or uses thereof. As of December 31, 2020, within the foregoing patent portfolio, we owned at least 30 U.S. patents, at least 25 pending U.S. provisional or non-provisional patent applications, at least 234 foreign patents and at least 62 pending foreign applications that are directed toward razuprotafib and formulations, medicinal chemistry variants or uses thereof. Such patents claiming compositions of matter directed toward ARP-1536 are set to expire in 2027, without taking into account any possible patent term adjustments or extensions. Such patents claiming compositions of matter directed toward razuprotafib are set to expire in 2027, without taking into account any possible patent term adjustments or extensions.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hold worldwide commercialization rights to all of our product candidates. We are evaluating our development options for our product candidates and, if any receive marketing approval, we may seek to commercialize such candidates independently or in collaboration with one or more third parties.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do not currently own or operate manufacturing facilities for the production of clinical or commercial quantities of our product candidates. We have relied on and intend to continue to rely on qualified third-party contract manufacturers to produce our product candidates. We expect that commercial quantities of any compound and materials for our product candidates, if approved, will be manufactured in facilities and by processes that comply with FDA and other regulations. At the appropriate time in the product development process, we will determine whether to establish manufacturing facilities or continue to rely on third parties to manufacture commercial quantities of any products that we may successfully develop.</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and export and import of pharmaceutical and biological products, such as those we are developing. In addition, some government authorities regulate the pricing of such products. The process of obtaining regulatory approvals and the subsequent compliance with appropriate federal, state, local and foreign statutes and regulations require the expenditure of substantial time and financial resources.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the United States, the FDA regulates drugs under the Federal Food, Drug, and Cosmetic Act (“FDCA”) and its implementing regulations, and biologics under the FDCA and the Public Health Service Act (“PHSA”) and its implementing regulations. FDA approval is required before any new unapproved drug or biologic, including a new use of a previously approved drug, can be marketed in the United States. Drugs and biologics are also subject to other federal, state, and local statutes and regulations. If we fail to comply with applicable FDA or other requirements at any time during the product development process, clinical testing, the approval process or after approval, we may become subject to administrative or judicial sanctions. These sanctions could include the FDA’s refusal to approve pending applications, license suspension or revocation, withdrawal of an approval, untitled or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right="220"/>
        <w:spacing w:after="0" w:line="277" w:lineRule="auto"/>
        <w:rPr>
          <w:sz w:val="20"/>
          <w:szCs w:val="20"/>
          <w:color w:val="auto"/>
        </w:rPr>
      </w:pPr>
      <w:r>
        <w:rPr>
          <w:rFonts w:ascii="Arial" w:cs="Arial" w:eastAsia="Arial" w:hAnsi="Arial"/>
          <w:sz w:val="18"/>
          <w:szCs w:val="18"/>
          <w:color w:val="auto"/>
        </w:rPr>
        <w:t>warning letters, voluntary or mandatory product recalls, product seizures, total or partial suspension of production or distribution, injunctions, fines, civil penalties or criminal prosecution. Any FDA enforcement action could have a material adverse effect on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17" w:lineRule="exact"/>
        <w:rPr>
          <w:sz w:val="20"/>
          <w:szCs w:val="20"/>
          <w:color w:val="auto"/>
        </w:rPr>
      </w:pPr>
    </w:p>
    <w:p>
      <w:pPr>
        <w:ind w:left="1300" w:right="820" w:hanging="44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and nonclinical animal studies, all performed in accordance with the Good Laboratory Practices (“GLP”) regulations;</w:t>
      </w:r>
    </w:p>
    <w:p>
      <w:pPr>
        <w:spacing w:after="0" w:line="62" w:lineRule="exact"/>
        <w:rPr>
          <w:rFonts w:ascii="Arial" w:cs="Arial" w:eastAsia="Arial" w:hAnsi="Arial"/>
          <w:sz w:val="18"/>
          <w:szCs w:val="18"/>
          <w:color w:val="auto"/>
        </w:rPr>
      </w:pPr>
    </w:p>
    <w:p>
      <w:pPr>
        <w:ind w:left="1300" w:right="40" w:hanging="44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which must become effective before human clinical trials may begin and must be updated annually;</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or ethics committee representing each clinical site before each clinical trial may be initiated;</w:t>
      </w:r>
    </w:p>
    <w:p>
      <w:pPr>
        <w:spacing w:after="0" w:line="62" w:lineRule="exact"/>
        <w:rPr>
          <w:rFonts w:ascii="Arial" w:cs="Arial" w:eastAsia="Arial" w:hAnsi="Arial"/>
          <w:sz w:val="18"/>
          <w:szCs w:val="18"/>
          <w:color w:val="auto"/>
        </w:rPr>
      </w:pPr>
    </w:p>
    <w:p>
      <w:pPr>
        <w:ind w:left="1300" w:right="180" w:hanging="44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(“GCPs”) to establish the safety and efficacy of the product candidate for each proposed indication;</w:t>
      </w:r>
    </w:p>
    <w:p>
      <w:pPr>
        <w:spacing w:after="0" w:line="62" w:lineRule="exact"/>
        <w:rPr>
          <w:rFonts w:ascii="Arial" w:cs="Arial" w:eastAsia="Arial" w:hAnsi="Arial"/>
          <w:sz w:val="18"/>
          <w:szCs w:val="18"/>
          <w:color w:val="auto"/>
        </w:rPr>
      </w:pPr>
    </w:p>
    <w:p>
      <w:pPr>
        <w:ind w:left="1300" w:right="860" w:hanging="44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(“BLA”) or a new drug application (“NDA”) after completion of all pivotal clinical trials;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of the product application by an FDA advisory committee, where appropriate and if applicable;</w:t>
      </w:r>
    </w:p>
    <w:p>
      <w:pPr>
        <w:spacing w:after="0" w:line="117" w:lineRule="exact"/>
        <w:rPr>
          <w:rFonts w:ascii="Arial" w:cs="Arial" w:eastAsia="Arial" w:hAnsi="Arial"/>
          <w:sz w:val="18"/>
          <w:szCs w:val="18"/>
          <w:color w:val="auto"/>
        </w:rPr>
      </w:pPr>
    </w:p>
    <w:p>
      <w:pPr>
        <w:ind w:left="1300" w:right="380" w:hanging="44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facilities where the proposed product is produced to assess compliance with current Good Manufacturing Practices (“cGMP”);</w:t>
      </w:r>
    </w:p>
    <w:p>
      <w:pPr>
        <w:spacing w:after="0" w:line="62" w:lineRule="exact"/>
        <w:rPr>
          <w:rFonts w:ascii="Arial" w:cs="Arial" w:eastAsia="Arial" w:hAnsi="Arial"/>
          <w:sz w:val="18"/>
          <w:szCs w:val="18"/>
          <w:color w:val="auto"/>
        </w:rPr>
      </w:pPr>
    </w:p>
    <w:p>
      <w:pPr>
        <w:ind w:left="1300" w:right="100" w:hanging="44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satisfactory completion of any FDA audits of the clinical study sites to assure compliance with GCPs, and the integrity of clinical data in support of the BLA or NDA; and</w:t>
      </w:r>
    </w:p>
    <w:p>
      <w:pPr>
        <w:spacing w:after="0" w:line="62" w:lineRule="exact"/>
        <w:rPr>
          <w:rFonts w:ascii="Arial" w:cs="Arial" w:eastAsia="Arial" w:hAnsi="Arial"/>
          <w:sz w:val="18"/>
          <w:szCs w:val="18"/>
          <w:color w:val="auto"/>
        </w:rPr>
      </w:pPr>
    </w:p>
    <w:p>
      <w:pPr>
        <w:ind w:left="1300" w:right="80" w:hanging="44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FDA review and approval of a BLA for a biologic candidate that is safe, pure, and potent or an NDA for a drug candidate that is safe and effective prior to any commercial marketing or sale of the product in the United States.</w:t>
      </w:r>
    </w:p>
    <w:p>
      <w:pPr>
        <w:spacing w:after="0" w:line="6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nonclinical and clinical testing and approval process requires substantial time, effort and financial resources, and we cannot be certain that any approvals for our product candidates will be granted on a timely basis,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Before testing any drug or biologic in humans, the product candidate must undergo rigorous preclinical, or nonclinical, testing. Preclinical studies include laboratory evaluations of chemistry, formulation and stability, as well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animal studies to assess safety and in some cases to establish the rationale for therapeutic use. The conduct of preclinical studies is subject to federal and state regulations and requirements, including GLP requirements for safety and toxicology studies. In the United States, the results of the preclinical studies, together with manufacturing information and analytical data must be submitted to the FDA as part of an IND.</w:t>
      </w:r>
    </w:p>
    <w:p>
      <w:pPr>
        <w:spacing w:after="0" w:line="8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An IND is a request for authorization from the FDA to administer an investigational new drug or biological product to humans in clinical trials. The central focus of an IND submission is on the general investigational plan, the protocol(s) for human trials and the safety of study participants.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new drug.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 Accordingly, submission of an IND may or may not result in the FDA allowing clinical trials to commence. The FDA may impose a clinical hold at any time during clinical trials and may impose a partial clinical hold that would limit trials, for example, to certain doses or for a certain length of time.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Clinical trials involve the administration of the investigational new drug or biological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study, the inclusion and exclusion criteria, the parameters to be used in monitoring safety and the efficacy criteria to be evaluated. A protocol for each clinical trial and any subsequent protocol amendments must be submitted to the FDA as part of the IND. Additionally, approval must also be obtained from each clinical trial site’s IRB, before the trials may be initiated and the IRB must monitor the trial until completed. There are also requirements governing the reporting of ongoing clinical trials and clinical trial results to public registries.</w:t>
      </w:r>
    </w:p>
    <w:p>
      <w:pPr>
        <w:spacing w:after="0" w:line="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clinical investigation of a drug or biological product is generally divided into three or four phases. Although the phases are usually conducted sequentially, they may overlap or be combined.</w:t>
      </w:r>
    </w:p>
    <w:p>
      <w:pPr>
        <w:spacing w:after="0" w:line="62" w:lineRule="exact"/>
        <w:rPr>
          <w:sz w:val="20"/>
          <w:szCs w:val="20"/>
          <w:color w:val="auto"/>
        </w:rPr>
      </w:pPr>
    </w:p>
    <w:p>
      <w:pPr>
        <w:ind w:left="1300" w:right="100" w:hanging="442"/>
        <w:spacing w:after="0" w:line="259"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investigational product is initially introduced into a limited population of healthy human subjects or patients with the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or condition. These studies are designed to evaluate the safety, dosage tolerance, metabolism and pharmacologic actions of the investigational product in humans, the side effects associated with increasing doses, and if possible, to gain early evidence on effectiveness.</w:t>
      </w:r>
    </w:p>
    <w:p>
      <w:pPr>
        <w:spacing w:after="0" w:line="78" w:lineRule="exact"/>
        <w:rPr>
          <w:rFonts w:ascii="Arial" w:cs="Arial" w:eastAsia="Arial" w:hAnsi="Arial"/>
          <w:sz w:val="18"/>
          <w:szCs w:val="18"/>
          <w:color w:val="auto"/>
        </w:rPr>
      </w:pPr>
    </w:p>
    <w:p>
      <w:pPr>
        <w:ind w:left="1300" w:right="380" w:hanging="44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investigational product is administered to a limited patient population to evaluate dosage tolerance and optimal dosage,</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possible adverse side effects and safety risks, and preliminarily evaluate efficacy.</w:t>
      </w:r>
    </w:p>
    <w:p>
      <w:pPr>
        <w:spacing w:after="0" w:line="62" w:lineRule="exact"/>
        <w:rPr>
          <w:rFonts w:ascii="Arial" w:cs="Arial" w:eastAsia="Arial" w:hAnsi="Arial"/>
          <w:sz w:val="18"/>
          <w:szCs w:val="18"/>
          <w:color w:val="auto"/>
        </w:rPr>
      </w:pPr>
    </w:p>
    <w:p>
      <w:pPr>
        <w:ind w:left="1300" w:hanging="442"/>
        <w:spacing w:after="0" w:line="25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The investigational product is administered to an expanded patient population, generally at geographically dispersed clinical trial</w:t>
      </w:r>
      <w:r>
        <w:rPr>
          <w:rFonts w:ascii="Arial" w:cs="Arial" w:eastAsia="Arial" w:hAnsi="Arial"/>
          <w:sz w:val="18"/>
          <w:szCs w:val="18"/>
          <w:i w:val="1"/>
          <w:iCs w:val="1"/>
          <w:color w:val="auto"/>
        </w:rPr>
        <w:t xml:space="preserve"> </w:t>
      </w:r>
      <w:r>
        <w:rPr>
          <w:rFonts w:ascii="Arial" w:cs="Arial" w:eastAsia="Arial" w:hAnsi="Arial"/>
          <w:sz w:val="18"/>
          <w:szCs w:val="18"/>
          <w:color w:val="auto"/>
        </w:rPr>
        <w:t>sites to generate enough data to statistically evaluate dosage, clinical effectiveness and safety (or safety, purity, and potency for biological product candidates), to evaluate the overall benefit-risk profile of the investigational product, and to provide an adequate basis for physician labeling. Generally, two adequate and well-controlled Phase 3 clinical trials are required by the FDA for approval of a BLA or NDA.</w:t>
      </w:r>
    </w:p>
    <w:p>
      <w:pPr>
        <w:spacing w:after="0" w:line="79" w:lineRule="exact"/>
        <w:rPr>
          <w:rFonts w:ascii="Arial" w:cs="Arial" w:eastAsia="Arial" w:hAnsi="Arial"/>
          <w:sz w:val="18"/>
          <w:szCs w:val="18"/>
          <w:color w:val="auto"/>
        </w:rPr>
      </w:pPr>
    </w:p>
    <w:p>
      <w:pPr>
        <w:ind w:left="1300" w:right="80" w:hanging="442"/>
        <w:spacing w:after="0" w:line="25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Phase 4. </w:t>
      </w:r>
      <w:r>
        <w:rPr>
          <w:rFonts w:ascii="Arial" w:cs="Arial" w:eastAsia="Arial" w:hAnsi="Arial"/>
          <w:sz w:val="18"/>
          <w:szCs w:val="18"/>
          <w:color w:val="auto"/>
        </w:rPr>
        <w:t>In some cases, the FDA may condition approval of a BLA or NDA for a product candidate on the sponsor’s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additional clinical trials after approval. In other cases, a sponsor may voluntarily conduct additional clinical trials after approval to gain more information about the drug or biological product. Such post-approval studies are typically referred to as Phase 4 clinical trials. Failure to exhibit due diligence with regard to conducting required Phase 4 clinical trials could result in withdrawal of approval for products.</w:t>
      </w:r>
    </w:p>
    <w:p>
      <w:pPr>
        <w:spacing w:after="0" w:line="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Sponsors must also submit progress reports detailing the results of the clinical trials, among other information, at least annually to the FDA, and written IND safety reports must be submitted to the FDA and the investigators 15 days after the trial sponsor determines the information qualifies for reporting for serious and unexpected adverse reactions, any clinically important increase in the rate of a serious suspected adverse reaction over that listed in the protocol or investigator’s brochure, or any findings from other studies or animal or in vitro testing that suggest a significant risk in humans exposed to the product candidate. Sponsors must also notify the FDA of any unexpected fatal or life-threatening suspected adverse reactions as soon as possible but in no case later than 7 calendar day after the sponsor’s initial receipt of the information.</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FDA, the IRB, or the clinical trial sponsor may suspend or terminate a clinical trial at any time on various grounds, including a finding that the research subjects are being exposed to an unacceptable health risk.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or competitive climate.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right="240"/>
        <w:spacing w:after="0" w:line="279" w:lineRule="auto"/>
        <w:rPr>
          <w:sz w:val="20"/>
          <w:szCs w:val="20"/>
          <w:color w:val="auto"/>
        </w:rPr>
      </w:pPr>
      <w:r>
        <w:rPr>
          <w:rFonts w:ascii="Arial" w:cs="Arial" w:eastAsia="Arial" w:hAnsi="Arial"/>
          <w:sz w:val="17"/>
          <w:szCs w:val="17"/>
          <w:color w:val="auto"/>
        </w:rPr>
        <w:t>A manufacturer of an investigational drug or biological product for a serious disease or condition is required to make available, such as by posting on its website, its policy on evaluating and responding to requests for individual patient access to such investigational drug or biological product. This requirement applies on the earlier of the first initiation of a Phase 2 or Phase 3 trial of the investigational drug or, as applicable, 15 days after the drug receives a designation as a breakthrough therapy, fast track product, or regenerative advanced therapy.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Submission of a BLA or NDA to the FDA</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detailed investigational new drug product information is submitted to the FDA in the form of a BLA or NDA requesting approval to market the product for one or more indications. Under federal law, the submission of most BLAs and NDAs is subject to an application user fee. For fiscal year 2020, the application user fee is $2,942,965, and the sponsor of an approved BLA or NDA is also subject to an annual program fee of $325,424 for each approved prescription drug or biological product on the market. These fees are typically increased annually. Applications for orphan drug products are exempted from the BLA and NDA user fees and may be exempted from program fees, unless the application includes an indication for other than a rare disease or condition.</w:t>
      </w:r>
    </w:p>
    <w:p>
      <w:pPr>
        <w:spacing w:after="0" w:line="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 BLA or NDA must include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trials initiated by investigators. To support marketing approval, the data submitted must be sufficient in quality and quantity to establish the safety and effectiveness of the investigational new drug product to the satisfaction of the FDA.</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FDA conducts a preliminary review of all BLAs and NDAs within the first 60 days after submission before accepting them for filing to determine whether they are sufficiently complete to permit substantive review. The FDA may request additional information rather than accept an application for filing. Once a BLA or NDA has been accepted for filing, the FDA’s goal for novel drug and biological products generally is to review the application within ten months after it accepts the application for filing, or, if the application relates to an unmet medical need in a serious or life-threatening indication, six months after the FDA accepts the application for filing. The review process is often significantly extended by the FDA’s requests for additional information or clarification.</w:t>
      </w:r>
    </w:p>
    <w:p>
      <w:pPr>
        <w:spacing w:after="0" w:line="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Before approving a BLA or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or NDA, the FDA will typically inspect one or more clinical sites to assure compliance with GCP.</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FDA is required to refer an application for a novel drug or biological product to an advisory committee or explain why such referral was not made.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FDA’s Decision on a BLA or NDA</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After the FDA evaluates the BLA or NDA and conducts relevant inspections,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will identify the deficiencies that prevent the FDA from approving the application and may require additional clinical data or an additional Phase 3 clinical trial(s), or other significant, expensive and time-consuming requirements related to clinical trials, nonclinical studies or manufacturing. Even if such additional information is submitted, the FDA may ultimately decide that the BLA or NDA does not satisfy the criteria for approval and issue a denial.</w:t>
      </w:r>
    </w:p>
    <w:p>
      <w:pPr>
        <w:spacing w:after="0" w:line="70"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FDA could also approve the BLA or NDA with a Risk Evaluation and Mitigation Strategy (“REMS”) program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8" w:name="page19"/>
    <w:bookmarkEnd w:id="18"/>
    <w:p>
      <w:pPr>
        <w:ind w:right="200"/>
        <w:spacing w:after="0" w:line="277" w:lineRule="auto"/>
        <w:rPr>
          <w:sz w:val="20"/>
          <w:szCs w:val="20"/>
          <w:color w:val="auto"/>
        </w:rPr>
      </w:pPr>
      <w:r>
        <w:rPr>
          <w:rFonts w:ascii="Arial" w:cs="Arial" w:eastAsia="Arial" w:hAnsi="Arial"/>
          <w:sz w:val="18"/>
          <w:szCs w:val="18"/>
          <w:color w:val="auto"/>
        </w:rPr>
        <w:t>specifications, or a commitment to conduct one or more post-market studies or clinical trials. Such post-market testing may include Phase 4 clinical trials and surveillance to further assess and monitor the product’s safety and effectiveness after commercialization.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New government requirements, including those resulting from new legislation, may be established, or the FDA’s policies may change, which could delay or prevent regulatory approval of our products under development.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Review and Accelerated Approval Programs</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 sponsor may seek approval of its product candidate under programs designed to accelerate FDA’s review and approval of BLAs and NDAs. For example, Fast Track Designation may be granted to a drug or biologic intended for treatment of a serious or life-threatening disease or condition that has potential to address unmet medical needs. The key benefits of Fast Track Designation are more frequent interactions with the FDA during development and testing, the eligibility for priority review, and rolling review, which is submission of portions of an application before the complete marketing application is submitted.</w:t>
      </w:r>
    </w:p>
    <w:p>
      <w:pPr>
        <w:spacing w:after="0" w:line="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Based on results of the Phase 3 clinical trial(s) submitted in a BLA or NDA, the FDA may grant the BLA or NDA a priority review designation, which sets the target date for FDA action on the application for a novel product at six months after the FDA accepts the application for filing. Priority review is granted where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8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Under the accelerated approval program, the FDA may approve a BLA or NDA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trials or completion of ongoing trials after marketing approval are generally required to verify the drug’s clinical benefit in relationship to the surrogate endpoint or ultimate outcome in relationship to the clinical benefit.</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a sponsor may seek FDA designation of its product candidate as a breakthrough therapy if the drug or biologic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benefits of Breakthrough Therapy Designation include the same benefits as a Fast Track Designation, in addition to intensive guidance from FDA to ensure an efficient product development program.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7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Drug and biologic manufacturers are subject to periodic unannounced inspections by the FDA and state agencies for compliance with cGMP requirements. Changes to the manufacturing process are strictly regulated, and, depending on the significance of the change, may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53"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Future FDA and state inspections may identify compliance issues at our facilities or at the facilities of our contract manufacturers that may disrupt production, or distribution, or may require substantial resources to correct. In addition, discovery of previously unknown problems with a product or the failure to comply with applicable requirements may result in restrictions on a product, manufacturer or holder of an approved BLA or NDA, including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withdrawal or recall of the product from the market or other voluntary, FDA-initiated or judicial action that could delay or prohibit further marketing.</w:t>
      </w:r>
    </w:p>
    <w:p>
      <w:pPr>
        <w:spacing w:after="0" w:line="129"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FDA has authority to require post-market studies, in certain circumstances, on reduced effectiveness of a drug or biologic and FDA may require labeling changes related to new reduced effectiveness information. Other potential consequences of a failure to maintain regulatory compliance include, among other things:</w:t>
      </w:r>
    </w:p>
    <w:p>
      <w:pPr>
        <w:spacing w:after="0" w:line="69" w:lineRule="exact"/>
        <w:rPr>
          <w:sz w:val="20"/>
          <w:szCs w:val="20"/>
          <w:color w:val="auto"/>
        </w:rPr>
      </w:pPr>
    </w:p>
    <w:p>
      <w:pPr>
        <w:ind w:left="1300" w:hanging="442"/>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300" w:right="260" w:hanging="44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safety alerts, Dear Healthcare Provider letters, press releases or other communications containing warnings or other safety information about the product;</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issuance of corrective information;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fines, untitled or warning letters or holds on post-approval clinical trials;</w:t>
      </w:r>
    </w:p>
    <w:p>
      <w:pPr>
        <w:spacing w:after="0" w:line="117" w:lineRule="exact"/>
        <w:rPr>
          <w:rFonts w:ascii="Arial" w:cs="Arial" w:eastAsia="Arial" w:hAnsi="Arial"/>
          <w:sz w:val="18"/>
          <w:szCs w:val="18"/>
          <w:color w:val="auto"/>
        </w:rPr>
      </w:pPr>
    </w:p>
    <w:p>
      <w:pPr>
        <w:ind w:left="1300" w:right="500" w:hanging="44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refusal of the FDA to approve pending BLAs or NDAs or supplements to approved BLAs or NDAs, or suspension or revocation of product license approvals;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Trials and Exclusivity</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sponsor who is planning to submit a marketing application for a drug that includes a new active ingredient, new indication, new dosage form, new dosing regimen or new route of administration must submit an initial Pediatric Study Plan (“PSP”) within 60 days of an end of 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Generally, development program candidates designated as orphan drugs are exempt from the above requirements. FDA and the sponsor must reach agreement on the PSP. A sponsor can submit amendments to an agreed upon initial PSP at any time if changes to the pediatric plan need to be considered based on data collected from nonclinical studies, early phase clinical trials, and/or other clinical development programs.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ind w:right="40"/>
        <w:spacing w:after="0" w:line="271" w:lineRule="auto"/>
        <w:rPr>
          <w:sz w:val="20"/>
          <w:szCs w:val="20"/>
          <w:color w:val="auto"/>
        </w:rPr>
      </w:pPr>
      <w:r>
        <w:rPr>
          <w:rFonts w:ascii="Arial" w:cs="Arial" w:eastAsia="Arial" w:hAnsi="Arial"/>
          <w:sz w:val="17"/>
          <w:szCs w:val="17"/>
          <w:color w:val="auto"/>
        </w:rPr>
        <w:t>Pediatric exclusivity is another type of non-patent exclusivity in the United States and, if granted, provides for the attachment of an additional six months of marketing protection to the term of any existing regulatory exclusivity, including the five-year and three-year non-patent and orphan exclusivity. This six-month exclusivity may be granted if a BLA or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FDA-requested pediatric trials are submitted to and accepted by the FDA within the statutory time limits, whatever statutory or regulatory periods of exclusivity or patent protection covering the product are extended by six months. This is not a patent term extension, but it effectively extends the regulatory period during which the FDA cannot accept or approve another application relying on the BLA or NDA sponsor’s data.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or NDA, plus the time between the submission date and the approval of that application. Only one patent applicable to an approved product is eligible for the extension and the application for the extension must be submitted prior to the expiration of the patent and within 60 days of the product’s approval. The U.S.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 or NDA.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Patient Protection and Affordable Care Act (“Affordable Care Act”) signed into law on March 23, 2010, includes a subtitle called the Biologics Price Competition and Innovation Act of 2009 (“BPCI Act”) which created an abbreviated approval pathway for biological products shown to be similar to, or interchangeable with, an FDA-licensed reference biological product. This amendment to the PHSA attempts to minimize duplicative testing. Biosimilarity, which requires that there be no clinically meaningful differences between the proposed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A reference biologic is granted twelve years of exclusivity from the time of first licensure of the reference product.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Abbreviated New Drug Applications (“ANDA”) for Generic Drugs</w:t>
      </w:r>
    </w:p>
    <w:p>
      <w:pPr>
        <w:spacing w:after="0" w:line="117"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In 1984, with passage of the Hatch-Waxman Amendments, Congress authorized the FDA to approve generic drugs that are the same as drugs previously approved by the FDA under the NDA provisions of the statute. To obtain approval of a generic drug, an applicant must submit an abbreviated new drug application (“ANDA”) to the agency. In support of such applications, a generic manufacturer may rely on the nonclinical and clinical testing previously conducted for a drug product previously approved under an NDA, known as the reference listed drug (“RLD”).</w:t>
      </w:r>
    </w:p>
    <w:p>
      <w:pPr>
        <w:spacing w:after="0" w:line="6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Specifically, in order for an ANDA to be approved, the FDA must find that the generic version is the same as the RLD with respect to the active ingredient(s), the route of administration, the dosage form, the strength of the drug and the labeling (with certain exceptions). At the same time, the FDA must also determine that the generic drug is “bioequivalent” to the innovator drug. Under the statute, a generic drug is bioequivalent to an RLD if “the rate and extent of absorption of the [generic] drug do not show a significant difference from the rate and extent of absorption of the listed drug.”</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1" w:name="page22"/>
    <w:bookmarkEnd w:id="21"/>
    <w:p>
      <w:pPr>
        <w:ind w:right="240"/>
        <w:spacing w:after="0" w:line="257" w:lineRule="auto"/>
        <w:rPr>
          <w:sz w:val="20"/>
          <w:szCs w:val="20"/>
          <w:color w:val="auto"/>
        </w:rPr>
      </w:pPr>
      <w:r>
        <w:rPr>
          <w:rFonts w:ascii="Arial" w:cs="Arial" w:eastAsia="Arial" w:hAnsi="Arial"/>
          <w:sz w:val="18"/>
          <w:szCs w:val="18"/>
          <w:color w:val="auto"/>
        </w:rPr>
        <w:t>Upon approval of an ANDA, the FDA assigns a therapeutic equivalence rating to the approved generic drug in its publication “Approved Drug Products with Therapeutic Equivalence Evaluations,” also referred to as the “Orange Book.” Physicians and pharmacists consider an “A” therapeutic equivalence rating to mean that a generic drug is fully substitutable for the RLD. In addition, by operation of certain state laws and numerous health insurance programs, the FDA’s designation of an “A” rating often results in substitution of the generic drug without the knowledge or consent of either the prescribing physician or patient.</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FDCA provides a period of five years of non-patent exclusivity for a new drug containing a new chemical entity. In cases where such exclusivity has been granted, an ANDA (or a 505(b)(2) NDA, which is a marketing application in which sponsors may rely on investigations that were not conducted by or for the applicant and for which the applicant has not obtained a right of reference or use from the person by or for whom the investigations were conducted) may not be filed with the FDA until the expiration of five years unless the submission is accompanied by a Paragraph IV certification, discussed below,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Hatch-Waxman Patent Certification and the 30-Month Stay</w:t>
      </w:r>
    </w:p>
    <w:p>
      <w:pPr>
        <w:spacing w:after="0" w:line="117"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Upon approval of an NDA or a supplement thereto, NDA sponsors are required to list with the FDA each patent with claims that cover the applicant’s product or a method of using the product. Each of the patents listed by the NDA sponsor is published in the Orange Book. When an ANDA or 505(b)(2) applicant files its application with the FDA, the applicant is required to certify to the FDA concerning any patents listed for the reference product in the Orange Book, except for patents covering methods of use for which the ANDA or 505(b)(2) applicant is not seeking approval.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117" w:lineRule="exact"/>
        <w:rPr>
          <w:sz w:val="20"/>
          <w:szCs w:val="20"/>
          <w:color w:val="auto"/>
        </w:rPr>
      </w:pPr>
    </w:p>
    <w:p>
      <w:pPr>
        <w:ind w:left="1300" w:hanging="44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applicant does not challenge a listed patent, the ANDA or 505(b)(2) application will not be approved until the listed patent expires (unless the patent claims only a method-of-using the referenced product and the ANDA or 505(b)(2) applicant indicates that it is not seeking approval of the claimed method of use).</w:t>
      </w:r>
    </w:p>
    <w:p>
      <w:pPr>
        <w:spacing w:after="0" w:line="7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the applicant has provided a Paragraph IV certification to the FDA, the applicant must also send notice of the Paragraph IV certification to the NDA and patent holders once the ANDA or 505(b)(2) application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or 505(b)(2) application until the earlier of expiration of the patent, a decision in the infringement case that is favorable to the ANDA or 505(b)(2) applicant, or 30 months after the receipt of the Paragraph IV notice (which can be extended if the reference product has 5-year exclusivity and the ANDA or 505(b)(2) application is submitted between 4 and 5 years after approval of the reference product).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Union/Rest of World Government Regulation</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addition to regulations in the United States, we will be subject to a variety of regulations in other jurisdictions governing, among other things, clinical trials and any commercial sales and distribution of our products. The cost of establishing a regulatory compliance system for numerous varying jurisdictions can be very significant. Although many of the issues discussed above with respect to the United States apply similarly in the context of the European Union and in other jurisdictions, the approval process varies between countries and jurisdictions and can involve additional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ind w:right="80"/>
        <w:spacing w:after="0" w:line="311" w:lineRule="auto"/>
        <w:rPr>
          <w:sz w:val="20"/>
          <w:szCs w:val="20"/>
          <w:color w:val="auto"/>
        </w:rPr>
      </w:pPr>
      <w:r>
        <w:rPr>
          <w:rFonts w:ascii="Arial" w:cs="Arial" w:eastAsia="Arial" w:hAnsi="Arial"/>
          <w:sz w:val="16"/>
          <w:szCs w:val="16"/>
          <w:color w:val="auto"/>
        </w:rPr>
        <w:t>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4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requirements and process governing the conduct of clinical trials vary from country to country. In all cases, the clinical trials are conducted in accordance with GCP, the applicable regulatory requirements, and the ethical principles that have their origin in the Declaration of Helsinki. 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Clinical Trials Regulation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authorization application (“CTA”), must be submitted for each clinical protocol to each country’s National Competent Authority, or NCA, and at least one independent Ethics Committee, or EC, much like the FDA and IRB, respectively. Once the CTA is accepted in accordance with a country’s requirements, the clinical trial may proceed. Under the current regime (the EU Clinical Trials Directive 2001/20/EC and corresponding national laws) all suspected unexpected serious adverse reactions to the investigated drug that occur during the clinical trial have to be reported to the NCA and ECs of the Member State where they occurred.</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April 2014, the European Union adopted a new Clinical Trials Regulation (EU) No 536/2014, which is set to replace the current Clinical Trials Directive 2001/20/EC. It will overhaul the current system of approvals for clinical trials in the European Union. Specifically, the new regulation, which will be directly applicable in all Member States (meaning that no national implementing legislation in each European Union Member State is required), aims at simplifying and streamlining the approval of clinical trials in the European Union. For instance, the new Clinical Trials Regulation provides for a streamlined application procedure via a single entry point and strictly defined deadlines for the assessment of clinical trial applications. It is expected that the new Clinical Trials Regulation (EU) No 536/2014 will come into effect following confirmation of full functionality of the Clinical Trials Information System, the centralized European Union portal and database for clinical trials foreseen by the new Clinical Trials regulation, through an independent audit, which is currently expected to occur in December 2021.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Review and Approval in Europe</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the European Economic Area (comprised of the Member States of the European Union plus Norway, Iceland, and Lichtenstein), or EEA, medicinal products are subject to extensive pre- and post-market regulation by regulatory authorities at both the EEA and national levels. Before being placed on the market in the UK or EEA, a medicinal product requires a marketing authorization from the relevant competent authority.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Medicines can be authorized in the EEA by using either the centralized authorization procedure or national authorization procedures.</w:t>
      </w:r>
    </w:p>
    <w:p>
      <w:pPr>
        <w:spacing w:after="0" w:line="117" w:lineRule="exact"/>
        <w:rPr>
          <w:sz w:val="20"/>
          <w:szCs w:val="20"/>
          <w:color w:val="auto"/>
        </w:rPr>
      </w:pPr>
    </w:p>
    <w:p>
      <w:pPr>
        <w:ind w:left="1300" w:hanging="442"/>
        <w:spacing w:after="0" w:line="25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Centralized procedure. </w:t>
      </w:r>
      <w:r>
        <w:rPr>
          <w:rFonts w:ascii="Arial" w:cs="Arial" w:eastAsia="Arial" w:hAnsi="Arial"/>
          <w:sz w:val="18"/>
          <w:szCs w:val="18"/>
          <w:color w:val="auto"/>
        </w:rPr>
        <w:t>The European Medicines Agency (“EMA”), implemented the centralized procedure for the approval of human</w:t>
      </w:r>
      <w:r>
        <w:rPr>
          <w:rFonts w:ascii="Arial" w:cs="Arial" w:eastAsia="Arial" w:hAnsi="Arial"/>
          <w:sz w:val="18"/>
          <w:szCs w:val="18"/>
          <w:i w:val="1"/>
          <w:iCs w:val="1"/>
          <w:color w:val="auto"/>
        </w:rPr>
        <w:t xml:space="preserve"> </w:t>
      </w:r>
      <w:r>
        <w:rPr>
          <w:rFonts w:ascii="Arial" w:cs="Arial" w:eastAsia="Arial" w:hAnsi="Arial"/>
          <w:sz w:val="18"/>
          <w:szCs w:val="18"/>
          <w:color w:val="auto"/>
        </w:rPr>
        <w:t>medicines to facilitate marketing authorizations that are valid throughout the EEA. This procedure results in a single marketing authorization issued by the EMA that is valid across the EEA. The centralized procedure is compulsory for human medicines that are: derived from biotechnology processes, such as genetic engineering, designated as orphan medicinal products, advanced therapy medicinal products (gene therapy, somatic cell therapy and tissue-engineered products) and contain a new active substance indicated for the treatment of certain diseases, such as HIV/AIDS, cancer, diabetes, neurodegenerative disorders or autoimmune diseases and other immune dysfunctions and viral diseases.</w:t>
      </w:r>
    </w:p>
    <w:p>
      <w:pPr>
        <w:spacing w:after="0" w:line="86" w:lineRule="exact"/>
        <w:rPr>
          <w:rFonts w:ascii="Arial" w:cs="Arial" w:eastAsia="Arial" w:hAnsi="Arial"/>
          <w:sz w:val="18"/>
          <w:szCs w:val="18"/>
          <w:color w:val="auto"/>
        </w:rPr>
      </w:pPr>
    </w:p>
    <w:p>
      <w:pPr>
        <w:jc w:val="both"/>
        <w:ind w:left="1300" w:right="40" w:hanging="442"/>
        <w:spacing w:after="0" w:line="263"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medicines that do not fall within these categories, an applicant has the option of submitting an application for a centralized marketing authorization to the European Commission following a favorable opinion by the EMA, as long as the medicine concerned contains a new active substance or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3" w:name="page24"/>
    <w:bookmarkEnd w:id="23"/>
    <w:p>
      <w:pPr>
        <w:ind w:left="1300"/>
        <w:spacing w:after="0"/>
        <w:rPr>
          <w:sz w:val="20"/>
          <w:szCs w:val="20"/>
          <w:color w:val="auto"/>
        </w:rPr>
      </w:pPr>
      <w:r>
        <w:rPr>
          <w:rFonts w:ascii="Arial" w:cs="Arial" w:eastAsia="Arial" w:hAnsi="Arial"/>
          <w:sz w:val="18"/>
          <w:szCs w:val="18"/>
          <w:color w:val="auto"/>
        </w:rPr>
        <w:t>is a significant therapeutic, scientific or technical innovation, or if its authorization would be in the interest of public health.</w:t>
      </w:r>
    </w:p>
    <w:p>
      <w:pPr>
        <w:spacing w:after="0" w:line="117" w:lineRule="exact"/>
        <w:rPr>
          <w:sz w:val="20"/>
          <w:szCs w:val="20"/>
          <w:color w:val="auto"/>
        </w:rPr>
      </w:pPr>
    </w:p>
    <w:p>
      <w:pPr>
        <w:ind w:left="1300" w:right="300" w:hanging="442"/>
        <w:spacing w:after="0" w:line="308"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National authorization procedures. </w:t>
      </w:r>
      <w:r>
        <w:rPr>
          <w:rFonts w:ascii="Arial" w:cs="Arial" w:eastAsia="Arial" w:hAnsi="Arial"/>
          <w:sz w:val="17"/>
          <w:szCs w:val="17"/>
          <w:color w:val="auto"/>
        </w:rPr>
        <w:t>There are also two other possible routes to authorize medicinal products in several EEA countries,</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are available for investigational medicinal products that fall outside the scope of the centralized procedure:</w:t>
      </w:r>
    </w:p>
    <w:p>
      <w:pPr>
        <w:spacing w:after="0" w:line="38" w:lineRule="exact"/>
        <w:rPr>
          <w:rFonts w:ascii="Arial" w:cs="Arial" w:eastAsia="Arial" w:hAnsi="Arial"/>
          <w:sz w:val="17"/>
          <w:szCs w:val="17"/>
          <w:color w:val="auto"/>
        </w:rPr>
      </w:pPr>
    </w:p>
    <w:p>
      <w:pPr>
        <w:ind w:left="1300" w:right="40" w:hanging="442"/>
        <w:spacing w:after="0" w:line="263"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Decentralized procedure. </w:t>
      </w:r>
      <w:r>
        <w:rPr>
          <w:rFonts w:ascii="Arial" w:cs="Arial" w:eastAsia="Arial" w:hAnsi="Arial"/>
          <w:sz w:val="18"/>
          <w:szCs w:val="18"/>
          <w:color w:val="auto"/>
        </w:rPr>
        <w:t>Under the decentralized procedure, an applicant may apply for simultaneous authorization in more than one</w:t>
      </w:r>
      <w:r>
        <w:rPr>
          <w:rFonts w:ascii="Arial" w:cs="Arial" w:eastAsia="Arial" w:hAnsi="Arial"/>
          <w:sz w:val="18"/>
          <w:szCs w:val="18"/>
          <w:i w:val="1"/>
          <w:iCs w:val="1"/>
          <w:color w:val="auto"/>
        </w:rPr>
        <w:t xml:space="preserve"> </w:t>
      </w:r>
      <w:r>
        <w:rPr>
          <w:rFonts w:ascii="Arial" w:cs="Arial" w:eastAsia="Arial" w:hAnsi="Arial"/>
          <w:sz w:val="18"/>
          <w:szCs w:val="18"/>
          <w:color w:val="auto"/>
        </w:rPr>
        <w:t>EEA country of medicinal products that have not yet been authorized in any EEA country and that do not fall within the mandatory scope of the centralized procedure.</w:t>
      </w:r>
    </w:p>
    <w:p>
      <w:pPr>
        <w:spacing w:after="0" w:line="75" w:lineRule="exact"/>
        <w:rPr>
          <w:rFonts w:ascii="Arial" w:cs="Arial" w:eastAsia="Arial" w:hAnsi="Arial"/>
          <w:sz w:val="18"/>
          <w:szCs w:val="18"/>
          <w:color w:val="auto"/>
        </w:rPr>
      </w:pPr>
    </w:p>
    <w:p>
      <w:pPr>
        <w:ind w:left="1300" w:right="20" w:hanging="442"/>
        <w:spacing w:after="0" w:line="311"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Mutual recognition procedure. </w:t>
      </w:r>
      <w:r>
        <w:rPr>
          <w:rFonts w:ascii="Arial" w:cs="Arial" w:eastAsia="Arial" w:hAnsi="Arial"/>
          <w:sz w:val="16"/>
          <w:szCs w:val="16"/>
          <w:color w:val="auto"/>
        </w:rPr>
        <w:t>In the mutual recognition procedure, a medicine is first authorized in one EEA Member State,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national procedures of that country. Following this, further marketing authorizations can be sought from other EEA countries in a procedure whereby the countries concerned agree to recognize the validity of the original, national marketing authorization.</w:t>
      </w:r>
    </w:p>
    <w:p>
      <w:pPr>
        <w:spacing w:after="0" w:line="4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Now that the United Kingdom (which comprises Great Britain and Northern Ireland) has left the European Union, Great Britain will no longer be covered by centralized marketing authorizations (under the Northern Irish Protocol, centralized marketing 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Medicines and Healthcare products Regulatory Agency, or MHRA, the United Kingdom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w:t>
      </w:r>
    </w:p>
    <w:p>
      <w:pPr>
        <w:spacing w:after="0" w:line="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Companies developing a new medicinal product must also agree upon, a Pediatric Investigation Plan (“PIP”) with the EMA’s Pediatric Committee (“PDCO”), and must conduct pediatric clinical trials in accordance with that PIP, unless a waiver applies, (e.g., because the relevant disease or condition occurs only in adults). A PIP describes, among other things, proposed pediatric trials and their timing relative to clinical trials in adults. The marketing authorization application for the product must include the results of pediatric clinical trials conducted in accordance with the PIP, unless a waiver applies, or a deferral has been granted by the PDCO of the obligation to implement some or all of the measures of the PIP until there are sufficient data to demonstrate the efficacy and safety of the product in adults, in which case the pediatric clinical trials must be completed at a later date. Products that are granted a marketing authorization with the results of the pediatric clinical trials conducted in accordance with the PIP are eligible for a six month extension of the protection under a supplementary protection certificate (if any is in effect at the time of approval) even where the trial results are negative.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and Marketing Exclusivity</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EEA, innovative medicinal products qualify for eight years of data exclusivity upon marketing authorization and an additional two years of market exclusivity. Data exclusivity, if granted, prevents generic or biosimilar applicants from referencing the innovator’s pre-clinical or clinical trial data contained in the dossier of the reference product when applying for a generic or biosimilar marketing authorization for a period of eight years from the date on which the reference product was first authorized in the EEA. During the additional two-year period of market exclusivity, a generic or biosimilar marketing authorization can be submitted, and the innovator’s data may be referenced, but no generic or biosimilar product can be marketed until the expiration of the market exclusivity period.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an innovative medicinal product gains the prescribed period of data exclusivity, another company may market another version of the product if such company obtained marketing authorization based on a marketing authorization application with a completely independent data package of pharmaceutical tests, preclinical tests and clinical trials.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Accelerated Review</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Under the centralized procedure in the EEA, the maximum timeframe for the evaluation of a marketing authorization application is 210 days from receipt of a valid application (excluding clock stops, when additional written or oral information is to be provided by the applicant in response to questions asked by the EMA’s Committee for Medicinal Products for Human Use (“CHMP”). Clock stops may extend the timeframe of evaluation of a marketing authorization application considerably beyond 210 days. Accelerated evaluation might be granted by the CHMP in exceptional cases, when a medicinal product is expected to be of a major public health interest, particularly from the point of view of therapeutic innovation. If the CHMP accepts such a request, the timeframe of 210 days for assessment will be reduced to 150 days (excluding clock stops), but it is possible that the CHMP may revert to the standard time limit for the centralized procedure if it determines that the application is no longer appropriate to conduct an accelerated assessment.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Brexit and the Regulatory Framework in the United Kingdom</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June 2016, the electorate in the United Kingdom voted in favor of leaving the European Union (commonly referred to as “Brexit”). Thereafter, in March 2017, the country formally notified the European Union of its intention to withdraw pursuant to Article 50 of the Lisbon Treaty, and the United Kingdom formally left the European Union on January 31, 2020. A transition period began on February 1, 2020, during which European Union pharmaceutical law remained applicable to the United Kingdom, however this ended on December 31, 2020. Since the regulatory framework in the United Kingdom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which applies to products and the approval of product candidates in the United Kingdom, as United Kingdom legislation now has the potential to diverge from EU legislation. It remains to be seen how Brexit will impact regulatory requirements for product candidates and products in the United Kingdom in the long-term. The MHRA, the UK medicines and medical devices regulator, has recently published detailed guidance for industry and organizations to follow from January 1, 2021 now the transition period is over, which will be updated as the UK’s regulatory position on medicinal products evolves over time.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obtain regulatory approval. In the United States and markets in other countries, sales of any products for which we receive regulatory approval for commercial sale will depend in part on the availability of coverage and reimbursement from third-party payors, including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Moreover, a payor’s decision to provide coverage for a drug product does not imply that an adequate reimbursement rate will be approved. Adequate third- party reimbursement may not be available to enable us to maintain price levels sufficient to realize an appropriate return on our investment in product development.</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our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By way of example, the Patient Protection and Affordable Care Act, as amended by the Health Care and Education Reconciliation Act, collectively, the Affordable Care Act (“ACA”) contains provisions that may reduce the profitability of drug products, including, for example, increased rebates for drugs sold to Medicaid programs,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80"/>
        <w:spacing w:after="0" w:line="270" w:lineRule="auto"/>
        <w:rPr>
          <w:sz w:val="20"/>
          <w:szCs w:val="20"/>
          <w:color w:val="auto"/>
        </w:rPr>
      </w:pPr>
      <w:r>
        <w:rPr>
          <w:rFonts w:ascii="Arial" w:cs="Arial" w:eastAsia="Arial" w:hAnsi="Arial"/>
          <w:sz w:val="17"/>
          <w:szCs w:val="17"/>
          <w:color w:val="auto"/>
        </w:rPr>
        <w:t>extension of Medicaid rebates to Medicaid managed care plans, mandatory discounts for certain Medicare Part D beneficiaries and annual fees based on pharmaceutical companies’ share of sales to federal health care programs. Since its enactment, there have been numerous judicial, administrative, executive, and legislative challenges to certain aspects of the ACA, and we expect there will be additional challenges and amendments to the ACA in the future. Various portions of the ACA are currently undergoing legal and constitutional challenges in the United States Supreme Court; the Trump Administration had issued various Executive Orders which eliminated cost 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As implementation of the ACA is ongoing, the law appears likely to continue the downward pressure on pharmaceutical pricing, especially under the Medicare program, and may also increase our regulatory burdens and operating costs.</w:t>
      </w:r>
    </w:p>
    <w:p>
      <w:pPr>
        <w:spacing w:after="0" w:line="73"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5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third-party payors fail to provide adequate coverage and reimbursement. In addition, an increasing emphasis on cost containment measures in the United States and other countries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If we obtain regulatory approval for any of our product candidates,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79" w:lineRule="exact"/>
        <w:rPr>
          <w:sz w:val="20"/>
          <w:szCs w:val="20"/>
          <w:color w:val="auto"/>
        </w:rPr>
      </w:pPr>
    </w:p>
    <w:p>
      <w:pPr>
        <w:ind w:left="1300" w:right="20" w:hanging="442"/>
        <w:spacing w:after="0" w:line="288"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from knowingly and willfully soliciting, receiving, offering or paying remuneration, directly or indirectly, overtly or covertly, in cash or in kind, to induce, or in return for, the purchase or recommendation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they are drawn narrowly, and practices that involve remuneration intended to induce prescribing, purchasing or recommending may be subject to scrutiny if they do not qualify for an exception or safe harbor. In addition, the government may assert that a claim including items or services resulting from a violation of the AKS constitutes a false or fraudulent claim for purposes of the federal False Claims Act or federal civil money penalties statute. Violations of the AKS carry potentially significant civil and criminal penalties, including imprisonment, fines, administrative civil monetary penalties, and exclusion from participation in federal healthcare programs.</w:t>
      </w:r>
    </w:p>
    <w:p>
      <w:pPr>
        <w:spacing w:after="0" w:line="60" w:lineRule="exact"/>
        <w:rPr>
          <w:rFonts w:ascii="Arial" w:cs="Arial" w:eastAsia="Arial" w:hAnsi="Arial"/>
          <w:sz w:val="16"/>
          <w:szCs w:val="16"/>
          <w:color w:val="auto"/>
        </w:rPr>
      </w:pPr>
    </w:p>
    <w:p>
      <w:pPr>
        <w:ind w:left="1300" w:right="20" w:hanging="442"/>
        <w:spacing w:after="0" w:line="25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8" w:lineRule="exact"/>
        <w:rPr>
          <w:rFonts w:ascii="Arial" w:cs="Arial" w:eastAsia="Arial" w:hAnsi="Arial"/>
          <w:sz w:val="18"/>
          <w:szCs w:val="18"/>
          <w:color w:val="auto"/>
        </w:rPr>
      </w:pPr>
    </w:p>
    <w:p>
      <w:pPr>
        <w:ind w:left="1300" w:right="120" w:hanging="442"/>
        <w:spacing w:after="0" w:line="287"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including the federal False Claims Act (“FCA”) which prohibit, among other things, individuals or entities from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Companies that submit claims directly to payors may also be liable under the FCA for the direct submission of such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63" w:lineRule="exact"/>
        <w:rPr>
          <w:rFonts w:ascii="Arial" w:cs="Arial" w:eastAsia="Arial" w:hAnsi="Arial"/>
          <w:sz w:val="16"/>
          <w:szCs w:val="16"/>
          <w:color w:val="auto"/>
        </w:rPr>
      </w:pPr>
    </w:p>
    <w:p>
      <w:pPr>
        <w:ind w:left="1300" w:hanging="442"/>
        <w:spacing w:after="0" w:line="291"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and its implementing regulations, which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ind w:left="1300" w:right="60" w:hanging="442"/>
        <w:spacing w:after="0" w:line="272"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and Clinical Health Act (“HITECH”) and its implementing regulations, which imposes certain requirements on certain covered healthcare providers, health plans, and healthcare clearinghouses, otherwise known as covered entities, relating to the privacy, security and transmission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69" w:lineRule="exact"/>
        <w:rPr>
          <w:rFonts w:ascii="Arial" w:cs="Arial" w:eastAsia="Arial" w:hAnsi="Arial"/>
          <w:sz w:val="17"/>
          <w:szCs w:val="17"/>
          <w:color w:val="auto"/>
        </w:rPr>
      </w:pPr>
    </w:p>
    <w:p>
      <w:pPr>
        <w:ind w:left="1300" w:right="20" w:hanging="442"/>
        <w:spacing w:after="0" w:line="271"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federal transparency requirements under the Affordable Care Act, including the Physician Payment Sunshine Act, which require drug and biologics manufacturers eligible for payment under Medicare, Medicaid or the Children’s Health Insurance Program to report annually to HHS, information related to payments or other “transfers of value” made or distributed to physicians (defined to include doctors, dentists, optometrists, podiatrists and chiropractors) and teaching hospitals, as well as ownership and investment interests held by the physicians described above and their immediate family members. Failure to submit required information may result in civil monetary penalties for all payments, transfers of value or ownership or investment interests that are not timely, accurately, and completely reported in an annual submission. Effective January 1, 2022, these reporting obligations will extend to include transfers of value made to certain non-physician providers such as physician assistants and nurse practitioners.</w:t>
      </w:r>
    </w:p>
    <w:p>
      <w:pPr>
        <w:spacing w:after="0" w:line="70" w:lineRule="exact"/>
        <w:rPr>
          <w:rFonts w:ascii="Arial" w:cs="Arial" w:eastAsia="Arial" w:hAnsi="Arial"/>
          <w:sz w:val="17"/>
          <w:szCs w:val="17"/>
          <w:color w:val="auto"/>
        </w:rPr>
      </w:pPr>
    </w:p>
    <w:p>
      <w:pPr>
        <w:ind w:left="1300" w:right="340" w:hanging="44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62" w:lineRule="exact"/>
        <w:rPr>
          <w:rFonts w:ascii="Arial" w:cs="Arial" w:eastAsia="Arial" w:hAnsi="Arial"/>
          <w:sz w:val="18"/>
          <w:szCs w:val="18"/>
          <w:color w:val="auto"/>
        </w:rPr>
      </w:pPr>
    </w:p>
    <w:p>
      <w:pPr>
        <w:ind w:left="1300" w:right="140" w:hanging="442"/>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such as anti-kickback and false claims laws that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7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Affordable Care Act broadened the reach of the fraud and abuse laws by, among other things, amending the intent requirement of the federal Anti-Kickback Statute and the applicable criminal healthcare fraud statutes contained within 42 U.S.C. § 1320a-7b. Pursuant to the statutory amendment, a person or entity no longer needs to have actual knowledge of this statute or specific intent to violate it in order to have committed a violation. In addition, the Affordable Care Act provides that the government may assert that a claim including items or services resulting from a violation of the federal Anti-Kickback Statute constitutes a false or fraudulent claim for purposes of the civil False Claims Act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spacing w:after="0" w:line="6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also subject to the U.S. Foreign Corrupt Practices Act (“FCPA”) which prohibits improper payments or offers of payments to foreign governments and their officials for the purpose of obtaining or retaining business and requires companies to maintain accurate books and records and a system of internal accounting controls.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6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governmental regulations that apply to us, including environmental, health and safety laws and regulations, we may be subject to penalties, including administrative, civil and criminal penalties, exclusion from participation in government healthcare programs, such as Medicare and Medicaid and imprisonment, damages, fines and the curtailment or restructuring of our operations, any of which could adversely affect our ability to operate our business and our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Employees and Human Capital</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As of December 31, 2020, we had 12 full-time or part-time employees, including five employees with doctorate level degrees. Of these employees, six employees are engaged in research and development activities and six employees are engaged in general and administrative activities. None of our employees are represented by labor unions or covered by collective bargaining agreements. We consider the relationship with our employees to be good.</w:t>
      </w:r>
    </w:p>
    <w:p>
      <w:pPr>
        <w:spacing w:after="0" w:line="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2021, the Company initiated a realignment plan to reduce operating costs and better align its workforce with the needs of its ongoing business. The realignment plan reduces its current workforce by 7 employees, representing approximately 58% of our workforce. As a result of this realignment plan, we estimate we will incur one-time employee related severance expenses of approximately $1.2 million in the first quarter of 2021. We anticipate the majority of the one-time employee severance liability to be paid during 2021.</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advisors and consultants.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were originally incorporated in the State of Delaware in November 2007 under the name “Zeta Acquisition Corp. II.” Prior to our merger in March 2017, Zeta Acquisition Corp. II was a “shell” company registered under the Exchange Act with no specific business plan or purpose until it began operating the business of Aerpio through the merger on March 15, 2017 (the “Merger”). Aerpio was incorporated in the State of Delaware in November 2011 to focus primarily on advancing first-in-class treatments for ocular disease. Effective upon the Merger, a wholly-owned subsidiary of Zeta Acquisition Corp. II merged with and into Aerpio, and Aerpio continued as the operating subsidiary of Zeta Acquisition Corp. II. Immediately following the Merger, Aerpio converted into a Delaware limited liability company with the name Aerpio Therapeutics LLC.</w:t>
      </w:r>
    </w:p>
    <w:p>
      <w:pPr>
        <w:spacing w:after="0" w:line="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corporate headquarters are located at 9987 Carver Road Suite 420, Cincinnati, Ohio 45242, and our telephone number is (513) 985-1920. We maintain a website at www.aerpio.com, to which we regularly post copies of our press releases as well as additional information about us. Our filings with the Securities and Exchange Commission (the “SEC”) will be available free of charge through the website as soon as reasonably practicable after being electronically filed with or furnished to the SEC. Information contained in our website does not constitute a part of this Annual Report on Form 10-K or any of our other filings with the SEC unless specifically incorporated herein by reference. In addition,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Please see page 4 of this Annual Report on Form 10-K for a discussion of some of the forward-looking statements that are qualified by these risk factors. If any of the following risks actually occur, our business, financial condition, results of operations and future growth prospects could be materially and adversely affected.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Clinical Development, Regulatory Review and Approval of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Evaluation of Strategic Alternatives</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cannot assure you that our exploration of strategic alternatives will result in a transaction or that any such transaction would be successful, and the process of exploring strategic alternatives or its conclusion could adversely impact our business and our stock price.</w:t>
      </w:r>
    </w:p>
    <w:p>
      <w:pPr>
        <w:spacing w:after="0" w:line="3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October 2019, we announced the engagement of Evercore, Ladenburg Thalmann &amp; Co. Inc. and Duane Nash, M.D., J.D., M.B.A. to assist us in identifying and evaluating a range of potential strategic alternatives, including an acquisition, company sale, merger, business combination, asset sale, in-license, out-license or other strategic transaction. This strategic alternative process is ongoing and, as announced in January 2021, we continue to engage Ladenburg Thalmann &amp; Co. Inc. and Duane Nash to assist us with this process. There can be no assurances that the strategic alternatives process will result in the announcement or consummation of any strategic transaction, or that any resulting plans or transactions will yield additional value for shareholders. Any potential transaction would be dependent on a number of factors that may be beyond our control, including, among other things, market conditions, industry trends, the interest of third parties in a potential transaction with us and the availability of financing to potential buyers on reasonable terms.</w:t>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process of exploring strategic alternatives could adversely impact our business, financial condition and results of operations. We could incur substantial expenses associated with identifying and evaluating potential strategic alternatives, including those related to equity compensation, severance pay and legal, accounting and financial advisory fees. In addition, the process may be time consuming and disruptive to our business operations, could divert the attention of management and the Board of Directors from our business, could negatively impact our ability to attract, retain and motivate key employees, and could expose us to potential litigation in connection with this process or any resulting transaction. Further, speculation regarding any developments related to the review of strategic alternatives and perceived uncertainties related to the future of the Company could cause our stock price to fluctuate significantly.</w:t>
      </w:r>
    </w:p>
    <w:p>
      <w:pPr>
        <w:spacing w:after="0" w:line="8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If we do not successfully consummate a strategic transaction,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spacing w:after="0" w:line="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can be no assurance that the process to identify a strategic transaction will result in a successfully consummated transaction. If no transaction is completed, our Board of Directors may decide to pursue a dissolution and liquidation of our Company. In such an event, the amount of cash available for distribution to our shareholders will depend heavily on the timing of such decision and, ultimately, such liquidation, since the amount of cash available for distribution continues to decrease as we fund our operations while we evaluate our strategic alternatives. In addition, if our Board of Directors were to approve and recommend, and our shareholders were to approve, a dissolution and liquidation of our Company, we would be required under Delaware corporate law to pay our outstanding obligations, as well as to make reasonable provision for contingent and unknown obligations, prior to making any distributions in liquidation to our shareholders. Our commitments and contingent liabilities may include (i) obligations under our employment and related agreements with certain employees that provide for severance and other payments following a termination of employment occurring for various reasons, including a change in control of our Company; (ii) potential litigation against us, and other various claims and legal actions arising in the ordinary course of business; and (iii) non-cancelable facility lease obligations. As a result of this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ind w:right="40"/>
        <w:spacing w:after="0" w:line="301" w:lineRule="auto"/>
        <w:rPr>
          <w:sz w:val="20"/>
          <w:szCs w:val="20"/>
          <w:color w:val="auto"/>
        </w:rPr>
      </w:pPr>
      <w:r>
        <w:rPr>
          <w:rFonts w:ascii="Arial" w:cs="Arial" w:eastAsia="Arial" w:hAnsi="Arial"/>
          <w:sz w:val="16"/>
          <w:szCs w:val="16"/>
          <w:color w:val="auto"/>
        </w:rPr>
        <w:t>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common stock could lose all or a significant portion of their investment in the event of a liquidation, dissolution or winding up of our company.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COVID-19 Pandemic</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current pandemic of COVID-19 and the future outbreak of other highly infectious or contagious diseases could seriously harm our research, development and potential future commercialization efforts, increase our costs and expenses and have a material adverse effect on our business, financial condition and results of operations.</w:t>
      </w:r>
    </w:p>
    <w:p>
      <w:pPr>
        <w:spacing w:after="0" w:line="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Broad-based business or economic disruptions could adversely affect our ongoing or planned research and development activities. For example, in December 2019, an outbreak of a novel strain of coronavirus originated in Wuhan, China, and has since spread to other regions and countries worldwide. In March 2020, the World Health Organization declared the COVID-19 outbreak a pandemic, and the U.S. government-imposed travel restrictions on travel between the United States, Europe and certain other countries. To date, the COVID-19 pandemic has caused significant disruptions to the U.S. and global economy and has contributed to significant volatility and negative pressure in financial markets. The global impact of the outbreak is continually evolving and, as additional cases of the virus are identified, many countries, including the U.S., have reacted by instituting quarantines, restrictions on travel and other public health safety measures. Such orders, restrictions and recommendations, and the perception that additional orders, restrictions or recommendations could occur, have resulted in widespread closures of businesses not deemed “essential,” work stoppages, slowdowns and delays, work-from-home policies, travel restrictions and cancellation of events, as well as record declines in stock prices, among other effects. Although some states are starting to relax quarantines and similar restrictions, the regulations vary on a state by state basis and the impact of loosening of those restrictions is not yet known.</w:t>
      </w:r>
    </w:p>
    <w:p>
      <w:pPr>
        <w:spacing w:after="0" w:line="7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extent to which COVID-19 may impact our preclinical studies or clinical trial operations will depend on future developments, which are highly uncertain and cannot be predicted with confidence, such as the duration of the outbreak, the severity of COVID-19, or the effectiveness of actions to contain and treat COVID-19. The continued spread of COVID-19 globally could adversely impact our preclinical studies or clinical trial operations in the United States, including our ability to recruit and retain patients and principal investigators and site staff who, as healthcare providers, may have heightened exposure to COVID-19 if an outbreak occurs in their geography. COVID-19 may also affect employees of third-party CROs located in affected geographies that we rely upon to carry out our clinical trials. Any negative impact COVID-19 has to patient enrollment or treatment or the execution of our current product candidates and any future product candidates could cause costly delays to clinical trial activities, which could adversely affect our ability to obtain regulatory approval for and to commercialize our current product candidate and any future product candidates, increase our operating expenses, and have a material adverse effect on our financial results.</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Further, the COVID-19 outbreak may delay enrollment in our clinical trials due to diversion or prioritization of trial site resources away from the conduct of clinical trials and toward the COVID-19 pandemic. Key clinical trial activities, such as site monitoring, may be interrupted due to restrictions in travel, and some patients may be unwilling to enroll in our trials or be unable to comply with clinical trial protocols if quarantines or travel restrictions impede patient movement or interrupt healthcare services, which would delay our ability to conduct clinical trials or release clinical trial results. The spread of COVID-19, or another infectious disease, could also negatively affect the operations at our third-party manufacturers, which could result in delays or disruptions in the supply of our current product candidates and any future product candidates. In addition, we may continue to take temporary precautionary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80"/>
        <w:spacing w:after="0" w:line="342" w:lineRule="auto"/>
        <w:rPr>
          <w:sz w:val="20"/>
          <w:szCs w:val="20"/>
          <w:color w:val="auto"/>
        </w:rPr>
      </w:pPr>
      <w:r>
        <w:rPr>
          <w:rFonts w:ascii="Arial" w:cs="Arial" w:eastAsia="Arial" w:hAnsi="Arial"/>
          <w:sz w:val="16"/>
          <w:szCs w:val="16"/>
          <w:color w:val="auto"/>
        </w:rPr>
        <w:t>Additionally, timely enrollment in our clinical trials is dependent upon clinical trial sites which may be adversely affected by global health matters, such as pandemics. Some factors from the COVID-19 outbreak that may adversely affect enrollment in the clinical trials of our product candidates include:</w:t>
      </w:r>
    </w:p>
    <w:p>
      <w:pPr>
        <w:spacing w:after="0" w:line="16" w:lineRule="exact"/>
        <w:rPr>
          <w:sz w:val="20"/>
          <w:szCs w:val="20"/>
          <w:color w:val="auto"/>
        </w:rPr>
      </w:pPr>
    </w:p>
    <w:p>
      <w:pPr>
        <w:ind w:left="880" w:hanging="440"/>
        <w:spacing w:after="0" w:line="263"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880" w:right="420" w:hanging="440"/>
        <w:spacing w:after="0" w:line="342"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limitations on travel that could interrupt key trial activities, such as clinical trial site initiations and monitoring, domestic and international travel by employees, contractors or patients to clinical trial sites, and delay or inability to secure visas or entry permission, as applicable;</w:t>
      </w:r>
    </w:p>
    <w:p>
      <w:pPr>
        <w:spacing w:after="0" w:line="15" w:lineRule="exact"/>
        <w:rPr>
          <w:rFonts w:ascii="Arial" w:cs="Arial" w:eastAsia="Arial" w:hAnsi="Arial"/>
          <w:sz w:val="16"/>
          <w:szCs w:val="16"/>
          <w:color w:val="auto"/>
        </w:rPr>
      </w:pPr>
    </w:p>
    <w:p>
      <w:pPr>
        <w:ind w:left="880" w:right="54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 and</w:t>
      </w:r>
    </w:p>
    <w:p>
      <w:pPr>
        <w:spacing w:after="0" w:line="62" w:lineRule="exact"/>
        <w:rPr>
          <w:rFonts w:ascii="Arial" w:cs="Arial" w:eastAsia="Arial" w:hAnsi="Arial"/>
          <w:sz w:val="18"/>
          <w:szCs w:val="18"/>
          <w:color w:val="auto"/>
        </w:rPr>
      </w:pPr>
    </w:p>
    <w:p>
      <w:pPr>
        <w:ind w:left="880" w:right="480" w:hanging="440"/>
        <w:spacing w:after="0" w:line="263"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disruptions caused by workplace closures, staffing shortages, travel limitations or mass transit disruptions, that could adversely impact our business operations or delay necessary interactions with local regulators, ethics committees and other important agencies and contractors.</w:t>
      </w:r>
    </w:p>
    <w:p>
      <w:pPr>
        <w:spacing w:after="0" w:line="76"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We cannot presently predict the scope and severity of any potential business shutdowns or disruptions. If we or any of the third parties with whom we engage were to experience additional shutdowns or other prolonged business disruptions, our ability to conduct our business in the manner and on the timelines presently planned could have a material adverse impact on our business and our results of operation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Development of our Product Candidates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our product candidates. Even if we obtain favorable clinical results, we may not be able to obtain regulatory approval for, or successfully commercialize any of our product candidates.</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rely on our lead product candidates, and our business depends almost entirely on the successful clinical development, regulatory approval and commercialization of such product candidates, which may never occur. We have experienced setbacks in the development of our product candidates and we are currently evaluating our development options. For example, in January 2021, following the announcement regarding the topline results from the Phase</w:t>
      </w:r>
    </w:p>
    <w:p>
      <w:pPr>
        <w:spacing w:after="0" w:line="2"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2 clinical trial of razuprotafib in patients with elevated IOP associated with OAG or OHT, we initiated a process to explore a range of strategic alternatives focused on maximizing stockholder value from our clinical assets and cash resources. While the Phase 2 trial met the primary efficacy endpoint at Day 28 with the BID group, the IOP decrease was not at a level deemed sufficient to move to Phase 3 development.</w:t>
      </w:r>
    </w:p>
    <w:p>
      <w:pPr>
        <w:spacing w:after="0" w:line="65"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In addition, in May 2020, we were selected by Quantum Leap Healthcare Collaborative to participate in the I-SPY COVID Trial to evaluate razuprotafib for the treatment of COVID-19 related ARDS in adult patients with critical COVID-19. In September 2020, we announced the first patient was dosed with razuprotafib in the I-SPY COVID-19 trial. The I-SPY COVID trial is an investigator-sponsored clinical trial, which is being conducted by Quantum Leap Healthcare Collaborative. While we have provided input to I-SPY with respect to the razuprotafib arm of the I-SPY COVID clinical trial, we have not controlled and do not control the design or administration of investigator-sponsored clinical trials, nor the submission or approval of any IND or foreign equivalent required to conduct these trials. As a result,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7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January 2021, the Data Monitoring Committee recommended discontinuation of razuprotafib in the I-SPY COVID-19 trial after 21 patients due to the complexity of monitoring patients in the setting of a surge in ICU patients. There were no apparent safety signals associated with razuprotafib in these 21 patients and we believe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scientific basis is sound for continuing to evaluate the drug in patients presenting with ARDS across a broader array of infections.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August 2020, we announced a second COVID-19 trial to evaluate subcutaneous razuprotafib for the prevention and treatment of ARDS in adult patients with moderate to severe COVID-19 as part of the MTEC-20-09-COVID-19 Treatment Military Infectious Disease Research Program (“MIDRP”) (“RESCUE” trial). The Medical Technology Enterprise Consortium (“MTEC”), a non-profit organization primarily funded by the U.S. Army Medical Research and Development Command, will provide up to $5.1 million of reimbursement related to qualified internal and external spending, as it relates to the clinical trial. In February 2021, we decided to stop recruiting after the first 31 patients were enrolled based on challenges recruiting and monitoring patients in the current pandemic environment. There were no apparent safety signals associated with dosing COVID-19 patients in the RESCUE trial and we plan to further analyze the data to assess trends in efficacy and biomarkers. We expect to report top-line data in the second quarter of 2021.</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both the I-SPY COVID-19 and RESCUE trials, investigation into the therapeutic potential of razuprotafib in this indication is in its early stages and is exploratory, and there can be no assurance that the development of razuprotafib will yield promising results in this indication or that such development will be successful or otherwise proceed on the anticipated timelines or within the anticipated budget.</w:t>
      </w:r>
    </w:p>
    <w:p>
      <w:pPr>
        <w:spacing w:after="0" w:line="7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currently have no products for sale, generate no revenues from sales of any drugs, and may never be able to develop marketable products. Our product candidates will require substantial additional clinical development, testing, manufacturing process development, and regulatory approval before we are permitted to commence commercialization. We are currently in preclinical development for ARP-1536, which is our other product candidate that we are developing internally. None of our product candidates has advanced into a pivotal trial, and it may be years before such a trial is initiated, if ever.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candidates. Before obtaining regulatory approval for the commercial sale of any product candidate, we must demonstrate through extensive preclinical testing and clinical trials that any drug candidate is safe and effective and any biological product candidate is safe, pure, and potent for use in each target indication. This process can take many years. Of the large number of drugs in development in the United States, only a small percentage successfully complete the FDA regulatory approval process and are commercialized. Accordingly, even if we are able to obtain the requisite capital to continue to fund our development and clinical programs, we may be unable to successfully develop or commercialize any of our product candidates.</w:t>
      </w:r>
    </w:p>
    <w:p>
      <w:pPr>
        <w:spacing w:after="0" w:line="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not permitted to market any of our product candidates in the United States until we receive approval of an NDA from the FDA, or in any foreign countries until we receive the requisite approval from such countries. As a condition to submitting an NDA to the FDA, we must conduct and complete further clinical trials, including Phase 3 clinical trials, and any additional nonclinical studies or clinical trials required by the FDA. To date, we have completed only a limited number of clinical trials with our product candidates. Obtaining approval of an NDA is a complex, lengthy, expensive and uncertain process that typically takes many years following the commencement of clinical trials and depends upon numerous factors, including the substantial discretion of the regulatory authorities. In addition, the policies or regulations, or the type and amount of clinical data necessary to gain approval, may change during the course of a product candidate’s clinical development and may vary among jurisdictions. Our development activities could be harmed or delayed by a partial shutdown of the U.S. government, including the FDA. We have not obtained regulatory approval for any product candidate and it is possible that none of our product candidates will ever receive regulatory approval. The FDA may delay, limit or deny approval of our product candidates for many reasons, including, among others:</w:t>
      </w:r>
    </w:p>
    <w:p>
      <w:pPr>
        <w:spacing w:after="0" w:line="77" w:lineRule="exact"/>
        <w:rPr>
          <w:sz w:val="20"/>
          <w:szCs w:val="20"/>
          <w:color w:val="auto"/>
        </w:rPr>
      </w:pPr>
    </w:p>
    <w:p>
      <w:pPr>
        <w:ind w:left="1020" w:right="140" w:hanging="43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demonstrate that our product candidates are safe and effective in any indications that may be pursued for the product candidate, to the satisfaction of the FDA;</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results of our clinical trials may not meet the level of statistical or clinical significance required by the FDA for marketing approval;</w:t>
      </w:r>
    </w:p>
    <w:p>
      <w:pPr>
        <w:spacing w:after="0" w:line="128" w:lineRule="exact"/>
        <w:rPr>
          <w:rFonts w:ascii="Arial" w:cs="Arial" w:eastAsia="Arial" w:hAnsi="Arial"/>
          <w:sz w:val="17"/>
          <w:szCs w:val="17"/>
          <w:color w:val="auto"/>
        </w:rPr>
      </w:pPr>
    </w:p>
    <w:p>
      <w:pPr>
        <w:ind w:left="1020" w:hanging="43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may not approve the formulation, labeling or specifications of our product candidates;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may require that we conduct additional clinical trials;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3" w:name="page34"/>
    <w:bookmarkEnd w:id="33"/>
    <w:p>
      <w:pPr>
        <w:ind w:left="1020" w:right="40" w:hanging="432"/>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contract research organizations (“CROs”) or the clinical investigators that we retain to conduct our clinical trials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our CROs or clinical investigators may fail to perform in accordance with the FDA’s good clinical practice (“GCP”) requirements;</w:t>
      </w:r>
    </w:p>
    <w:p>
      <w:pPr>
        <w:spacing w:after="0" w:line="128" w:lineRule="exact"/>
        <w:rPr>
          <w:rFonts w:ascii="Arial" w:cs="Arial" w:eastAsia="Arial" w:hAnsi="Arial"/>
          <w:sz w:val="17"/>
          <w:szCs w:val="17"/>
          <w:color w:val="auto"/>
        </w:rPr>
      </w:pPr>
    </w:p>
    <w:p>
      <w:pPr>
        <w:ind w:left="1020" w:hanging="43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our preclinical studies and clinical trials;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may find deficiencies with the manufacturing processes or facilities of third-party manufacturers with which we contract; or</w:t>
      </w:r>
    </w:p>
    <w:p>
      <w:pPr>
        <w:spacing w:after="0" w:line="128" w:lineRule="exact"/>
        <w:rPr>
          <w:rFonts w:ascii="Arial" w:cs="Arial" w:eastAsia="Arial" w:hAnsi="Arial"/>
          <w:sz w:val="17"/>
          <w:szCs w:val="17"/>
          <w:color w:val="auto"/>
        </w:rPr>
      </w:pPr>
    </w:p>
    <w:p>
      <w:pPr>
        <w:ind w:left="1020" w:right="280" w:hanging="432"/>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policies or regulations of the FDA may significantly change in a manner that renders our clinical data insufficient for approval or may require that we amend or submit new clinical protocols.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similar reasons may cause the EMA or other regulatory authorities to delay, limit or deny approval of our product candidates outside the United States.</w:t>
      </w:r>
    </w:p>
    <w:p>
      <w:pPr>
        <w:spacing w:after="0" w:line="6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market our product candidates. Because our business is substantially dependent upon our product candidates, any such setback in our pursuit of regulatory approval would have a material adverse effect on our business and prospects.</w:t>
      </w:r>
    </w:p>
    <w:p>
      <w:pPr>
        <w:spacing w:after="0" w:line="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Alternatively, even if we obtain regulatory approval, that approval may be for indications or patient populations that are not as broad as we intend or desire or may require labeling that includes significant use or distribution restrictions or safety warnings. We may also be required to perform additional, unanticipated clinical trials to obtain approval or be subject to additional post marketing testing requirements to maintain regulatory approval. In addition, regulatory authorities may withdraw their approval of a product or the FDA may require a risk evaluation and mitigation strategy (“REMS”) for a product, which could impose restrictions on its distribution. Any of the foregoing scenarios could materially harm the commercial prospects for our product candidates.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clinical trials of our product candidates.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and there is no guarantee that we can successfully enroll patients in a timely manner for our clinical trials. Our competitors may have ongoing clinical trials for product candidates that could be competitive with our product candidates, and patients who would otherwise be eligible for our clinical trials may instead enroll in clinical trials of our competitors’ product candidates.</w:t>
      </w:r>
    </w:p>
    <w:p>
      <w:pPr>
        <w:spacing w:after="0" w:line="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trial, to complete our clinical trials in a timely manner. Patient enrollment is affected by factors including:</w:t>
      </w:r>
    </w:p>
    <w:p>
      <w:pPr>
        <w:spacing w:after="0" w:line="62" w:lineRule="exact"/>
        <w:rPr>
          <w:sz w:val="20"/>
          <w:szCs w:val="20"/>
          <w:color w:val="auto"/>
        </w:rPr>
      </w:pPr>
    </w:p>
    <w:p>
      <w:pPr>
        <w:ind w:left="1020" w:hanging="43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eligibility criteria for the trial in question;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1020" w:hanging="432"/>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and clinicians’ and patients’ perceptions as to the potential advantages of razuprotafib or any other product candidate in relation to available therapies or other products under development;</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34" w:name="page35"/>
    <w:bookmarkEnd w:id="34"/>
    <w:p>
      <w:pPr>
        <w:ind w:left="1020" w:hanging="43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 and</w:t>
      </w:r>
    </w:p>
    <w:p>
      <w:pPr>
        <w:spacing w:after="0" w:line="117" w:lineRule="exact"/>
        <w:rPr>
          <w:rFonts w:ascii="Arial" w:cs="Arial" w:eastAsia="Arial" w:hAnsi="Arial"/>
          <w:sz w:val="18"/>
          <w:szCs w:val="18"/>
          <w:color w:val="auto"/>
        </w:rPr>
      </w:pPr>
    </w:p>
    <w:p>
      <w:pPr>
        <w:ind w:left="1020" w:right="20" w:hanging="432"/>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factors we may not be able to control, such as current or potential pandemics that may limit patients, principal investigators or staff or clinical site availability (</w:t>
      </w:r>
      <w:r>
        <w:rPr>
          <w:rFonts w:ascii="Arial" w:cs="Arial" w:eastAsia="Arial" w:hAnsi="Arial"/>
          <w:sz w:val="18"/>
          <w:szCs w:val="18"/>
          <w:i w:val="1"/>
          <w:iCs w:val="1"/>
          <w:color w:val="auto"/>
        </w:rPr>
        <w:t>e.g.,</w:t>
      </w:r>
      <w:r>
        <w:rPr>
          <w:rFonts w:ascii="Arial" w:cs="Arial" w:eastAsia="Arial" w:hAnsi="Arial"/>
          <w:sz w:val="18"/>
          <w:szCs w:val="18"/>
          <w:color w:val="auto"/>
        </w:rPr>
        <w:t xml:space="preserve"> the COVID-19 pandemic).</w:t>
      </w:r>
    </w:p>
    <w:p>
      <w:pPr>
        <w:spacing w:after="0" w:line="6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Clinical drug development is a lengthy and expensive process with an uncertain outcome, and positive results from preclinical studies or earlier stage clinical trials are not necessarily predictive of the results of our future clinical trials. If we cannot replicate the positive results from preclinical studies or earlier stage clinical trials in subsequent clinical trials, we may be unable to successfully develop, obtain regulatory approval for and commercialize our product candidates.</w:t>
      </w:r>
    </w:p>
    <w:p>
      <w:pPr>
        <w:spacing w:after="0" w:line="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Success in preclinical studies may not be predictive of similar results in humans during clinical trials, and successful results from early or small clinical trials may not be replicated in later and larger clinical trials. For example, while our Phase 2 trial met the primary efficacy endpoint at Day 28 with the BID group, the IOP decrease was not at a level deemed sufficient to move to Phase 3 development . There can be no assurance that the results of any clinical trials that we may undertake in the future will produce positive results. In addition, later stage clinical trials are expected to enroll a larger number of subjects and will treat subjects for longer periods than earlier stage trials, which will result in a greater likelihood that adverse events may be observed. Many companies in the pharmaceutical and biotechnology industries have suffered significant setbacks in late-stage clinical trials after achieving positive results in early stage development, and we may face similar setbacks.</w:t>
      </w:r>
    </w:p>
    <w:p>
      <w:pPr>
        <w:spacing w:after="0" w:line="7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 after this offering.</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80"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5" w:name="page36"/>
    <w:bookmarkEnd w:id="35"/>
    <w:p>
      <w:pPr>
        <w:ind w:right="36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conduct of any clinical trials we may undertake in the future, and we do not know whether such clinical trials will begin on time, need to be redesigned, enroll patients on time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aborted for a variety of reasons, including delay or failure to:</w:t>
      </w:r>
    </w:p>
    <w:p>
      <w:pPr>
        <w:spacing w:after="0" w:line="117" w:lineRule="exact"/>
        <w:rPr>
          <w:sz w:val="20"/>
          <w:szCs w:val="20"/>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regulatory approval to commence a clinical trial;</w:t>
      </w:r>
    </w:p>
    <w:p>
      <w:pPr>
        <w:spacing w:after="0" w:line="117" w:lineRule="exact"/>
        <w:rPr>
          <w:rFonts w:ascii="Arial" w:cs="Arial" w:eastAsia="Arial" w:hAnsi="Arial"/>
          <w:sz w:val="18"/>
          <w:szCs w:val="18"/>
          <w:color w:val="auto"/>
        </w:rPr>
      </w:pPr>
    </w:p>
    <w:p>
      <w:pPr>
        <w:ind w:left="1020" w:right="860" w:hanging="43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institutional review board (“IRB”) approval at each site;</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clinical trials;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clinical sites in compliance with trial protocols and regulatory requirements through the completion of clinical trials;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the trial;</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or</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manufacture sufficient quantities of our product candidate for use in clinical trials.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planned and ongoing clinical trials. We could encounter delays if a clinical trial is suspended or terminated by us, by the relevant IRBs at the sites at which such trials are being conducted, by the Data Safety Monitoring Board (“DSMB”) for such trial or by the FDA or other regulatory authorities. Such authorities may impose such a suspension or termination, including a clinical hold, due to a number of factors, including failure to conduct the clinical trial in accordance with regulatory requirements or our clinical protocols, inspection of the clinical trial operations or trial site by the FDA or other regulatory authorities, unforeseen safety issues or adverse side effects including those experienced by other product candidates in the same class as our product candidates, changes in laws or regulations, or lack of adequate funding to continue the clinical trial.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Regulatory Review and Approval of Product Candidates</w:t>
      </w:r>
    </w:p>
    <w:p>
      <w:pPr>
        <w:spacing w:after="0" w:line="225"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b w:val="1"/>
          <w:bCs w:val="1"/>
          <w:i w:val="1"/>
          <w:iCs w:val="1"/>
          <w:color w:val="auto"/>
        </w:rPr>
        <w:t>Even if we receive regulatory approval for our product candidates, such products will be subject to ongoing regulatory review, which may result in significant additional expense. Additionally, our product candidates, if approved, could be subject to labeling and other restrictions, and we may be subject to penalties if we fail to comply with regulatory requirements or experience unanticipated problems with our products.</w:t>
      </w:r>
    </w:p>
    <w:p>
      <w:pPr>
        <w:spacing w:after="0" w:line="4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conditions of approval, or contain requirements for potentially costly post-marketing testing, including Phase 4 clinical trials, and surveillance to monitor the safety and efficacy of the products. 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(“cGMP”) requirements and GCP requirements for any clinical trials that we conduct post-approval.</w:t>
      </w:r>
    </w:p>
    <w:p>
      <w:pPr>
        <w:spacing w:after="0" w:line="8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spacing w:after="0" w:line="16" w:lineRule="exact"/>
        <w:rPr>
          <w:sz w:val="20"/>
          <w:szCs w:val="20"/>
          <w:color w:val="auto"/>
        </w:rPr>
      </w:pPr>
    </w:p>
    <w:p>
      <w:pPr>
        <w:ind w:left="1020" w:hanging="4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fines, untitled or warning letters or holds on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ind w:left="1020" w:right="80" w:hanging="432"/>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 or suspension or revocation of product approvals;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REMS program;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FDA’s policies may change and additional government regulations may be enacted.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comply with requirements of foreign jurisdictions in conducting trials outside of the United States. In addition, we may not be able to obtain regulatory approval in foreign jurisdictions.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may conduct our clinical trials for our product candidates in trial sites outside of the United States, including Japan, the United Kingdom and the European Union, and seek regulatory approval for our product candidates in major markets in addition to the United States, including the European Union, the United Kingdom and Japan. Our ability to successfully initiate, enroll and complete a clinical trial in any foreign country, should we attempt to do so, is subject to numerous risks unique to conducting business in international markets, including:</w:t>
      </w:r>
    </w:p>
    <w:p>
      <w:pPr>
        <w:spacing w:after="0" w:line="79" w:lineRule="exact"/>
        <w:rPr>
          <w:sz w:val="20"/>
          <w:szCs w:val="20"/>
          <w:color w:val="auto"/>
        </w:rPr>
      </w:pPr>
    </w:p>
    <w:p>
      <w:pPr>
        <w:ind w:left="1020" w:hanging="43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qualified CROs and physicians;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local standards for the conduct of clinical trials;</w:t>
      </w:r>
    </w:p>
    <w:p>
      <w:pPr>
        <w:spacing w:after="0" w:line="117" w:lineRule="exact"/>
        <w:rPr>
          <w:rFonts w:ascii="Arial" w:cs="Arial" w:eastAsia="Arial" w:hAnsi="Arial"/>
          <w:sz w:val="18"/>
          <w:szCs w:val="18"/>
          <w:color w:val="auto"/>
        </w:rPr>
      </w:pPr>
    </w:p>
    <w:p>
      <w:pPr>
        <w:ind w:left="1020" w:right="140" w:hanging="43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treatments; and</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acceptability of data obtained from trials conducted in the United States to the EMA and other regulatory authorities.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we fail to successfully meet requirements for the conduct of clinical trials outside of the United States, we may be delayed in obtaining, or be unable to obtain, regulatory approval for our product candidates in countries outside of the United States.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Regulatory authorities outside the United States will require compliance with numerous and varying regulatory requirements. The approval procedures vary among jurisdictions and may involve requirements for additional testing, and the time required to obtain approval may differ from that required to obtain FDA approval. In addition, in many countries outside the United States, a product must be approved for reimbursement before it can be approved for sale in that country. In some cases, the price that we intend to charge for our products is also subject to approval. Approval by the FDA does not ensure approval by regulatory authorities in other countries or jurisdictions, and approval by one foreign regulatory authority does not ensure approval by regulatory authorities in other foreign countries or by the FDA. However, the failure to obtain approval in one jurisdiction may negatively impact our ability to obtain approval in another jurisdiction. The foreign regulatory approval process may include all of the risks associated with obtaining FDA approval. We may not obtain foreign regulatory approvals on a timely basis, if at all. We may not be able to file for regulatory approvals and may not receive necessary approvals to commercialize our products in any market.</w:t>
      </w:r>
    </w:p>
    <w:p>
      <w:pPr>
        <w:spacing w:after="0" w:line="73" w:lineRule="exact"/>
        <w:rPr>
          <w:sz w:val="20"/>
          <w:szCs w:val="20"/>
          <w:color w:val="auto"/>
        </w:rPr>
      </w:pPr>
    </w:p>
    <w:p>
      <w:pPr>
        <w:ind w:right="32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7" w:name="page38"/>
    <w:bookmarkEnd w:id="37"/>
    <w:p>
      <w:pPr>
        <w:ind w:right="120"/>
        <w:spacing w:after="0" w:line="293"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including beginning on December 22, 2018,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5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Separately, in response to the COVID-19 pandemic, on March 10, 2020 the FDA announced its intention to postpone most inspections of foreign manufacturing facilities while local, national and international conditions warrant. On March 18, 2020, the FDA announced its intention to temporarily postpone routine surveillance inspections of domestic manufacturing facilities and provided guidance regarding the conduct of clinical trials which the FDA continues to update. As of June 23, 2020, the FDA noted it was conducting mission critical domestic and foreign inspections to ensure compliance of manufacturing facilities with FDA quality standards. On July 10, 2020, the FDA announced its goal of restarting domestic on-site inspections during the week of July 20, 2020, but such activities will depend on data about the virus’ trajectory in a given state and locality and the rules and guidelines that are put in place by state and local governments. The FDA has developed a rating system to assist in determining when and where it is safest to conduct prioritized domestic inspections. Should FDA determine that an inspection is necessary for approval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Protecting Our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4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 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w:t>
      </w:r>
    </w:p>
    <w:p>
      <w:pPr>
        <w:spacing w:after="0" w:line="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type of patent does not prevent a competitor from making and marketing a product that is identical to our products for an indication that is outside the scope of the patented method. Likewise, a competitor may make and market a product similar to our products but that are not covered by the scope of our patents.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 In addition, our patents will eventually expire, and the active pharmaceutical ingredients in our current product candidates will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become commercially available in generic drug products. Thus, no patent protection may be available with regard to formulation or method of use.</w:t>
      </w:r>
    </w:p>
    <w:p>
      <w:pPr>
        <w:spacing w:after="0" w:line="1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or license may fail to result in issued patents in the United States or in other foreign countries. Even if the patents do successfully issue, third parties may challenge the validity, enforceability, inventorship,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Moreover, the inventors of our patents or patent applications or our scientific consultants may become involved with competitors, develop products or processes which design around our patents, or become hostile to us or the patents or patent applications on which they are named as inventors. Likewise, our collaborators may become hostile to us or develop products or processes that are adjacent to or compete with us, including products and processes outside the scope of our patents. For example, a hostile collaborator may use technology similar to ours to pursue treatment of an indication that we plan to pursue, and may obtain approval for a product before we do. A hostile collaborator may file patent applications based on information learned from us. Such patent applications may become prior art that will be detrimental to future patent applications by us on similar technology.</w:t>
      </w:r>
    </w:p>
    <w:p>
      <w:pPr>
        <w:spacing w:after="0" w:line="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Furthermore, for applications in which all claims are entitled to a priority date before March 16, 2013, an interference proceeding can be provoked by a third-party or instituted by the United States Patent and Trademark Office (“USPTO”) to determine who was the first to invent any of the subject matter covered by the patent claims of our applications. For applications containing a claim not entitled to priority before March 16, 2013, there is greater level of uncertainty in the patent law with the passage of the America Invents Act (2011), which brings into effect significant changes to the U.S. patent laws and which introduces new procedures for challenging pending patent applications and issued patents. A primary change under this reform is creating a “first to file” system in the United States. We, or our collaborators, might not have been the first to file patent applications on certain inventions. Likewise, our collaborators may file patent applications on certain inventions without our knowledge, prior to our filing patent applications on those inventions. This will require us to be cognizant of the time from invention to filing of a patent application.</w:t>
      </w:r>
    </w:p>
    <w:p>
      <w:pPr>
        <w:spacing w:after="0" w:line="7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willfully or unintentionally, or that competitors will not otherwise gain access to our trade secrets or independently develop substantially equivalent information and techniques. Trade secrets are difficult to protect, and we have limited control over the protection of trade secrets used by our licensors, collaborators, and suppliers.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currently have a non-exclusive license to one U.S. patent, which we have licensed to Gossamer as part of the June 24, 2018 license agreement. We rely on the licensor to maintain this patent and otherwise protect the intellectual property covered by this non-exclusive license. We have limited control over these activities or over any other intellectual property that may be related to our in-licensed intellectual property. For example, we cannot be certain that activities by the licensor have been or will be conducted in compliance with applicable laws and regulations. We may have no control or input over whether, and in what manner, our licensor may enforce or defend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ind w:right="20"/>
        <w:spacing w:after="0" w:line="269" w:lineRule="auto"/>
        <w:rPr>
          <w:sz w:val="20"/>
          <w:szCs w:val="20"/>
          <w:color w:val="auto"/>
        </w:rPr>
      </w:pPr>
      <w:r>
        <w:rPr>
          <w:rFonts w:ascii="Arial" w:cs="Arial" w:eastAsia="Arial" w:hAnsi="Arial"/>
          <w:sz w:val="17"/>
          <w:szCs w:val="17"/>
          <w:color w:val="auto"/>
        </w:rPr>
        <w:t>the patent against a third-party. The licensor may enforce or defend the patent less vigorously than if we had enforced or defended the patent ourselves. Further, the licensor may not necessarily seek enforcement in scenarios in which we would feel that enforcement was in our best interests. For example, the licensor may not enforce the patent against a competitor of ours who is not a direct competitor of the licensor. If our in-licensed intellectual property is found to be invalid or unenforceable, then the licensor may not be able to enforce the patent against a competitor of ours. Our non-exclusive license does not prevent a third party from seeking and obtaining a non-exclusive license to the same patent that we license. If we fail to meet our obligations under the non-exclusive license agreement, then the licensor may terminate the license agreement. If the license agreement is terminated, the former licensor may seek to enforce the intellectual property against us. We may choose to terminate the license agreement, and doing so would allow a third party to seek and obtain an exclusive license to the patent. If a third party obtains an exclusive license to intellectual property formerly licensed to us, then the third party may seek to enforce the intellectual property against us. The occurrence of any of the foregoing may negatively impair our collaboration with Gossamer and prevent us from realizing the intended benefits of this collaboration.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7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even if we are successful in stopping infringement of our patents.</w:t>
      </w:r>
    </w:p>
    <w:p>
      <w:pPr>
        <w:spacing w:after="0" w:line="7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is also the risk that, even if the validity of these patents is upheld, the court will refuse to stop the third party on the ground that such third party’s activities do not infringe our patents. In addition, the U.S. Supreme Court has recently changed some legal principles that affect patent applications, granted patents and assessment of the eligibility or validity of these patents.</w:t>
      </w:r>
    </w:p>
    <w:p>
      <w:pPr>
        <w:spacing w:after="0" w:line="76"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As a consequence, issued patents may be found to contain invalid claims according to the newly revised eligibility and validity standards. Some of our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7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We may not be able to detect infringement against our patents, as the case may be, which may be especially difficult for formulation patents. Even if we detect infringement by a third party of our patents, we may choose not to pursue litigation against or settlement with the third party. If we later sue such third party for patent infringement, the third party may have certain legal defenses available to it, which otherwise would not be available except for the delay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ind w:right="80"/>
        <w:spacing w:after="0" w:line="277" w:lineRule="auto"/>
        <w:rPr>
          <w:sz w:val="20"/>
          <w:szCs w:val="20"/>
          <w:color w:val="auto"/>
        </w:rPr>
      </w:pPr>
      <w:r>
        <w:rPr>
          <w:rFonts w:ascii="Arial" w:cs="Arial" w:eastAsia="Arial" w:hAnsi="Arial"/>
          <w:sz w:val="18"/>
          <w:szCs w:val="18"/>
          <w:color w:val="auto"/>
        </w:rPr>
        <w:t>between when the infringement was first detected and when the suit was brought. Such legal defenses may make it impossible for us to enforce our patents against such third party.</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If another party questions the patentability of any of our claims in our U.S. patents, the third party can request that the USPTO review the patent claims such as in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(“EPO”) or similar proceedings in other foreign patent offices, where our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Moreover, enforcing a claim that a third party illegally obtained and is using any of our trade secrets is expensive and time consuming, and the outcome is unpredictable. 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These lawsuits also may impact our ability to pursue agreements with third parties in the future.</w:t>
      </w:r>
    </w:p>
    <w:p>
      <w:pPr>
        <w:spacing w:after="0" w:line="6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A collaborator at such academic institution may use the information learned from the collaboration to compete with us, either in an academic or commercial setting. The collaborator may use the results obtained through the academic collaboration for the benefit of another commercial entity. The collaborator may use technology for the benefit of a third party even if we were entitled to a license or the right to negotiate for a license to the technology from the academic institution.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6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Moreover, our reliance on third parties may be exploited by a third party with knowledge of our Company, including knowledge of our Company strategies, intellectual property, research programs, trade secrets, and scientific discovery including, for example, drug targets, pharmaceutically active ingredients, dosing regimens and mechanisms of action. A third party may start a competing company or may join a competing company. If a third party with whom we have an agreement does become a competitor, this may lead to questions of intellectual property ownership, ownership of physical assets, inventorship and breach of contracts in place with the third party. If we seek to resolve this issue by a lawsuit, then we expect counter claims that may jeopardize the validity and enforceability of our patents. The third parties with whom we collaborate also may have business or legal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conflicts of interest. These conflicts of interest can lead to litigation or impact the ability of the third party to fulfill their obligations to us.</w:t>
      </w:r>
    </w:p>
    <w:p>
      <w:pPr>
        <w:spacing w:after="0" w:line="225"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5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Intellectual Property Litigation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be costly and time consuming and may delay or harm our drug discovery and development efforts.</w:t>
      </w:r>
    </w:p>
    <w:p>
      <w:pPr>
        <w:spacing w:after="0" w:line="62"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 pharmaceutical and biotechnology industries are characterized by extensive litigation over patent and other intellectual property rights. We may become a party to, or threatened with, future adversarial litigation or other proceedings regarding intellectual property rights with respect to our drug candidates. As the pharmaceutical and biotechnology industries expand and more patents are issued, the risk increases that our drug candidates may give rise to claims of infringement of the patent rights of others.</w:t>
      </w:r>
    </w:p>
    <w:p>
      <w:pPr>
        <w:spacing w:after="0" w:line="80"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While our product candidates are in preclinical studies and clinical trials, we believe that the use of our product candidates in these preclinical studies and clinical trials in the United States falls within the scope of the exemptions provided by 35 U.S.C. Section 271(e), which provides that it shall not be an act of infringement to make, use, offer to sell, or sell within the United States or import into the United States a patented invention solely for uses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right="180"/>
        <w:spacing w:after="0" w:line="279" w:lineRule="auto"/>
        <w:rPr>
          <w:sz w:val="20"/>
          <w:szCs w:val="20"/>
          <w:color w:val="auto"/>
        </w:rPr>
      </w:pPr>
      <w:r>
        <w:rPr>
          <w:rFonts w:ascii="Arial" w:cs="Arial" w:eastAsia="Arial" w:hAnsi="Arial"/>
          <w:sz w:val="17"/>
          <w:szCs w:val="17"/>
          <w:color w:val="auto"/>
        </w:rPr>
        <w:t>reasonably related to the development and submission of information to the FDA. As our product candidates progress toward commercialization, the possibility of a patent infringement claim against us increases. We attempt to ensure that our product candidates and the methods we employ to manufacture them, as well as the methods for their use we intend to promote, do not infringe other parties’ patents and other proprietary rights. There can be no assurance they do not, however, and competitors or other parties may assert that we infringe their proprietary rights in any event.</w:t>
      </w:r>
    </w:p>
    <w:p>
      <w:pPr>
        <w:spacing w:after="0" w:line="6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Third parties may hold or obtain patents or other intellectual property rights and allege in the future that the use of our product candidates infringes these patents or intellectual property rights, or that we are employing their proprietary technology without authorization. Under U.S. law, a party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5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There may be patents of third parties of which we are currently unaware with claims to materials, formulations, methods of manufacture or methods for treatment related to the use or manufacture of our drug candidates. Also, because patent applications can take many years to issue, there may be currently pending patent applications which may later result in issued patents that our product candidates may infringe. Notwithstanding the above, third parties may in the future claim that our product candidates and other technologies infringe upon these patents and may file suit against us.</w:t>
      </w:r>
    </w:p>
    <w:p>
      <w:pPr>
        <w:spacing w:after="0" w:line="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Parties making claims against us may seek and obtain injunctive or other equitable relief, which could effectively block our ability to further develop and commercialize razuprotafib or other product candidates. If any third-party patents were held by a court of competent jurisdiction to cover the manufacturing process of any of our product candidates, any molecules formed during the manufacturing process or any final product itself, then the holders of any such patents may be able to block our ability to commercialize such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our intended methods of use, then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acquire or obtain licenses from third parties to advance our research or allow commercialization of our product candidates, and there can be no assurance that we will be able to do so on commercially reasonable terms or at all.</w:t>
      </w:r>
    </w:p>
    <w:p>
      <w:pPr>
        <w:spacing w:after="0" w:line="6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Additionally, we may in the future from time to time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The institution also may only offer a nonexclusive license, providing an opportunity for competitors to license intellectual property important to us. If we are unable to successfully obtain rights to required third-party intellectual property or to maintain the existing intellectual property rights we have, we may have to abandon development of such program and our business and financial condition could suffer. The academic institutions, or our collaborators at those institutions, also may violate the terms of our agreements with them. For example, a collaborator could use proprietary knowledge based on the collaboration to compete with us. These violations may result in litigation, which can be costly and may impact our ability to use resources for product development or other necessary functions.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right="40"/>
        <w:spacing w:after="0" w:line="255" w:lineRule="auto"/>
        <w:rPr>
          <w:sz w:val="20"/>
          <w:szCs w:val="20"/>
          <w:color w:val="auto"/>
        </w:rPr>
      </w:pPr>
      <w:r>
        <w:rPr>
          <w:rFonts w:ascii="Arial" w:cs="Arial" w:eastAsia="Arial" w:hAnsi="Arial"/>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Employee Matters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products.</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are highly dependent on members of our senior management and loss of the services of any of these persons could impede the achievement of our objectives, including with respect to our efforts for the exploration of strategic alternatives.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We may be unable to hire, train, retain or motivate these key personnel on acceptable terms given the intense competition among numerous biopharmaceutical companies for similar personnel. In addition, in January 2021, we adopted a realignment plan to reduce operating costs and better align our workforce with the needs of our ongoing business. The realignment plan reduced our workforce by 7 employees, representing approximately 58% of our workforce. As a result, while we have undertaken efforts to retain our current employees, we may experience challenges in doing so.</w:t>
      </w:r>
    </w:p>
    <w:p>
      <w:pPr>
        <w:spacing w:after="0" w:line="7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240"/>
        <w:spacing w:after="0" w:line="277" w:lineRule="auto"/>
        <w:rPr>
          <w:sz w:val="20"/>
          <w:szCs w:val="20"/>
          <w:color w:val="auto"/>
        </w:rPr>
      </w:pPr>
      <w:r>
        <w:rPr>
          <w:rFonts w:ascii="Arial" w:cs="Arial" w:eastAsia="Arial" w:hAnsi="Arial"/>
          <w:sz w:val="18"/>
          <w:szCs w:val="18"/>
          <w:color w:val="auto"/>
        </w:rPr>
        <w:t>entities that may limit their availability to us. If we are unable to continue to attract and retain high quality personnel, our ability to conduct our business will be limited.</w:t>
      </w:r>
    </w:p>
    <w:p>
      <w:pPr>
        <w:spacing w:after="0" w:line="6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contract research organizations, consultants and vendors may engage in misconduct or other improper activities, including noncompliance with regulatory standards and requirements and insider trading.</w:t>
      </w:r>
    </w:p>
    <w:p>
      <w:pPr>
        <w:spacing w:after="0" w:line="3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exposed to the risk that our employees, independent contractors, principal investigators, CROs,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if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received confidential and proprietary information from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drug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Risks Related to Our Business Operations and Growth</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w:t>
      </w:r>
    </w:p>
    <w:p>
      <w:pPr>
        <w:spacing w:after="0" w:line="87" w:lineRule="exact"/>
        <w:rPr>
          <w:sz w:val="20"/>
          <w:szCs w:val="20"/>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Failure to obtain and retain sufficient product liability insurance at an acceptable cost to protect against potential product liability claims could prevent or inhibit the commercialization of products we develop. We currently carry product liability insurance covering our clinical trials in the amount of</w:t>
      </w:r>
    </w:p>
    <w:p>
      <w:pPr>
        <w:spacing w:after="0" w:line="253" w:lineRule="auto"/>
        <w:rPr>
          <w:sz w:val="20"/>
          <w:szCs w:val="20"/>
          <w:color w:val="auto"/>
        </w:rPr>
      </w:pPr>
      <w:r>
        <w:rPr>
          <w:rFonts w:ascii="Arial" w:cs="Arial" w:eastAsia="Arial" w:hAnsi="Arial"/>
          <w:sz w:val="18"/>
          <w:szCs w:val="18"/>
          <w:color w:val="auto"/>
        </w:rPr>
        <w:t>$10 million in the aggregate.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that may be asserted against us in connection with our storage or disposal of biological, hazardous or radioactive materials.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strategic collaborations, which could adversely affect our ability to develop and commercialize our product candidates, negatively impacting our operating results.</w:t>
      </w:r>
    </w:p>
    <w:p>
      <w:pPr>
        <w:spacing w:after="0" w:line="6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are currently exploring our development options for our product candidates, and such options may include strategic collaborations and licenses for the future development of our assets. We face competition in seeking appropriate collaborators for our product candidates, and the negotiation process is time-consuming and complex. In order for us to successfully collaborate with a third party on our product candidates, potential collaborators must view these product candidates as economically valuable. Even if we are successful in our efforts to establish strategic collaborations, the terms that we agree upon may not be favorable to us, and we may not be able to maintain such strategic collaborations if, for example, development or approval of a product is delayed or sales of an approved product are disappointing. Any delay in entering into strategic collaboration agreements related to our product candidates could delay the development and commercialization of our product candidates and reduce their competitiveness even if they reach the market. In addition, our strategic collaborators may terminate any agreements they enter into with us, and we may not be able to adequately protect our rights under these agreements. Furthermore, our strategic collaborators will likely negotiate for certain rights to control decisions regarding the development and commercialization of our product candidates, if approved, and may not conduct those activities in the same manner as we do.</w:t>
      </w:r>
    </w:p>
    <w:p>
      <w:pPr>
        <w:spacing w:after="0" w:line="6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On June 24, 2018, we entered into a license agreement with Gossamer (the “Gossamer License Agreement”) pursuant to which we granted to Gossamer an exclusive, sublicensable license to develop and commercialize AKB-4924 and other structurally related products worldwide. We received an upfront payment of $20.0 million in connection with the Gossamer License Agreement and are eligible to receive additional payments contingent upon the achievement of specified milestones. On May 12, 2020, we entered into that certain Amendment No. 1 to the Gossamer License Agreement (“Amendment No. 1” and together with the Gossamer License Agreement, as amended by Amendment No. 1, the “Amended Gossamer License Agreement”) and received a payment of $15.0 million in conjunction with the terms of the Amendment 1. We are also eligible to receive tiered royalties on sales of licensed products and additional payments upon the occurrence of specified events involving the licensed products. However, there can be no assurance that we will satisfy the conditions to receive any such payments from Gossamer in a timely manner or at all. While Gossamer is obligated to use its commercially reasonable efforts to develop and commercialize the licensed products, there can be no assurance that such products would be successfully developed and commercialized. In addition, the Amended Gossamer License Agreement contains an exclusivity provision pursuant to which we are prohibited from developing, manufacturing or commercializing certain HIF stabilizing compounds as described in the agreement. While the license agreement expires on a licensed product-by-licensed product and country-by-country basis on the later of fifteen years from the date or first commercial sale or when there is no longer a valid patent claim covering such licensed product in such country, either party may terminate the Amended Gossamer License Agreement for an uncured material breach by the other party or upon the bankruptcy or insolvency of the other party. In addition, Gossamer may terminate the Amended Gossamer License Agreement in the event it determines that there is a potential safety or efficacy issue with the licensed products. Therefore, there can be no assurance that the Amended Gossamer License Agreement will continue for its full duration or that we will realize the intended benefits.</w:t>
      </w:r>
    </w:p>
    <w:p>
      <w:pPr>
        <w:spacing w:after="0" w:line="6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If we fail to establish and maintain strategic collaborations related to our product candidates for the indications and in the geographies in which we do not intend develop and commercialize ourselves, we will bear all of the risk and costs related to the development and commercialization of any such product candidate, and we may need to seek additional financing, hire additional employees and otherwise develop expertise. This could negatively affect the development of any product candidate for which we do not locate a suitable strategic partner.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Past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commenced active operations in 2011, and our operations to date have been limited to organizing and staffing our Company, business planning, raising capital, identifying potential product candidates, undertaking preclinical studies and conducting clinical trials. We currently have two product candidates that we are developing internally, one of which is in preclinical development. Biopharmaceutical product development is a highly speculative undertaking and involves a substantial degree of risk. Only a small fraction of biopharmaceutical development programs ultimately results in commercial products or even product candidates and a number of events could delay our development efforts and negatively impact our ability to obtain regulatory approval for, and to manufacture, market and sell, a product. We have not yet demonstrated our ability to successfully complete later stage clinical trials,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as a young business, we may encounter unforeseen expenses, difficulties, complications, delays and other known and unknown factors. We will need to expand our capabilities to support commercial activities. We may not be successful in adding such capabilities.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continue to incur significant losses for the foreseeable future and may never achieve or maintain profitability.</w:t>
      </w:r>
    </w:p>
    <w:p>
      <w:pPr>
        <w:spacing w:after="0" w:line="6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have incurred net and comprehensive losses each year since our inception, with the exception of the three months ended September 30, 2018 and June 30, 2020, as a result of the upfront Gossamer payments discussed above. For the year ended December 31, 2020 and 2019, we incurred net and comprehensive loss of $4.3 million and $23.3 million, respectively. As of December 31, 2020, we had an accumulated deficit of $146.6 million. To date, we have not commercialized any products or generated any revenues from the sale of products, and we do not expect to generate any product revenues in the foreseeable future. We do not know whether or when we will generate revenue or become profitable.</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preclinical development activities. The amount of our future net losses will depend, in part, on the rate of our future expenditures, and our financial position will depend, in part, on our plans for development of our product candidates and our ability to obtain funding through equity or debt financings, strategic collaborations or grants to fund such development.</w:t>
      </w:r>
    </w:p>
    <w:p>
      <w:pPr>
        <w:spacing w:after="0" w:line="7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expect to continue to incur significant expenses and operating losses for the foreseeable future, including to sustain our operations while we evaluate our development options for our product candidates, seek strategic alternatives and to operate as a public reporting company.</w:t>
      </w:r>
    </w:p>
    <w:p>
      <w:pPr>
        <w:spacing w:after="0" w:line="38"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or when, if at all, we will be able to achieve profitability. If we are required by the United States Food and Drug Administration (“FDA”) the European Medicines Agency (“EMA”) or other regulatory authorities to perform studies in addition to those currently expected, or if there are any delays in completing our clinical trials or the development of any of our product candidates, our expenses could increase.</w:t>
      </w:r>
    </w:p>
    <w:p>
      <w:pPr>
        <w:spacing w:after="0" w:line="4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net and comprehensive income (loss)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8" w:name="page49"/>
    <w:bookmarkEnd w:id="48"/>
    <w:p>
      <w:pPr>
        <w:ind w:right="20"/>
        <w:spacing w:after="0" w:line="275" w:lineRule="auto"/>
        <w:rPr>
          <w:sz w:val="20"/>
          <w:szCs w:val="20"/>
          <w:color w:val="auto"/>
        </w:rPr>
      </w:pPr>
      <w:r>
        <w:rPr>
          <w:rFonts w:ascii="Arial" w:cs="Arial" w:eastAsia="Arial" w:hAnsi="Arial"/>
          <w:sz w:val="17"/>
          <w:szCs w:val="17"/>
          <w:color w:val="auto"/>
        </w:rPr>
        <w:t>To become and remain profitable, we must succeed in developing and commercializing our product candidates, which must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w:t>
      </w:r>
    </w:p>
    <w:p>
      <w:pPr>
        <w:spacing w:after="0" w:line="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cause you to lose all or part of your investment.</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corporate restructuring and the associated headcount reduction may not result in anticipated savings, could result in total costs and expenses that are greater than expected and could disrupt our business.</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January 2021, we initiated a realignment plan to reduce operating costs and better align its workforce with the needs of our ongoing business. The realignment plan, reduces its current workforce by 7 employees, representing approximately 58% of our workforce. As a result of this realignment plan, we estimate we will incur one-time employee related severance expenses of approximately $1.2 million in the first quarter of 2021. We anticipate the majority of the one-time employee severance liability to be paid during 2021.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our restructuring plan may be disruptive to our operations. For example, our headcount reductions could yield unanticipated consequences, such as increased difficulties in implementing our business strategy, including retention of our remaining employees.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Future Financial Condition</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do not have any committed sources of outside capital. A failure to obtain necessary capital when needed to sustain our business could force us to suspend our operations.</w:t>
      </w:r>
    </w:p>
    <w:p>
      <w:pPr>
        <w:spacing w:after="0" w:line="6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December 31, 2020, our cash and cash equivalents were $42.6 million. We are currently evaluating our development options for our product candidates. Any efforts for continued program development will be time-consuming and expensive.</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Based on our current operating plan, and absent any future financings or strategic partnerships, we believe that our existing cash and cash equivalents will be sufficient to fund our projected operating expenses and capital expenditure requirements through the fourth quarter of 2022. However, our operating plan may change as a result of many factors currently unknown to us, and we may need additional funds sooner than planned. Additional funds may not be available when we need them on terms that are acceptable to us, or at all. Market volatility resulting from the COVID-19 pandemic or other factors could also adversely impact our ability to access capital as and when needed. If adequate funds are not available to us on a timely basis, we may be required to suspend our operations.</w:t>
      </w:r>
    </w:p>
    <w:p>
      <w:pPr>
        <w:spacing w:after="0" w:line="8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product candidates on unfavorable terms to us.</w:t>
      </w:r>
    </w:p>
    <w:p>
      <w:pPr>
        <w:spacing w:after="0" w:line="62"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We expect to finance our cash needs through a combination of equity offerings, debt financings and license, development and commercialization agreements with collaborators.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collaborations with third parties, we may have to relinquish valuable rights to our product candidates, future revenue streams, research programs or product candidates or grant licenses on terms that are not favorable to us. For example, in June 2018, we entered into a license agreement with Gossamer for the development and commercialization of AKB-4924.</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If we are unable to raise additional funds through equity or debt financing when needed, we may be required to suspend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Sales, Marketing and Competition</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third-party payors and others in the medical community.</w:t>
      </w:r>
    </w:p>
    <w:p>
      <w:pPr>
        <w:spacing w:after="0" w:line="62"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Even if we obtain marketing approval for one or more of our product candidates, these product candidates may not gain market acceptance among physicians, third-party payors, patients and others in the medical community. In addition, market acceptance of any approved products depends on a number of other factors, including:</w:t>
      </w:r>
    </w:p>
    <w:p>
      <w:pPr>
        <w:spacing w:after="0" w:line="76" w:lineRule="exact"/>
        <w:rPr>
          <w:sz w:val="20"/>
          <w:szCs w:val="20"/>
          <w:color w:val="auto"/>
        </w:rPr>
      </w:pPr>
    </w:p>
    <w:p>
      <w:pPr>
        <w:ind w:left="1020" w:hanging="4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of the product, as demonstrated in clinical trials;</w:t>
      </w:r>
    </w:p>
    <w:p>
      <w:pPr>
        <w:spacing w:after="0" w:line="117" w:lineRule="exact"/>
        <w:rPr>
          <w:rFonts w:ascii="Arial" w:cs="Arial" w:eastAsia="Arial" w:hAnsi="Arial"/>
          <w:sz w:val="18"/>
          <w:szCs w:val="18"/>
          <w:color w:val="auto"/>
        </w:rPr>
      </w:pPr>
    </w:p>
    <w:p>
      <w:pPr>
        <w:ind w:left="1020" w:right="20" w:hanging="43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 approved by regulatory authorities for use with the product, including any warnings that may be required on the label;</w:t>
      </w:r>
    </w:p>
    <w:p>
      <w:pPr>
        <w:spacing w:after="0" w:line="62" w:lineRule="exact"/>
        <w:rPr>
          <w:rFonts w:ascii="Arial" w:cs="Arial" w:eastAsia="Arial" w:hAnsi="Arial"/>
          <w:sz w:val="18"/>
          <w:szCs w:val="18"/>
          <w:color w:val="auto"/>
        </w:rPr>
      </w:pPr>
    </w:p>
    <w:p>
      <w:pPr>
        <w:ind w:left="1020" w:right="140" w:hanging="43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safety and efficacy of treatment in relation to alternative treatments;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by third party payors and government authorities;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Market acceptance is critical to our ability to generate significant revenue. In addition, any product candidate, if approved and commercialized, may be accepted in only limited capacities or not at all. If any approved products are not accepted by the market at all or to the extent that we expect, we may not be able to generate significant revenue and our business would suffer.</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development and commercialization of new products is highly competitive. Our future success depends on our ability to demonstrate and maintain a competitive advantage with respect to the development and commercialization of our product candidates. Our objective is to develop and commercialize new products with superior efficacy, convenience, tolerability and safety. In many cases, the products that we commercialize will compete with existing, market-leading products.</w:t>
      </w:r>
    </w:p>
    <w:p>
      <w:pPr>
        <w:spacing w:after="0" w:line="7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Many of our potential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 pharmaceutical products. In particular, these companies have greater experience and expertise in securing government contracts and grants to support their research and development efforts, conducting testing and clinical trials, obtaining regulatory approvals to market products,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that we develop obsolete. As a result of all of these factors, our competitors may succeed in obtaining patent protection and/or FDA approval or discovering, developing and commercializing products before, or more effectively than, we do. In addition, any new product that competes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0" w:name="page51"/>
    <w:bookmarkEnd w:id="50"/>
    <w:p>
      <w:pPr>
        <w:ind w:right="80"/>
        <w:spacing w:after="0" w:line="263" w:lineRule="auto"/>
        <w:rPr>
          <w:sz w:val="20"/>
          <w:szCs w:val="20"/>
          <w:color w:val="auto"/>
        </w:rPr>
      </w:pPr>
      <w:r>
        <w:rPr>
          <w:rFonts w:ascii="Arial" w:cs="Arial" w:eastAsia="Arial" w:hAnsi="Arial"/>
          <w:sz w:val="18"/>
          <w:szCs w:val="18"/>
          <w:color w:val="auto"/>
        </w:rPr>
        <w:t>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operations will suffer.</w:t>
      </w:r>
    </w:p>
    <w:p>
      <w:pPr>
        <w:spacing w:after="0" w:line="7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to enter into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these services. There are risks involved with establishing our own sales, marketing and distribution capabilities. For example, recruiting and training a sales force are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Factors that may inhibit our efforts to commercialize our products on our own include:</w:t>
      </w:r>
    </w:p>
    <w:p>
      <w:pPr>
        <w:spacing w:after="0" w:line="58" w:lineRule="exact"/>
        <w:rPr>
          <w:sz w:val="20"/>
          <w:szCs w:val="20"/>
          <w:color w:val="auto"/>
        </w:rPr>
      </w:pPr>
    </w:p>
    <w:p>
      <w:pPr>
        <w:ind w:left="1020" w:hanging="43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1020" w:right="260" w:hanging="432"/>
        <w:spacing w:after="0" w:line="26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state and federal transparency reporting requirements that require us to register our sales representatives and report any gifts, payments for speaking engagements, travel costs, donations, or other support offered to physicians or teaching hospitals which may create additional burden on sales and marketing personnel;</w:t>
      </w:r>
    </w:p>
    <w:p>
      <w:pPr>
        <w:spacing w:after="0" w:line="75" w:lineRule="exact"/>
        <w:rPr>
          <w:rFonts w:ascii="Arial" w:cs="Arial" w:eastAsia="Arial" w:hAnsi="Arial"/>
          <w:sz w:val="18"/>
          <w:szCs w:val="18"/>
          <w:color w:val="auto"/>
        </w:rPr>
      </w:pPr>
    </w:p>
    <w:p>
      <w:pPr>
        <w:ind w:left="1020" w:hanging="43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effectively manage a geographically dispersed sales and marketing team;</w:t>
      </w:r>
    </w:p>
    <w:p>
      <w:pPr>
        <w:spacing w:after="0" w:line="117" w:lineRule="exact"/>
        <w:rPr>
          <w:rFonts w:ascii="Arial" w:cs="Arial" w:eastAsia="Arial" w:hAnsi="Arial"/>
          <w:sz w:val="18"/>
          <w:szCs w:val="18"/>
          <w:color w:val="auto"/>
        </w:rPr>
      </w:pPr>
    </w:p>
    <w:p>
      <w:pPr>
        <w:ind w:left="1020" w:right="180" w:hanging="432"/>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have to enter into arrangements with third parties to perform these services, our profitability, if any, is likely to be materially diminished in relation to if we were to market, sell and distribute any products that we develop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5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delay or prevent their regulatory approval or limit their commercial potential.</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Undesirable side effects caused by our product candidates or even competing products in development that utilize a common mechanism of action could cause us or regulatory authorities to interrupt, delay or halt clinical trials and could result in the denial of regulatory approval by the FDA or other regulatory authorities and potential products liability claims. Serious adverse events deemed to be caused by our product candidates could have a material adverse effect on the development of our product candidates and our business as a whole. The most common drug-related adverse events to date in the clinical trials evaluating the safety and tolerability of subcutaneous razuprotafib have been dizziness and asymptomatic decreases in blood pressure, and these adverse events may occur in future development by this route of administration. The most common adverse event seen in the Phase 1b and Phase 2 clinical trials evaluating the safety and tolerability of topical ocular razuprotafib was mild conjunctival hyperemia. Our understanding of the relationship between razuprotafib and these events, as well as our understanding of adverse events in future clinical trials of other product candidates, may change as we gather more information, and additional unexpected adverse events may be observed.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ind w:right="680"/>
        <w:spacing w:after="0" w:line="277" w:lineRule="auto"/>
        <w:rPr>
          <w:sz w:val="20"/>
          <w:szCs w:val="20"/>
          <w:color w:val="auto"/>
        </w:rPr>
      </w:pPr>
      <w:r>
        <w:rPr>
          <w:rFonts w:ascii="Arial" w:cs="Arial" w:eastAsia="Arial" w:hAnsi="Arial"/>
          <w:sz w:val="18"/>
          <w:szCs w:val="18"/>
          <w:color w:val="auto"/>
        </w:rPr>
        <w:t>If we or others identify undesirable side effects caused by our product candidates either before or after receipt of marketing approval, a number of potentially significant negative consequences could result, including:</w:t>
      </w:r>
    </w:p>
    <w:p>
      <w:pPr>
        <w:spacing w:after="0" w:line="62" w:lineRule="exact"/>
        <w:rPr>
          <w:sz w:val="20"/>
          <w:szCs w:val="20"/>
          <w:color w:val="auto"/>
        </w:rPr>
      </w:pPr>
    </w:p>
    <w:p>
      <w:pPr>
        <w:ind w:left="1020" w:hanging="43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clinical trials may be put on hold;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recruitment could be slowed, or enrolled patients may not want to complete a clinical trial;</w:t>
      </w:r>
    </w:p>
    <w:p>
      <w:pPr>
        <w:spacing w:after="0" w:line="117" w:lineRule="exact"/>
        <w:rPr>
          <w:rFonts w:ascii="Arial" w:cs="Arial" w:eastAsia="Arial" w:hAnsi="Arial"/>
          <w:sz w:val="18"/>
          <w:szCs w:val="18"/>
          <w:color w:val="auto"/>
        </w:rPr>
      </w:pPr>
    </w:p>
    <w:p>
      <w:pPr>
        <w:ind w:left="1020" w:right="380" w:hanging="432"/>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obtain regulatory approval for our product candidates or regulatory authorities may withdraw approvals of product candidates;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medication guide outlining the risks of such side effects for distribution to patients may be required;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With respect to the potential use of razuprotafib for the treatment of ARDS associated with COVID-19, clinical development remains in the early stages. As a result, while we believe razuprotafib may have a favorable tolerability profile in this patient population, there can be no assurance that we will not observe the incidence of adverse events or serious adverse events upon further development of razuprotafib. For example, the incidence of adverse events and serious adverse events may be magnified in this patient population due to the critical and often life-threatening nature of the underlying disease.</w:t>
      </w:r>
    </w:p>
    <w:p>
      <w:pPr>
        <w:spacing w:after="0" w:line="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products and could substantially increase commercialization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Healthcare Regulation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any approved products, which could make it difficult for us to sell our products profitably.</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future revenues and profitability will be adversely affected if United States and foreign governmental, private third-party insurers and payors and other third-party payors, including Medicare and Medicaid, do not agree to defray or reimburse the cost of our products to the patients. If these entities fail to provide coverage and reimbursement with respect to our products or provide an insufficient level of coverage and reimbursement, our products may be too costly for some patients to afford them and physicians may not prescribe them. Market acceptance and sales of any approved products will depend significantly on the availability of adequate coverage and reimbursement from third-party payors and may be affected by existing and future healthcare reform measures. Government authorities and third-party payors decide which drugs they will pay for and establish formularies and reimbursement levels. Coverage and reimbursement by a third-party payor may depend upon a number of factors, including the third-party payor’s determination that use of a product is:</w:t>
      </w:r>
    </w:p>
    <w:p>
      <w:pPr>
        <w:spacing w:after="0" w:line="84" w:lineRule="exact"/>
        <w:rPr>
          <w:sz w:val="20"/>
          <w:szCs w:val="20"/>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2" w:name="page53"/>
    <w:bookmarkEnd w:id="52"/>
    <w:p>
      <w:pPr>
        <w:spacing w:after="0" w:line="286" w:lineRule="auto"/>
        <w:rPr>
          <w:sz w:val="20"/>
          <w:szCs w:val="20"/>
          <w:color w:val="auto"/>
        </w:rPr>
      </w:pPr>
      <w:r>
        <w:rPr>
          <w:rFonts w:ascii="Arial" w:cs="Arial" w:eastAsia="Arial" w:hAnsi="Arial"/>
          <w:sz w:val="16"/>
          <w:szCs w:val="16"/>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Additionally, we may be required to enter into contracts with third-party payors to obtain favorable formulary status. We may not be able to provide data sufficient to gain acceptance with respect to coverage and reimbursement. We cannot be sure that coverage or adequate reimbursement will be available for any of our product candidates. Third-party payors often rely upon Medicare coverage policy and payment limitations in setting their own reimbursement rates, but also have their own methods and approval process apart from Medicate determinations. Therefore, coverage and reimbursement for drug products can differ significantly from payor to payor. Even if we obtain coverage for our product candidates, third-party payors may not establish adequate reimbursement amounts, which may reduce the demand for, or the price of, our products. If reimbursement is not available or is available only to limited levels, we may not be able to commercialize certain of our products. In addition, in the United States, third-party payors are increasingly attempting to contain healthcare costs by limiting both coverage and the level of reimbursement of new drugs. As a result, significant uncertainty exists as to whether and how much third-party payors will reimburse patients for their use of newly approved drugs, which in turn will put pressure on the pricing of drugs. Further, due to the COVID-19 pandemic, millions of individuals have lost or will be losing employer-based insurance coverage, which may adversely affect our ability to commercialize our product candidates even if there is adequate coverage and reimbursement from third party payors.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may be imposed, which may adversely affect our future profitability.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actions and proposals to control and reduce healthcare costs. There have been a number of legislative and regulatory changes and proposed changes regarding the healthcare system that could prevent or delay marketing approval for our product candidates, restrict or regulate post-approval activities and affect our ability to profitably sell any of our products or product candidates for which we obtain marketing approval.</w:t>
      </w:r>
    </w:p>
    <w:p>
      <w:pPr>
        <w:spacing w:after="0" w:line="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some countries, particularly Member States of the European Union, the pricing of prescription pharmaceuticals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could be adversely affected.</w:t>
      </w:r>
    </w:p>
    <w:p>
      <w:pPr>
        <w:spacing w:after="0" w:line="7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impact of recent healthcare reform and other changes in the healthcare industry and in healthcare spending is currently unknown and may adversely affect our business model.</w:t>
      </w:r>
    </w:p>
    <w:p>
      <w:pPr>
        <w:spacing w:after="0" w:line="6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4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United States, the Medicare Prescription Drug, Improvement, and Modernization Act of 2003, also called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products, we expect that there will be additional pressure to reduce costs. While the MMA applies only to drug benefits for Medicare beneficiaries, private payors often follow Medicare coverage policies and payment limitations in setting their own reimbursement rates, and any reduction in reimbursement that results from the MMA</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3" w:name="page54"/>
    <w:bookmarkEnd w:id="53"/>
    <w:p>
      <w:pPr>
        <w:ind w:right="400"/>
        <w:spacing w:after="0" w:line="277" w:lineRule="auto"/>
        <w:rPr>
          <w:sz w:val="20"/>
          <w:szCs w:val="20"/>
          <w:color w:val="auto"/>
        </w:rPr>
      </w:pPr>
      <w:r>
        <w:rPr>
          <w:rFonts w:ascii="Arial" w:cs="Arial" w:eastAsia="Arial" w:hAnsi="Arial"/>
          <w:sz w:val="18"/>
          <w:szCs w:val="18"/>
          <w:color w:val="auto"/>
        </w:rPr>
        <w:t>may cause a similar reduction in payments from private payors. Similar regulations or reimbursement policies may be enacted in international markets which could similarly impact our business.</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addition, the Affordable Care Act (“ACA”) was enacted in 2010 with a goal of reducing the cost of healthcare and substantially changing the way healthcare is financed by both government and private insurers.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50% (increased to 70% as of January 1, 2019 pursuant to subsequent legislation)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United States since the 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 Pursuant to the Coronavirus Aid, Relief, and Economic Security Act, also known as the CARES Act, and the 2020 Omnibus Bill, these reductions are suspended from May 1, 2020 through March 31, 2021 due to the COVID-19 pandemic. As the legislation currently stands, the reductions will go back into effect April 2021 and will remain in effect through 2030 unless additional Congressional action is taken.</w:t>
      </w:r>
    </w:p>
    <w:p>
      <w:pPr>
        <w:spacing w:after="0" w:line="7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and we expect there will be additional challenges and amendments to the ACA in the future. Various portions of the ACA are currently undergoing legal and constitutional challenges in the United States Supreme Court; the Trump Administration had issued various Executive Orders which eliminated cost 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The United States Supreme Court is expected to rule on a legal challenge to the constitutionality of the ACA in early 2021. As implementation of the ACA is ongoing, the law appears likely to continue the downward pressure on pharmaceutical pricing, especially under the Medicare program, and may also increase our regulatory burdens and operating costs. Litigation and legislation related to the ACA are likely to continue, with unpredictable and uncertain results. We will continue to evaluate the effect that the ACA and its possible repeal and replacement has on our business.</w:t>
      </w:r>
    </w:p>
    <w:p>
      <w:pPr>
        <w:spacing w:after="0" w:line="58"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Moreover, the Drug Supply Chain Security Act imposed new obligations on manufacturers of pharmaceutical products related to product tracking and tracing. Legislative and regulatory proposals have been made to expand post-approval requirements and restrict sales and promotional activities for pharmaceutical products. We are not sure whether additional legislative changes will be enacted, or whether the current regulations, guidance or interpretations will be changed, or what the impact of such changes on our business, if any, may be.</w:t>
      </w:r>
    </w:p>
    <w:p>
      <w:pPr>
        <w:spacing w:after="0" w:line="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Trump administration released a plan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On July 24, 2020 and September 13, 2020, President Trump announced several executive orders related to prescription drug pricing that seek to implement several of the administration's proposals. The FDA also released a final rule on September 24, 2020, which went into effect on November 30, 2020, providing guidance for states to build and submit importation plans for drugs from Canada.</w:t>
      </w:r>
    </w:p>
    <w:p>
      <w:pPr>
        <w:spacing w:after="0" w:line="8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Additionally, on November 20, 2020, HHS finalized a regulation removing safe harbor protection for price reductions from pharmaceutical manufacturers to plan sponsors under Part D, either directly or through pharmacy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60"/>
        <w:spacing w:after="0" w:line="277" w:lineRule="auto"/>
        <w:rPr>
          <w:sz w:val="20"/>
          <w:szCs w:val="20"/>
          <w:color w:val="auto"/>
        </w:rPr>
      </w:pPr>
      <w:r>
        <w:rPr>
          <w:rFonts w:ascii="Arial" w:cs="Arial" w:eastAsia="Arial" w:hAnsi="Arial"/>
          <w:sz w:val="18"/>
          <w:szCs w:val="18"/>
          <w:color w:val="auto"/>
        </w:rPr>
        <w:t>benefit managers, unless the price reduction is required by law. The rule also creates a new safe harbor for price reductions reflected at the point-of-sale, as well as a safe harbor for certain fixed fee arrangements between pharmacy benefit managers and manufacturers.</w:t>
      </w:r>
    </w:p>
    <w:p>
      <w:pPr>
        <w:spacing w:after="0" w:line="6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Although a number of these and other proposed measures may require authorization through additional legislation to become effective, and the Biden administration may reverse, revoke, or otherwise change these measures, Congress has indicated that it will continue to seek new legislative measures to control drug costs.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It is unclear what effect such changes will have on our business and our ability to receive adequate reimbursement for our future products. Some of these proposed measures, including drug importation and pharmacy benefit manager rebate rule changes, face legal challenges from industry groups and participants. We cannot predict whether additional reform initiatives may be adopted in the future or whether initiatives that have been adopted will be repealed or modified, or whether legal challenges will be successful. The continuing efforts of the government, insurance companies, managed care organizations and other payors of healthcare services to contain or reduce costs of healthcare may adversely affect:</w:t>
      </w:r>
    </w:p>
    <w:p>
      <w:pPr>
        <w:spacing w:after="0" w:line="60" w:lineRule="exact"/>
        <w:rPr>
          <w:sz w:val="20"/>
          <w:szCs w:val="20"/>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and the level of taxes that we are required to pay.</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expect that changes and challenges to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future approved product.</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If we obtain regulatory approval for any of our product candidates,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w:t>
      </w:r>
    </w:p>
    <w:p>
      <w:pPr>
        <w:spacing w:after="0" w:line="5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 applicable federal and state healthcare laws and regulations laws that may affect our ability to operate include, but are not limited to:</w:t>
      </w:r>
    </w:p>
    <w:p>
      <w:pPr>
        <w:spacing w:after="0" w:line="72" w:lineRule="exact"/>
        <w:rPr>
          <w:sz w:val="20"/>
          <w:szCs w:val="20"/>
          <w:color w:val="auto"/>
        </w:rPr>
      </w:pPr>
    </w:p>
    <w:p>
      <w:pPr>
        <w:ind w:left="1020" w:right="40" w:hanging="432"/>
        <w:spacing w:after="0" w:line="289"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from knowingly and willfully soliciting, receiving, offering or paying remuneration, directly or indirectly, overtly or covertly, in cash or in kind, to induce, or in return for, the purchase or recommendation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they are drawn narrowly, and practices that involve remuneration intended to induce prescribing, purchasing or recommending may be subject to scrutiny if they do not qualify for an exception or safe harbor. In addition, the government may assert that a claim including items or services resulting from a violation of the AKS constitutes a false or fraudulent claim for purposes of the federal False Claims Act or federal civil money penalties statute. Violations of the AKS carry potentially significant civil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p>
      <w:pPr>
        <w:ind w:left="440" w:right="580"/>
        <w:spacing w:after="0" w:line="277" w:lineRule="auto"/>
        <w:rPr>
          <w:sz w:val="20"/>
          <w:szCs w:val="20"/>
          <w:color w:val="auto"/>
        </w:rPr>
      </w:pPr>
      <w:r>
        <w:rPr>
          <w:rFonts w:ascii="Arial" w:cs="Arial" w:eastAsia="Arial" w:hAnsi="Arial"/>
          <w:sz w:val="18"/>
          <w:szCs w:val="18"/>
          <w:color w:val="auto"/>
        </w:rPr>
        <w:t>criminal penalties, including imprisonment, fines, administrative civil monetary penalties, and exclusion from participation in federal healthcare programs.</w:t>
      </w:r>
    </w:p>
    <w:p>
      <w:pPr>
        <w:spacing w:after="0" w:line="76" w:lineRule="exact"/>
        <w:rPr>
          <w:sz w:val="20"/>
          <w:szCs w:val="20"/>
          <w:color w:val="auto"/>
        </w:rPr>
      </w:pPr>
    </w:p>
    <w:p>
      <w:pPr>
        <w:ind w:left="440" w:right="20" w:hanging="432"/>
        <w:spacing w:after="0" w:line="259"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8" w:lineRule="exact"/>
        <w:rPr>
          <w:rFonts w:ascii="Arial" w:cs="Arial" w:eastAsia="Arial" w:hAnsi="Arial"/>
          <w:sz w:val="18"/>
          <w:szCs w:val="18"/>
          <w:color w:val="auto"/>
        </w:rPr>
      </w:pPr>
    </w:p>
    <w:p>
      <w:pPr>
        <w:ind w:left="440" w:hanging="432"/>
        <w:spacing w:after="0" w:line="269" w:lineRule="auto"/>
        <w:tabs>
          <w:tab w:leader="none" w:pos="4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federal False Claims Act, or the FCA, which prohibit, among other things, individuals or entities from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Companies that submit claims directly to payors may also be liable under the FCA for the direct submission of such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87" w:lineRule="exact"/>
        <w:rPr>
          <w:rFonts w:ascii="Arial" w:cs="Arial" w:eastAsia="Arial" w:hAnsi="Arial"/>
          <w:sz w:val="17"/>
          <w:szCs w:val="17"/>
          <w:color w:val="auto"/>
        </w:rPr>
      </w:pPr>
    </w:p>
    <w:p>
      <w:pPr>
        <w:ind w:left="440" w:hanging="432"/>
        <w:spacing w:after="0" w:line="272" w:lineRule="auto"/>
        <w:tabs>
          <w:tab w:leader="none" w:pos="4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and its implementing regulations, which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82" w:lineRule="exact"/>
        <w:rPr>
          <w:rFonts w:ascii="Arial" w:cs="Arial" w:eastAsia="Arial" w:hAnsi="Arial"/>
          <w:sz w:val="17"/>
          <w:szCs w:val="17"/>
          <w:color w:val="auto"/>
        </w:rPr>
      </w:pPr>
    </w:p>
    <w:p>
      <w:pPr>
        <w:ind w:left="440" w:hanging="432"/>
        <w:spacing w:after="0" w:line="272" w:lineRule="auto"/>
        <w:tabs>
          <w:tab w:leader="none" w:pos="4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and Clinical Health Act, or HITECH, and its implementing regulations, which imposes certain requirements on certain covered healthcare providers, health plans, and healthcare clearinghouses, otherwise known as covered entities, relating to the privacy, security and transmission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82" w:lineRule="exact"/>
        <w:rPr>
          <w:rFonts w:ascii="Arial" w:cs="Arial" w:eastAsia="Arial" w:hAnsi="Arial"/>
          <w:sz w:val="17"/>
          <w:szCs w:val="17"/>
          <w:color w:val="auto"/>
        </w:rPr>
      </w:pPr>
    </w:p>
    <w:p>
      <w:pPr>
        <w:ind w:left="440" w:hanging="432"/>
        <w:spacing w:after="0" w:line="271" w:lineRule="auto"/>
        <w:tabs>
          <w:tab w:leader="none" w:pos="4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transparency requirements under the Affordable Care Act, including the Physician Payment Sunshine Act, which require drug and biologics manufacturers eligible for payment under Medicare, Medicaid or the Children’s Health Insurance Program to report annually to HHS, information related to payments or other “transfers of value” made or distributed to physicians (defined to include doctors, dentists, optometrists, podiatrists and chiropractors) and teaching hospitals, as well as ownership and investment interests held by the physicians described above and their immediate family members. Failure to submit required information may result in civil monetary penalties for all payments, transfers of value or ownership or investment interests that are not timely, accurately, and completely reported in an annual submission. Effective January 1, 2022, these reporting obligations will extend to include transfers of value made to certain non-physician providers such as physician assistants and nurse practitioners.</w:t>
      </w:r>
    </w:p>
    <w:p>
      <w:pPr>
        <w:spacing w:after="0" w:line="17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20"/>
          </w:cols>
          <w:pgMar w:left="900" w:top="341" w:right="379" w:bottom="1440" w:gutter="0" w:footer="0" w:header="0"/>
        </w:sectPr>
      </w:pPr>
    </w:p>
    <w:bookmarkStart w:id="56" w:name="page57"/>
    <w:bookmarkEnd w:id="56"/>
    <w:p>
      <w:pPr>
        <w:ind w:left="1020" w:right="200" w:hanging="432"/>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1020" w:right="260" w:hanging="432"/>
        <w:spacing w:after="0" w:line="259"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such as anti-kickback and false claims laws that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7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including pharmaceutical manufacturers,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8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Affordable Care Act broadened the reach of the fraud and abuse laws by, among other things, amending the intent requirement of the federal Anti-Kickback Statute and the applicable criminal healthcare fraud statutes contained within 42 U.S.C. § 1320a-7b. Pursuant to the statutory amendment, a person or entity no longer needs to have actual knowledge of this statute or specific intent to violate it in order to have committed a violation. In addition, the Affordable Care Act provides that the government may assert that a claim including items or services resulting from a violation of the federal Anti-Kickback Statute constitutes a false or fraudulent claim for purposes of the civil False Claims Act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spacing w:after="0" w:line="6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also subject to the U.S. Foreign Corrupt Practices Act, or FCPA, which prohibits improper payments or offers of payments to foreign governments and their officials for the purpose of obtaining or retaining business and requires companies to maintain accurate books and records and a system of internal accounting controls.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6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including environmental, health and safety laws and regulations, we may be subject to penalties, including administrative, civil and criminal penalties, exclusion from participation in government healthcare programs, such as Medicare and Medicaid and imprisonment, damages, fines and the curtailment or restructuring of our operations, any of which could adversely affect our ability to operate our business and our results of operations.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7" w:name="page58"/>
    <w:bookmarkEnd w:id="57"/>
    <w:p>
      <w:pPr>
        <w:ind w:right="340"/>
        <w:spacing w:after="0" w:line="277" w:lineRule="auto"/>
        <w:rPr>
          <w:sz w:val="20"/>
          <w:szCs w:val="20"/>
          <w:color w:val="auto"/>
        </w:rPr>
      </w:pPr>
      <w:r>
        <w:rPr>
          <w:rFonts w:ascii="Arial" w:cs="Arial" w:eastAsia="Arial" w:hAnsi="Arial"/>
          <w:sz w:val="18"/>
          <w:szCs w:val="18"/>
          <w:color w:val="auto"/>
        </w:rPr>
        <w:t>In addition, the approval and commercialization of any of our products outside the United States will also likely subject us to foreign equivalents of the healthcare laws mentioned above, among other foreign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Investments in Our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may be influenced by numerous factors, some of which are beyond our control.</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market price of our common stock is likely to be volatile. Since our common stock became listed on Nasdaq Capital Market on June 26, 2018, the trading price of our common stock has ranged from $0.42 to $4.35 per share. The market price of our common stock may continue to fluctuate substantially due to a variety of factors, including market perception of our ability to meet our growth projections and expectations, quarterly operating results of other companies in the same industry, trading volume in our common stock, changes in general conditions in the economy and the financial markets or other developments affecting our business and the business of others in our industry. In addition, the stock market itself is subject to extreme price and volume fluctuations. This volatility has had a significant effect on the market price of securities issued by many companies for reasons related and unrelated to their operating performance and could have the same effect on our common stock. The market price of shares of our common stock may continue to be subject to wide fluctuations in response to many risk factors listed in this section, and others beyond our control, including:</w:t>
      </w:r>
    </w:p>
    <w:p>
      <w:pPr>
        <w:spacing w:after="0" w:line="57" w:lineRule="exact"/>
        <w:rPr>
          <w:sz w:val="20"/>
          <w:szCs w:val="20"/>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the release of results of our clinical trials;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safety issues with respect to our products or our competitors’ products;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20" w:right="240" w:hanging="432"/>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11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 addition, the stock market has recently experienced significant volatility, particularly with respect to pharmaceutical, biotechnology and other life sciences company stocks. The volatility of pharmaceutical, biotechnology and other life sciences company stocks often does not relate to the operating performance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right="80"/>
        <w:spacing w:after="0" w:line="259" w:lineRule="auto"/>
        <w:rPr>
          <w:sz w:val="20"/>
          <w:szCs w:val="20"/>
          <w:color w:val="auto"/>
        </w:rPr>
      </w:pPr>
      <w:r>
        <w:rPr>
          <w:rFonts w:ascii="Arial" w:cs="Arial" w:eastAsia="Arial" w:hAnsi="Arial"/>
          <w:sz w:val="18"/>
          <w:szCs w:val="18"/>
          <w:color w:val="auto"/>
        </w:rPr>
        <w:t>companies represented by the stock. As we operate in a single industry, we are especially vulnerable to these factors to the extent that they affect our industry or our products, or to a lesser extent our markets.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79" w:lineRule="exact"/>
        <w:rPr>
          <w:sz w:val="20"/>
          <w:szCs w:val="20"/>
          <w:color w:val="auto"/>
        </w:rPr>
      </w:pPr>
    </w:p>
    <w:p>
      <w:pPr>
        <w:jc w:val="both"/>
        <w:ind w:right="460"/>
        <w:spacing w:after="0" w:line="375" w:lineRule="auto"/>
        <w:rPr>
          <w:sz w:val="20"/>
          <w:szCs w:val="20"/>
          <w:color w:val="auto"/>
        </w:rPr>
      </w:pPr>
      <w:r>
        <w:rPr>
          <w:rFonts w:ascii="Arial" w:cs="Arial" w:eastAsia="Arial" w:hAnsi="Arial"/>
          <w:sz w:val="15"/>
          <w:szCs w:val="15"/>
          <w:b w:val="1"/>
          <w:bCs w:val="1"/>
          <w:i w:val="1"/>
          <w:iCs w:val="1"/>
          <w:color w:val="auto"/>
        </w:rPr>
        <w:t>We are eligible to be treated as an “emerging growth company” as defined in the Jumpstart Our Business Startups Act of 2012, and we cannot be certain if the reduced disclosure requirements applicable to emerging growth companies will make our common stock less attractive to investors.</w:t>
      </w:r>
    </w:p>
    <w:p>
      <w:pPr>
        <w:spacing w:after="0" w:line="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may take advantage of exemptions from various reporting requirements that are applicable to other public companies that are not emerging growth companies. These exemptions include:</w:t>
      </w:r>
    </w:p>
    <w:p>
      <w:pPr>
        <w:spacing w:after="0" w:line="76" w:lineRule="exact"/>
        <w:rPr>
          <w:sz w:val="20"/>
          <w:szCs w:val="20"/>
          <w:color w:val="auto"/>
        </w:rPr>
      </w:pPr>
    </w:p>
    <w:p>
      <w:pPr>
        <w:ind w:left="1020" w:right="100" w:hanging="432"/>
        <w:spacing w:after="0" w:line="342"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1020" w:right="640" w:hanging="432"/>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regarding the assessment of our internal control over financial reporting;</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1020" w:right="20" w:hanging="432"/>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taken advantage of these reduced reporting burdens. In particular, we have provided only two years of audited consolidated financial statements and have not included all of the executive compensation related information that would be required if we were not an emerging growth company. Investors may find our common stock less attractive if we continue to rely on these exemptions. If some investors find our common stock less attractive as a result, there may be a less active trading market for our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could be an emerging growth company for up to five years following the date of completion of our initial public offering, although circumstances could cause us to lose that status earlier, including if the market value of our common stock held by non-affiliates exceeds $700 million as of any June 30 before that time or if we have total annual gross revenue of $1.07 billion (as may be inflation-adjusted by the SEC from time to time) or more during any fiscal year before that time, in which cases we would no longer be an emerging growth company as of the following December 31 or, if we issue more than $1.07 billion in non-convertible debt during any three-year period before that time, we would cease to be an emerging growth company immediately. Even after we no longer qualify as an emerging growth company, we may still qualify as a “smaller reporting company” if the market value of our common stock held by non-affiliates is below $250 million as of June 30 in any given year (or $700 million if we had less than $100 million in revenues), which would allow us to take advantage of many of the same exemptions from disclosure requirements, including exemption from the auditor attestation requirements of Section 404 of the Sarbanes-Oxley Act and reduced disclosure obligations regarding executive compensation in our periodic reports and proxy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FINRA sales practice requirements may limit a stockholder’s ability to buy and sell our stock.</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Financial Industry Regulatory Authority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9" w:name="page60"/>
    <w:bookmarkEnd w:id="59"/>
    <w:p>
      <w:pPr>
        <w:spacing w:after="0" w:line="263" w:lineRule="auto"/>
        <w:rPr>
          <w:sz w:val="20"/>
          <w:szCs w:val="20"/>
          <w:color w:val="auto"/>
        </w:rPr>
      </w:pPr>
      <w:r>
        <w:rPr>
          <w:rFonts w:ascii="Arial" w:cs="Arial" w:eastAsia="Arial" w:hAnsi="Arial"/>
          <w:sz w:val="18"/>
          <w:szCs w:val="18"/>
          <w:color w:val="auto"/>
        </w:rPr>
        <w:t>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maintain compliance with Nasdaq Capital Market listing standards, including maintenance of at least $2.5 million of stockholders’ equity and maintenance of a $1.00 minimum bid price, our common stock may be delisted from the Nasdaq Capital Market and you may face significant restrictions on the resale of your shares due to state “blue sky” laws.</w:t>
      </w:r>
    </w:p>
    <w:p>
      <w:pPr>
        <w:spacing w:after="0" w:line="8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There can be no assurances that we will be able to maintain our Nasdaq Capital Market listing in the future. On July 24, 2019, we were notified by Nasdaq Stock Market, LLC (“Nasdaq”)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To regain compliance, the bid price of our common stock must have a closing bid price of at least $1.00 per share for a minimum of 10 consecutive business days. In June 2020, we were notified by Nasdaq that the closing bid price of our common stock was maintained for a minimum of 10 consecutive business days and, therefore, we regained compliance with the minimum bid price requirement. However, there can be no assurance that we will not encounter challenges with maintaining compliance with Nasdaq Capital Market listing standards in the future.</w:t>
      </w:r>
    </w:p>
    <w:p>
      <w:pPr>
        <w:spacing w:after="0" w:line="7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the event we are unable to maintain compliance with the Nasdaq Capital Market listing standards and our common stock is delisted from the Nasdaq Capital Market, it would, among other things, likely lead to a number of negative implications, including an adverse effect on the price of our common stock, reduced liquidity in our common stock, the loss of federal preemption of state securities laws and greater difficulty in obtaining financing. In the event of a de-listing, we would take actions to restore our compliance with Nasdaq’s listing requirements, but we can provide no assurance that any such action taken by us would allow our common stock to become listed again, stabilize the market price or improve the liquidity of our common stock, prevent our common stock from dropping below the Nasdaq Capital Market minimum bid price requirement in the future, or prevent future non-compliance with Nasdaq’s listing requirements. If we cannot restore our compliance with Nasdaq’s listing requirements, we would pursue eligibility for trading of these securities on other markets or exchanges, such as the OTCQB or OTCQX, which are unorganized, inter-dealer, over-the-counter markets which provides significantly less liquidity than the Nasdaq Capital Market or other national securities exchanges.</w:t>
      </w:r>
    </w:p>
    <w:p>
      <w:pPr>
        <w:spacing w:after="0" w:line="7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Furthermore, each state has its own securities laws, often called “blue sky” laws, which (1) limit sales of securities to a state’s residents unless the securities are registered in that state or qualify for an exemption from registration, and (2) govern the reporting requirements for broker-dealers doing business directly or indirectly in the state. Before a security is sold in a state, there must be a registration in place to cover the transaction, or it must be exempt from registration. The applicable broker-dealer must also be registered in that state. If we fail to maintain our Nasdaq Capital Market listing, then we may not be considered to be on a national exchange and do not know whether our securities will be registered or exempt from registration under the laws of any state.</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determination regarding registration will be made by those broker-dealers, if any, who agree to serve as market makers for our common stock. There may be significant state blue sky law restrictions on the ability of investors to sell, and on purchasers to buy, our securities. You should therefore consider the resale market for our common stock to be limited, as you may be unable to resell your shares without the significant expense of state registration or qualification.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ind w:right="2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December 31, 2020, our executive officers, directors and principal stockholders, together with their respective affiliates, owned approximately 27.65% of our common stock, including shares subject to outstanding options that are exercisable within 60 days after such date. Accordingly, these stockholders will be able to exert a significant degree of influence over our management and affairs and over matters requiring stockholder approval, including the election of our Board of Directors and approval of significant corporate transactions.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became a reporting company under the Exchange Act by means other than a traditional underwritten initial public offering, we may not be able to attract the attention of research analysts at major brokerage firms.</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Because we did not become a reporting company by conducting an underwritten initial public offering of our common stock, and because we only recently became listed on a national securities exchange, we may obtain research coverage from fewer analysts than we would have obtained. In addition, investment banks may be less likely to agree to underwrite secondary offerings on our behalf or recommend the purchase of our common stock than if we became a public reporting company by means of an underwritten initial public offering, because they may be less familiar with our Company as a result of more limited coverage by analysts and the media, and because we became public at an early stage in our development. The failure to receive research coverage or support in the market for our shares could have an adverse effect on our ability to develop a liquid market for our common stock.</w:t>
      </w:r>
    </w:p>
    <w:p>
      <w:pPr>
        <w:spacing w:after="0" w:line="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resale of shares covered by a registration statement could adversely affect the market price of our common stock in the public market, should one develop, which result would in turn negatively affect our ability to raise additional equity capital.</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sale, or availability for sale, of our common stock in the public market may adversely affect the prevailing market price of our common stock and may impair our ability to raise additional capital by selling equity or equity-linked securities. We filed and caused to become effective a registration statement with the SEC registering the resale of 27,367,117 shares of our common stock issued in connection with the reverse merger and the concurrent private placement offering in March 2017 and an additional registration statement covering 9,497,337 shares purchased by certain stockholders in June 2018 and subsequent open market purchases. This registration statement permits the resale of these shares at any time. The resale of a substantial number of shares of our common stock in the public market could adversely affect the market price for our common stock and make it more difficult for you to sell shares of our common stock at times and prices that you feel are appropriate. Furthermore, we expect that, because there will be a large number of shares registered pursuant to a registration statement, selling stockholders will continue to offer shares covered by such registration statement for a significant period of time, the precise duration of which cannot be predicted. Accordingly, the adverse market and price pressures resulting from an offering pursuant to a registration statement may continue for an extended period of time and continued negative pressure on the market price of our common stock could have a material adverse effect on our ability to raise additional equity capital.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stock to fund our operations may dilute your investment and reduce your equity interest.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may need to raise capital in the future to fund the development of our drug candidates or for other purposes. Any equity financing may have significant dilutive effect to stockholders and a material decrease in our stockholders’ equity interest in us. Equity financing, if obtained, could result in substantial dilution to our existing stockholders. At its sole discretion, our Board of Directors may issue additional securities without seeking stockholder approval, and we do not know when we will need additional capital or, if we do, whether it will be available to us.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and may not use them effectively.</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currently intend to preserve our cash resources during our efforts to explore strategic alternatives for our company. Although we currently intend to use our cash and cash equivalents in such a manner, we will have broad discretion in the application of such cash and cash equivalents. Pending their use, we may invest our cash and cash equivalents in a manner that does not produce income or loses value.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1" w:name="page62"/>
    <w:bookmarkEnd w:id="61"/>
    <w:p>
      <w:pPr>
        <w:ind w:right="800"/>
        <w:spacing w:after="0" w:line="277" w:lineRule="auto"/>
        <w:rPr>
          <w:sz w:val="20"/>
          <w:szCs w:val="20"/>
          <w:color w:val="auto"/>
        </w:rPr>
      </w:pPr>
      <w:r>
        <w:rPr>
          <w:rFonts w:ascii="Arial" w:cs="Arial" w:eastAsia="Arial" w:hAnsi="Arial"/>
          <w:sz w:val="18"/>
          <w:szCs w:val="18"/>
          <w:b w:val="1"/>
          <w:bCs w:val="1"/>
          <w:i w:val="1"/>
          <w:iCs w:val="1"/>
          <w:color w:val="auto"/>
        </w:rPr>
        <w:t>As a result of becoming a public company, we are incurring increased costs and our management devotes substantial time to public company compliance programs.</w:t>
      </w:r>
    </w:p>
    <w:p>
      <w:pPr>
        <w:spacing w:after="0" w:line="6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a public company, we incur significant legal, insurance, accounting and other expenses that we did not incur as a private company. In addition, our administrative staff is required to perform additional tasks. We are investing resources to comply with evolving laws, regulations and standards, and this investment will result in increased general and administrative expenses and may divert management’s time and attention from product development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the reverse merger, pursuant to which we acquired Aerpio, we increased our directors’ and officers’ insurance coverage, which increased our insurance cost. In the future, it will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5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addition,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we are not able to demonstrate compliance with the Sarbanes-Oxley Act, our internal control over financial reporting is perceived as inadequate, or we are unable to produce timely or accurate financial statements, investors may lose confidence in our operating results and the price of our ordinary shares could decline. In addition, if we are unable to continue to meet these requirements, we may not be able to maintain our listing on a national securities exchange.</w:t>
      </w:r>
    </w:p>
    <w:p>
      <w:pPr>
        <w:spacing w:after="0" w:line="7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management team and Board of Directors will need to devote significant efforts to maintaining adequate and effective disclosure controls and procedures and internal control over financial reporting in order to comply with applicable regulations, which may include hiring additional legal, financial reporting and other finance and accounting staff and engaging consultants to assist in designing and implementing such procedures. Additionally, any of our efforts to improve our internal controls and design, implement and maintain an adequate system of disclosure controls may not be successful and will require that we expend significant cash and other resources. In addition, our management will be required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independent registered public accounting firm will not be required to formally attest to the effectiveness of our internal control over financial reporting following this annual report until the first annual report required to be filed with the SEC following the date we are no longer an “emerging growth company” as defined in the JOBS Act. We cannot assure you that there will not be material weaknesses or significant deficiencies in our internal controls in the future.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ind w:right="36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6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An active trading market for our common stock may not develop or be sustainable. If an active trading market does not develop, investors may not be able to resell their shares at or above the purchase price and our ability to raise capital in the future may be impaired.</w:t>
      </w:r>
    </w:p>
    <w:p>
      <w:pPr>
        <w:spacing w:after="0" w:line="1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common stock has been listed on The Nasdaq Capital Market since June 26, 2018. The initial listing price for our common stock was determined through negotiations with the underwriters. This price may not reflect the price at which investors in the market will be willing to buy and sell our shares. Although our common stock is listed on The Nasdaq Capital Market, an active trading market for our shares may never develop or, if developed, be maintained. If an active market for our common stock does not develop or is not maintained, it may be difficult for you to sell shares you purchase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We believe that the state of global economic conditions are particularly volatile and uncertain, not only in light of the COVID-19 pandemic and the potential global recession resulting therefrom, but also due to recent and expected shifts in political, legislative and regulatory conditions concerning, among other matters, international trade and taxation, and that an uneven recovery or a renewed global downturn may negatively impact our ability to conduct clinical trials on the scale and timelines anticipated. There can be no assurance that further deterioration in credit and financial markets and confidence in economic conditions will not occur. Our general business strategy may be adversely affected by any such economic downturn, volatile business or political environment or continued unpredictable and unstable market conditions. If the current equity and credit markets deteriorate, it may make obtaining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To the extent that our profitability and strategies are negatively affected by downturns or volatility in general economic conditions, our business and results of operations may be materially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Charter and Bylaws</w:t>
      </w:r>
    </w:p>
    <w:p>
      <w:pPr>
        <w:spacing w:after="0" w:line="117"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jc w:val="both"/>
        <w:ind w:left="1020" w:right="360" w:hanging="432"/>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 create a classified Board of Directors whose members serve staggered three-year terms;</w:t>
      </w:r>
    </w:p>
    <w:p>
      <w:pPr>
        <w:spacing w:after="0" w:line="75" w:lineRule="exact"/>
        <w:rPr>
          <w:rFonts w:ascii="Arial" w:cs="Arial" w:eastAsia="Arial" w:hAnsi="Arial"/>
          <w:sz w:val="18"/>
          <w:szCs w:val="18"/>
          <w:color w:val="auto"/>
        </w:rPr>
      </w:pPr>
    </w:p>
    <w:p>
      <w:pPr>
        <w:ind w:left="1020" w:right="80" w:hanging="432"/>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directors then in office;</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20" w:right="520" w:hanging="432"/>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20" w:right="260" w:hanging="432"/>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the consummation of a liquidation event unless approved by a supermajority (66 2/3% and majority of the minority, if applicable) vote of the holders of our voting stock;</w:t>
      </w:r>
    </w:p>
    <w:p>
      <w:pPr>
        <w:spacing w:after="0" w:line="62" w:lineRule="exact"/>
        <w:rPr>
          <w:rFonts w:ascii="Arial" w:cs="Arial" w:eastAsia="Arial" w:hAnsi="Arial"/>
          <w:sz w:val="18"/>
          <w:szCs w:val="18"/>
          <w:color w:val="auto"/>
        </w:rPr>
      </w:pPr>
    </w:p>
    <w:p>
      <w:pPr>
        <w:ind w:left="1020" w:right="20" w:hanging="432"/>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the consummation of an affiliate transaction with a majority stockholder that holds more than 50% of the voting power of our capital stock unless approved by a supermajority (66 2/3%) vote of directors then in office;</w:t>
      </w:r>
    </w:p>
    <w:p>
      <w:pPr>
        <w:spacing w:after="0" w:line="62" w:lineRule="exact"/>
        <w:rPr>
          <w:rFonts w:ascii="Arial" w:cs="Arial" w:eastAsia="Arial" w:hAnsi="Arial"/>
          <w:sz w:val="18"/>
          <w:szCs w:val="18"/>
          <w:color w:val="auto"/>
        </w:rPr>
      </w:pPr>
    </w:p>
    <w:p>
      <w:pPr>
        <w:ind w:left="1020" w:right="420" w:hanging="432"/>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the number of directors on our Board of Directors may only be changed with a supermajority (66 2/3%) of directors then in office, even though less than a quorum;</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 and by a supermajority (66 2/3%) vote of the holders of our voting stock;</w:t>
      </w:r>
    </w:p>
    <w:p>
      <w:pPr>
        <w:spacing w:after="0" w:line="128" w:lineRule="exact"/>
        <w:rPr>
          <w:rFonts w:ascii="Arial" w:cs="Arial" w:eastAsia="Arial" w:hAnsi="Arial"/>
          <w:sz w:val="17"/>
          <w:szCs w:val="17"/>
          <w:color w:val="auto"/>
        </w:rPr>
      </w:pPr>
    </w:p>
    <w:p>
      <w:pPr>
        <w:ind w:left="1020" w:hanging="432"/>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supermajority (66 2/3%) of directors then in office, even though less than a quorum;</w:t>
      </w:r>
    </w:p>
    <w:p>
      <w:pPr>
        <w:spacing w:after="0" w:line="62" w:lineRule="exact"/>
        <w:rPr>
          <w:rFonts w:ascii="Arial" w:cs="Arial" w:eastAsia="Arial" w:hAnsi="Arial"/>
          <w:sz w:val="18"/>
          <w:szCs w:val="18"/>
          <w:color w:val="auto"/>
        </w:rPr>
      </w:pPr>
    </w:p>
    <w:p>
      <w:pPr>
        <w:ind w:left="1020" w:right="100" w:hanging="432"/>
        <w:spacing w:after="0" w:line="308"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require a supermajority (66 2/3% and majority of the minority, if applicable) vote of the holders of our voting stock or the supermajority (66 2/3%) vote of the members of our Board of Directors then in office to amend our amended and restated by-laws; and</w:t>
      </w:r>
    </w:p>
    <w:p>
      <w:pPr>
        <w:spacing w:after="0" w:line="38" w:lineRule="exact"/>
        <w:rPr>
          <w:rFonts w:ascii="Arial" w:cs="Arial" w:eastAsia="Arial" w:hAnsi="Arial"/>
          <w:sz w:val="17"/>
          <w:szCs w:val="17"/>
          <w:color w:val="auto"/>
        </w:rPr>
      </w:pPr>
    </w:p>
    <w:p>
      <w:pPr>
        <w:jc w:val="both"/>
        <w:ind w:left="1020" w:right="140" w:hanging="432"/>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a supermajority (66 2/3% and majority of the minority, if applicable) vote of the holders of our voting stock and a supermajority (66 2/3%) vote of the holders of each class of our voting stock entitled to vote thereon to amend certain provisions of our amended and restated certificate of incorporation.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Tax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general, under Section 382 of the Internal Revenue Code of 1986, as amended (the “Code”) a corporation that undergoes an “ownership change” is subject to limitations on its ability to utilize its pre-change net operating losses (“NOLs”), to offset future taxable income. Our existing NOLs may be subject to substantial limitations arising from previous ownership changes under Section 382 of the Code. Future analysis will still be required on any historical NOLs as no studies have been performed to evaluate a change in ownership. In addition, future changes in our stock ownership, many of which are outside of our control, could result in an ownership change under Section 382 of the Code. Our NOLs may also be impaired under state law. Accordingly, we may not be able to utilize a material portion of our NOLs. Furthermore, our ability to utilize our NOLs is conditioned upon our attaining profitability and generating U.S. federal taxable income. As described above under “—Risks Related to Our Financial Position and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ind w:right="100"/>
        <w:spacing w:after="0" w:line="263" w:lineRule="auto"/>
        <w:rPr>
          <w:sz w:val="20"/>
          <w:szCs w:val="20"/>
          <w:color w:val="auto"/>
        </w:rPr>
      </w:pPr>
      <w:r>
        <w:rPr>
          <w:rFonts w:ascii="Arial" w:cs="Arial" w:eastAsia="Arial" w:hAnsi="Arial"/>
          <w:sz w:val="18"/>
          <w:szCs w:val="18"/>
          <w:color w:val="auto"/>
        </w:rPr>
        <w:t>Need for Additional Capital,” we have incurred significant net losses since our inception and anticipate that we will continue to incur significant losses for the foreseeable future; thus, we do not know whether or when we will generate the U.S. federal taxable income necessary to utilize our NOLs. A full valuation allowance has been provided for the entire amount of our NOLs.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if we sustain cyber-attacks or other privacy or data security incidents that result in security breaches.</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information technology may be subject to cyber-attacks, security breaches or computer hacking. Experienced computer programmers and hackers may be able to penetrate our security controls and misappropriate or compromise sensitive personal,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may also be vulnerable to security incidents or security attacks, acts of vandalism or theft, misplaced or lost data, human errors, or other similar events that could negatively affect our systems and our data, as well as the data of our business partners. Further, third parties that provide services to us, could also be a source of security risk in the event of a failure of their own security systems and infrastructure.</w:t>
      </w:r>
    </w:p>
    <w:p>
      <w:pPr>
        <w:spacing w:after="0" w:line="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costs to eliminate or address the foregoing security threats and vulnerabilities before or after a cyber-incident could be significant. Our remediation efforts may not be successful and could result in interruptions, delays or cessation of service, and loss of existing or potential suppliers, manufacturers or other third parties. In addition, breaches of our security measures and the unauthorized dissemination of sensitive personal, proprietary or confidential information about us, our business partners, participants in our clinical trials or other third parties could expose us to significant potential liability and reputational harm. In addition, the loss of clinical trial data from completed or ongoing or planned clinical trials as a result of a data security incident or other systems failure could result in delays in our regulatory approval efforts and significantly increase our costs to recover or reproduce the data. As threats related to cyber-attacks develop and grow, we may also find it necessary to make additional investments to protect our data and infrastructure, which may impact our profitability. We could also be negatively impacted by existing and proposed laws and regulations, as well as government policies and practices related to cybersecurity, data privacy, data localization and data protection such as GDPR.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may be negatively impacted by the United Kingdom’s withdrawal from the European Union.</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June 23, 2016, the United Kingdom held a referendum in which a majority of the eligible members of the electorate voted to leave the European Union, commonly referred to as Brexit. Pursuant to Article 50 of the Treaty on European Union, the United Kingdom ceased being a Member State of the European Union on January 31, 2020. There was a transitional period, during which European Union’s rules continued to apply in the United Kingdom, however this ended on December 31, 2020. The United Kingdom and European Union have signed a EU-UK Trade and Cooperation Agreement, which became provisionally applicable on January 1, 2021 and will become formally applicable once ratified by both the United Kingdom and the European Union. This agreement provides details on how some aspects of the United Kingdom and European Union’s relationship regarding medicinal products will operate, particularly in relation to Good Manufacturing Practice, however there are still many uncertainties. Many of the regulations that now apply in the United Kingdom following the transition period (including financial laws and regulations, tax, intellectual property rights, data protection laws, supply chain logistics, environmental, health and safety laws and regulations, medicine approval and regulations, immigration laws and employment laws), will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jc w:val="both"/>
        <w:ind w:right="600"/>
        <w:spacing w:after="0" w:line="286" w:lineRule="auto"/>
        <w:rPr>
          <w:sz w:val="20"/>
          <w:szCs w:val="20"/>
          <w:color w:val="auto"/>
        </w:rPr>
      </w:pPr>
      <w:r>
        <w:rPr>
          <w:rFonts w:ascii="Arial" w:cs="Arial" w:eastAsia="Arial" w:hAnsi="Arial"/>
          <w:sz w:val="17"/>
          <w:szCs w:val="17"/>
          <w:color w:val="auto"/>
        </w:rPr>
        <w:t>likely be amended in future as the United Kingdom determines its new approach, which may result in significant divergence from European Union regulations. This lack of clarity on future United Kingdom laws and regulations and their interaction with the European Union laws and regulations increases our regulatory burden of operating in and doing business with both the United Kingdom and the European Union.</w:t>
      </w:r>
    </w:p>
    <w:p>
      <w:pPr>
        <w:spacing w:after="0" w:line="5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long-term effects of Brexit will depend in part on how the EU-UK Trade and Cooperation Agreement, and any future agreements signed by the United Kingdom and the European Union, take effect in practice. Such a withdrawal from the European Union is unprecedented, and it is unclear how the restrictions on the United Kingdom’s access to the European single market for goods, capital, services and labor and the wider commercial, legal and regulatory environment, could impact our current and future operations and clinical activities in the United Kingdom.</w:t>
      </w:r>
    </w:p>
    <w:p>
      <w:pPr>
        <w:spacing w:after="0" w:line="6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as a result of Brexit. The United Kingdom will lose the benefits of global trade agreements negotiated by the European Union on behalf of its members, which may result in increased trade barriers that could make our doing business in the European Union or European Economic Area more difficult. We expect that, now the transition period has expired, Brexit could lead to legal uncertainty and potentially divergent national laws and regulations as the United Kingdom determines which European Union laws to replicate or replace, including those related to the regulation of medicinal products. Any of these effects of Brexit, and others we cannot anticipate, could negatively impact our business and results of operations in the United Kingdom.</w:t>
      </w:r>
    </w:p>
    <w:p>
      <w:pPr>
        <w:spacing w:after="0" w:line="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uncertainty concerning the United Kingdom’s legal, political and economic relationship with the European Union following Brexit may also be a source of instability in the international markets, create significant currency fluctuations, and/or otherwise adversely affect trading agreements or similar cross-border co-operation arrangements (whether economic, tax, fiscal, legal, regulatory or otherwise).</w:t>
      </w:r>
    </w:p>
    <w:p>
      <w:pPr>
        <w:spacing w:after="0" w:line="32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corporate headquarters consist of 7,580 square feet of leased office space in Cincinnati, Ohio. Our lease expires on July 31, 2021.</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believe our existing facility is adequate to meet our current needs, and that suitable additional alternative spaces will be available in the future on commercially reasonable terms for our future growth.</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the date of this Annual Report on Form 10-K, we are not currently involved in any material legal proceedings. However, from time to time, we could be subject to various legal proceedings and claims that arise in the ordinary course of our business activities. Regardless of the outcome, legal proceedings can have an adverse impact on us because of defense and settlement costs, diversion of management resources and other factors.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6" w:name="page67"/>
    <w:bookmarkEnd w:id="66"/>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800"/>
        <w:spacing w:after="0" w:line="377"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common stock began trading on the OTC Markets – OTCQB Tier on August 8, 2017 and subsequently uplisted to the Nasdaq Capital Market on June 26, 2018 under the symbol “ARPO.” The following table sets forth, for the periods indicated, the high and low intraday sales prices of our common stock as reported by the Nasdaq Capital Market and OTC Markets – OTCQB Tier.</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6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3"/>
                <w:szCs w:val="13"/>
                <w:color w:val="auto"/>
              </w:rPr>
            </w:pPr>
          </w:p>
        </w:tc>
        <w:tc>
          <w:tcPr>
            <w:tcW w:w="1360" w:type="dxa"/>
            <w:vAlign w:val="bottom"/>
          </w:tcPr>
          <w:p>
            <w:pPr>
              <w:jc w:val="right"/>
              <w:ind w:right="734"/>
              <w:spacing w:after="0" w:line="155" w:lineRule="exact"/>
              <w:rPr>
                <w:sz w:val="20"/>
                <w:szCs w:val="20"/>
                <w:color w:val="auto"/>
              </w:rPr>
            </w:pPr>
            <w:r>
              <w:rPr>
                <w:rFonts w:ascii="Arial" w:cs="Arial" w:eastAsia="Arial" w:hAnsi="Arial"/>
                <w:sz w:val="14"/>
                <w:szCs w:val="14"/>
                <w:b w:val="1"/>
                <w:bCs w:val="1"/>
                <w:color w:val="auto"/>
              </w:rPr>
              <w:t>Low</w:t>
            </w:r>
          </w:p>
        </w:tc>
        <w:tc>
          <w:tcPr>
            <w:tcW w:w="80" w:type="dxa"/>
            <w:vAlign w:val="bottom"/>
          </w:tcPr>
          <w:p>
            <w:pPr>
              <w:spacing w:after="0"/>
              <w:rPr>
                <w:sz w:val="13"/>
                <w:szCs w:val="13"/>
                <w:color w:val="auto"/>
              </w:rPr>
            </w:pPr>
          </w:p>
        </w:tc>
      </w:tr>
      <w:tr>
        <w:trPr>
          <w:trHeight w:val="223"/>
        </w:trPr>
        <w:tc>
          <w:tcPr>
            <w:tcW w:w="2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2020</w:t>
            </w:r>
          </w:p>
        </w:tc>
        <w:tc>
          <w:tcPr>
            <w:tcW w:w="12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First Quarter</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0.71</w:t>
            </w:r>
          </w:p>
        </w:tc>
        <w:tc>
          <w:tcPr>
            <w:tcW w:w="420" w:type="dxa"/>
            <w:vAlign w:val="bottom"/>
          </w:tcPr>
          <w:p>
            <w:pPr>
              <w:spacing w:after="0"/>
              <w:rPr>
                <w:sz w:val="19"/>
                <w:szCs w:val="19"/>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0.42</w:t>
            </w:r>
          </w:p>
        </w:tc>
        <w:tc>
          <w:tcPr>
            <w:tcW w:w="80" w:type="dxa"/>
            <w:vAlign w:val="bottom"/>
          </w:tcPr>
          <w:p>
            <w:pPr>
              <w:spacing w:after="0"/>
              <w:rPr>
                <w:sz w:val="19"/>
                <w:szCs w:val="19"/>
                <w:color w:val="auto"/>
              </w:rPr>
            </w:pPr>
          </w:p>
        </w:tc>
      </w:tr>
      <w:tr>
        <w:trPr>
          <w:trHeight w:val="229"/>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6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80" w:type="dxa"/>
            <w:vAlign w:val="bottom"/>
            <w:shd w:val="clear" w:color="auto" w:fill="CFF0FC"/>
          </w:tcPr>
          <w:p>
            <w:pPr>
              <w:spacing w:after="0"/>
              <w:rPr>
                <w:sz w:val="19"/>
                <w:szCs w:val="19"/>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Third Quarter</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1.90</w:t>
            </w:r>
          </w:p>
        </w:tc>
        <w:tc>
          <w:tcPr>
            <w:tcW w:w="420" w:type="dxa"/>
            <w:vAlign w:val="bottom"/>
          </w:tcPr>
          <w:p>
            <w:pPr>
              <w:spacing w:after="0"/>
              <w:rPr>
                <w:sz w:val="19"/>
                <w:szCs w:val="19"/>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r>
      <w:tr>
        <w:trPr>
          <w:trHeight w:val="229"/>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16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80" w:type="dxa"/>
            <w:vAlign w:val="bottom"/>
            <w:shd w:val="clear" w:color="auto" w:fill="CFF0FC"/>
          </w:tcPr>
          <w:p>
            <w:pPr>
              <w:spacing w:after="0"/>
              <w:rPr>
                <w:sz w:val="19"/>
                <w:szCs w:val="19"/>
                <w:color w:val="auto"/>
              </w:rPr>
            </w:pPr>
          </w:p>
        </w:tc>
      </w:tr>
      <w:tr>
        <w:trPr>
          <w:trHeight w:val="459"/>
        </w:trPr>
        <w:tc>
          <w:tcPr>
            <w:tcW w:w="2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gridSpan w:val="2"/>
          </w:tcPr>
          <w:p>
            <w:pPr>
              <w:ind w:left="360"/>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24"/>
                <w:szCs w:val="24"/>
                <w:color w:val="auto"/>
              </w:rPr>
            </w:pPr>
          </w:p>
        </w:tc>
        <w:tc>
          <w:tcPr>
            <w:tcW w:w="14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Low</w:t>
            </w:r>
          </w:p>
        </w:tc>
      </w:tr>
      <w:tr>
        <w:trPr>
          <w:trHeight w:val="223"/>
        </w:trPr>
        <w:tc>
          <w:tcPr>
            <w:tcW w:w="2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2019</w:t>
            </w:r>
          </w:p>
        </w:tc>
        <w:tc>
          <w:tcPr>
            <w:tcW w:w="12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First Quarter</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4.25</w:t>
            </w:r>
          </w:p>
        </w:tc>
        <w:tc>
          <w:tcPr>
            <w:tcW w:w="420" w:type="dxa"/>
            <w:vAlign w:val="bottom"/>
          </w:tcPr>
          <w:p>
            <w:pPr>
              <w:spacing w:after="0"/>
              <w:rPr>
                <w:sz w:val="19"/>
                <w:szCs w:val="19"/>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0.88</w:t>
            </w:r>
          </w:p>
        </w:tc>
        <w:tc>
          <w:tcPr>
            <w:tcW w:w="80" w:type="dxa"/>
            <w:vAlign w:val="bottom"/>
          </w:tcPr>
          <w:p>
            <w:pPr>
              <w:spacing w:after="0"/>
              <w:rPr>
                <w:sz w:val="19"/>
                <w:szCs w:val="19"/>
                <w:color w:val="auto"/>
              </w:rPr>
            </w:pPr>
          </w:p>
        </w:tc>
      </w:tr>
      <w:tr>
        <w:trPr>
          <w:trHeight w:val="229"/>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6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80" w:type="dxa"/>
            <w:vAlign w:val="bottom"/>
            <w:shd w:val="clear" w:color="auto" w:fill="CFF0FC"/>
          </w:tcPr>
          <w:p>
            <w:pPr>
              <w:spacing w:after="0"/>
              <w:rPr>
                <w:sz w:val="19"/>
                <w:szCs w:val="19"/>
                <w:color w:val="auto"/>
              </w:rPr>
            </w:pPr>
          </w:p>
        </w:tc>
      </w:t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Third Quarter</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0.90</w:t>
            </w:r>
          </w:p>
        </w:tc>
        <w:tc>
          <w:tcPr>
            <w:tcW w:w="420" w:type="dxa"/>
            <w:vAlign w:val="bottom"/>
          </w:tcPr>
          <w:p>
            <w:pPr>
              <w:spacing w:after="0"/>
              <w:rPr>
                <w:sz w:val="19"/>
                <w:szCs w:val="19"/>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0.61</w:t>
            </w:r>
          </w:p>
        </w:tc>
        <w:tc>
          <w:tcPr>
            <w:tcW w:w="80" w:type="dxa"/>
            <w:vAlign w:val="bottom"/>
          </w:tcPr>
          <w:p>
            <w:pPr>
              <w:spacing w:after="0"/>
              <w:rPr>
                <w:sz w:val="19"/>
                <w:szCs w:val="19"/>
                <w:color w:val="auto"/>
              </w:rPr>
            </w:pPr>
          </w:p>
        </w:tc>
      </w:tr>
      <w:tr>
        <w:trPr>
          <w:trHeight w:val="230"/>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16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8, 2021, there were 113 stockholders of record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have never declared nor paid any cash dividends to stockholders. We do not intend to pay cash dividends on our common stock for the foreseeable future, and currently intend to retain any future earnings to fund our operations and the development and growth of our business. The declaration of any future cash dividends, if any, would be at the discretion of our Board of Directors (subject to limitations imposed under applicable Delaware law) and would depend on our earnings, if any, our capital requirements and financial position, our general economic conditions and other pertinent conditions.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shares of common stock made during the year ended December 31,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The following discussion of the financial condition and results of operations of Aerpio Pharmaceuticals, Inc. should be read in conjunction with the consolidated financial statements and the notes to those statements included in this Annual Report on Form 10-K for the year ending December 31, 2020. Some of the information contained in this discussion and analysis, including information with respect to our plans and strategy for our business, includes forward-looking statements that involve risk, uncertainties and assumptions.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 Please also refer to the section under the heading “Note Regarding Forward-Looking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Aerpio Pharmaceuticals, Inc. is a biopharmaceutical company focused on developing compounds that activate Tie2 as well as other indications in which the Company believes that activation of Tie2 may have therapeutic potential. Our product candidates include razuprotafib (formerly known as AKB-9778), a small molecule VE-PTP inhibitor.</w:t>
      </w:r>
    </w:p>
    <w:p>
      <w:pPr>
        <w:spacing w:after="0" w:line="76"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In March 2019, we announced topline results from our Phase 2b (“TIME-2b”) clinical trial of AKB-9778 for the treatment of non-proliferative diabetic retinopathy. Although the results did not meet the study’s primary endpoint, we believe that the TIME-2b study further supported the reduction of intraocular pressure (“IOP”) seen with subcutaneous razuprotafib in the previous TIME-2 study. Based on these findings, we developed a topical ocular formulation of razuprotafib, and observed in preclinical studies activation of Tie2 in Schlemm’s canal, IOP reduction via enhanced outflow facility and favorable tolerability.</w:t>
      </w:r>
    </w:p>
    <w:p>
      <w:pPr>
        <w:spacing w:after="0" w:line="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June 2019, we initiated a double-masked, multiple-ascending dose Phase 1b clinical trial for open angle glaucoma (“OAG”). We enrolled four cohorts of 12 subjects each and subjects received increasing daily doses of a topical ocular formulation of razuprotafib or placebo for seven days. The primary endpoint of the trial was ocular safety and tolerability, with IOP lowering as the key pharmacodynamic endpoint. In October 2019, we announced interim results from our Phase 1b clinical trial. The unmasked interim analysis, limited to the first three cohorts, showed the topical ocular administration of razuprotafib was well tolerated. Compared to placebo, there was a dose dependent increase in minimal to mild conjunctival hyperemia with razuprotafib, which was transient and generally considered non-adverse, and a time and dose dependent reduction in IOP that, in the highest once daily (“QD”) dose cohort peaked at 4 hours post-dose and was sustained through eight hours on day 7, returning to baseline levels at 24 hours post-dose. Based on these data, a cohort of 43 patients with ocular hypertension (“OHT”)/OAG (hypertensive eyes) was added to the ongoing study to assess safety and pilot efficacy in the target patient population.</w:t>
      </w:r>
    </w:p>
    <w:p>
      <w:pPr>
        <w:spacing w:after="0" w:line="8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January 2020, we announced the results of the fifth cohort of subjects noting subjects in cohort five randomized to the active arm exhibited statistically significant decreases in IOP at all post razuprotafib administration time points on both days 1 and 7 compared with day -1 baseline values when they were being treated with prostaglandin alone. When the change is placebo-corrected, razuprotafib plus prostaglandin versus prostaglandin alone produced a statistically significant decrease in IOP on Day 7 at 0, 4 and 8 hours post dose as compared to placebo. We believe these results suggest a persistent IOP-lowering activity from adding razuprotafib to standard-of-care prostaglandin therapy. Topical ocular administration of razuprotafib was well tolerated over seven days in cohort five. There were no reports of conjunctival hemorrhage or pain on instillation during the seven days of dosing and no systemic/non-ocular AEs were observed.</w:t>
      </w:r>
    </w:p>
    <w:p>
      <w:pPr>
        <w:spacing w:after="0" w:line="8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Based on the preclinical proof of concept and the results of the Phase 1b trial showing a reduction in IOP in patients with OHT and OAG, we initiated a Phase 2 clinical trial in June 2020 designed to evaluate the safety and efficacy of a topical formulation of razuprotafib in approximately 195 patients followed over a 28-day period. Patients enrolled in the trial will be administered a baseline of latanoprost ophthalmic solution 0.005%, and then randomized in a 1:1:1 fashion to receive adjunctive therapy consisting of placebo, 40 mg/ml razuprotafib once-daily, or 40 mg/ml razuprotafib twice-daily. The primary endpoint of the study is mean diurnal IOP at 28 days in the razuprotafib treated groups compared to the latanoprost monotherapy group</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8" w:name="page69"/>
    <w:bookmarkEnd w:id="68"/>
    <w:p>
      <w:pPr>
        <w:ind w:right="20"/>
        <w:spacing w:after="0" w:line="286" w:lineRule="auto"/>
        <w:rPr>
          <w:sz w:val="20"/>
          <w:szCs w:val="20"/>
          <w:color w:val="auto"/>
        </w:rPr>
      </w:pPr>
      <w:r>
        <w:rPr>
          <w:rFonts w:ascii="Arial" w:cs="Arial" w:eastAsia="Arial" w:hAnsi="Arial"/>
          <w:sz w:val="16"/>
          <w:szCs w:val="16"/>
          <w:color w:val="auto"/>
        </w:rPr>
        <w:t>In December 2020, we reported that razuprotafib met the primary efficacy endpoint at Day 28 with the twice-daily (“BID”) dose group in our double-blind, placebo-controlled Phase 2 trial in patients with elevated IOP associated with OAG or OHT. The change from baseline in diurnal mean IOP at Day 28 of study eyes treated with razuprotafib BID plus latanoprost showed a statistically significant improvement, or drop in IOP, (two-sided p-value 0.0130 and LS mean difference of -0.92 mm Hg) compared to those treated with latanoprost monotherapy. The razuprotafib once-daily (“QD”) dose group did not show a statistically significant improvement at Day 28. Further analysis of the results demonstrated that razuprotafib had a larger IOP reduction after longer duration dosing (28 days versus 14 days) consistent with its potential mechanism of repairing Schlemm’s canal. Razuprotafib also produced larger IOP reductions in patients with higher starting IOP, or a 1.6 mmHg IOP reduction in patients with post wash-out IOP’s of &gt;26 mmHg and the topical drops were well tolerated in this trial. While the trial met the primary efficacy endpoint at Day 28 with the BID group, the IOP decrease was not at a level deemed sufficient to move to Phase 3 development. Therefore, following the announcement regarding the topline results from the Phase 2 clinical trial of razuprotafib in patients with elevated IOP associated with OAG or OHT, we initiated a process to explore a range of strategic alternatives focused on maximizing stockholder value from our clinical assets and cash resources. As part of this process, we are exploring strategic options for partnering our programs, as well as the potential for an acquisition, company sale, merger, business combination, asset sale, in-license, out-license or other strategic transaction. There can be no assurance that this exploration of strategic alternatives will result in the Company entering or completing any transaction.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Ladenburg Thalmann &amp; Co. Inc. and Duane Nash, M.D., J.D., M.B.A, have been retained with respect to the strategic review process.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January 2021, we executed a realignment plan to reduce operating costs and better align our workforce with the needs of our ongoing business. The realignment plan reduces our current workforce by 7 employees, representing approximately 58% of our workforce. As a result of this realignment plan, we estimate that we will incur one-time employee related severance expenses of approximately $1.2 million in the first quarter of 2021. We anticipate the majority of the one-time employee severance liability to be paid during 2021. The charges that we expect to incur in connection with the realignment plan are subject to a number of assumptions, and actual results may differ from our original estimate. We may also incur additional costs not currently contemplated due to events that may occur as a result of, or that are associated with, the realignment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Acute Respiratory Distress Syndrome</w:t>
      </w:r>
    </w:p>
    <w:p>
      <w:pPr>
        <w:spacing w:after="0" w:line="11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Based on results in preclinical studies and observations in patients in TIME-2 and TIME-2b trials, we believe that a vascular endothelial receptor, Tie2, may play a pivotal role in the defense against microvascular breach in ARDS. We hypothesize that razuprotafib, our lead Tie2 activator, may have therapeutic potential for the treatment of COVID-19 associated ARDS and initiated two Phase 2 trials during 2020.</w:t>
      </w:r>
    </w:p>
    <w:p>
      <w:pPr>
        <w:spacing w:after="0" w:line="5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May 2020, we were selected by Quantum Leap Healthcare Collaborative to participate in the I-SPY COVID Trial (Investigation of Serial studies to Predict Your COVID Therapeutic Response with biomarker Integration and Adaptive Learning) to evaluate subcutaneous razuprotafib for the treatment of COVID-19 related ARDS in adult patients with critical COVID-19 (ClinicalTrials.gov Identifier: NCT04488081). The trial was initiated during the third quarter of 2020 but in January 2021, the Data Monitoring Committee recommended discontinuation of razuprotafib after 21 patients due to the complexity of monitoring patients in the setting of a surge in ICU patients. There were no apparent safety signals associated with razuprotafib in these 21 patients and we believe the scientific basis is sound for continuing to evaluate the drug in patients presenting with ARDS across a broader array of infections.</w:t>
      </w:r>
    </w:p>
    <w:p>
      <w:pPr>
        <w:spacing w:after="0" w:line="56"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In August 2020, we announced the receipt of funding to evaluate subcutaneous razuprotafib in a new randomized, investigational trial for the prevention and treatment of ARDS in adult patients with moderate to severe COVID-19 (“RESCUE” trial; ClinicalTrials.gov Identifier: NCT04511650). The RESCUE trial will evaluate subcutaneous razuprotafib for the prevention and treatment of ARDS in adult patients with moderate to severe COVID-19 as part of the MTEC-20-09-COVID-19 Treatment Military Infectious Disease Research Program (“MIDRP”). The Medical Technology Enterprise Consortium (“MTEC”), a non-profit organization primarily funded by the U.S. Army Medical Research and Development Command, will provide up to $5.1 million of reimbursement related to qualified internal and external spending of the Company, as it relates to the clinical trial. The RESCUE clinical trial was initiated during the third quarter of 2020 but we decided to stop recruiting in February 2021 after the first 31 patients were enrolled based on challenges recruiting and monitoring patients in the current pandemic environment.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ind w:right="340"/>
        <w:spacing w:after="0" w:line="277" w:lineRule="auto"/>
        <w:rPr>
          <w:sz w:val="20"/>
          <w:szCs w:val="20"/>
          <w:color w:val="auto"/>
        </w:rPr>
      </w:pPr>
      <w:r>
        <w:rPr>
          <w:rFonts w:ascii="Arial" w:cs="Arial" w:eastAsia="Arial" w:hAnsi="Arial"/>
          <w:sz w:val="18"/>
          <w:szCs w:val="18"/>
          <w:color w:val="auto"/>
        </w:rPr>
        <w:t>There were no apparent safety signals associated with dosing COVID-19 patients in the RESCUE trial and we plan to further analyze the data to assess trends in efficacy and biomarkers. We expect to report top-line data in the second quarter of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Diabetic Kidney Disease</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two consecutive trials, TIME-2 and TIME-2b, subcutaneous razuprotafib showed reduction in Urine Albumin-Creatinine Ratio (“UACR”), a measure of progression of diabetic kidney disease. In a post-hoc analysis of the earlier TIME-2 clinical trial, there was a 21% reduction (geometric mean) in UACR from baseline in the razuprotafib treatment arms, but an overall increase in UACR in the placebo arm. The prospective UACR analyses from the recently completed TIME-2b trial largely replicated the results from the previous trial and reinforced the potential beneficial effects of Tie2 activation in diabetic kidney disease. We believe that systemic treatment with razuprotafib could have the potential to change the treatment paradigm for diabetics in the future and potentially address a major societal problem by lowering the cost of care associated generally with diabetes.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ARP-1536 and Bi-specific Antibody</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ARP-1536, our humanized monoclonal antibody directed at the same target as subcutaneous razuprotafib, is in preclinical development. We are evaluating development options for ARP-1536, including subcutaneous injection for the treatment of diabetic vascular complications, e.g., diabetic nephropathy and intravitreal injection as an adjunctive therapy for diabetic macular edema. We are also developing a bispecific antibody that binds both vascular endothelial growth factor (“VEGF”) and vascular endothelial protein tyrosine phosphatase (“VE-PTP”) which is designed to inhibit VEGF activation and activate Tie2. We believe this bispecific antibody has the potential to be an improved treatment for wet AMD and diabetic macular edema via intravitreal injection.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Gossamer License Agreement</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June 2018, we licensed AKB-4924, a selective stabilizer of hypoxia-inducible factor-1 alpha (“HIF-1 alpha”) to Gossamer Bio, Inc. (“Gossamer”) AKB-4924, (now called GB004), is being developed for the treatment of inflammatory bowel disease (“IBD”). HIF-1 alpha is involved in mucosal wound healing and the reduction of inflammation in the gastrointestinal tract. Gossamer has completed the Phase 1 multiple ascending dose (“MAD”) clinical study and is currently running a Phase 1b clinical study in ulcerative colitis (“UC”) patients. Gossamer has progressed GB004 during 2019 by completing the Phase 1 trial in healthy volunteers and initiating a Phase 1b study in ulcerative colitis patients of 28-day duration. Gossamer reported topline results from the Phase 1b study in the second quarter of 2020 and announced that, subject to developments in the ongoing COVID-19 pandemic, it initiated a 12-week Phase 2 study of GB004 in patients with mild-to-moderate UC in the second half of 2020. Gossamer is responsible for all remaining development and commercial activities for GB004.</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primary source of liquidity to date has been through public and private sales of our common stock, redeemable convertible preferred stock, convertible debt and the proceeds from a license agreement entered into with Gossamer (the “Gossamer License Agreement”), as amended by that certain Amendment No. 1 to the Gossamer License Agreement (“Amendment No. 1” and together with the Gossamer License Agreement, as amended by Amendment No. 1, the “Amended Gossamer License Agreement”). For the year ended December 31, 2020, we generated $15.0 million in revenue pursuant to Amendment No. 1.</w:t>
      </w:r>
    </w:p>
    <w:p>
      <w:pPr>
        <w:spacing w:after="0" w:line="8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will need to raise additional funds to further advance our clinical research programs, commence additional clinical trials and commercialize our products, if approved. While we continue to pursue financing alternatives, which may include equity financing, business development arrangements, licensing arrangements and business combination transactions, financing may not be available to us in the necessary time frame, in the amounts that we need, on terms that are acceptable to us or at all. If we are unable to raise the necessary funds when needed or reduce spending on currently planned activities, we may not be able to continue the development of our product candidates or we could be required to delay, scale back or eliminate some or all of our development programs and other operations and will materially harm our business and consolidated financial position.</w:t>
      </w:r>
    </w:p>
    <w:p>
      <w:pPr>
        <w:spacing w:after="0" w:line="5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expect to continue to incur significant expenses and operating losses for the foreseeable future as a result of our ongoing activities. We are subject to a number of risks similar to other life science companies in the current stage of our life cycle, including, but not limited to, the need to obtain adequate additional funding, possible failure of preclinical testing or clinical trials, competitors developing new technological innovations, and protection of</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proprietary technology. If we do not successfully mitigate any of these risks, we will be unable to generate revenue or achieve profitability.</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Except for the Amended Gossamer License Agreement that we entered into with Gossamer in June 2018 and amended in May 2020, our operations to date have been limited to organizing and staffing our Company, business planning, raising capital, acquiring and developing our technology, identifying potential product candidates and undertaking preclinical and clinical studies. There can be no assurance of future revenues either from future payments related to the Amended Gossamer License Agreement, transition services or from our product candidates. Our product candidates are subject to long development cycles, and there is no assurance we will be able to successfully develop, obtain regulatory approval for, or market our product candidates. As of December 31, 2020, we had an accumulated deficit of $146.6 million and anticipate incurring additional losses for the next several years.</w:t>
      </w:r>
    </w:p>
    <w:p>
      <w:pPr>
        <w:spacing w:after="0" w:line="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inability to obtain required funding in the near future could have a material adverse effect on its operations and strategic development plan for future growth. If the Company cannot successfully raise additional capital and implement its strategic development plan, its liquidity, financial condition and business prospects will be materially and adversely affected, and the Company may have to cease operations. Based on the Company’s current cash reserves of $42.6 million at December 31, 2020 and financial condition as of this Annual Report on Form 10-K, we believe our existing cash and cash equivalent will be sufficient to fund currently planned operations through the fourth quarter of 2022. The Company is currently evaluating a range of strategic alternatives focused on maximizing stockholder value from our clinical assets and cash resources. As part of this process, we are exploring strategic options for partnering our programs, as well as the potential for an acquisition, company sale, merger, business combination, asset sale, in-license, out-license or other strategic transaction. There can be no assurance that this exploration of strategic alternatives will result in the Company entering or completing any transaction.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Considerations: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March 11, 2020, the World Health Organization declared the outbreak of COVID-19, as a global pandemic, which continues to spread throughout the United States and around the world. The COVID-19 pandemic is evolving, and to date has led to the implementation of various responses, including government-imposed quarantines, stay-at-home orders, travel restrictions, mandated business closures and other public health safety measures. In addition, in response to the spread of COVID-19, we have continued to keep our executive offices closed with our employees continue to work outside of our offices. We are closely monitoring the impact of COVID-19 on all aspects of our business, including how it may impact our planned Phase 2 clinical trial for our glaucoma program, expected timelines and costs on an ongoing basis. We do not yet know the full extent of potential delays or the impact on our business, our planned clinical trial, our research programs, healthcare systems or the global economy and we cannot presently predict the scope and severity of any potential business shutdowns or disruptions. The extent to which COVID-19 ultimately impacts our business, results of operations and financial condition will depend on future developments, which remain highly uncertain and cannot be predicted with confidence, such as the duration of the outbreak, new information that may emerge concerning the severity of COVID-19 or the effectiveness of actions to contain COVID-19 or treat its impact, among others. While some states and jurisdictions have started to rollback stay-at-home orders, quarantines and similar restrictions and reopened in phases, the regulations vary on a state by state basis and the impact of loosening of those restrictions is not yet known. If we or any of the third parties with whom we engage were to experience additional shutdowns or other prolonged business disruptions, our ability to conduct our business in the manner and on the timelines presently planned could have a material adverse impact on our business, results of operation and financial condition. In addition, a recurrence of COVID-19 cases could cause other widespread or more severe impacts depending on where infection rates are highest. We continue to monitor developments as we deal with the disruptions and uncertainties relating to the COVID-19 pandemic.</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consolidated balance sheets and the consolidated statements of operation and comprehensive loss presented herein. The following discussion and analysis are based on our consolidated financial statements contained in this Annual Report on Form 10-K, which we have prepared in accordance with U.S. generally accepted accounting principles (“U.S. GAAP” or “GAAP”). You should read the discussion and analysis together with such consolidated financial statements and the related notes thereto.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Components of Consolidated Statements of Operations and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Revenue, and 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License revenue relates to the Gossamer License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Research and development expenses are expensed as incurred. Research and development expenses consist primarily of (i) employee-related expenses, including salaries, benefits, travel, and stock-based compensation expense, (ii) external research and development expenses incurred under arrangements with third parties, such as contract research organizations (“CRO’s”) and consultants, (iii) the cost of acquiring, developing, and manufacturing clinical study materials, and (iv) costs associated with preclinical, clinical and regulatory activities.</w:t>
      </w: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Costs for certain development activities are recognized based on an evaluation of the progress to completion of specific tasks using information and data provided to us by our vendors and clinical sites.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General and administrative expenses consist primarily of compensation and related costs for our finance, human resources and other administrative personnel, including stock-based compensation, employee benefits and travel. In addition, general and administrative expenses include third-party consulting, legal, patent, audit, accounting services and facilities costs. We expect to continue to incur general and administrative expenses due to additional legal, accounting, insurance, investor relations and other costs associated with being a public company, as well as other costs associated with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Restructuring expense consists primarily of severance related expenses of employees terminated as a result of our restructuring efforts. Expenses include continued payroll, benefits and outplacement services (collectively “severance”) as defined and agreed upon by the respective employees’ severance agreement. Severance is recognized as restructuring expense when employees are notified of the restructuring event with a corresponding restructuring accrual which was reduced as payments are made to the employees.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Other income represents reimbursed internal and external qualified expenses, per the terms of the MTEC arrangement, related to the ARDS RESCUE clinical trial. Other income is recorded, and generally received, in the period the internal or external qualified clinical trial as we incur and pay expenses.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income received on cash and cash equivalents.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Results of Consolidated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results of operations:</w:t>
      </w:r>
    </w:p>
    <w:p>
      <w:pPr>
        <w:spacing w:after="0" w:line="82"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8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rPr>
              <w:t>Years Ended December 31,</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4"/>
        </w:trPr>
        <w:tc>
          <w:tcPr>
            <w:tcW w:w="534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b w:val="1"/>
                <w:bCs w:val="1"/>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15,000,000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8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12,594,823</w:t>
            </w:r>
          </w:p>
        </w:tc>
        <w:tc>
          <w:tcPr>
            <w:tcW w:w="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12,824,402</w:t>
            </w:r>
          </w:p>
        </w:tc>
        <w:tc>
          <w:tcPr>
            <w:tcW w:w="100" w:type="dxa"/>
            <w:vAlign w:val="bottom"/>
            <w:shd w:val="clear" w:color="auto" w:fill="CFF0FC"/>
          </w:tcPr>
          <w:p>
            <w:pPr>
              <w:spacing w:after="0"/>
              <w:rPr>
                <w:sz w:val="21"/>
                <w:szCs w:val="21"/>
                <w:color w:val="auto"/>
              </w:rPr>
            </w:pPr>
          </w:p>
        </w:tc>
      </w:tr>
      <w:tr>
        <w:trPr>
          <w:trHeight w:val="229"/>
        </w:trPr>
        <w:tc>
          <w:tcPr>
            <w:tcW w:w="53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8,762,222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9,756,185</w:t>
            </w:r>
          </w:p>
        </w:tc>
        <w:tc>
          <w:tcPr>
            <w:tcW w:w="100" w:type="dxa"/>
            <w:vAlign w:val="bottom"/>
          </w:tcPr>
          <w:p>
            <w:pPr>
              <w:spacing w:after="0"/>
              <w:rPr>
                <w:sz w:val="19"/>
                <w:szCs w:val="19"/>
                <w:color w:val="auto"/>
              </w:rPr>
            </w:pPr>
          </w:p>
        </w:tc>
      </w:tr>
      <w:tr>
        <w:trPr>
          <w:trHeight w:val="229"/>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expense</w:t>
            </w:r>
          </w:p>
        </w:tc>
        <w:tc>
          <w:tcPr>
            <w:tcW w:w="4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1,863,495</w:t>
            </w:r>
          </w:p>
        </w:tc>
        <w:tc>
          <w:tcPr>
            <w:tcW w:w="100" w:type="dxa"/>
            <w:vAlign w:val="bottom"/>
            <w:shd w:val="clear" w:color="auto" w:fill="CFF0FC"/>
          </w:tcPr>
          <w:p>
            <w:pPr>
              <w:spacing w:after="0"/>
              <w:rPr>
                <w:sz w:val="19"/>
                <w:szCs w:val="19"/>
                <w:color w:val="auto"/>
              </w:rPr>
            </w:pPr>
          </w:p>
        </w:tc>
      </w:tr>
      <w:tr>
        <w:trPr>
          <w:trHeight w:val="223"/>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21,357,045</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24,444,082</w:t>
            </w:r>
          </w:p>
        </w:tc>
        <w:tc>
          <w:tcPr>
            <w:tcW w:w="100" w:type="dxa"/>
            <w:vAlign w:val="bottom"/>
            <w:tcBorders>
              <w:bottom w:val="single" w:sz="8" w:color="CFF0FC"/>
            </w:tcBorders>
          </w:tcPr>
          <w:p>
            <w:pPr>
              <w:spacing w:after="0"/>
              <w:rPr>
                <w:sz w:val="19"/>
                <w:szCs w:val="19"/>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(6,357,045)</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(24,444,082)</w:t>
            </w:r>
          </w:p>
        </w:tc>
        <w:tc>
          <w:tcPr>
            <w:tcW w:w="100" w:type="dxa"/>
            <w:vAlign w:val="bottom"/>
            <w:shd w:val="clear" w:color="auto" w:fill="CFF0FC"/>
          </w:tcPr>
          <w:p>
            <w:pPr>
              <w:spacing w:after="0"/>
              <w:rPr>
                <w:sz w:val="19"/>
                <w:szCs w:val="19"/>
                <w:color w:val="auto"/>
              </w:rPr>
            </w:pPr>
          </w:p>
        </w:tc>
      </w:tr>
      <w:tr>
        <w:trPr>
          <w:trHeight w:val="229"/>
        </w:trPr>
        <w:tc>
          <w:tcPr>
            <w:tcW w:w="5340" w:type="dxa"/>
            <w:vAlign w:val="bottom"/>
          </w:tcPr>
          <w:p>
            <w:pPr>
              <w:ind w:left="240"/>
              <w:spacing w:after="0"/>
              <w:rPr>
                <w:sz w:val="20"/>
                <w:szCs w:val="20"/>
                <w:color w:val="auto"/>
              </w:rPr>
            </w:pPr>
            <w:r>
              <w:rPr>
                <w:rFonts w:ascii="Arial" w:cs="Arial" w:eastAsia="Arial" w:hAnsi="Arial"/>
                <w:sz w:val="18"/>
                <w:szCs w:val="18"/>
                <w:color w:val="auto"/>
              </w:rPr>
              <w:t>Grant income</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1,813,976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79,900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142,729</w:t>
            </w:r>
          </w:p>
        </w:tc>
        <w:tc>
          <w:tcPr>
            <w:tcW w:w="100" w:type="dxa"/>
            <w:vAlign w:val="bottom"/>
            <w:shd w:val="clear" w:color="auto" w:fill="CFF0FC"/>
          </w:tcPr>
          <w:p>
            <w:pPr>
              <w:spacing w:after="0"/>
              <w:rPr>
                <w:sz w:val="19"/>
                <w:szCs w:val="19"/>
                <w:color w:val="auto"/>
              </w:rPr>
            </w:pPr>
          </w:p>
        </w:tc>
      </w:tr>
      <w:tr>
        <w:trPr>
          <w:trHeight w:val="243"/>
        </w:trPr>
        <w:tc>
          <w:tcPr>
            <w:tcW w:w="5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income</w:t>
            </w: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147,846</w:t>
            </w:r>
          </w:p>
        </w:tc>
        <w:tc>
          <w:tcPr>
            <w:tcW w:w="3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1,030,839</w:t>
            </w:r>
          </w:p>
        </w:tc>
        <w:tc>
          <w:tcPr>
            <w:tcW w:w="100" w:type="dxa"/>
            <w:vAlign w:val="bottom"/>
            <w:tcBorders>
              <w:bottom w:val="single" w:sz="8" w:color="CFF0FC"/>
            </w:tcBorders>
          </w:tcPr>
          <w:p>
            <w:pPr>
              <w:spacing w:after="0"/>
              <w:rPr>
                <w:sz w:val="21"/>
                <w:szCs w:val="2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4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2,041,722</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1,173,568</w:t>
            </w:r>
          </w:p>
        </w:tc>
        <w:tc>
          <w:tcPr>
            <w:tcW w:w="100" w:type="dxa"/>
            <w:vAlign w:val="bottom"/>
            <w:shd w:val="clear" w:color="auto" w:fill="CFF0FC"/>
          </w:tcPr>
          <w:p>
            <w:pPr>
              <w:spacing w:after="0"/>
              <w:rPr>
                <w:sz w:val="19"/>
                <w:szCs w:val="19"/>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Net and comprehensive loss</w:t>
            </w: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(4,315,323)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8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(23,270,514)</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2020 and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License revenue for the year ended December 31, 2020 of $15.0 million related to payment received as consideration pursuant to Amendment No. 1 of the Gossamer License Agreement. This revenue was recognized when cash was received upon execution of Amendment No. 1 on May 12, 2020. There were no milestones achieved related to the Gossamer License Agreement in 2020 or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No such license agreement amendment was executed in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operating expenses:</w:t>
      </w:r>
    </w:p>
    <w:p>
      <w:pPr>
        <w:spacing w:after="0" w:line="41" w:lineRule="exact"/>
        <w:rPr>
          <w:sz w:val="20"/>
          <w:szCs w:val="20"/>
          <w:color w:val="auto"/>
        </w:rPr>
      </w:pPr>
    </w:p>
    <w:tbl>
      <w:tblPr>
        <w:tblLayout w:type="fixed"/>
        <w:tblInd w:w="110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502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6"/>
                <w:szCs w:val="16"/>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12,594,823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8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12,824,402</w:t>
            </w:r>
          </w:p>
        </w:tc>
        <w:tc>
          <w:tcPr>
            <w:tcW w:w="60" w:type="dxa"/>
            <w:vAlign w:val="bottom"/>
            <w:shd w:val="clear" w:color="auto" w:fill="CFF0FC"/>
          </w:tcPr>
          <w:p>
            <w:pPr>
              <w:spacing w:after="0"/>
              <w:rPr>
                <w:sz w:val="19"/>
                <w:szCs w:val="19"/>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8,762,222</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9,756,185</w:t>
            </w:r>
          </w:p>
        </w:tc>
        <w:tc>
          <w:tcPr>
            <w:tcW w:w="60" w:type="dxa"/>
            <w:vAlign w:val="bottom"/>
          </w:tcPr>
          <w:p>
            <w:pPr>
              <w:spacing w:after="0"/>
              <w:rPr>
                <w:sz w:val="21"/>
                <w:szCs w:val="2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w:t>
            </w:r>
          </w:p>
        </w:tc>
        <w:tc>
          <w:tcPr>
            <w:tcW w:w="4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1,863,495</w:t>
            </w:r>
          </w:p>
        </w:tc>
        <w:tc>
          <w:tcPr>
            <w:tcW w:w="6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21,357,045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24,444,082</w:t>
            </w:r>
          </w:p>
        </w:tc>
        <w:tc>
          <w:tcPr>
            <w:tcW w:w="6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Research and development expenses for the year ended December 31, 2020, decreased $0.2 million, or 1.8%, compared to the year ended December 31, 2019. This was the result of decreased spending on clinical trials during 2020, specifically the Phase 2 program for glaucoma, and the I-SPY and RESCUE clinical trials, compared to the spending related to the completion of razuprotafib TIME-2b and glaucoma Phase 1b clinical trial during 2019.</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and administrative expenses for the year ended December 31, 2020, decreased $1.0 million, or 10.2%, compared to the year ended December 31, 2019. This decrease was primarily attributable to a decrease in employee related expenses of $0.7 million, legal expenses of $0.3 million and general office expenses of $0.8 million related to the Company’s restructuring efforts in 2019, offset by an increase in liability insurance of $0.3 million, consulting expense of $0.3 million and stock-based compensation of $0.2 million.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color w:val="auto"/>
        </w:rPr>
        <w:t>Restructuring Expense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Restructuring expenses for the year ended December 31, 2019 was $1.9 million and result of a reduction of headcount during 2019. No such actions were taken during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other income:</w:t>
      </w:r>
    </w:p>
    <w:p>
      <w:pPr>
        <w:spacing w:after="0" w:line="82" w:lineRule="exact"/>
        <w:rPr>
          <w:sz w:val="20"/>
          <w:szCs w:val="20"/>
          <w:color w:val="auto"/>
        </w:rPr>
      </w:pPr>
    </w:p>
    <w:tbl>
      <w:tblPr>
        <w:tblLayout w:type="fixed"/>
        <w:tblInd w:w="136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476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FF0FC"/>
            </w:tcBorders>
          </w:tcPr>
          <w:p>
            <w:pPr>
              <w:spacing w:after="0"/>
              <w:rPr>
                <w:sz w:val="16"/>
                <w:szCs w:val="16"/>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1,813,976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4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Grant income</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79,900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142,729</w:t>
            </w:r>
          </w:p>
        </w:tc>
        <w:tc>
          <w:tcPr>
            <w:tcW w:w="80" w:type="dxa"/>
            <w:vAlign w:val="bottom"/>
          </w:tcPr>
          <w:p>
            <w:pPr>
              <w:spacing w:after="0"/>
              <w:rPr>
                <w:sz w:val="21"/>
                <w:szCs w:val="2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147,846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1,030,839</w:t>
            </w:r>
          </w:p>
        </w:tc>
        <w:tc>
          <w:tcPr>
            <w:tcW w:w="80" w:type="dxa"/>
            <w:vAlign w:val="bottom"/>
            <w:shd w:val="clear" w:color="auto" w:fill="CFF0FC"/>
          </w:tcPr>
          <w:p>
            <w:pPr>
              <w:spacing w:after="0"/>
              <w:rPr>
                <w:sz w:val="19"/>
                <w:szCs w:val="19"/>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Total other income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2,041,722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4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1,173,568</w:t>
            </w:r>
          </w:p>
        </w:tc>
        <w:tc>
          <w:tcPr>
            <w:tcW w:w="8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income for the year ended December 31, 2020 of $1.8 million represents reimbursed internal and external qualified expenses related to the ARDS RESCUE clinical trial, per the terms of the MTEC arrangement. No such arrangement existed in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Income</w:t>
      </w:r>
    </w:p>
    <w:p>
      <w:pPr>
        <w:spacing w:after="0" w:line="117"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Grant income is recognized as earned based on contract work performed. Grant income amounts can vary greatly from period to period depending on the funding and work performed. Grant income decreased in year ended December 31, 2020 compared to year ended December 31, 2019 primarily due to a grant awarded during 2019, and completed the middle of 2020, for development of ARP-1536. No new grants were awarded during 2020.</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Interest income for the years ended December 31, 2020 and 2019, reflects interest earned on short term money market instruments. The net proceeds from our underwritten public offering in June 2018, sale of Company stock and payments received in conjunction with the execution of the Gossamer License Agreement in June 2018 and Amendment No. 1 in May 2020, less cash used in operations, were available for investment. The decrease in interest income in the year ended December 31, 2020 was due primarily to lower interest rates compared to prior year.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Since inception, we have incurred significant net losses and negative cash flows from operations. For the years ended December 31, 2020 and 2019, we had net losses of $4.3 million and $23.3 million, respectively. At December 31, 2020 and 2019, we had an accumulated deficit of $146.6 million and $142.2 million, respectively.</w:t>
      </w:r>
    </w:p>
    <w:p>
      <w:pPr>
        <w:spacing w:after="0" w:line="7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At December 31, 2020, we had cash and cash equivalents of $42.6 million. To date, we have financed our operations principally through private and public offerings of our equity securities, private placements of our redeemable convertible preferred stock, common stock, issuances of secured convertible promissory notes and proceeds from the Amended Gossamer License Agreement and Amendment No. 1. Based on our current plans</w:t>
      </w:r>
      <w:r>
        <w:rPr>
          <w:rFonts w:ascii="Arial" w:cs="Arial" w:eastAsia="Arial" w:hAnsi="Arial"/>
          <w:sz w:val="17"/>
          <w:szCs w:val="17"/>
          <w:b w:val="1"/>
          <w:bCs w:val="1"/>
          <w:color w:val="auto"/>
        </w:rPr>
        <w:t>,</w:t>
      </w:r>
      <w:r>
        <w:rPr>
          <w:rFonts w:ascii="Arial" w:cs="Arial" w:eastAsia="Arial" w:hAnsi="Arial"/>
          <w:sz w:val="17"/>
          <w:szCs w:val="17"/>
          <w:color w:val="auto"/>
        </w:rPr>
        <w:t xml:space="preserve"> we expect that our existing cash and cash equivalents, will enable us to conduct our planned operations through the fourth quarter of 2022.</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2018, we filed a shelf registration statement on Form S-3 with the SEC which was declared effective by the SEC on April 11, 2018 (the “Form S-3”). The shelf registration statement allows us to sell from time-to-time up to $150.0 million of common stock, preferred stock, debt securities, warrants, or units comprised of any combination of these securities, for our own account in one or more 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spacing w:after="0" w:line="271" w:lineRule="auto"/>
        <w:rPr>
          <w:sz w:val="20"/>
          <w:szCs w:val="20"/>
          <w:color w:val="auto"/>
        </w:rPr>
      </w:pPr>
      <w:r>
        <w:rPr>
          <w:rFonts w:ascii="Arial" w:cs="Arial" w:eastAsia="Arial" w:hAnsi="Arial"/>
          <w:sz w:val="17"/>
          <w:szCs w:val="17"/>
          <w:color w:val="auto"/>
        </w:rPr>
        <w:t>Additionally, on February 21, 2018, and pursuant to the Form S-3, we entered into a Controlled Equity Offering Sales Agreement (the “Sales Agreement”) with Cantor Fitzgerald &amp; Co. (“Cantor”), pursuant to which we may issue and sell, from time to time, shares of our common stock having an aggregate offering price of up to $75.0 million through Cantor as our sales agent. Cantor may sell our common stock by any method permitted by law deemed to be an “at the market offering” as defined in Rule 415(a)(4) of the Securities Act, including sales made directly on or through the Nasdaq Capital Market or any other existing trade market for our common stock, in negotiated transactions at market prices prevailing at the time of sale or at prices related to prevailing market prices, or any other method permitted by law. The shares of our common stock to be sold under the Sales Agreement will be sold and issued pursuant to the Form S-3 and the related prospectus and one or more prospectus supplements. We will pay Cantor 3.0% of the aggregate gross proceeds from each sale of shares of common stock under the Sales Agreement.</w:t>
      </w:r>
    </w:p>
    <w:p>
      <w:pPr>
        <w:spacing w:after="0" w:line="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year ended December 31, 2020, 6,523,655 shares of common stock had been sold under this Sales Agreement and received net proceeds of $9.3 million, after deducting expenses of approximately $403,000 (including sales agent compensation of approximately $292,000) that were direct and incremental to the sale of the Company’s common stock.</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January 2021, the Company initiated a process to explore a range of strategic alternatives focused on maximizing stockholder value from our clinical assets and cash resources. As part of this process, we are exploring strategic options for partnering our programs, as well as the potential for an acquisition, company sale, merger, business combination, asset sale, in-license, out-license or other strategic transaction. There can be no assurance that this exploration of strategic alternatives will result in the Company entering or completing any transaction.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Ladenburg Thalmann &amp; Co. Inc. and Duane Nash, M.D., J.D., M.B.A, have been retained with respect to the strategic review process.</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could potentially use our available financial resources sooner than we currently expect, and we may incur additional indebtedness to meet future operation liquidity. We continuously evaluate our needs for additional capital and consider opportunities on an ongoing basis, including capital from many different sources including equity capital, strategic alliances, business development debt, collaborations and business combinations. Adequate additional funding may not be available to us on acceptable terms or at all. Market volatility resulting from COVID-19 or other factors could also adversely impact our ability to access capital as and when needed. In addition, although we anticipate being able to obtain additional financing through non-dilutive means, we may be unable to do so. Our failure to raise capital as and when needed could have significant negative consequences for our business, financial condition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presented: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92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15"/>
        </w:trPr>
        <w:tc>
          <w:tcPr>
            <w:tcW w:w="43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(5,384,952</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(23,852,522</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48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(19,025)</w:t>
            </w:r>
          </w:p>
        </w:tc>
        <w:tc>
          <w:tcPr>
            <w:tcW w:w="3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(236,952)</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9,484,376</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20"/>
                <w:szCs w:val="20"/>
                <w:color w:val="auto"/>
              </w:rPr>
            </w:pPr>
            <w:r>
              <w:rPr>
                <w:rFonts w:ascii="Arial" w:cs="Arial" w:eastAsia="Arial" w:hAnsi="Arial"/>
                <w:sz w:val="18"/>
                <w:szCs w:val="18"/>
                <w:color w:val="auto"/>
              </w:rPr>
              <w:t>Net increase (decrease) in cash and</w:t>
            </w:r>
          </w:p>
        </w:tc>
        <w:tc>
          <w:tcPr>
            <w:tcW w:w="360" w:type="dxa"/>
            <w:vAlign w:val="bottom"/>
            <w:tcBorders>
              <w:top w:val="single" w:sz="8" w:color="auto"/>
            </w:tcBorders>
            <w:vMerge w:val="restart"/>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4,080,399</w:t>
            </w: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36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(24,089,474)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historically experienced negative operating cash outflows as we developed razuprotafib and our pipeline programs. Our net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general and administrative activities. Our cash flows from operating activities will continue to be affected by spending to advance and support our product candidates in the clinic and other operating and general administrative activities.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5" w:name="page76"/>
    <w:bookmarkEnd w:id="75"/>
    <w:p>
      <w:pPr>
        <w:ind w:right="80"/>
        <w:spacing w:after="0" w:line="259" w:lineRule="auto"/>
        <w:rPr>
          <w:sz w:val="20"/>
          <w:szCs w:val="20"/>
          <w:color w:val="auto"/>
        </w:rPr>
      </w:pPr>
      <w:r>
        <w:rPr>
          <w:rFonts w:ascii="Arial" w:cs="Arial" w:eastAsia="Arial" w:hAnsi="Arial"/>
          <w:sz w:val="18"/>
          <w:szCs w:val="18"/>
          <w:color w:val="auto"/>
        </w:rPr>
        <w:t>For the year ended December 31, 2020, operating activities used $5.4 million in cash primarily as a result of a net loss of $4.3 million, which includes $15.0 million of revenue earned from Amendment No. 1 to the Gossamer License Agreement, offset by $2.5 million in working capital and $1.4 million in non-cash expenses related to stock-based compensation and depreciation expense. We do not expect revenue will reoccur unless milestones outlined in the Gossamer License Agreement are achieved.</w:t>
      </w:r>
    </w:p>
    <w:p>
      <w:pPr>
        <w:spacing w:after="0" w:line="7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For the year ended December 31, 2019, operating activities used $23.9 million in cash primarily as a result of the net loss of $23.3 million offset by $1.9 million in working capital and $1.3 million in non-cash expenses related to stock-based compensation and depreciation expense.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for the years ended December 31, 2020 and 2019 was related to capital expenditures to support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cash provided by financing activities for the year ended December 31, 2020 includes $9.3 million net proceeds from the sale of our common stock sold under the Sales Agreement with Cantor. No such activity occurred in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2019, the Company leased 7,580 square feet of office space in Cincinnati, Ohio, 4,000 square feet of office space in Lexington, Massachusetts and 687 square feet of office space in Dexter Michigan. During the fourth quarter of 2019, the Company terminated the Lexington and Dexter leases, without penalty. The Cincinnati property lease includes one month of free rent, escalating rent payments and expires in July 2021. Total rent expense for all operating leases was $0.2 million and $0.3 million for the years ended December 31, 2020 and 2019, respectively.</w:t>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also have contracts with various organizations to conduct research and development activities, including clinical trial organizations to manage clinical trial activities. The scope of the services under these research and development contracts can be modified and the contracts cancelled by us upon written notice. In the event of a cancellation, we would be liable for the cost and expenses incurred to date as well as any close out costs of the service arrangement.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we did not have any off-balance sheet arrangements as defined by applicable SEC regulations.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management’s discussion and analysis of financial position and results of consolidated operations are based on consolidated financial statements prepared in accordance with GAAP. The preparation of these consolidated financial statements requires us to make estimates and assumptions that affect the reported amounts of assets, liabilities, expenses and related disclosures. On an ongoing basis, we evaluate our estimates and judgments, including those related to prepaid and accrued research and development expenses, revenue recognition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6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appearing elsewhere in this Annual Report on Form 10-K, we believe the following accounting policies to be most critical to the judgments and estimates used in the preparation of our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the inception of an arrangement, the Company evaluates if a counterparty to a contract is a customer, if the arrangement is within the scope of revenue from contracts with customers guidance and the term of the contract. The Company recognizes revenue when its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(i) identification of the promised goods or services in the contract; (ii) determination of whether the promised goods or services are performance obligations, including whether they are distinct in the context of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ind w:right="20"/>
        <w:spacing w:after="0" w:line="291" w:lineRule="auto"/>
        <w:rPr>
          <w:sz w:val="20"/>
          <w:szCs w:val="20"/>
          <w:color w:val="auto"/>
        </w:rPr>
      </w:pPr>
      <w:r>
        <w:rPr>
          <w:rFonts w:ascii="Arial" w:cs="Arial" w:eastAsia="Arial" w:hAnsi="Arial"/>
          <w:sz w:val="16"/>
          <w:szCs w:val="16"/>
          <w:color w:val="auto"/>
        </w:rPr>
        <w:t>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As part of the accounting for contracts with customers, the Company must develop assumptions that require judgment to determine the standalone selling price of each performance obligation identified in the contract. The Company then allocates the total transaction price to each performance obligation based on the estimated standalone selling prices of each performance obligation. The Company recognizes the amount of the transaction price as revenue that is allocated to the respective performance obligation when the performance obligation is satisfied or as it is satisfied.</w:t>
      </w:r>
    </w:p>
    <w:p>
      <w:pPr>
        <w:spacing w:after="0" w:line="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enters into collaboration arrangements, under which it licenses certain rights to its intellectual property to third parties. The terms of these agreements may include payment to the Company of one or more of the following: nonrefundable upfront license fees; development, sale and commercial milestone payments and royalties on net sales of licensed products. Each of these types of payments are classified as license revenue except for revenue from royalties on net sales of licensed products, which are classified as royalty revenue.</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each collaboration agreement that results in revenues, the Company identifies all material promised goods and services, which may include a license to intellectual property, research and development activities and/or transition activities. Promised goods or services are considered to be separate performance obligations if they are distinct. In order to determine the transaction price to be allocated to each performance obligation,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throughout the life of the contract.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7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(“SSP”) in order to account for these agreements. To determine the standalone selling price the Company’s assumptions may include (i) assumptions regarding the probability of obtaining marketing approval for the drug candidate; (ii) estimates regarding the timing of and the expected costs to develop and commercialize the drug candidate; (iii) estimates of future cash flows from potential product sales with respect to the drug candidate; and (iv) appropriate discount and tax rates.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spacing w:after="0" w:line="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Upfront License and Amendment License Fees: </w:t>
      </w:r>
      <w:r>
        <w:rPr>
          <w:rFonts w:ascii="Arial" w:cs="Arial" w:eastAsia="Arial" w:hAnsi="Arial"/>
          <w:sz w:val="16"/>
          <w:szCs w:val="16"/>
          <w:color w:val="auto"/>
        </w:rPr>
        <w:t>If a license to the Company’s intellectual property is determined to be distinct from the other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identified in the arrangement, the Company recognizes revenues from nonrefundable, upfront license and amendment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upfront license fees. The Company evaluates the measure of progress each reporting period and, if necessary, adjusts the measure of performance and related revenue recognition.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7" w:name="page78"/>
    <w:bookmarkEnd w:id="77"/>
    <w:p>
      <w:pPr>
        <w:spacing w:after="0" w:line="269" w:lineRule="auto"/>
        <w:rPr>
          <w:sz w:val="20"/>
          <w:szCs w:val="20"/>
          <w:color w:val="auto"/>
        </w:rPr>
      </w:pPr>
      <w:r>
        <w:rPr>
          <w:rFonts w:ascii="Arial" w:cs="Arial" w:eastAsia="Arial" w:hAnsi="Arial"/>
          <w:sz w:val="17"/>
          <w:szCs w:val="17"/>
          <w:i w:val="1"/>
          <w:iCs w:val="1"/>
          <w:color w:val="auto"/>
        </w:rPr>
        <w:t xml:space="preserve">Development Milestone Payments: </w:t>
      </w:r>
      <w:r>
        <w:rPr>
          <w:rFonts w:ascii="Arial" w:cs="Arial" w:eastAsia="Arial" w:hAnsi="Arial"/>
          <w:sz w:val="17"/>
          <w:szCs w:val="17"/>
          <w:color w:val="auto"/>
        </w:rPr>
        <w:t>Depending on facts and circumstances, the Company may conclude it is appropriate to include the milestone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transaction price using the most likely amount method or it is appropriate to fully constrain the milestone. A milestone payment is included in the transaction price in the reporting period the Company concludes that it is probable that recording revenue in the period will not result in a significant reversal in amounts recognized in future periods. The Company may record revenues from certain milestones in a reporting period before the milestone is achieved if the Company concludes that achievement of the milestone is probable and that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These milestones remain fully constrained until the Company concludes that achievement of the milestone is probable and recognition of revenue related to the milestone will not result in a significant reversal in amounts recognized in future periods. The Company re-evaluates the probability of achievement of such development milestones and any related constraint each reporting period. The Company adjusts its estimate of the overall transaction price, including the amount of collaborative revenue that it has recorded, if necessary.</w:t>
      </w:r>
    </w:p>
    <w:p>
      <w:pPr>
        <w:spacing w:after="0" w:line="7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Sales-based Milestone and Royalty Payments: </w:t>
      </w:r>
      <w:r>
        <w:rPr>
          <w:rFonts w:ascii="Arial" w:cs="Arial" w:eastAsia="Arial" w:hAnsi="Arial"/>
          <w:sz w:val="18"/>
          <w:szCs w:val="18"/>
          <w:color w:val="auto"/>
        </w:rPr>
        <w:t>The Company’s collaborators may be required to pay the Company sales-based milestone payments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license to the Company’s intellectual property is deemed to be the predominant item to which the sales-based milestones and/or royalties relate.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and Accrued Research and Development Expenses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prepaid and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We make estimates of our prepaid and accrued research and development expenses as of each consolidated balance sheet date in our consolidated financial statements based on facts and circumstances known to us at the time. We confirm the accuracy of estimates with the service providers and make adjustments if necessary. Examples of estimated prepaid and accrued research and development expenses include expenses for:</w:t>
      </w:r>
    </w:p>
    <w:p>
      <w:pPr>
        <w:spacing w:after="0" w:line="58" w:lineRule="exact"/>
        <w:rPr>
          <w:sz w:val="20"/>
          <w:szCs w:val="20"/>
          <w:color w:val="auto"/>
        </w:rPr>
      </w:pPr>
    </w:p>
    <w:p>
      <w:pPr>
        <w:ind w:left="1300" w:hanging="442"/>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CROs in connection with clinical studies;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Investigative sites in connection with clinical studies;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clinical materials.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base our expenses related to clinical studies on our estimates of the services received and efforts expended pursuant to contracts with multiple CROs that conduct and manage clinical studies on our behalf. The financial terms of these agreements are subject to negotiation, vary from contract to contract and may result in uneven payment flows. The scope of services under these contracts can be modified and some of the agreements may be cancelled by either party upon written notice. There may be instances in which payments made to our vendors will exceed the level of services provided and result in a prepayment of the clinical expense. Payments under some of these contracts depend on factors such as the successful enrollment of subjects and the completion of clinical study milestones.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w:t>
      </w:r>
    </w:p>
    <w:p>
      <w:pPr>
        <w:spacing w:after="0" w:line="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there have been no material differences between our estimates and amounts actually incurred.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We issue stock-based awards generally in the form of stock options and restricted stock. We account for our stock-based compensation awards in accordance with Financial Accounting Standards Board (“FASB”)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(“ASC 718”). ASC 718 requires all stock-based payments to employees, including grants of employee stock options and restricted stock and modifications to existing stock awards to be recognized in the consolidated statements of operations and comprehensive loss based on their fair values. Described below is the methodology we have utilized in measuring stock-based compensation expense.</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estimate the fair value of our options to purchase shares of common stock to employees using the Black-Scholes option pricing model, which requires the input of highly subjective assumptions, including (a) the expected stock price volatility, (b) the calculation of the expected term of the award, (c) the risk-free interest rate and (d) expected dividends. Due to the lack of a public market for the trading of our common stock and a lack of company-specific historical and implied volatility data, we have based our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our company, including stage of product development and life science industry focus. We are a development stage company in an early stage of product development with no revenues and the representative group of companies has certain similar characteristics. We believe the group selected has sufficient similar economic and industry characteristics and includes companies that are most representative of our company. We use the simplified method as prescribed by the SEC Staff Accounting Bulletin No. 107, Share-Based Payment, to calculate the expected term for options granted to employees and non-employees as we do not have sufficient historical exercise data to provide a reasonable basis upon which to estimate the expected term. The expected term is applied to the stock option grant group as a whole, as we do not expect substantially different exercise or post-vesting termination behavior among our employee population. The risk-free interest rate is based on a treasury instrument whose term is consistent with the expected life of the stock options. The expected dividend yield is assumed to be zero as we have never paid dividends and have no current plans to pay any dividends on our common stock, similar to our peer group. The grant date fair value of restricted stock award grants is based on the estimated value of our common stock at the date of grant.</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stock-based awards are subject to service-based vesting conditions. Compensation expense related to awards to employees with service-based vesting conditions is recognized on a straight-line basis based on the grant date fair value over the associated service period of the award. Awards to non-employees are adjusted through share-based compensation expense as the award vests to reflect the current fair value of such awards and are expensed using an accelerated attribution model.</w:t>
      </w:r>
    </w:p>
    <w:p>
      <w:pPr>
        <w:spacing w:after="0" w:line="7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For the years ended December 31, 2020 and 2019, stock-based compensation expense was $1.3 million and $1.1 million, respectively. As of December 31, 2020, we had $1.5 million of total unrecognized stock-based compensation costs for stock options, which we expect to recognize over a weighted-average period of 1.66 years.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an “emerging growth company” within the meaning of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that are not emerging growth companies.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 for a discussion of recent accounting pronouncements.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by this Item.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Company’s cash and cash equivalents at December 31, 2020 consist of all cash on hand, deposits and funds invested in short-term investments with original maturities of three months or less at the time of purchase and earn interest income. Therefore, there was minimal or no interest rate risk.</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Beginning on page 80 are the consolidated financial statements with applicable notes and the related Report of Independent Registered Public Accounting Firm.</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80" w:name="page81"/>
    <w:bookmarkEnd w:id="80"/>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Aerpio Pharmaceuticals, Inc.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Aerpio Pharmaceuticals, Inc. (the “Company”) as of December 31, 2020 and 2019, and the related consolidated statements of operations and comprehensive loss, stockholders’ equity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9680" w:type="dxa"/>
            <w:vAlign w:val="bottom"/>
          </w:tcPr>
          <w:p>
            <w:pPr>
              <w:ind w:left="3280"/>
              <w:spacing w:after="0"/>
              <w:rPr>
                <w:sz w:val="20"/>
                <w:szCs w:val="20"/>
                <w:color w:val="auto"/>
              </w:rPr>
            </w:pPr>
            <w:r>
              <w:rPr>
                <w:rFonts w:ascii="Arial" w:cs="Arial" w:eastAsia="Arial" w:hAnsi="Arial"/>
                <w:sz w:val="18"/>
                <w:szCs w:val="18"/>
                <w:b w:val="1"/>
                <w:bCs w:val="1"/>
                <w:color w:val="auto"/>
              </w:rPr>
              <w:t>INDEX TO CONSOLIDATED FINANCIAL STATEMENTS</w:t>
            </w:r>
          </w:p>
        </w:tc>
        <w:tc>
          <w:tcPr>
            <w:tcW w:w="1540" w:type="dxa"/>
            <w:vAlign w:val="bottom"/>
          </w:tcPr>
          <w:p>
            <w:pPr>
              <w:spacing w:after="0"/>
              <w:rPr>
                <w:sz w:val="20"/>
                <w:szCs w:val="20"/>
                <w:color w:val="auto"/>
              </w:rPr>
            </w:pPr>
          </w:p>
        </w:tc>
      </w:tr>
      <w:tr>
        <w:trPr>
          <w:trHeight w:val="486"/>
        </w:trPr>
        <w:tc>
          <w:tcPr>
            <w:tcW w:w="968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Report of Independent Registered Public Accounting Firm</w:t>
              </w:r>
            </w:hyperlink>
          </w:p>
        </w:tc>
        <w:tc>
          <w:tcPr>
            <w:tcW w:w="1540" w:type="dxa"/>
            <w:vAlign w:val="bottom"/>
          </w:tcPr>
          <w:p>
            <w:pPr>
              <w:jc w:val="right"/>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80</w:t>
              </w:r>
            </w:hyperlink>
          </w:p>
        </w:tc>
      </w:tr>
      <w:tr>
        <w:trPr>
          <w:trHeight w:val="365"/>
        </w:trPr>
        <w:tc>
          <w:tcPr>
            <w:tcW w:w="968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Consolidated Balance Sheets as of December 31, 2020 and 2019</w:t>
              </w:r>
            </w:hyperlink>
          </w:p>
        </w:tc>
        <w:tc>
          <w:tcPr>
            <w:tcW w:w="1540" w:type="dxa"/>
            <w:vAlign w:val="bottom"/>
          </w:tcPr>
          <w:p>
            <w:pPr>
              <w:jc w:val="right"/>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82</w:t>
              </w:r>
            </w:hyperlink>
          </w:p>
        </w:tc>
      </w:tr>
      <w:tr>
        <w:trPr>
          <w:trHeight w:val="364"/>
        </w:trPr>
        <w:tc>
          <w:tcPr>
            <w:tcW w:w="968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Consolidated Statements of Operations and Comprehensive Loss for the Years ended December 31, 2020 and 2019</w:t>
              </w:r>
            </w:hyperlink>
          </w:p>
        </w:tc>
        <w:tc>
          <w:tcPr>
            <w:tcW w:w="1540" w:type="dxa"/>
            <w:vAlign w:val="bottom"/>
          </w:tcPr>
          <w:p>
            <w:pPr>
              <w:jc w:val="right"/>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83</w:t>
              </w:r>
            </w:hyperlink>
          </w:p>
        </w:tc>
      </w:tr>
      <w:tr>
        <w:trPr>
          <w:trHeight w:val="364"/>
        </w:trPr>
        <w:tc>
          <w:tcPr>
            <w:tcW w:w="968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Consolidated Statements of Stockholders’ Equity for the Years ended December 31, 2020 and 2019</w:t>
              </w:r>
            </w:hyperlink>
          </w:p>
        </w:tc>
        <w:tc>
          <w:tcPr>
            <w:tcW w:w="1540" w:type="dxa"/>
            <w:vAlign w:val="bottom"/>
          </w:tcPr>
          <w:p>
            <w:pPr>
              <w:jc w:val="right"/>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84</w:t>
              </w:r>
            </w:hyperlink>
          </w:p>
        </w:tc>
      </w:tr>
      <w:tr>
        <w:trPr>
          <w:trHeight w:val="365"/>
        </w:trPr>
        <w:tc>
          <w:tcPr>
            <w:tcW w:w="968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Consolidated Statements of Cash Flows for the Years ended December 31, 2020 and 2019</w:t>
              </w:r>
            </w:hyperlink>
          </w:p>
        </w:tc>
        <w:tc>
          <w:tcPr>
            <w:tcW w:w="1540" w:type="dxa"/>
            <w:vAlign w:val="bottom"/>
          </w:tcPr>
          <w:p>
            <w:pPr>
              <w:jc w:val="right"/>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85</w:t>
              </w:r>
            </w:hyperlink>
          </w:p>
        </w:tc>
      </w:tr>
      <w:tr>
        <w:trPr>
          <w:trHeight w:val="364"/>
        </w:trPr>
        <w:tc>
          <w:tcPr>
            <w:tcW w:w="968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Notes to Consolidated Financial Statements</w:t>
              </w:r>
            </w:hyperlink>
          </w:p>
        </w:tc>
        <w:tc>
          <w:tcPr>
            <w:tcW w:w="1540" w:type="dxa"/>
            <w:vAlign w:val="bottom"/>
          </w:tcPr>
          <w:p>
            <w:pPr>
              <w:jc w:val="right"/>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86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42,604,935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38,524,536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Prepaid research and development contracts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510,177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1,603,913</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734,785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44,719,025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39,570,475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 net</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121,730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63,919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Deposits</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20,000</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44,924,674</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39,936,786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1,799,371</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3,231,450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67,438</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1,866,809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34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1,866,809</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3,401,443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140"/>
              <w:spacing w:after="0"/>
              <w:rPr>
                <w:sz w:val="20"/>
                <w:szCs w:val="20"/>
                <w:color w:val="auto"/>
              </w:rPr>
            </w:pPr>
            <w:r>
              <w:rPr>
                <w:rFonts w:ascii="Arial" w:cs="Arial" w:eastAsia="Arial" w:hAnsi="Arial"/>
                <w:sz w:val="18"/>
                <w:szCs w:val="18"/>
                <w:color w:val="auto"/>
              </w:rPr>
              <w:t>Common stock, $0.0001 par value per share; 300,000,000 shares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authorized and 47,251,319 and 40,588,004 shares issued and</w:t>
            </w:r>
          </w:p>
        </w:tc>
        <w:tc>
          <w:tcPr>
            <w:tcW w:w="34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4,725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outstanding at December 31, 2020 and 2019.</w:t>
            </w:r>
          </w:p>
        </w:tc>
        <w:tc>
          <w:tcPr>
            <w:tcW w:w="34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189,603,985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178,766,806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(146,550,845)</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(142,235,522)</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43,057,865</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36,535,343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44,924,674</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39,936,786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15,000,000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12,594,823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12,824,402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8,762,222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9,756,185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Restructuring expense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1,863,495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21,357,045</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24,444,082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(6,357,045)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(24,444,082)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1,813,976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 income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79,900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147,846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1,030,839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2,041,722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1,173,568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and comprehensive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(4,315,323)</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(23,270,514)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and comprehensive loss per share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and diluted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(0.10)</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Weighted average number of common shares used in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computing net loss per share attributable to common</w:t>
            </w: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42,624,148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stockholders, basic and diluted</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40,588,004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Stockholders’ Equity</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380"/>
              <w:spacing w:after="0" w:line="205" w:lineRule="exact"/>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20"/>
                <w:szCs w:val="20"/>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w w:val="91"/>
              </w:rPr>
              <w:t>Accumulated</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540" w:type="dxa"/>
            <w:vAlign w:val="bottom"/>
            <w:gridSpan w:val="2"/>
          </w:tcPr>
          <w:p>
            <w:pPr>
              <w:ind w:left="42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Par Value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9"/>
                <w:szCs w:val="19"/>
                <w:color w:val="auto"/>
              </w:rPr>
            </w:pPr>
          </w:p>
        </w:tc>
        <w:tc>
          <w:tcPr>
            <w:tcW w:w="1420" w:type="dxa"/>
            <w:vAlign w:val="bottom"/>
            <w:gridSpan w:val="2"/>
          </w:tcPr>
          <w:p>
            <w:pPr>
              <w:jc w:val="right"/>
              <w:ind w:right="541"/>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40,588,004</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177,621,807</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(118,959,291)</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58,666,575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Issuance of warrants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53,440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 of change</w:t>
            </w: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 accounting principle</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5,717</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(5,717)</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expense</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1,085,842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1,085,842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loss</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(23,270,514)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(23,270,514)</w:t>
            </w:r>
          </w:p>
        </w:tc>
        <w:tc>
          <w:tcPr>
            <w:tcW w:w="0" w:type="dxa"/>
            <w:vAlign w:val="bottom"/>
          </w:tcPr>
          <w:p>
            <w:pPr>
              <w:spacing w:after="0"/>
              <w:rPr>
                <w:sz w:val="1"/>
                <w:szCs w:val="1"/>
                <w:color w:val="auto"/>
              </w:rPr>
            </w:pPr>
          </w:p>
        </w:tc>
      </w:tr>
      <w:tr>
        <w:trPr>
          <w:trHeight w:val="263"/>
        </w:trPr>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2019</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40,588,004</w:t>
            </w:r>
          </w:p>
        </w:tc>
        <w:tc>
          <w:tcPr>
            <w:tcW w:w="1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4,059</w:t>
            </w:r>
          </w:p>
        </w:tc>
        <w:tc>
          <w:tcPr>
            <w:tcW w:w="1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178,766,806</w:t>
            </w:r>
          </w:p>
        </w:tc>
        <w:tc>
          <w:tcPr>
            <w:tcW w:w="1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(142,235,522</w:t>
            </w:r>
          </w:p>
        </w:tc>
        <w:tc>
          <w:tcPr>
            <w:tcW w:w="180" w:type="dxa"/>
            <w:vAlign w:val="bottom"/>
            <w:tcBorders>
              <w:bottom w:val="single" w:sz="8" w:color="CFF0FC"/>
            </w:tcBorders>
          </w:tcPr>
          <w:p>
            <w:pPr>
              <w:jc w:val="right"/>
              <w:ind w:right="4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36,535,343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Issuance of warrants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71,939</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71,939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40" w:type="dxa"/>
            <w:vAlign w:val="bottom"/>
          </w:tcPr>
          <w:p>
            <w:pPr>
              <w:spacing w:after="0"/>
              <w:rPr>
                <w:sz w:val="20"/>
                <w:szCs w:val="20"/>
                <w:color w:val="auto"/>
              </w:rPr>
            </w:pPr>
            <w:r>
              <w:rPr>
                <w:rFonts w:ascii="Arial" w:cs="Arial" w:eastAsia="Arial" w:hAnsi="Arial"/>
                <w:sz w:val="18"/>
                <w:szCs w:val="18"/>
                <w:color w:val="auto"/>
              </w:rPr>
              <w:t>Issuance of common stock upon</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139,660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143,520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restart"/>
          </w:tcPr>
          <w:p>
            <w:pPr>
              <w:jc w:val="right"/>
              <w:ind w:right="10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143,534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1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6,523,655</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652</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9,340,190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vMerge w:val="restart"/>
            <w:shd w:val="clear" w:color="auto" w:fill="CFF0FC"/>
          </w:tcPr>
          <w:p>
            <w:pPr>
              <w:jc w:val="right"/>
              <w:ind w:right="101"/>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9,340,842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 costs of $402,795</w:t>
            </w:r>
          </w:p>
        </w:tc>
        <w:tc>
          <w:tcPr>
            <w:tcW w:w="136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gridSpan w:val="2"/>
            <w:vMerge w:val="continue"/>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1,281,530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restart"/>
          </w:tcPr>
          <w:p>
            <w:pPr>
              <w:jc w:val="right"/>
              <w:ind w:right="101"/>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1,281,530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expense</w:t>
            </w:r>
          </w:p>
        </w:tc>
        <w:tc>
          <w:tcPr>
            <w:tcW w:w="15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loss</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b w:val="1"/>
                <w:bCs w:val="1"/>
                <w:color w:val="auto"/>
              </w:rPr>
              <w:t>(4,315,323)</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(4,315,323)</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47,251,319</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4,725</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189,603,985</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(146,550,845</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43,057,865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Net and comprehensive loss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(4,315,323)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(23,270,514)</w:t>
            </w:r>
          </w:p>
        </w:tc>
      </w:tr>
      <w:tr>
        <w:trPr>
          <w:trHeight w:val="215"/>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to reconcile net and comprehensive loss to net cash used in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772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61,482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76,501</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 on disposal of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94,713</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380"/>
              <w:spacing w:after="0"/>
              <w:rPr>
                <w:sz w:val="20"/>
                <w:szCs w:val="20"/>
                <w:color w:val="auto"/>
              </w:rPr>
            </w:pPr>
            <w:r>
              <w:rPr>
                <w:rFonts w:ascii="Arial" w:cs="Arial" w:eastAsia="Arial" w:hAnsi="Arial"/>
                <w:sz w:val="18"/>
                <w:szCs w:val="18"/>
                <w:color w:val="auto"/>
              </w:rPr>
              <w:t>Consulting expense related to warrants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71,939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53,440</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1,281,530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1,085,842</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research and development contracts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(199,023)</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443,238</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(869,128)</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(119,104)</w:t>
            </w:r>
          </w:p>
        </w:tc>
      </w:tr>
      <w:tr>
        <w:trPr>
          <w:trHeight w:val="22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Deposits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(1,436,429)</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(2,217,598)</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(5,384,952)</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(23,852,522)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(19,025)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(236,952)</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(19,025)</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(236,952)</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9,743,637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paid in connection with the sale of common stock</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(402,795)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Proceeds from issuance of common stock upon exercise of stock options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143,534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9,484,376</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4,080,399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(24,089,474)</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year</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38,524,536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62,614,010</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42,604,935</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38,524,536</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40" w:hanging="432"/>
        <w:spacing w:after="0"/>
        <w:tabs>
          <w:tab w:leader="none" w:pos="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Organization and Operations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Aerpio Pharmaceuticals, Inc. (“Aerpio” or the “Company”) is a biopharmaceutical company focused on developing compounds that activate Tie2 in indications in which the Company believes that activation of Tie2 may have therapeutic potential. Our product candidates include razuprotafib (formerly known as AKB-9778), a small molecule VE-PTP inhibitor. The Company was incorporated as Zeta Acquisition Corp. II (“Zeta”) in the State of Delaware on November 16, 2007. Zeta was a “shell company” (as defined in Rule 12b-2 of the Securities Exchange Act of 1934, as amended).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Company’s pipeline includes the following programs: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Glaucoma: </w:t>
      </w:r>
      <w:r>
        <w:rPr>
          <w:rFonts w:ascii="Arial" w:cs="Arial" w:eastAsia="Arial" w:hAnsi="Arial"/>
          <w:sz w:val="17"/>
          <w:szCs w:val="17"/>
          <w:color w:val="auto"/>
        </w:rPr>
        <w:t>Based on the preclinical proof of concept and the results of the Phase 1b trial showing a reduction in intraocular pressure (“IOP”) in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 ocular hypertension (“OHT”) and open angle glaucoma (“OAG”), the Company initiated a Phase 2 clinical trial in June 2020 designed to evaluate the safety and efficacy of a topical formulation of razuprotafib in approximately 195 patients followed over a 28-day period. Patients enrolled in the trial were administered a baseline of latanoprost ophthalmic solution 0.005%, and then randomized in a 1:1:1 fashion to receive adjunctive therapy consisting of placebo, 40 mg/ml razuprotafib once-daily, or 40 mg/ml razuprotafib twice-daily. The primary endpoint of the study was mean diurnal IOP at 28 days in the razuprotafib treated groups compared to the latanoprost monotherapy group.</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December 2020, the Company reported that razuprotafib met the primary efficacy endpoint at the end of the 28-day period (“Day 28”) with the twice-daily (“BID”) dose group in its double-blind, placebo-controlled Phase 2 trial in patients with elevated IOP associated with OAG or OHT. The change from baseline in diurnal mean IOP at Day 28 of study eyes treated with razuprotafib BID plus latanoprost showed a statistically significant improvement, or drop in IOP, (two-sided p-value 0.0130 and LS mean difference of -0.92 mm Hg) compared to those treated with latanoprost monotherapy. The razuprotafib once-daily dose group did not show a statistically significant improvement at Day 28. While the Phase 2 clinical trial met its primary efficacy endpoint with the BID group, the IOP decrease was not at a level deemed sufficient to move to Phase 3 development.</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Acute Respiratory Distress Syndrome: </w:t>
      </w:r>
      <w:r>
        <w:rPr>
          <w:rFonts w:ascii="Arial" w:cs="Arial" w:eastAsia="Arial" w:hAnsi="Arial"/>
          <w:sz w:val="18"/>
          <w:szCs w:val="18"/>
          <w:color w:val="auto"/>
        </w:rPr>
        <w:t>Based on results in preclinical studies and observations in patients in the TIME-2 and TIME-2b trials,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that a vascular endothelial receptor, Tie2, may play a pivotal role in the defense against microvascular breach in ARDS. The Company hypothesizes that razuprotafib, the Company’s lead Tie2 activator, may have therapeutic potential for the treatment of COVID-19 associated ARDS and initiated two Phase 2 trials during 2020.</w:t>
      </w:r>
    </w:p>
    <w:p>
      <w:pPr>
        <w:spacing w:after="0" w:line="7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May 2020, the Company was selected by Quantum Leap Healthcare Collaborative to participate in the I-SPY COVID-19 Trial (Investigation of Serial studies to Predict Your COVID Therapeutic Response with biomarker Integration and Adaptive Learning) to evaluate subcutaneous razuprotafib for the treatment of COVID-19 related ARDS in adult patients with critical COVID-19. The trial was initiated during the third quarter of 2020 and trial updates are anticipated in the first half of 2021, subject to potential delays in subject enrollment and study completion, including due to delays arising from the ongoing COVID-19 pandemic, and the potential for project cancellation or discontinuation by Quantum Leap Healthcare Collaborative.</w:t>
      </w:r>
    </w:p>
    <w:p>
      <w:pPr>
        <w:spacing w:after="0" w:line="53"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color w:val="auto"/>
        </w:rPr>
        <w:t>In August 2020, the Company initiated a second Phase 2 clinical trial (“RESCUE”) for the treatment of COVID-19 with the U.S. Government operating through Medical Technology Enterprise Consortium (“MTEC”). This RESCUE trial will evaluate subcutaneous razuprotafib for the prevention and treatment of ARDS in adult patients with moderate to severe COVID-19 as part of MTEC-20-09-COVID-19 Treatment Military Infectious Disease Research Program (“MIDRP”) “Development of Treatments for COVID-19”. Per the terms of the agreement with MTEC, MTEC will provide partial reimbursement up to $5.1 million related to qualified internal and external spending of the Company, as it relates to the clinical trial. The Company expects to report top-line data upon study completion in the second quarter of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ind w:right="360"/>
        <w:spacing w:after="0" w:line="259" w:lineRule="auto"/>
        <w:rPr>
          <w:sz w:val="20"/>
          <w:szCs w:val="20"/>
          <w:color w:val="auto"/>
        </w:rPr>
      </w:pPr>
      <w:r>
        <w:rPr>
          <w:rFonts w:ascii="Arial" w:cs="Arial" w:eastAsia="Arial" w:hAnsi="Arial"/>
          <w:sz w:val="18"/>
          <w:szCs w:val="18"/>
          <w:i w:val="1"/>
          <w:iCs w:val="1"/>
          <w:color w:val="auto"/>
        </w:rPr>
        <w:t xml:space="preserve">Diabetic Kidney Disease: </w:t>
      </w:r>
      <w:r>
        <w:rPr>
          <w:rFonts w:ascii="Arial" w:cs="Arial" w:eastAsia="Arial" w:hAnsi="Arial"/>
          <w:sz w:val="18"/>
          <w:szCs w:val="18"/>
          <w:color w:val="auto"/>
        </w:rPr>
        <w:t>In two consecutive trials, TIME-2 and TIME-2b, subcutaneous razuprotafib showed reduction in Urine Albumin-Creatinine</w:t>
      </w:r>
      <w:r>
        <w:rPr>
          <w:rFonts w:ascii="Arial" w:cs="Arial" w:eastAsia="Arial" w:hAnsi="Arial"/>
          <w:sz w:val="18"/>
          <w:szCs w:val="18"/>
          <w:i w:val="1"/>
          <w:iCs w:val="1"/>
          <w:color w:val="auto"/>
        </w:rPr>
        <w:t xml:space="preserve"> </w:t>
      </w:r>
      <w:r>
        <w:rPr>
          <w:rFonts w:ascii="Arial" w:cs="Arial" w:eastAsia="Arial" w:hAnsi="Arial"/>
          <w:sz w:val="18"/>
          <w:szCs w:val="18"/>
          <w:color w:val="auto"/>
        </w:rPr>
        <w:t>Ratio (“UACR”), a measure of progression of diabetic kidney disease. The Company believes that systemic treatment with razuprotafib could have the potential to change the treatment paradigm for diabetics in the future and potentially address a major societal problem by lowering the cost of care associated generally with diabetes.</w:t>
      </w:r>
    </w:p>
    <w:p>
      <w:pPr>
        <w:spacing w:after="0" w:line="7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ARP-1536 and Bi-specific Antibody: </w:t>
      </w:r>
      <w:r>
        <w:rPr>
          <w:rFonts w:ascii="Arial" w:cs="Arial" w:eastAsia="Arial" w:hAnsi="Arial"/>
          <w:sz w:val="17"/>
          <w:szCs w:val="17"/>
          <w:color w:val="auto"/>
        </w:rPr>
        <w:t>The humanized monoclonal antibody, ARP-1536, directed at the same target as subcutaneous razuprotafib, is in</w:t>
      </w:r>
      <w:r>
        <w:rPr>
          <w:rFonts w:ascii="Arial" w:cs="Arial" w:eastAsia="Arial" w:hAnsi="Arial"/>
          <w:sz w:val="17"/>
          <w:szCs w:val="17"/>
          <w:i w:val="1"/>
          <w:iCs w:val="1"/>
          <w:color w:val="auto"/>
        </w:rPr>
        <w:t xml:space="preserve"> </w:t>
      </w:r>
      <w:r>
        <w:rPr>
          <w:rFonts w:ascii="Arial" w:cs="Arial" w:eastAsia="Arial" w:hAnsi="Arial"/>
          <w:sz w:val="17"/>
          <w:szCs w:val="17"/>
          <w:color w:val="auto"/>
        </w:rPr>
        <w:t>preclinical development. The Company is evaluating development options for ARP-1536, including subcutaneous injection for the treatment of diabetic vascular complications, e.g., diabetic nephropathy and intravitreal injection as an adjunctive therapy for diabetic macular edema. The Company is also developing a bispecific antibody that binds both vascular endothelial growth factor (“VEGF”) and vascular endothelial protein tyrosine phosphatase (“VE-PTP”) which is designed to inhibit VEGF activation and activate Tie2. The Company believes this bispecific antibody has the potential to be an improved treatment for wet aged-related macular degeneration (“AMD”) and diabetic macular edema via intravitreal injection.</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2018, the Company licensed AKB-4924 (now GB004), a selective stabilizer of hypoxia-inducible factor-1 alpha (“HIF-1 alpha”) to a wholly-owned subsidiary of Gossamer Bio, Inc., GB004, Inc. (collectively “Gossamer”), which is being developed for the treatment of inflammatory bowel disease (“IBD”). HIF-1 alpha is involved in mucosal wound healing and the reduction of inflammation in the gastrointestinal tract. Gossamer completed the Phase 1b clinical trial in ulcerative colitis (“UC”) patients and reported results during the second quarter of 2020. Gossamer has announced that, subject to developments in the ongoing COVID-19 pandemic, it initiated a 12-week Phase 2 study of GB004 in patients with mild-to-moderate UC during the second half of 2020.</w:t>
      </w:r>
    </w:p>
    <w:p>
      <w:pPr>
        <w:spacing w:after="0" w:line="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May 2020, the Company received a one-time payment of $15.0 million pursuant to an amendment to its license agreement with Gossamer resulting in a reduction in future potential milestone payments and tiered royalty rates over the life of the license agreement. Gossamer is responsible for all remaining development and commercial activities for GB004.</w:t>
      </w:r>
    </w:p>
    <w:p>
      <w:pPr>
        <w:spacing w:after="0" w:line="7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February 2018, the Company filed a shelf registration statement on Form S-3 with the Securities and Exchange Commission (“SEC”) which was declared effective by the SEC on April 11, 2018 (the “Form S-3”). On February 21, 2018, and pursuant to the Form S-3, the Company entered into a Controlled Equity Offering Sales Agreement (the “Sales Agreement”) with Cantor Fitzgerald &amp; Co. (“Cantor”), pursuant to which it may issue and sell, from time to time, shares of its common stock having an aggregate offering price of up to $75.0 million through Cantor as the sales agent. Cantor may sell the Company’s common stock by any method permitted by law deemed to be an “at the market offering” as defined in Rule 415(a)(4) of the Securities Act, including sales made directly on or through the Nasdaq Capital Market or any other existing trade market for the Company’s common stock, in negotiated transactions at market prices prevailing at the time of sale or at prices related to prevailing market prices, or any other method permitted by law. During the year ended December 31, 2020, 6,523,655 shares of the Company’s common stock were sold under the Sales Agreement, pursuant to the Form S-3, the related prospectus, and the prospectus supplement. The net proceeds received from this transaction were $9.3 million, after deducting expenses of approximately $403,000 (including sales agent compensation of approximately $292,000) that were direct and incremental to the sale of the Company’s common stock.</w:t>
      </w:r>
    </w:p>
    <w:p>
      <w:pPr>
        <w:spacing w:after="0" w:line="7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Company’s operations to date have been limited to organizing and staffing the Company, business planning, raising capital, acquiring and developing its technology, identifying potential product candidates and undertaking preclinical and clinical studies. The Company’s revenue has been primarily limited to license revenue from Gossamer described in Note 14. The Company’s product candidates are subject to long development cycles and there is no assurance the Company will be able to successfully develop, obtain regulatory approval for, or market its product candidates.</w:t>
      </w:r>
    </w:p>
    <w:p>
      <w:pPr>
        <w:spacing w:after="0" w:line="63"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Company is subject to a number of risks similar to other life science companies in the current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the Company’s pipeline products that are approved, and protection of proprietary technology. If the Company does not successfully commercialize any of its pipeline products or mitigate any of these other risks, it will be unable to generate revenue or achieve profitability.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8" w:name="page89"/>
    <w:bookmarkEnd w:id="88"/>
    <w:p>
      <w:pPr>
        <w:ind w:right="100"/>
        <w:spacing w:after="0" w:line="255" w:lineRule="auto"/>
        <w:rPr>
          <w:sz w:val="20"/>
          <w:szCs w:val="20"/>
          <w:color w:val="auto"/>
        </w:rPr>
      </w:pPr>
      <w:r>
        <w:rPr>
          <w:rFonts w:ascii="Arial" w:cs="Arial" w:eastAsia="Arial" w:hAnsi="Arial"/>
          <w:sz w:val="18"/>
          <w:szCs w:val="18"/>
          <w:color w:val="auto"/>
        </w:rPr>
        <w:t>The Company incurred losses from operations and had negative cash flows from operating activities for the year ended December 31, 2020 and 2019 (and since inception). As of December 31, 2020, the Company’s cash and cash equivalents were approximately $42.6 million. The company is currently evaluating its development options for its product candidates. Any efforts for continued program development will be time-consuming and expensive. Based on its current operating plan, and absent any future financings or strategic partnerships, the Company believes its existing cash and cash equivalents will be sufficient to fund its current operating plan through the fourth quarter of 2022, and as a result, through at least twelve months from the filing of the Company’s 2020 Annual Report on Form 10-K.</w:t>
      </w:r>
    </w:p>
    <w:p>
      <w:pPr>
        <w:spacing w:after="0" w:line="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There can be no assurance, however, that the current operating plan will be achieved in the time frame anticipated by the Company, or that its cash resources will fund the Company’s operating plan for the period anticipated by the Company or that additional funding will be available on terms acceptable to the Company, or at all. Market volatility resulting from the COVID-19 pandemic or other factors could also adversely impact the Company’s ability to access capital as and when needed. If the Company is unable to raise the necessary funds when needed on a timely basis, it may be required to suspend its operations.</w:t>
      </w:r>
    </w:p>
    <w:p>
      <w:pPr>
        <w:spacing w:after="0" w:line="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is currently evaluating a range of strategic alternatives focused on maximizing stockholder value from its clinical assets and cash resources. As part of this process, it is exploring strategic options for partnering its programs, as well as the potential for an acquisition, company sale, merger, business combination, asset sale, in-license, out-license or other strategic transaction. There can be no assurance that this exploration of strategic alternatives will result in the Company entering or completing any transaction.</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COVID-19 has resulted, and will likely continue to result, in significant governmental measures being implemented to control the spread of the virus through quarantines, travel restrictions, heightened border security and other measures. While the Company cannot predict the scope and severity, these developments and measures could materially and adversely affect its business, including its clinical trials for ARDS programs, results of operations and financial condition. In addition, in response to the continuing spread of COVID-19, the Company has kept its executive offices closed with its employees continuing their work outside of the office. The Company is closely monitoring the impact of COVID-19 on all aspects of its business and is taking steps to minimize the impact on its business. However, the extent to which COVID-19 ultimately impacts the Company’s business, results of operations or financial condition will depend on future developments, which remain highly uncertain and cannot be predicted with confidence, such as the duration of the COVID-19 pandemic, new information that may emerge concerning the severity of COVID-19 and the effectiveness of actions taken to contain the COVID-19 pandemic or treat its impact, among others. While some states and jurisdictions have started to rollback stay-at-home and quarantine orders and reopened in phases, it is difficult to predict what the lasting impact of the COVID-19 pandemic will be, and if the Company or any of the third parties with whom it engages were to experience additional shutdowns or other prolonged business disruptions, the Company’s ability to conduct its business in the manner and on the timelines presently planned could have a material adverse impact on the Company’s business, results of operation and financial condition. In addition, a recurrence of COVID-19 cases could cause other widespread or more severe impacts depending on where infection rates are highest. The Company will continue to monitor developments as it deals with the disruptions and uncertainties relating to the COVID-19 pandemic.</w:t>
      </w:r>
    </w:p>
    <w:p>
      <w:pPr>
        <w:spacing w:after="0" w:line="167" w:lineRule="exact"/>
        <w:rPr>
          <w:sz w:val="20"/>
          <w:szCs w:val="20"/>
          <w:color w:val="auto"/>
        </w:rPr>
      </w:pPr>
    </w:p>
    <w:p>
      <w:pPr>
        <w:ind w:right="7680" w:firstLine="8"/>
        <w:spacing w:after="0" w:line="378" w:lineRule="auto"/>
        <w:tabs>
          <w:tab w:leader="none" w:pos="1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180"/>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SEC regulations and include all of the information and disclosures required by U.S. generally accepted accounting principles (“U.S. GAAP” or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financial statements are stated in U.S. Dollars.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9" w:name="page90"/>
    <w:bookmarkEnd w:id="89"/>
    <w:p>
      <w:pPr>
        <w:ind w:right="100"/>
        <w:spacing w:after="0" w:line="277" w:lineRule="auto"/>
        <w:rPr>
          <w:sz w:val="20"/>
          <w:szCs w:val="20"/>
          <w:color w:val="auto"/>
        </w:rPr>
      </w:pPr>
      <w:r>
        <w:rPr>
          <w:rFonts w:ascii="Arial" w:cs="Arial" w:eastAsia="Arial" w:hAnsi="Arial"/>
          <w:sz w:val="18"/>
          <w:szCs w:val="18"/>
          <w:color w:val="auto"/>
        </w:rPr>
        <w:t>operating segment, which is the business of developing and commercializing proprietary therapeutics. All the assets and operations of the Company’s sole operating segment are located in the United States.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prepaid and accrued research and development expense, stock-based compensation expense, revenue recognition and income taxes.</w:t>
      </w:r>
    </w:p>
    <w:p>
      <w:pPr>
        <w:spacing w:after="0" w:line="5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Company’s results can also be affected by economic conditions, global health concerns, such as COVID-19, and political, legislative, regulatory and legal actions. Economic conditions, such as recessionary trends, inflation, interest and monetary exchange rates, government fiscal policies, and changes in the prices of research studies, can have a significant effect on operations. While the Company maintains reserves for anticipated liabilities and carries various levels of insurance, the Company could be affected by civil, criminal, regulatory or administrative actions, claims or proceedings.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Cash and cash equivalents consist of all cash on hand and $100,000 invested in short-term certificates of deposits with original maturities of three months or less at the time of purchase. At December 31, 2020 and 2019, the Company’s cash equivalents are primarily held in money market funds. The Company maintains balances with its banks in excess of federally insured limits.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the inception of an arrangement, the Company evaluates if a counterparty to a contract is a customer, if the arrangement is within the scope of revenue from contracts with customers guidance and the term of the contract. The Company recognizes revenue when its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As part of the accounting for contracts with customers, the Company must develop assumptions that require judgment to determine the standalone selling price of each performance obligation identified in the contract. The Company then allocates the total transaction price to each performance obligation based on the estimated standalone selling prices of each performance obligation. The Company recognizes the amount of the transaction price as revenue that is allocated to the respective performance obligation when the performance obligation is satisfied or as it is satisfied.</w:t>
      </w:r>
    </w:p>
    <w:p>
      <w:pPr>
        <w:spacing w:after="0" w:line="6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enters into collaboration arrangements, under which it licenses certain rights to its intellectual property to third parties. The terms of these agreements may include payment to the Company of one or more of the following: nonrefundable upfront license fees; development, sale and commercial milestone payments and royalties on net sales of licensed products. Each of these types of payments are classified as license revenue except for revenue from royalties on net sales of licensed products, which are classified as royalty revenue, if received.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0" w:name="page91"/>
    <w:bookmarkEnd w:id="90"/>
    <w:p>
      <w:pPr>
        <w:spacing w:after="0" w:line="270" w:lineRule="auto"/>
        <w:rPr>
          <w:sz w:val="20"/>
          <w:szCs w:val="20"/>
          <w:color w:val="auto"/>
        </w:rPr>
      </w:pPr>
      <w:r>
        <w:rPr>
          <w:rFonts w:ascii="Arial" w:cs="Arial" w:eastAsia="Arial" w:hAnsi="Arial"/>
          <w:sz w:val="17"/>
          <w:szCs w:val="17"/>
          <w:color w:val="auto"/>
        </w:rPr>
        <w:t>For each collaboration agreement that results in revenues, the Company identifies all material promised goods and services, which may include a license to intellectual property, research and development activities and/or transition activities. Promised goods or services are considered to be separate performance obligations if they are distinct. In order to determine the transaction price to be allocated to each performance obligation,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throughout the life of the contract.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7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(“SSP”) in order to account for these agreements. To determine the standalone selling price the Company’s assumptions may include (i) assumptions regarding the probability of obtaining marketing approval for the drug candidate; (ii) estimates regarding the timing of and the expected costs to develop and commercialize the drug candidate; (iii) estimates of future cash flows from potential product sales with respect to the drug candidate; and (iv) appropriate discount and tax rates.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spacing w:after="0" w:line="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Upfront License and Amendment License Fees: </w:t>
      </w:r>
      <w:r>
        <w:rPr>
          <w:rFonts w:ascii="Arial" w:cs="Arial" w:eastAsia="Arial" w:hAnsi="Arial"/>
          <w:sz w:val="16"/>
          <w:szCs w:val="16"/>
          <w:color w:val="auto"/>
        </w:rPr>
        <w:t>If a license to the Company’s intellectual property is determined to be distinct from the other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identified in the arrangement, the Company recognizes revenues from nonrefundable, upfront (or one-time) license and amendment license fees based on the relative value prescribed to the license compared to the total value of the arrangement. The revenue is recognized when the cash is received or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license fees. The Company evaluates the measure of progress each reporting period and, if necessary, adjusts the measure of performance and related revenue recognition.</w:t>
      </w:r>
    </w:p>
    <w:p>
      <w:pPr>
        <w:spacing w:after="0" w:line="57"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Development Milestone Payments: </w:t>
      </w:r>
      <w:r>
        <w:rPr>
          <w:rFonts w:ascii="Arial" w:cs="Arial" w:eastAsia="Arial" w:hAnsi="Arial"/>
          <w:sz w:val="17"/>
          <w:szCs w:val="17"/>
          <w:color w:val="auto"/>
        </w:rPr>
        <w:t>Depending on facts and circumstances, the Company may conclude it is appropriate to include the milestone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transaction price using the most likely amount method or it is appropriate to fully constrain the milestone. A milestone payment is included in the transaction price in the reporting period the Company concludes that it is probable that recording revenue in the period will not result in a significant reversal in amounts recognized in future periods. The Company may record revenues from certain milestones in a reporting period before the milestone is achieved if the Company concludes that achievement of the milestone is probable and that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These milestones remain fully constrained until the Company concludes that achievement of the milestone is probable and recognition of revenue related to the milestone will not result in a significant reversal in amounts recognized in future periods. The Company re-evaluates the probability of achievement of such development milestones and any related constraint each reporting period. The Company adjusts its estimate of the overall transaction price, including the amount of collaborative revenue that it has recorded, if necessary.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1" w:name="page92"/>
    <w:bookmarkEnd w:id="91"/>
    <w:p>
      <w:pPr>
        <w:ind w:right="100"/>
        <w:spacing w:after="0" w:line="257" w:lineRule="auto"/>
        <w:rPr>
          <w:sz w:val="20"/>
          <w:szCs w:val="20"/>
          <w:color w:val="auto"/>
        </w:rPr>
      </w:pPr>
      <w:r>
        <w:rPr>
          <w:rFonts w:ascii="Arial" w:cs="Arial" w:eastAsia="Arial" w:hAnsi="Arial"/>
          <w:sz w:val="18"/>
          <w:szCs w:val="18"/>
          <w:i w:val="1"/>
          <w:iCs w:val="1"/>
          <w:color w:val="auto"/>
        </w:rPr>
        <w:t xml:space="preserve">Sales-based Milestone and Royalty Payments: </w:t>
      </w:r>
      <w:r>
        <w:rPr>
          <w:rFonts w:ascii="Arial" w:cs="Arial" w:eastAsia="Arial" w:hAnsi="Arial"/>
          <w:sz w:val="18"/>
          <w:szCs w:val="18"/>
          <w:color w:val="auto"/>
        </w:rPr>
        <w:t>The Company’s collaborators may be required to pay the Company sales-based milestone payments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license to the Company’s intellectual property is deemed to be the predominant item to which the sales-based milestones and/or royalties relate.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Other income represents reimbursed internal and external qualified expenses, per the terms of the MTEC arrangement, related to the ARDS clinical trial. Other income is recorded, and generally received, in the period the internal or external qualified clinical trial expenses are incurred, and paid, by the Company.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 consists of (i) employee-related expenses, including salaries, benefits, travel and stock-based compensation expense; (ii) external research and development expenses incurred under arrangements with third parties, such as contract research organizations and consultants; (iii) the cost of acquiring, developing and manufacturing clinical study materials; and (iv) costs associated with clinical, preclinical and regulatory activities.</w:t>
      </w:r>
    </w:p>
    <w:p>
      <w:pPr>
        <w:spacing w:after="0" w:line="7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 enters into consulting, research, and other agreements with commercial firms, researchers, universities and others for the provision of goods and services. Under such agreements, the Company may pay for services on a monthly, quarterly, project or other basis. Such arrangements are generally cancellable upon reasonable notice and payment of costs incurred. Costs are considered incurred based on an evaluation of the progress to completion of specific tasks under each contract using information and data provided to the Company by its clinical sites and vendors. These costs consist of direct and indirect costs associated with specific projects, as well as fees paid to various entities that perform certain research on behalf of the Company.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in connection with the application for and issuances of patents are expensed as incurred.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Income taxes are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consolidated financial statements or tax returns. Deferred tax assets and liabilities are determined based on the difference between the consolidated financial statement and tax bases of assets and liabilities and for loss and credit carryforwards using enacted tax rates anticipated to be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2020 and 2019, the Company does not have any uncertain tax positions. The Company recognizes interest and penalties related to uncertain tax positions, if any exist, in income tax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and Comprehensive Loss per Share Attributable to Common Stockholders</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The Company’s basic net and comprehensive loss per share attributable to common stockholders is calculated by dividing the net and comprehensive loss by the weighted average number of shares of common stock outstanding for the period. The diluted net and comprehensive loss per share attributable to common stockholders is computed by adjusting the weighted average shares outstanding for the dilutive effect of common stock equivalents outstanding for the period, determined using the treasury stock method.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 xml:space="preserve">The Company accounts for its stock-based compensation awards in accordance with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718”). ASC 718 requires all stock-based payments to employees, including grants of employee stock options, to be recognized in the consolidated statements of operations and comprehensive loss based on their fair values. All the Company’s stock-based awards are subject only to service-based vesting conditions. The Company estimates the fair value of its stock-based awards using the Black-Scholes option pricing model, which requires the input of assumptions, including (a) the expected stock price volatility, (b) the calculation of expected term of the award, (c) the risk-free interest rate and (d) expected dividends.</w:t>
      </w:r>
    </w:p>
    <w:p>
      <w:pPr>
        <w:spacing w:after="0" w:line="5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Due to the historical lack of a public market for the trading of the Company’s common stock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6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The Company uses the simplified method as prescribed by the SEC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a treasury instrument whose term is consistent with the expected life of the stock options.</w:t>
      </w:r>
    </w:p>
    <w:p>
      <w:pPr>
        <w:spacing w:after="0" w:line="5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Compensation expense related to awards to employees is calculated on a straight-line basis by recognizing the grant date fair value over the associated service period of the award, which is generally the vesting term.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Company’s financial instruments consist of cash and cash equivalents, accounts payable and accrued expenses. The Company values cash equivalents using quoted market prices. The fair value of accounts payable and accrued expenses approximates its carrying value because of its short-term nature.</w:t>
      </w:r>
    </w:p>
    <w:p>
      <w:pPr>
        <w:spacing w:after="0" w:line="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Company is required to disclose information on all assets and liabilities reported at fair value that enables an assessment of the inputs used in determining the reported fair values.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hierarchy of inputs used in measuring fair value that maximizes the use of observable inputs and minimizes the use of unobservable inputs by requiring that the observable inputs be used when available.</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80" w:lineRule="exact"/>
        <w:rPr>
          <w:sz w:val="20"/>
          <w:szCs w:val="20"/>
          <w:color w:val="auto"/>
        </w:rPr>
      </w:pPr>
    </w:p>
    <w:p>
      <w:pPr>
        <w:ind w:left="1440" w:right="340" w:hanging="582"/>
        <w:spacing w:after="0" w:line="277" w:lineRule="auto"/>
        <w:tabs>
          <w:tab w:leader="none" w:pos="1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or liabilities that the Company has the ability to access at the measurement date</w:t>
      </w:r>
    </w:p>
    <w:p>
      <w:pPr>
        <w:spacing w:after="0" w:line="62" w:lineRule="exact"/>
        <w:rPr>
          <w:rFonts w:ascii="Arial" w:cs="Arial" w:eastAsia="Arial" w:hAnsi="Arial"/>
          <w:sz w:val="18"/>
          <w:szCs w:val="18"/>
          <w:color w:val="auto"/>
        </w:rPr>
      </w:pPr>
    </w:p>
    <w:p>
      <w:pPr>
        <w:ind w:left="1440" w:right="340" w:hanging="582"/>
        <w:spacing w:after="0" w:line="277" w:lineRule="auto"/>
        <w:tabs>
          <w:tab w:leader="none" w:pos="1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1440" w:right="780" w:hanging="582"/>
        <w:spacing w:after="0" w:line="277" w:lineRule="auto"/>
        <w:tabs>
          <w:tab w:leader="none" w:pos="1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3 – Valuations that require inputs that reflect the Company’s own assumptions that are both significant to the fair value measurement and unobservable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3" w:name="page94"/>
    <w:bookmarkEnd w:id="93"/>
    <w:p>
      <w:pPr>
        <w:ind w:right="20"/>
        <w:spacing w:after="0" w:line="275" w:lineRule="auto"/>
        <w:rPr>
          <w:sz w:val="20"/>
          <w:szCs w:val="20"/>
          <w:color w:val="auto"/>
        </w:rPr>
      </w:pPr>
      <w:r>
        <w:rPr>
          <w:rFonts w:ascii="Arial" w:cs="Arial" w:eastAsia="Arial" w:hAnsi="Arial"/>
          <w:sz w:val="17"/>
          <w:szCs w:val="17"/>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There were no transfers within the fair value hierarchy in the years ended December 31, 2020 and 2019. The assets of the Company measured at fair value on a recurring basis as of December 31, 2020 and 2019 are summarized below:</w:t>
      </w:r>
    </w:p>
    <w:p>
      <w:pPr>
        <w:spacing w:after="0" w:line="208"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Fair Value Measurements Using</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Level 2</w:t>
            </w:r>
          </w:p>
        </w:tc>
        <w:tc>
          <w:tcPr>
            <w:tcW w:w="980" w:type="dxa"/>
            <w:vAlign w:val="bottom"/>
          </w:tcPr>
          <w:p>
            <w:pPr>
              <w:jc w:val="right"/>
              <w:ind w:right="47"/>
              <w:spacing w:after="0" w:line="155"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2020</w:t>
            </w:r>
          </w:p>
        </w:tc>
        <w:tc>
          <w:tcPr>
            <w:tcW w:w="2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6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Cash and cash equivalents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42,604,935</w:t>
            </w:r>
          </w:p>
        </w:tc>
        <w:tc>
          <w:tcPr>
            <w:tcW w:w="5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FF0FC"/>
          </w:tcPr>
          <w:p>
            <w:pPr>
              <w:ind w:left="84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FF0FC"/>
          </w:tcPr>
          <w:p>
            <w:pPr>
              <w:ind w:left="12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FF0FC"/>
          </w:tcPr>
          <w:p>
            <w:pPr>
              <w:jc w:val="right"/>
              <w:ind w:right="149"/>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w w:val="88"/>
              </w:rPr>
              <w:t>42,604,935</w:t>
            </w:r>
          </w:p>
        </w:tc>
        <w:tc>
          <w:tcPr>
            <w:tcW w:w="100" w:type="dxa"/>
            <w:vAlign w:val="bottom"/>
            <w:shd w:val="clear" w:color="auto" w:fill="CFF0FC"/>
          </w:tcPr>
          <w:p>
            <w:pPr>
              <w:spacing w:after="0"/>
              <w:rPr>
                <w:sz w:val="19"/>
                <w:szCs w:val="19"/>
                <w:color w:val="auto"/>
              </w:rPr>
            </w:pPr>
          </w:p>
        </w:tc>
      </w:tr>
      <w:tr>
        <w:trPr>
          <w:trHeight w:val="263"/>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42,604,935</w:t>
            </w:r>
          </w:p>
        </w:tc>
        <w:tc>
          <w:tcPr>
            <w:tcW w:w="2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88"/>
              </w:rPr>
              <w:t>42,604,935</w:t>
            </w:r>
          </w:p>
        </w:tc>
        <w:tc>
          <w:tcPr>
            <w:tcW w:w="100" w:type="dxa"/>
            <w:vAlign w:val="bottom"/>
            <w:tcBorders>
              <w:bottom w:val="single" w:sz="8" w:color="CFF0FC"/>
            </w:tcBorders>
          </w:tcPr>
          <w:p>
            <w:pPr>
              <w:spacing w:after="0"/>
              <w:rPr>
                <w:sz w:val="22"/>
                <w:szCs w:val="22"/>
                <w:color w:val="auto"/>
              </w:rPr>
            </w:pPr>
          </w:p>
        </w:tc>
      </w:tr>
      <w:tr>
        <w:trPr>
          <w:trHeight w:val="21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38,524,536</w:t>
            </w:r>
          </w:p>
        </w:tc>
        <w:tc>
          <w:tcPr>
            <w:tcW w:w="5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49"/>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8"/>
              </w:rPr>
              <w:t>38,524,536</w:t>
            </w:r>
          </w:p>
        </w:tc>
        <w:tc>
          <w:tcPr>
            <w:tcW w:w="100" w:type="dxa"/>
            <w:vAlign w:val="bottom"/>
            <w:shd w:val="clear" w:color="auto" w:fill="CFF0FC"/>
          </w:tcPr>
          <w:p>
            <w:pPr>
              <w:spacing w:after="0"/>
              <w:rPr>
                <w:sz w:val="19"/>
                <w:szCs w:val="19"/>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38,524,536</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8"/>
              </w:rPr>
              <w:t>38,524,536</w:t>
            </w:r>
          </w:p>
        </w:tc>
        <w:tc>
          <w:tcPr>
            <w:tcW w:w="10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and cash equivalents are the only financial instruments that potentially subject the Company to concentrations of credit risk. At December 31, 2020 and 2019, the Company maintains its cash and cash equivalents with high-quality, accredited financial institutions and, accordingly, such funds are subject to minimal credit risk. The Company has no off-balance sheet concentrations of credit risk, such as foreign currency exchange contracts, option contracts or other hedging arrangements.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if any. Comprehensive loss equaled net loss for all periods presented.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Furniture and equipment is stated at cost, less accumulated depreciation. Furniture and equipment is depreciated using the straight-line method over the estimated useful lives of the assets, generally three to seven years. Such costs are periodically reviewed for recoverability when impairment indicators are present. Such indicators include, among other factors: operating losses, unused capacity, market value declines, and technological obsolescence. Recorded values of asset groups of furniture and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At the inception of an arrangement the Company determines whether the arrangement is or contains a lease based on the circumstances present. All leases with a term greater than one year are recognized on the consolidated balance sheet as right-of-use assets, net, lease liabilities and, if applicable, long-term lease liabilities. The Company has elected not to recognize on the consolidated balance sheet leases with terms of one-year or less if entered into. Lease liabilities and their corresponding right-of-use assets, net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an amount equal to the lease payments in a similar economic environment. Certain adjustments to the right-of-use assets, net may be required for items such as initial direct costs paid or incentives received.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the impact of recently issued standards that are not yet effective will not have a material impact on its financial position or results of operations upon adoption.</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(“ASU 2018-07”)</w:t>
      </w:r>
      <w:r>
        <w:rPr>
          <w:rFonts w:ascii="Arial" w:cs="Arial" w:eastAsia="Arial" w:hAnsi="Arial"/>
          <w:sz w:val="18"/>
          <w:szCs w:val="18"/>
          <w:i w:val="1"/>
          <w:iCs w:val="1"/>
          <w:color w:val="auto"/>
        </w:rPr>
        <w:t>.</w:t>
      </w:r>
      <w:r>
        <w:rPr>
          <w:rFonts w:ascii="Arial" w:cs="Arial" w:eastAsia="Arial" w:hAnsi="Arial"/>
          <w:sz w:val="18"/>
          <w:szCs w:val="18"/>
          <w:color w:val="auto"/>
        </w:rPr>
        <w:t xml:space="preserve"> ASU 2018-07 improves financial reporting for share-based payments issued to nonemployees under ASC 718 by expanding the scope of the employee share-based payments guidance to include share-based payments issued to nonemployees. The amendments in ASU 2018-07 were effective for public companies for fiscal years beginning after December 31, 2018, including interim periods within that fiscal year. The Company adopted ASU 2018-07 as of January 1, 2019 and recorded a one-time cumulative adjustment of $5,717 upon adoption.</w:t>
      </w:r>
    </w:p>
    <w:p>
      <w:pPr>
        <w:spacing w:after="0" w:line="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 other new accounting pronouncement recently issued or newly effective had or is expected to have a material impact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Payable and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 of the following as of:</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5"/>
          </w:tcPr>
          <w:p>
            <w:pPr>
              <w:jc w:val="right"/>
              <w:ind w:right="27"/>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0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523,037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439,785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Accrued bonus</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428,683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689,830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444,534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346,999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Accrued project costs</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328,463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382,131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Accrued vacation</w:t>
            </w: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48,107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Restructuring accrual (see Note 15)</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793,913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Accrued retention bonus</w:t>
            </w: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521,859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26,547</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payable and accrued expenses</w:t>
            </w:r>
          </w:p>
        </w:tc>
        <w:tc>
          <w:tcPr>
            <w:tcW w:w="7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1,799,371</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3,231,450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Furniture and Equipment</w:t>
            </w: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7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gridSpan w:val="2"/>
          </w:tcPr>
          <w:p>
            <w:pPr>
              <w:spacing w:after="0"/>
              <w:rPr>
                <w:sz w:val="20"/>
                <w:szCs w:val="20"/>
                <w:color w:val="auto"/>
              </w:rPr>
            </w:pPr>
            <w:r>
              <w:rPr>
                <w:rFonts w:ascii="Arial" w:cs="Arial" w:eastAsia="Arial" w:hAnsi="Arial"/>
                <w:sz w:val="18"/>
                <w:szCs w:val="18"/>
                <w:color w:val="auto"/>
              </w:rPr>
              <w:t>Furniture and equipment consist of the following as of:</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7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5"/>
          </w:tcPr>
          <w:p>
            <w:pPr>
              <w:jc w:val="right"/>
              <w:ind w:right="47"/>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0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Furniture</w:t>
            </w:r>
          </w:p>
        </w:tc>
        <w:tc>
          <w:tcPr>
            <w:tcW w:w="7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154,669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Computers</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68,642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56,443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252,882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7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35,869</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 furniture and equipment</w:t>
            </w: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512,062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493,037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(390,332)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(328,850)</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Furniture and equipment, net</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FF0FC"/>
          </w:tcPr>
          <w:p>
            <w:pPr>
              <w:jc w:val="right"/>
              <w:ind w:right="167"/>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121,730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gridSpan w:val="2"/>
            <w:shd w:val="clear" w:color="auto" w:fill="CFF0FC"/>
          </w:tcPr>
          <w:p>
            <w:pPr>
              <w:jc w:val="right"/>
              <w:ind w:right="247"/>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164,187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and 2019, the Company had 300,000,000 shares of authorized common stock with par value of $0.0001 per share.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has the following characteristics: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holders of common stock are entitled to one vote for each share of common stock held at all meetings of stockholders and written actions in lieu of meetings.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common stock are entitled to receive dividends, if and when declared by the board of directors of the Company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Since the Company’s inception, no dividends have been declared or paid to the holders of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winding-up of the Company, the holders of common stock are entitled to share ratably in the Company’s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Common Stock</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December 31, 2020 and 2019, the Company had warrants outstanding for the purchase of 600,000 and 917,562 shares, respectively, of the Company’s common stock. In October 2019, the Company issued warrants for the purchase of 600,000 shares of the Company’s common stock at an exercise price of $0.486 per share in connection with the hiring of a strategic advisor consultant for a six-month period. These warrants vested in equal monthly installments over a six-month period beginning October 14, 2019 and expire on October 24, 2024. At the date of grant the fair value of these awards was determined using a Black-Scholes Merton pricing model. Included at December 31, 2019, are warrants for the purchase of 317,562 shares of the Company’s common stock at an exercise price of $5.00 per share that were issued in 2017 and have a three-year term. The 317,562 warrants expired on March 15, 2020, and none were exercised or settled as the fair value of the Company’s common stock was below the exercise price. The number of shares and the exercise price shall be adjusted for standard anti-dilution events such as stock splits, combinations, reorganizations, or issue shares as part of a stock dividend. Upon a change of control, the warrant holder will have the right to receive securities, cash or other properties it would have been entitled to receive had the warrant been exercised. The warrants are equity classified instruments and do not contain contingent exercise provisions, or other features, that would preclude the Company from concluding that the warrants are indexed solely to the Company’s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Preferred Stock</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December 31, 2020 and 2019, the Company had 10,000,000 shares of preferred stock, par value $0.0001 per share, in authorized capital. No preferred stock was issued and outstanding at December 31, 2020 and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March 2017, the Company’s Board of Directors adopted, and the stockholders approved, the 2017 Stock Option and Incentive Plan (the “2017 Plan”), that became effective in April 2017. The 2017 Plan provides for the issuance of incentive awards up to 4,600,000 shares of common stock to officers, employees, consultants and directors, less the number of shares subject to issued and outstanding awards under the Company’s 2011 Equity Incentive Plan that were assumed in the Merger. The 2017 Plan also provides that the number of shares reserved for issuance thereunder will be increased annually on the first day of each year beginning in 2018 by four percent (4%) of the shares of our common stock outstanding on the last day of the immediately preceding year or such smaller increase as determined by our Board of Directors. As a result of the evergreen increase, a total of 1,623,520 shares were added to the 2017 Plan on January 1, 2020 and a total of 1,890,052 were added to the 2017 Plan on January 1, 2021.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options granted generally vest over 48 months. Under the 2017 Plan, options vest in installments of 25% at the one-year anniversary and thereafter in 36 equal monthly installments beginning on the 1</w:t>
      </w:r>
      <w:r>
        <w:rPr>
          <w:rFonts w:ascii="Arial" w:cs="Arial" w:eastAsia="Arial" w:hAnsi="Arial"/>
          <w:sz w:val="13"/>
          <w:szCs w:val="13"/>
          <w:color w:val="auto"/>
        </w:rPr>
        <w:t>st</w:t>
      </w:r>
      <w:r>
        <w:rPr>
          <w:rFonts w:ascii="Arial" w:cs="Arial" w:eastAsia="Arial" w:hAnsi="Arial"/>
          <w:sz w:val="16"/>
          <w:szCs w:val="16"/>
          <w:color w:val="auto"/>
        </w:rPr>
        <w:t xml:space="preserve"> of the month after the one-year anniversary date, subject to the employee’s continuous service with the Company. In May 2019, the Company issued a special retention grant of options to purchase an aggregate of 2,419,050 shares of common stock which vest in installments of 50% at June 30, 2020 and 50% at June 30, 2021, subject to the employee’s continuous service with the Company. The options generally expire ten years after the date of grant. The fair value of the options at the date of grant is recognized as an expense over the requisite service period.</w:t>
      </w:r>
    </w:p>
    <w:p>
      <w:pPr>
        <w:spacing w:after="0" w:line="2"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Option awards to purchase an aggregate of 962,720 and 4,666,728 shares of common stock were granted during the year ended December 31, 2020 and 2019, respectively. All option awards granted during 2020 and 2019 were under the 2017 Equity Plan.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3,634,905 and 1,983,093 shares were reserved for issuance under the 2017 Plan, respectively.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The following table summarizes the stock option activity during the years ended December 31, 2020 and 2019:</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ind w:left="248"/>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center"/>
              <w:ind w:left="318"/>
              <w:spacing w:after="0"/>
              <w:rPr>
                <w:sz w:val="20"/>
                <w:szCs w:val="20"/>
                <w:color w:val="auto"/>
              </w:rPr>
            </w:pPr>
            <w:r>
              <w:rPr>
                <w:rFonts w:ascii="Arial" w:cs="Arial" w:eastAsia="Arial" w:hAnsi="Arial"/>
                <w:sz w:val="14"/>
                <w:szCs w:val="14"/>
                <w:b w:val="1"/>
                <w:bCs w:val="1"/>
                <w:color w:val="auto"/>
                <w:w w:val="95"/>
              </w:rPr>
              <w:t>Weighted</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2"/>
              </w:rPr>
              <w:t>Remaining</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298"/>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120" w:type="dxa"/>
            <w:vAlign w:val="bottom"/>
          </w:tcPr>
          <w:p>
            <w:pPr>
              <w:jc w:val="center"/>
              <w:ind w:left="318"/>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9"/>
              </w:rPr>
              <w:t>Term</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318"/>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(in Years)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2019</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3,351,132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38"/>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2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8.24</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142,788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4,666,728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40"/>
              <w:spacing w:after="0"/>
              <w:rPr>
                <w:sz w:val="20"/>
                <w:szCs w:val="20"/>
                <w:color w:val="auto"/>
              </w:rPr>
            </w:pPr>
            <w:r>
              <w:rPr>
                <w:rFonts w:ascii="Arial" w:cs="Arial" w:eastAsia="Arial" w:hAnsi="Arial"/>
                <w:sz w:val="18"/>
                <w:szCs w:val="18"/>
                <w:color w:val="auto"/>
              </w:rPr>
              <w:t>Expired/cancelled</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(2,682,010)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December 31, 2019</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5,335,850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938"/>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6.23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Expected to vest, December 31, 2019</w:t>
            </w: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2,395,265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ind w:right="938"/>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9.00</w:t>
            </w:r>
          </w:p>
        </w:tc>
        <w:tc>
          <w:tcPr>
            <w:tcW w:w="28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December 31, 2019</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2,940,585</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93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3.98</w:t>
            </w:r>
          </w:p>
        </w:tc>
        <w:tc>
          <w:tcPr>
            <w:tcW w:w="5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Outstanding, January 1, 2020</w:t>
            </w:r>
          </w:p>
        </w:tc>
        <w:tc>
          <w:tcPr>
            <w:tcW w:w="1500" w:type="dxa"/>
            <w:vAlign w:val="bottom"/>
          </w:tcPr>
          <w:p>
            <w:pPr>
              <w:jc w:val="right"/>
              <w:spacing w:after="0"/>
              <w:rPr>
                <w:sz w:val="20"/>
                <w:szCs w:val="20"/>
                <w:color w:val="auto"/>
              </w:rPr>
            </w:pPr>
            <w:r>
              <w:rPr>
                <w:rFonts w:ascii="Arial" w:cs="Arial" w:eastAsia="Arial" w:hAnsi="Arial"/>
                <w:sz w:val="18"/>
                <w:szCs w:val="18"/>
                <w:color w:val="auto"/>
              </w:rPr>
              <w:t>5,335,850</w:t>
            </w:r>
          </w:p>
        </w:tc>
        <w:tc>
          <w:tcPr>
            <w:tcW w:w="180" w:type="dxa"/>
            <w:vAlign w:val="bottom"/>
          </w:tcPr>
          <w:p>
            <w:pPr>
              <w:spacing w:after="0"/>
              <w:rPr>
                <w:sz w:val="19"/>
                <w:szCs w:val="19"/>
                <w:color w:val="auto"/>
              </w:rPr>
            </w:pPr>
          </w:p>
        </w:tc>
        <w:tc>
          <w:tcPr>
            <w:tcW w:w="1220" w:type="dxa"/>
            <w:vAlign w:val="bottom"/>
            <w:gridSpan w:val="2"/>
          </w:tcPr>
          <w:p>
            <w:pPr>
              <w:jc w:val="right"/>
              <w:ind w:right="93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6.23</w:t>
            </w:r>
          </w:p>
        </w:tc>
        <w:tc>
          <w:tcPr>
            <w:tcW w:w="5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Granted</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962,720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0.71</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(139,660)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Expired/cancelled</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(1,516,670)</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December 31, 2020</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4,642,240</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938"/>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Borders>
              <w:bottom w:val="single" w:sz="8" w:color="CFF0FC"/>
            </w:tcBorders>
          </w:tcPr>
          <w:p>
            <w:pPr>
              <w:spacing w:after="0"/>
              <w:rPr>
                <w:sz w:val="22"/>
                <w:szCs w:val="22"/>
                <w:color w:val="auto"/>
              </w:rPr>
            </w:pPr>
          </w:p>
        </w:tc>
        <w:tc>
          <w:tcPr>
            <w:tcW w:w="114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7.00</w:t>
            </w:r>
          </w:p>
        </w:tc>
        <w:tc>
          <w:tcPr>
            <w:tcW w:w="2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358,209</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Expected to vest, December 31, 2020</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2,142,687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38"/>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8.55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333,028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Options exercisable, December 31, 2020</w:t>
            </w:r>
          </w:p>
        </w:tc>
        <w:tc>
          <w:tcPr>
            <w:tcW w:w="1500" w:type="dxa"/>
            <w:vAlign w:val="bottom"/>
          </w:tcPr>
          <w:p>
            <w:pPr>
              <w:jc w:val="right"/>
              <w:spacing w:after="0"/>
              <w:rPr>
                <w:sz w:val="20"/>
                <w:szCs w:val="20"/>
                <w:color w:val="auto"/>
              </w:rPr>
            </w:pPr>
            <w:r>
              <w:rPr>
                <w:rFonts w:ascii="Arial" w:cs="Arial" w:eastAsia="Arial" w:hAnsi="Arial"/>
                <w:sz w:val="18"/>
                <w:szCs w:val="18"/>
                <w:color w:val="auto"/>
              </w:rPr>
              <w:t>2,499,553</w:t>
            </w:r>
          </w:p>
        </w:tc>
        <w:tc>
          <w:tcPr>
            <w:tcW w:w="180" w:type="dxa"/>
            <w:vAlign w:val="bottom"/>
          </w:tcPr>
          <w:p>
            <w:pPr>
              <w:spacing w:after="0"/>
              <w:rPr>
                <w:sz w:val="20"/>
                <w:szCs w:val="20"/>
                <w:color w:val="auto"/>
              </w:rPr>
            </w:pPr>
          </w:p>
        </w:tc>
        <w:tc>
          <w:tcPr>
            <w:tcW w:w="1220" w:type="dxa"/>
            <w:vAlign w:val="bottom"/>
            <w:gridSpan w:val="2"/>
          </w:tcPr>
          <w:p>
            <w:pPr>
              <w:jc w:val="right"/>
              <w:ind w:right="93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5.67</w:t>
            </w:r>
          </w:p>
        </w:tc>
        <w:tc>
          <w:tcPr>
            <w:tcW w:w="5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25,181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Aggregate intrinsic value represents the estimated fair value of the Company’s common stock in excess of the weighted average exercise price multiplied by the number of options outstanding or exercisable. The aggregate intrinsic value of the options at December 31, 2020 and 2019, was $358,209 and $2,866,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Stock options exercised during 2020 had an intrinsic value of $149,172. No stock options were exercised during 2019.</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For the years ended December 31, 2020 and 2019, the Company recognized compensation expense for stock options of $1,281,530 and $1,085,842, respectively. During the fourth quarter of 2019, the Company recorded a one-time stock-based compensation cumulative reversal of $1,051,735 for the forfeitures of outstanding equity awards related to the Chief Executive Officer and Chief Financial and Business Officer who departed the Company on October 15, 2019. As of December 31, 2020, there was $1,463,227 of unrecognized compensation cost related to stock options, which is expected to be recognized over a weighted average period of 1.66 years.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7" w:name="page98"/>
    <w:bookmarkEnd w:id="97"/>
    <w:p>
      <w:pPr>
        <w:spacing w:after="0" w:line="269" w:lineRule="auto"/>
        <w:rPr>
          <w:sz w:val="20"/>
          <w:szCs w:val="20"/>
          <w:color w:val="auto"/>
        </w:rPr>
      </w:pPr>
      <w:r>
        <w:rPr>
          <w:rFonts w:ascii="Arial" w:cs="Arial" w:eastAsia="Arial" w:hAnsi="Arial"/>
          <w:sz w:val="17"/>
          <w:szCs w:val="17"/>
          <w:color w:val="auto"/>
        </w:rPr>
        <w:t>The Company uses the Black-Scholes option pricing model to determine the estimated fair value for stock-based awards. For the years ended December 31, 2020 and 2019, there were 962,720 and 4,666,728 options granted out of the 2017 Plan, respectively. Option pricing models require the input of various assumptions, including the option’s expected life, expected dividend yield, price volatility and risk-free interest rate of the underlying stock. As there has not been significant public market activity of the Company’s Common Stock, the Company has determined the volatility assumption for options granted based on data from a peer group of companies that issued options with substantially similar terms. The expected volatility of options granted has been determined using the average of the historical volatility measures of this peer group of companies for a period equal to the expected life of the option. The risk-free interest rate is based on the rate applicable to U.S. Treasury zero-coupon issues, with remaining maturities commensurate with the expected term of the options granted in effect on the date of grant. The Company has not paid, and does not anticipate paying, cash dividends on shares of Common Stock; therefore, the expected dividend yield is assumed to be zero in the option valuation model. Accordingly, the weighted-average fair value of the options granted during the years ended December 31, 2020 and 2019, was $0.43 and $1.11, respectively. The calculation was based on the following assumptions.</w:t>
      </w:r>
    </w:p>
    <w:p>
      <w:pPr>
        <w:spacing w:after="0" w:line="25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26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5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5.92</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8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0.53%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69.36%</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64.88%</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Expense Summary</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recognized the following compensation cost related to employee and non-employee stock-based compensation activity for the periods presented below.</w:t>
      </w:r>
    </w:p>
    <w:p>
      <w:pPr>
        <w:spacing w:after="0" w:line="27"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537,515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510,923</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744,015</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574,919</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1,281,530</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1,085,842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increase in compensation expense during the year ended December 31, 2020, is primarily due to expense related to the May 2019 special retention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did not record a current or deferred income tax expense or benefit for the years ended December 31, 2020 and 2019, due to the Company’s net and comprehensive losses and increases in its deferred tax asset valuation allowance. A reconciliation of the statutory federal income tax with the provision for income taxes are as follows:</w:t>
      </w:r>
    </w:p>
    <w:p>
      <w:pPr>
        <w:spacing w:after="0" w:line="229"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4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1"/>
                <w:szCs w:val="21"/>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1"/>
                <w:szCs w:val="21"/>
                <w:color w:val="auto"/>
              </w:rPr>
            </w:pPr>
          </w:p>
        </w:tc>
        <w:tc>
          <w:tcPr>
            <w:tcW w:w="1080" w:type="dxa"/>
            <w:vAlign w:val="bottom"/>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5400" w:type="dxa"/>
            <w:vAlign w:val="bottom"/>
            <w:tcBorders>
              <w:bottom w:val="single" w:sz="8" w:color="CFF0FC"/>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Federal tax at statutory rate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(21.00%)</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00" w:type="dxa"/>
            <w:vAlign w:val="bottom"/>
          </w:tcPr>
          <w:p>
            <w:pPr>
              <w:ind w:left="120"/>
              <w:spacing w:after="0"/>
              <w:rPr>
                <w:sz w:val="20"/>
                <w:szCs w:val="20"/>
                <w:color w:val="auto"/>
              </w:rPr>
            </w:pPr>
            <w:r>
              <w:rPr>
                <w:rFonts w:ascii="Arial" w:cs="Arial" w:eastAsia="Arial" w:hAnsi="Arial"/>
                <w:sz w:val="18"/>
                <w:szCs w:val="18"/>
                <w:color w:val="auto"/>
              </w:rPr>
              <w:t>State and local tax at statutory rates, net of</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(6.52)</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federal income tax</w:t>
            </w:r>
          </w:p>
        </w:tc>
        <w:tc>
          <w:tcPr>
            <w:tcW w:w="1300" w:type="dxa"/>
            <w:vAlign w:val="bottom"/>
            <w:gridSpan w:val="2"/>
            <w:vMerge w:val="continue"/>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Research and development credits</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(15.90)</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0"/>
        </w:trPr>
        <w:tc>
          <w:tcPr>
            <w:tcW w:w="540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13.31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0.04</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Change in valuation allowance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30.07</w:t>
            </w:r>
          </w:p>
        </w:tc>
        <w:tc>
          <w:tcPr>
            <w:tcW w:w="2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Effective tax rate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income tax provision was computed based on the federal statutory rate and the average state statutory rates, net of the related federal benefit.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8" w:name="page99"/>
    <w:bookmarkEnd w:id="98"/>
    <w:p>
      <w:pPr>
        <w:jc w:val="both"/>
        <w:ind w:right="80"/>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the assets and liabilities for financial reporting purposes and the amounts used for income and for tax carryforwards, recorded at the enacted federal statutory income tax rate. Significant components of the Company’s deferred tax assets and liabilities are as follows:</w:t>
      </w:r>
    </w:p>
    <w:p>
      <w:pPr>
        <w:spacing w:after="0" w:line="229"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4200" w:type="dxa"/>
            <w:vAlign w:val="bottom"/>
            <w:tcBorders>
              <w:bottom w:val="single" w:sz="8" w:color="CFF0FC"/>
            </w:tcBorders>
          </w:tcPr>
          <w:p>
            <w:pPr>
              <w:spacing w:after="0"/>
              <w:rPr>
                <w:sz w:val="2"/>
                <w:szCs w:val="2"/>
                <w:color w:val="auto"/>
              </w:rPr>
            </w:pPr>
          </w:p>
        </w:tc>
        <w:tc>
          <w:tcPr>
            <w:tcW w:w="1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26,184,326</w:t>
            </w:r>
          </w:p>
        </w:tc>
        <w:tc>
          <w:tcPr>
            <w:tcW w:w="2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24,966,019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107,525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428,125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738,768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credits</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5,326,964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4,640,960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40"/>
              <w:spacing w:after="0"/>
              <w:rPr>
                <w:sz w:val="20"/>
                <w:szCs w:val="20"/>
                <w:color w:val="auto"/>
              </w:rPr>
            </w:pPr>
            <w:r>
              <w:rPr>
                <w:rFonts w:ascii="Arial" w:cs="Arial" w:eastAsia="Arial" w:hAnsi="Arial"/>
                <w:sz w:val="18"/>
                <w:szCs w:val="18"/>
                <w:color w:val="auto"/>
              </w:rPr>
              <w:t>Operating lease right-of-use assets, net</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15,152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5,232</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32,067,324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30,799,011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40"/>
              <w:spacing w:after="0"/>
              <w:rPr>
                <w:sz w:val="20"/>
                <w:szCs w:val="20"/>
                <w:color w:val="auto"/>
              </w:rPr>
            </w:pPr>
            <w:r>
              <w:rPr>
                <w:rFonts w:ascii="Arial" w:cs="Arial" w:eastAsia="Arial" w:hAnsi="Arial"/>
                <w:sz w:val="18"/>
                <w:szCs w:val="18"/>
                <w:color w:val="auto"/>
              </w:rPr>
              <w:t>Furniture and equipment</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17,425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liability</w:t>
            </w:r>
          </w:p>
        </w:tc>
        <w:tc>
          <w:tcPr>
            <w:tcW w:w="1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14,361</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liabilities</w:t>
            </w:r>
          </w:p>
        </w:tc>
        <w:tc>
          <w:tcPr>
            <w:tcW w:w="1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31,786</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deferred tax assets before valuation</w:t>
            </w: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32,035,538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allowance</w:t>
            </w: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30,738,000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40"/>
              <w:spacing w:after="0"/>
              <w:rPr>
                <w:sz w:val="20"/>
                <w:szCs w:val="20"/>
                <w:color w:val="auto"/>
              </w:rPr>
            </w:pPr>
            <w:r>
              <w:rPr>
                <w:rFonts w:ascii="Arial" w:cs="Arial" w:eastAsia="Arial" w:hAnsi="Arial"/>
                <w:sz w:val="18"/>
                <w:szCs w:val="18"/>
                <w:color w:val="auto"/>
              </w:rPr>
              <w:t>Less valuation allowance</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(32,035,538)</w:t>
            </w: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(30,738,000)</w:t>
            </w: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deferred tax asset</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When realization of the deferred tax asset is more likely than not to occur, the benefit related to the deductible temporary differences attributable to operation is recognized as a reduction of income tax expense. Valuation allowances are provided against deferred tax assets when, based on all available evidence, it is considered more likely than not that some portion or all of the recorded deferred tax assets will not be realized in future periods. The Company cannot be certain that future taxable income will be sufficient to realize its deferred tax assets, and accordingly, a full valuation allowance has been provided on its net deferred tax assets. The valuation allowance increased $1,297,538 and $5,735,658 in 2020 and 2019, respectively, as a result of an increase in the net operating loss (“NOL”) and an increase of research and development credits carryforwards. The Company continues to monitor the need for a valuation allowance based on the profitability of its future operations.</w:t>
      </w:r>
    </w:p>
    <w:p>
      <w:pPr>
        <w:spacing w:after="0" w:line="9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At December 31, 2020, the Company has $84,173,001 of federal NOL carryforwards with expirations between 2032 and 2038. The Company has $33,263,905 of federal NOL carryforwards with no expiration as a result of the 2017 Tax Act. Additionally, the Company has $64,932,119 of state and local NOL carryforwards with expiration between 2021 and 2041. Finally, at December 31, 2020, the Company has $5,326,964 of federal research and development credit carryforwards that expire at various dates through 2041.</w:t>
      </w:r>
    </w:p>
    <w:p>
      <w:pPr>
        <w:spacing w:after="0" w:line="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provisions of the Internal Revenue Code, NOL and tax credit carryforwards are subject to review and possible adjustment by the Internal Revenue Service and state tax authorities until fully utilized. NOL and tax credit carryforwards may be subject to an annual limitation in the event of certain cumulative changes in the ownership interest of significant stockholders by more than 50% over a three-year period, as defined in Sections 382 and 383 of the Internal Revenue Code and similar state provisions. The amount of the annual limitation is determined based on the value of the Company immediately before the ownership change. Subsequent ownership changes may further affect the limitation in future years. The Company has not completed a study to assess whether a change of control has occurred or whether there have been multiple changes of control since the date of the Company’s formation due to the significant complexity and cost associated with such study and that there could be additional changes in control in the future. As a result, the Company is unable to estimate the effect of these limitations, if any, on the Company’s ability to utilize NOL and tax credit carryforwards in the future. A full valuation allowance has been provided against the Company’s NOL and tax credit carryforwards and, if an adjustment is required, this adjustment would be offset by an adjustment to the deferred tax asset established for the NOL and tax credit carryforwards and the valuation allowance.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9" w:name="page100"/>
    <w:bookmarkEnd w:id="99"/>
    <w:p>
      <w:pPr>
        <w:ind w:right="40"/>
        <w:spacing w:after="0" w:line="257" w:lineRule="auto"/>
        <w:rPr>
          <w:sz w:val="20"/>
          <w:szCs w:val="20"/>
          <w:color w:val="auto"/>
        </w:rPr>
      </w:pPr>
      <w:r>
        <w:rPr>
          <w:rFonts w:ascii="Arial" w:cs="Arial" w:eastAsia="Arial" w:hAnsi="Arial"/>
          <w:sz w:val="18"/>
          <w:szCs w:val="18"/>
          <w:color w:val="auto"/>
        </w:rPr>
        <w:t>The Company has not yet conducted a study to document whether its research activities may qualify for the research and development tax credit. Such a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 and, if an adjustment is required, this adjustment would be offset by an adjustment to the deferred tax asset established for the research and development credit carryforwards and the valuation allowance.</w:t>
      </w:r>
    </w:p>
    <w:p>
      <w:pPr>
        <w:spacing w:after="0" w:line="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2020 and 2019, the Company had no accrued uncertain tax positions or associated interest or penalties and no amounts have been recognized in the Company’s consolidated statements of operations and comprehensive loss.</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files income tax returns in the U.S. federal jurisdiction and various state jurisdictions. All years remain open and are subject to examination by federal and state taxing authorities.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and Comprehensive Loss per Share Attributable to Common Stockholders</w:t>
      </w:r>
    </w:p>
    <w:p>
      <w:pPr>
        <w:spacing w:after="0" w:line="12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and comprehensive loss per share attributable to common stockholders for the periods presented:</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loss attributable to</w:t>
            </w:r>
          </w:p>
        </w:tc>
        <w:tc>
          <w:tcPr>
            <w:tcW w:w="12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(4,315,323)</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stockholders</w:t>
            </w:r>
          </w:p>
        </w:tc>
        <w:tc>
          <w:tcPr>
            <w:tcW w:w="1220" w:type="dxa"/>
            <w:vAlign w:val="bottom"/>
            <w:gridSpan w:val="2"/>
            <w:vMerge w:val="continue"/>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(23,270,514)</w:t>
            </w:r>
          </w:p>
        </w:tc>
        <w:tc>
          <w:tcPr>
            <w:tcW w:w="0" w:type="dxa"/>
            <w:vAlign w:val="bottom"/>
          </w:tcPr>
          <w:p>
            <w:pPr>
              <w:spacing w:after="0"/>
              <w:rPr>
                <w:sz w:val="1"/>
                <w:szCs w:val="1"/>
                <w:color w:val="auto"/>
              </w:rPr>
            </w:pPr>
          </w:p>
        </w:tc>
      </w:tr>
      <w:tr>
        <w:trPr>
          <w:trHeight w:val="215"/>
        </w:trPr>
        <w:tc>
          <w:tcPr>
            <w:tcW w:w="4280" w:type="dxa"/>
            <w:vAlign w:val="bottom"/>
          </w:tcPr>
          <w:p>
            <w:pPr>
              <w:spacing w:after="0"/>
              <w:rPr>
                <w:sz w:val="20"/>
                <w:szCs w:val="20"/>
                <w:color w:val="auto"/>
              </w:rPr>
            </w:pPr>
            <w:r>
              <w:rPr>
                <w:rFonts w:ascii="Arial" w:cs="Arial" w:eastAsia="Arial" w:hAnsi="Arial"/>
                <w:sz w:val="18"/>
                <w:szCs w:val="18"/>
                <w:color w:val="auto"/>
              </w:rPr>
              <w:t>Weighted average common shares used in</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rPr>
                <w:sz w:val="20"/>
                <w:szCs w:val="20"/>
                <w:color w:val="auto"/>
              </w:rPr>
            </w:pPr>
            <w:r>
              <w:rPr>
                <w:rFonts w:ascii="Arial" w:cs="Arial" w:eastAsia="Arial" w:hAnsi="Arial"/>
                <w:sz w:val="18"/>
                <w:szCs w:val="18"/>
                <w:color w:val="auto"/>
              </w:rPr>
              <w:t>computing net and comprehensive loss per</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rPr>
                <w:sz w:val="20"/>
                <w:szCs w:val="20"/>
                <w:color w:val="auto"/>
              </w:rPr>
            </w:pPr>
            <w:r>
              <w:rPr>
                <w:rFonts w:ascii="Arial" w:cs="Arial" w:eastAsia="Arial" w:hAnsi="Arial"/>
                <w:sz w:val="18"/>
                <w:szCs w:val="18"/>
                <w:color w:val="auto"/>
              </w:rPr>
              <w:t>share attributable to common stockholders,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42,624,148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40,588,004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loss per share</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attributable to common stockholders,</w:t>
            </w:r>
          </w:p>
        </w:tc>
        <w:tc>
          <w:tcPr>
            <w:tcW w:w="12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(0.10)</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1220" w:type="dxa"/>
            <w:vAlign w:val="bottom"/>
            <w:gridSpan w:val="2"/>
            <w:vMerge w:val="continue"/>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weighted average common stock equivalents were excluded from the calculation of diluted net and comprehensive loss per share for the year ended December 31, 2020 and 2019, because including them would have had an anti-dilutive effect:</w:t>
      </w:r>
    </w:p>
    <w:p>
      <w:pPr>
        <w:spacing w:after="0" w:line="27"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Year Ended December 31,</w:t>
      </w:r>
    </w:p>
    <w:p>
      <w:pPr>
        <w:spacing w:after="0" w:line="11" w:lineRule="exact"/>
        <w:rPr>
          <w:sz w:val="20"/>
          <w:szCs w:val="20"/>
          <w:color w:val="auto"/>
        </w:rPr>
      </w:pPr>
    </w:p>
    <w:p>
      <w:pPr>
        <w:ind w:left="7500"/>
        <w:spacing w:after="0"/>
        <w:tabs>
          <w:tab w:leader="none" w:pos="87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tbl>
      <w:tblPr>
        <w:tblLayout w:type="fixed"/>
        <w:tblInd w:w="1700" w:type="dxa"/>
        <w:tblCellMar>
          <w:top w:w="0" w:type="dxa"/>
          <w:left w:w="0" w:type="dxa"/>
          <w:bottom w:w="0" w:type="dxa"/>
          <w:right w:w="0" w:type="dxa"/>
        </w:tblCellMar>
      </w:tblP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4,642,240</w:t>
            </w: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5,335,850</w:t>
            </w:r>
          </w:p>
        </w:tc>
        <w:tc>
          <w:tcPr>
            <w:tcW w:w="80" w:type="dxa"/>
            <w:vAlign w:val="bottom"/>
            <w:tcBorders>
              <w:top w:val="single" w:sz="8" w:color="CFF0FC"/>
            </w:tcBorders>
            <w:shd w:val="clear" w:color="auto" w:fill="CFF0FC"/>
          </w:tcPr>
          <w:p>
            <w:pPr>
              <w:spacing w:after="0"/>
              <w:rPr>
                <w:sz w:val="19"/>
                <w:szCs w:val="19"/>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600,000</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917,562</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December 31, 2020, the Company is a party to one property lease in Cincinnati, Ohio under an arrangement which provides the right to use the underlying asset and require lease payments for the lease term. During the fourth quarter of 2019, the Company terminated its leases in Lexington, Massachusetts and Dexter, Michigan; no penalties were incurred related to these terminations. The Cincinnati, Ohio lease agreement obligates the Company to pay real estate taxes, insurance and certain maintenance costs (hereinafter referred to as non-lease components). The Company’s lease arrangement contains a renewal provision of 5 years, exercisable at the Company's option. The Company’s lease agreement does not contain any material residual value guarantees or material restrictive covenants.</w:t>
      </w:r>
    </w:p>
    <w:p>
      <w:pPr>
        <w:spacing w:after="0" w:line="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determines if an arrangement is an operating lease at inception. Leases with an initial term of 12 months or less are not recorded on the consolidated balance sheet. All other leases are recorded on the consolidated balance sheet with a corresponding operating lease asset, net, representing the right to use the underlying asset for the lease term and the operating lease liabilities representing the obligation to make lease payments arising from the lease.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0" w:name="page101"/>
    <w:bookmarkEnd w:id="100"/>
    <w:p>
      <w:pPr>
        <w:spacing w:after="0" w:line="296" w:lineRule="auto"/>
        <w:rPr>
          <w:sz w:val="20"/>
          <w:szCs w:val="20"/>
          <w:color w:val="auto"/>
        </w:rPr>
      </w:pPr>
      <w:r>
        <w:rPr>
          <w:rFonts w:ascii="Arial" w:cs="Arial" w:eastAsia="Arial" w:hAnsi="Arial"/>
          <w:sz w:val="16"/>
          <w:szCs w:val="16"/>
          <w:color w:val="auto"/>
        </w:rPr>
        <w:t>Operating lease assets and operating lease liabilities are recognized at commencement date based on the present value of lease payments over the lease term and include options to extend or terminate the lease when they are reasonably certain to be exercised. The present value of lease payments is determined primarily using the incremental borrowing rate based on the information available at lease commencement date. Lease agreements with lease and non-lease components are generally accounted for as a single lease component. The Company’s operating lease expense is recognized on a straight-line basis over the lease term and are recorded in general and administrative expenses on the consolidated statements of operations and comprehensive loss.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lease cost and information related to the right-of-use assets, net and operating lease liabilities: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80" w:type="dxa"/>
            <w:vAlign w:val="bottom"/>
          </w:tcPr>
          <w:p>
            <w:pPr>
              <w:spacing w:after="0"/>
              <w:rPr>
                <w:sz w:val="14"/>
                <w:szCs w:val="14"/>
                <w:color w:val="auto"/>
              </w:rPr>
            </w:pPr>
          </w:p>
        </w:tc>
        <w:tc>
          <w:tcPr>
            <w:tcW w:w="29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8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1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Arial" w:cs="Arial" w:eastAsia="Arial" w:hAnsi="Arial"/>
                <w:sz w:val="18"/>
                <w:szCs w:val="18"/>
                <w:color w:val="auto"/>
              </w:rPr>
              <w:t>Average rent expense</w:t>
            </w:r>
          </w:p>
        </w:tc>
        <w:tc>
          <w:tcPr>
            <w:tcW w:w="1380" w:type="dxa"/>
            <w:vAlign w:val="bottom"/>
          </w:tcPr>
          <w:p>
            <w:pPr>
              <w:jc w:val="right"/>
              <w:ind w:right="1199"/>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113,429</w:t>
            </w:r>
          </w:p>
        </w:tc>
        <w:tc>
          <w:tcPr>
            <w:tcW w:w="260" w:type="dxa"/>
            <w:vAlign w:val="bottom"/>
          </w:tcPr>
          <w:p>
            <w:pPr>
              <w:spacing w:after="0"/>
              <w:rPr>
                <w:sz w:val="19"/>
                <w:szCs w:val="19"/>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information</w:t>
            </w:r>
          </w:p>
        </w:tc>
        <w:tc>
          <w:tcPr>
            <w:tcW w:w="1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80" w:type="dxa"/>
            <w:vAlign w:val="bottom"/>
          </w:tcPr>
          <w:p>
            <w:pPr>
              <w:spacing w:after="0"/>
              <w:rPr>
                <w:sz w:val="20"/>
                <w:szCs w:val="20"/>
                <w:color w:val="auto"/>
              </w:rPr>
            </w:pPr>
            <w:r>
              <w:rPr>
                <w:rFonts w:ascii="Arial" w:cs="Arial" w:eastAsia="Arial" w:hAnsi="Arial"/>
                <w:sz w:val="18"/>
                <w:szCs w:val="18"/>
                <w:color w:val="auto"/>
              </w:rPr>
              <w:t>Cash paid for amounts included in</w:t>
            </w:r>
          </w:p>
        </w:tc>
        <w:tc>
          <w:tcPr>
            <w:tcW w:w="1380" w:type="dxa"/>
            <w:vAlign w:val="bottom"/>
            <w:vMerge w:val="restart"/>
          </w:tcPr>
          <w:p>
            <w:pPr>
              <w:jc w:val="right"/>
              <w:ind w:right="1199"/>
              <w:spacing w:after="0"/>
              <w:rPr>
                <w:sz w:val="20"/>
                <w:szCs w:val="20"/>
                <w:color w:val="auto"/>
              </w:rPr>
            </w:pPr>
            <w:r>
              <w:rPr>
                <w:rFonts w:ascii="Arial" w:cs="Arial" w:eastAsia="Arial" w:hAnsi="Arial"/>
                <w:sz w:val="18"/>
                <w:szCs w:val="18"/>
                <w:b w:val="1"/>
                <w:bCs w:val="1"/>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117,780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the measurement of operating lease liabilities</w:t>
            </w:r>
          </w:p>
        </w:tc>
        <w:tc>
          <w:tcPr>
            <w:tcW w:w="138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242,581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80" w:type="dxa"/>
            <w:vAlign w:val="bottom"/>
          </w:tcPr>
          <w:p>
            <w:pPr>
              <w:spacing w:after="0"/>
              <w:rPr>
                <w:sz w:val="20"/>
                <w:szCs w:val="20"/>
                <w:color w:val="auto"/>
              </w:rPr>
            </w:pPr>
            <w:r>
              <w:rPr>
                <w:rFonts w:ascii="Arial" w:cs="Arial" w:eastAsia="Arial" w:hAnsi="Arial"/>
                <w:sz w:val="18"/>
                <w:szCs w:val="18"/>
                <w:b w:val="1"/>
                <w:bCs w:val="1"/>
                <w:color w:val="auto"/>
              </w:rPr>
              <w:t>The weighted average remaining lease</w:t>
            </w: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80" w:type="dxa"/>
            <w:vAlign w:val="bottom"/>
          </w:tcPr>
          <w:p>
            <w:pPr>
              <w:ind w:left="140"/>
              <w:spacing w:after="0"/>
              <w:rPr>
                <w:sz w:val="20"/>
                <w:szCs w:val="20"/>
                <w:color w:val="auto"/>
              </w:rPr>
            </w:pPr>
            <w:r>
              <w:rPr>
                <w:rFonts w:ascii="Arial" w:cs="Arial" w:eastAsia="Arial" w:hAnsi="Arial"/>
                <w:sz w:val="18"/>
                <w:szCs w:val="18"/>
                <w:b w:val="1"/>
                <w:bCs w:val="1"/>
                <w:color w:val="auto"/>
              </w:rPr>
              <w:t>term and discount rate at December 31, 2020</w:t>
            </w:r>
          </w:p>
        </w:tc>
        <w:tc>
          <w:tcPr>
            <w:tcW w:w="1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1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13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future payments related to operating leases activities are presented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102"/>
              <w:spacing w:after="0"/>
              <w:rPr>
                <w:sz w:val="20"/>
                <w:szCs w:val="20"/>
                <w:color w:val="auto"/>
              </w:rPr>
            </w:pPr>
            <w:r>
              <w:rPr>
                <w:rFonts w:ascii="Arial" w:cs="Arial" w:eastAsia="Arial" w:hAnsi="Arial"/>
                <w:sz w:val="14"/>
                <w:szCs w:val="14"/>
                <w:b w:val="1"/>
                <w:bCs w:val="1"/>
                <w:color w:val="auto"/>
                <w:w w:val="90"/>
              </w:rPr>
              <w:t>2023 and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102"/>
              <w:spacing w:after="0"/>
              <w:rPr>
                <w:sz w:val="20"/>
                <w:szCs w:val="20"/>
                <w:color w:val="auto"/>
              </w:rPr>
            </w:pPr>
            <w:r>
              <w:rPr>
                <w:rFonts w:ascii="Arial" w:cs="Arial" w:eastAsia="Arial" w:hAnsi="Arial"/>
                <w:sz w:val="14"/>
                <w:szCs w:val="14"/>
                <w:b w:val="1"/>
                <w:bCs w:val="1"/>
                <w:color w:val="auto"/>
                <w:w w:val="96"/>
              </w:rPr>
              <w:t>Thereafter</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69,685</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69,685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Less interest</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Retirement Plan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maintains a 401(k) plan (the “401k Plan”) created in 2015 for the benefit of its employees. All employees who have attained the age of 21 are eligible to participate in the 401k Plan as of the first Entry Date, as defined by the 401k Plan document, following the employment date. Each employee can contribute a percentage of compensation up to a maximum of the statutory limits per year. Company contributions are discretionary. No contributions were made during 2020 or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Bonus Plan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maintains a bonus plan for certain employees based on the achievement of certain goals and milestones. At December 31, 2020 and 2019, the Company accrued $428,683 and $689,830, respectively, for bonuses.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13. Employee Stock Purchase Plan</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March 2017, the Board of Directors adopted and the stockholders approved the Employee Stock Purchase Plan that became effective in April 2017. On June 20, 2018, the Company’s shareholders approved the Amended and Restated 2017 Employee Stock Purchase Plan (“ESPP”) at the Annual Meeting of Shareholders. Pursuant to the terms of the ESPP, the Company will reserve for issuance 300,000 shares of the Company’s common stock in the aggregate, plus, on January 1, 2019 and each January 1 thereafter through January 1, 2028, the number of shares of the Company’s common stock reserved and available for issuance under the ESPP will be cumulatively increased by the least of (i) one percent of the number of shares of the Company’s common stock issued and outstanding on the immediately preceding December 31; (ii) 350,000 shares; or (iii) such lesser number of shares of the Company’s common stock as determined by the Board of Directors, in each case subject to adjustment in accordance with the terms of the ESPP. In March 2020, the Company’s Board of Directors approved an increase of 350,000 shares to the SEPP, which increase was effective as of January 1, 2020. No shares under the ESPP are outstanding at December 31, 2020 and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License Agreement</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June 24, 2018, the Company entered into a License Agreement (the “Gossamer License Agreement”) with Gossamer, under which the Company granted Gossamer an exclusive, sublicensable license to develop and commercialize AKB-4924 and other structurally related products worldwide, with initial development expected in the indications of induction and maintenance in ulcerative colitis and Crohn’s Disease (collectively “initial indications”). Prior to the execution of the Gossamer License Agreement, AKB-4924 was a pipeline program for the Company that completed a Phase 1a clinical trial in healthy volunteers.</w:t>
      </w:r>
    </w:p>
    <w:p>
      <w:pPr>
        <w:spacing w:after="0" w:line="8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May 12, 2020, the Company entered into Amendment No. 1 to the Gossamer License Agreement (“Amendment No. 1”). Pursuant to Amendment No. 1, Gossamer made a payment to the Company of $15.0 million on May 12, 2020. For the year ended December 31, 2020, the Company recognized revenue of $15.0 million based on the terms of Amendment No. 1, and no such revenue was recognized during the year ended December 31, 2019.</w:t>
      </w:r>
    </w:p>
    <w:p>
      <w:pPr>
        <w:spacing w:after="0" w:line="4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Gossamer is responsible for the development and commercialization of the licensed products, and a joint development committee has been formed to oversee the development and manufacturing activities related to the licensed products. Under the terms of the Gossamer License Agreement and as amended by Amendment No. 1 (collectively, the “Amended Gossamer License Agreement”), Gossamer is obligated to use its commercially reasonable efforts to develop and commercialize licensed products in the United States, two major European countries and Japan for at least one of the initial indications. The Amended Gossamer License Agreement includes an exclusivity provision that prohibits the Company from developing, manufacturing or commercializing, and prohibits Gossamer from clinically developing or commercializing certain HIF stabilizing compounds other than as permitted in the Amended Gossamer License Agreement.</w:t>
      </w:r>
    </w:p>
    <w:p>
      <w:pPr>
        <w:spacing w:after="0" w:line="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terms of the Amended Gossamer License Agreement, the Company is eligible to receive up to $40.0 million in approval milestone payments related to indications in ulcerative colitis and Crohn’s disease, and up to $50.0 million in sales milestone payments. The Company is also eligible to receive the tiered royalties on sales of licensed products from percentages ranging from a low-single-digit to mid-single-digit, subject to certain customary reductions.</w:t>
      </w:r>
    </w:p>
    <w:p>
      <w:pPr>
        <w:spacing w:after="0" w:line="7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addition, under certain circumstances, in lieu of receiving the foregoing milestone payments and royalties, the Company may elect to receive 20% of payments received by Gossamer and its stockholders (with some exclusions) in connection with Gossamer’s grant of a sublicense or other rights to the licensed products or if Gossamer undergoes a changes of control and the value of the transaction exceeds a certain value (provided that Gossamer can prevent the Company from exercising this option if the parent company of Gossamer is the entity undergoing the change of control, in which case each of the royalty rate percentages described above would automatically be increased by low single digits). Conversely, the Company could be required to accept such 20% of those payments if Gossamer agrees to pay the Company a certain minimum upon Gossamer and its stockholders being paid. Such amount may be reduced if the transaction includes pharmaceutical candidates or products or other named asset categories in addition to the licensed products.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02" w:name="page103"/>
    <w:bookmarkEnd w:id="102"/>
    <w:p>
      <w:pPr>
        <w:ind w:right="140"/>
        <w:spacing w:after="0" w:line="293" w:lineRule="auto"/>
        <w:rPr>
          <w:sz w:val="20"/>
          <w:szCs w:val="20"/>
          <w:color w:val="auto"/>
        </w:rPr>
      </w:pPr>
      <w:r>
        <w:rPr>
          <w:rFonts w:ascii="Arial" w:cs="Arial" w:eastAsia="Arial" w:hAnsi="Arial"/>
          <w:sz w:val="16"/>
          <w:szCs w:val="16"/>
          <w:color w:val="auto"/>
        </w:rPr>
        <w:t>The Amended Gossamer License Agreement expires on a licensed-product-by-licensed-product and country-by-country basis on the later of fifteen years from the date of first commercial sale or when there is no longer a valid patent claim covering such licensed product in such country. Either party may terminate the Amended Gossamer License Agreement for an uncured material breach by the other party or upon the bankruptcy or insolvency of the other party. Gossamer may terminate the Amended Gossamer License Agreement in the event Gossamer determines there is a potential safety or efficacy issue with the licensed products. The Company may terminate the amended Gossamer License Agreement if Gossamer institutes certain actions related to the licensed patents. Under certain termination circumstances, the Company would have worldwide rights to the terminated program.</w:t>
      </w: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2020, all development milestones, sales-based milestones and royalty payments within the Amended Gossamer License Agreement are constrained to the point where no transaction price has been allocated to the future milestones or royalty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April 2019, the Company executed a realignment plan to reduce operating costs and better align its workforce with the needs of its ongoing business. The realignment plan reduced the Company’s workforce by 11 employees, representing approximately 41% of its workforce. Additionally, in October 2019, the Company’s Chief Executive Officer and Chief Financial Officer departed from their positions. As a result of these reductions, the Company recorded employee severance expense of $1.9 million during the year ended December 31, 2019. These amounts are included within restructuring expense in the consolidated statements of operations and comprehensive loss.</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cash payments against the severance liability was approximately $0.8 million in the year ended December 31, 2020. There is no remaining liability as of December 31,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January 29, 2021, the Company executed a realignment plan to reduce operating costs and better align its workforce with the needs of its ongoing business. The realignment plan reduces its current workforce by 7 employees, representing approximately 58% of the Company’s workforce. The Company estimates it will incur one-time employee related severance expenses of approximately $1.2 million in the first quarter of 2021.</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maintains disclosure controls and procedures that are designed to provide reasonable assurance that information required to be disclosed in the Company’s reports under the Exchange Act, is recorded, processed, summarized and reported within the time periods specified in the SEC’s rules and forms, and that such information is accumulated and communicated to management, including the Company’s Principal Executive Officer and the Company’s Principal Financial and Accounting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Management necessarily was required to apply its judgment in evaluating the cost-benefit relationship of possible controls and procedures.</w:t>
      </w:r>
    </w:p>
    <w:p>
      <w:pPr>
        <w:spacing w:after="0" w:line="6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connection with the preparation of this Annual Report on Form 10-K, an evaluation is performed under the supervision and with the participation of the Company’s management, including the Company’s Principal Executive Officer and the Company’s Principal Financial and Accounting Officer, of the effectiveness of the design and operation of the Company’s disclosure controls and procedures (as defined in Rule 13a-15(e) under the Exchange Act) as of December 31, 2020. Based on that evaluation, the Company’s Principal Executive Officer and the Company’s Principal Financial and Accounting Officer conclude whether the Company’s disclosure controls and procedures are effective as of December 31, 2020, at the reasonable assurance level.</w:t>
      </w:r>
    </w:p>
    <w:p>
      <w:pPr>
        <w:spacing w:after="0" w:line="5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connection with this Annual Report on Form 10-K for the year ended December 31, 2020, an evaluation was performed of the effectiveness of the design and operation of the Company’s disclosure controls and procedures as of December 31, 2020. Based on that evaluation, the Company’s Principal Executive Officer and the Company’s Principal Financial and Accounting Officer have concluded based upon the evaluation described above that, as of December 31, 2020, our disclosure controls and procedures were effective at the reasonable assurance level.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for us. Internal control over financial reporting (as defined in Rule 13a-15(f) of the Exchange Act) is a process to provide reasonable assurance regarding the reliability of our financial reporting for external purposes in accordance with U.S. generally accepted accounting principles. Internal control over financial reporting includes maintaining records that in reasonable detail accurately and fairly reflect our transactions; providing reasonable assurance that transactions are recorded as necessary for preparation of our consolidated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Management conducted an evaluation of the effectiveness, as of December 31, 2020, of our internal control over financial reporting based on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in 2013. Based on this evaluation, management concluded that our internal control over financial reporting was effective as of December 31, 2020.</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during the three months ended December 31, 2020 that have materially affected, or are reasonably likely to materially affect, our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Joseph Gardner, Ph.D</w:t>
      </w:r>
      <w:r>
        <w:rPr>
          <w:rFonts w:ascii="Arial" w:cs="Arial" w:eastAsia="Arial" w:hAnsi="Arial"/>
          <w:sz w:val="18"/>
          <w:szCs w:val="18"/>
          <w:i w:val="1"/>
          <w:iCs w:val="1"/>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Gardner,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Principal Executive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Regina Marek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Regina Marek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Principal Financial and Accounting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and directors as of March 8,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40" w:type="dxa"/>
            <w:vAlign w:val="bottom"/>
            <w:tcBorders>
              <w:bottom w:val="single" w:sz="8" w:color="auto"/>
            </w:tcBorders>
          </w:tcPr>
          <w:p>
            <w:pPr>
              <w:ind w:left="1600"/>
              <w:spacing w:after="0"/>
              <w:rPr>
                <w:sz w:val="20"/>
                <w:szCs w:val="20"/>
                <w:color w:val="auto"/>
              </w:rPr>
            </w:pPr>
            <w:r>
              <w:rPr>
                <w:rFonts w:ascii="Arial" w:cs="Arial" w:eastAsia="Arial" w:hAnsi="Arial"/>
                <w:sz w:val="16"/>
                <w:szCs w:val="16"/>
                <w:b w:val="1"/>
                <w:bCs w:val="1"/>
                <w:color w:val="auto"/>
              </w:rPr>
              <w:t>Name</w:t>
            </w:r>
          </w:p>
        </w:tc>
        <w:tc>
          <w:tcPr>
            <w:tcW w:w="1520" w:type="dxa"/>
            <w:vAlign w:val="bottom"/>
            <w:tcBorders>
              <w:bottom w:val="single" w:sz="8" w:color="auto"/>
            </w:tcBorders>
          </w:tcPr>
          <w:p>
            <w:pPr>
              <w:jc w:val="center"/>
              <w:ind w:left="691"/>
              <w:spacing w:after="0"/>
              <w:rPr>
                <w:sz w:val="20"/>
                <w:szCs w:val="20"/>
                <w:color w:val="auto"/>
              </w:rPr>
            </w:pPr>
            <w:r>
              <w:rPr>
                <w:rFonts w:ascii="Arial" w:cs="Arial" w:eastAsia="Arial" w:hAnsi="Arial"/>
                <w:sz w:val="16"/>
                <w:szCs w:val="16"/>
                <w:b w:val="1"/>
                <w:bCs w:val="1"/>
                <w:color w:val="auto"/>
                <w:w w:val="85"/>
              </w:rPr>
              <w:t>Age</w:t>
            </w:r>
          </w:p>
        </w:tc>
        <w:tc>
          <w:tcPr>
            <w:tcW w:w="6680" w:type="dxa"/>
            <w:vAlign w:val="bottom"/>
            <w:tcBorders>
              <w:bottom w:val="single" w:sz="8" w:color="auto"/>
            </w:tcBorders>
          </w:tcPr>
          <w:p>
            <w:pPr>
              <w:ind w:left="3080"/>
              <w:spacing w:after="0"/>
              <w:rPr>
                <w:sz w:val="20"/>
                <w:szCs w:val="20"/>
                <w:color w:val="auto"/>
              </w:rPr>
            </w:pPr>
            <w:r>
              <w:rPr>
                <w:rFonts w:ascii="Arial" w:cs="Arial" w:eastAsia="Arial" w:hAnsi="Arial"/>
                <w:sz w:val="16"/>
                <w:szCs w:val="16"/>
                <w:b w:val="1"/>
                <w:bCs w:val="1"/>
                <w:color w:val="auto"/>
              </w:rPr>
              <w:t>Position(s)</w:t>
            </w:r>
          </w:p>
        </w:tc>
      </w:tr>
      <w:tr>
        <w:trPr>
          <w:trHeight w:val="226"/>
        </w:trPr>
        <w:tc>
          <w:tcPr>
            <w:tcW w:w="3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Executive Officers</w:t>
            </w:r>
          </w:p>
        </w:tc>
        <w:tc>
          <w:tcPr>
            <w:tcW w:w="1520" w:type="dxa"/>
            <w:vAlign w:val="bottom"/>
            <w:shd w:val="clear" w:color="auto" w:fill="CFF0FC"/>
          </w:tcPr>
          <w:p>
            <w:pPr>
              <w:spacing w:after="0"/>
              <w:rPr>
                <w:sz w:val="19"/>
                <w:szCs w:val="19"/>
                <w:color w:val="auto"/>
              </w:rPr>
            </w:pPr>
          </w:p>
        </w:tc>
        <w:tc>
          <w:tcPr>
            <w:tcW w:w="6680" w:type="dxa"/>
            <w:vAlign w:val="bottom"/>
            <w:shd w:val="clear" w:color="auto" w:fill="CFF0FC"/>
          </w:tcPr>
          <w:p>
            <w:pPr>
              <w:spacing w:after="0"/>
              <w:rPr>
                <w:sz w:val="19"/>
                <w:szCs w:val="19"/>
                <w:color w:val="auto"/>
              </w:rPr>
            </w:pP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Joseph Gardner, Ph.D.</w:t>
            </w:r>
          </w:p>
        </w:tc>
        <w:tc>
          <w:tcPr>
            <w:tcW w:w="1520" w:type="dxa"/>
            <w:vAlign w:val="bottom"/>
          </w:tcPr>
          <w:p>
            <w:pPr>
              <w:jc w:val="center"/>
              <w:ind w:left="691"/>
              <w:spacing w:after="0"/>
              <w:rPr>
                <w:sz w:val="20"/>
                <w:szCs w:val="20"/>
                <w:color w:val="auto"/>
              </w:rPr>
            </w:pPr>
            <w:r>
              <w:rPr>
                <w:rFonts w:ascii="Arial" w:cs="Arial" w:eastAsia="Arial" w:hAnsi="Arial"/>
                <w:sz w:val="18"/>
                <w:szCs w:val="18"/>
                <w:color w:val="auto"/>
                <w:w w:val="89"/>
              </w:rPr>
              <w:t>65</w:t>
            </w:r>
          </w:p>
        </w:tc>
        <w:tc>
          <w:tcPr>
            <w:tcW w:w="6680" w:type="dxa"/>
            <w:vAlign w:val="bottom"/>
          </w:tcPr>
          <w:p>
            <w:pPr>
              <w:ind w:left="220"/>
              <w:spacing w:after="0"/>
              <w:rPr>
                <w:sz w:val="20"/>
                <w:szCs w:val="20"/>
                <w:color w:val="auto"/>
              </w:rPr>
            </w:pPr>
            <w:r>
              <w:rPr>
                <w:rFonts w:ascii="Arial" w:cs="Arial" w:eastAsia="Arial" w:hAnsi="Arial"/>
                <w:sz w:val="18"/>
                <w:szCs w:val="18"/>
                <w:color w:val="auto"/>
              </w:rPr>
              <w:t>President, Principal Executive Officer</w:t>
            </w: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Regina Marek</w:t>
            </w:r>
          </w:p>
        </w:tc>
        <w:tc>
          <w:tcPr>
            <w:tcW w:w="1520" w:type="dxa"/>
            <w:vAlign w:val="bottom"/>
            <w:shd w:val="clear" w:color="auto" w:fill="CFF0FC"/>
          </w:tcPr>
          <w:p>
            <w:pPr>
              <w:jc w:val="center"/>
              <w:ind w:left="691"/>
              <w:spacing w:after="0"/>
              <w:rPr>
                <w:sz w:val="20"/>
                <w:szCs w:val="20"/>
                <w:color w:val="auto"/>
              </w:rPr>
            </w:pPr>
            <w:r>
              <w:rPr>
                <w:rFonts w:ascii="Arial" w:cs="Arial" w:eastAsia="Arial" w:hAnsi="Arial"/>
                <w:sz w:val="18"/>
                <w:szCs w:val="18"/>
                <w:color w:val="auto"/>
                <w:w w:val="89"/>
              </w:rPr>
              <w:t>52</w:t>
            </w:r>
          </w:p>
        </w:tc>
        <w:tc>
          <w:tcPr>
            <w:tcW w:w="66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Vice President, Principal Financial and Accounting Officer</w:t>
            </w: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Kevin G. Peters, M.D.</w:t>
            </w:r>
          </w:p>
        </w:tc>
        <w:tc>
          <w:tcPr>
            <w:tcW w:w="1520" w:type="dxa"/>
            <w:vAlign w:val="bottom"/>
          </w:tcPr>
          <w:p>
            <w:pPr>
              <w:jc w:val="center"/>
              <w:ind w:left="691"/>
              <w:spacing w:after="0"/>
              <w:rPr>
                <w:sz w:val="20"/>
                <w:szCs w:val="20"/>
                <w:color w:val="auto"/>
              </w:rPr>
            </w:pPr>
            <w:r>
              <w:rPr>
                <w:rFonts w:ascii="Arial" w:cs="Arial" w:eastAsia="Arial" w:hAnsi="Arial"/>
                <w:sz w:val="18"/>
                <w:szCs w:val="18"/>
                <w:color w:val="auto"/>
                <w:w w:val="89"/>
              </w:rPr>
              <w:t>64</w:t>
            </w:r>
          </w:p>
        </w:tc>
        <w:tc>
          <w:tcPr>
            <w:tcW w:w="6680" w:type="dxa"/>
            <w:vAlign w:val="bottom"/>
          </w:tcPr>
          <w:p>
            <w:pPr>
              <w:ind w:left="220"/>
              <w:spacing w:after="0"/>
              <w:rPr>
                <w:sz w:val="20"/>
                <w:szCs w:val="20"/>
                <w:color w:val="auto"/>
              </w:rPr>
            </w:pPr>
            <w:r>
              <w:rPr>
                <w:rFonts w:ascii="Arial" w:cs="Arial" w:eastAsia="Arial" w:hAnsi="Arial"/>
                <w:sz w:val="18"/>
                <w:szCs w:val="18"/>
                <w:color w:val="auto"/>
              </w:rPr>
              <w:t>Chief Scientific Officer and acting Chief Medical Officer</w:t>
            </w: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Non-Employee Directors</w:t>
            </w:r>
          </w:p>
        </w:tc>
        <w:tc>
          <w:tcPr>
            <w:tcW w:w="1520" w:type="dxa"/>
            <w:vAlign w:val="bottom"/>
            <w:shd w:val="clear" w:color="auto" w:fill="CFF0FC"/>
          </w:tcPr>
          <w:p>
            <w:pPr>
              <w:spacing w:after="0"/>
              <w:rPr>
                <w:sz w:val="19"/>
                <w:szCs w:val="19"/>
                <w:color w:val="auto"/>
              </w:rPr>
            </w:pPr>
          </w:p>
        </w:tc>
        <w:tc>
          <w:tcPr>
            <w:tcW w:w="6680" w:type="dxa"/>
            <w:vAlign w:val="bottom"/>
            <w:shd w:val="clear" w:color="auto" w:fill="CFF0FC"/>
          </w:tcPr>
          <w:p>
            <w:pPr>
              <w:spacing w:after="0"/>
              <w:rPr>
                <w:sz w:val="19"/>
                <w:szCs w:val="19"/>
                <w:color w:val="auto"/>
              </w:rPr>
            </w:pP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Caley Castelein, M.D.</w:t>
            </w:r>
          </w:p>
        </w:tc>
        <w:tc>
          <w:tcPr>
            <w:tcW w:w="1520" w:type="dxa"/>
            <w:vAlign w:val="bottom"/>
          </w:tcPr>
          <w:p>
            <w:pPr>
              <w:jc w:val="center"/>
              <w:ind w:left="691"/>
              <w:spacing w:after="0"/>
              <w:rPr>
                <w:sz w:val="20"/>
                <w:szCs w:val="20"/>
                <w:color w:val="auto"/>
              </w:rPr>
            </w:pPr>
            <w:r>
              <w:rPr>
                <w:rFonts w:ascii="Arial" w:cs="Arial" w:eastAsia="Arial" w:hAnsi="Arial"/>
                <w:sz w:val="18"/>
                <w:szCs w:val="18"/>
                <w:color w:val="auto"/>
                <w:w w:val="89"/>
              </w:rPr>
              <w:t>50</w:t>
            </w:r>
          </w:p>
        </w:tc>
        <w:tc>
          <w:tcPr>
            <w:tcW w:w="668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Cheryl Cohen</w:t>
            </w:r>
          </w:p>
        </w:tc>
        <w:tc>
          <w:tcPr>
            <w:tcW w:w="1520" w:type="dxa"/>
            <w:vAlign w:val="bottom"/>
            <w:shd w:val="clear" w:color="auto" w:fill="CFF0FC"/>
          </w:tcPr>
          <w:p>
            <w:pPr>
              <w:jc w:val="center"/>
              <w:ind w:left="691"/>
              <w:spacing w:after="0"/>
              <w:rPr>
                <w:sz w:val="20"/>
                <w:szCs w:val="20"/>
                <w:color w:val="auto"/>
              </w:rPr>
            </w:pPr>
            <w:r>
              <w:rPr>
                <w:rFonts w:ascii="Arial" w:cs="Arial" w:eastAsia="Arial" w:hAnsi="Arial"/>
                <w:sz w:val="18"/>
                <w:szCs w:val="18"/>
                <w:color w:val="auto"/>
                <w:w w:val="89"/>
              </w:rPr>
              <w:t>55</w:t>
            </w:r>
          </w:p>
        </w:tc>
        <w:tc>
          <w:tcPr>
            <w:tcW w:w="66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Anupam Dalal, M.D.</w:t>
            </w:r>
          </w:p>
        </w:tc>
        <w:tc>
          <w:tcPr>
            <w:tcW w:w="1520" w:type="dxa"/>
            <w:vAlign w:val="bottom"/>
          </w:tcPr>
          <w:p>
            <w:pPr>
              <w:jc w:val="center"/>
              <w:ind w:left="691"/>
              <w:spacing w:after="0"/>
              <w:rPr>
                <w:sz w:val="20"/>
                <w:szCs w:val="20"/>
                <w:color w:val="auto"/>
              </w:rPr>
            </w:pPr>
            <w:r>
              <w:rPr>
                <w:rFonts w:ascii="Arial" w:cs="Arial" w:eastAsia="Arial" w:hAnsi="Arial"/>
                <w:sz w:val="18"/>
                <w:szCs w:val="18"/>
                <w:color w:val="auto"/>
                <w:w w:val="89"/>
              </w:rPr>
              <w:t>49</w:t>
            </w:r>
          </w:p>
        </w:tc>
        <w:tc>
          <w:tcPr>
            <w:tcW w:w="668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Pravin Dugel, M.D.</w:t>
            </w:r>
          </w:p>
        </w:tc>
        <w:tc>
          <w:tcPr>
            <w:tcW w:w="1520" w:type="dxa"/>
            <w:vAlign w:val="bottom"/>
            <w:shd w:val="clear" w:color="auto" w:fill="CFF0FC"/>
          </w:tcPr>
          <w:p>
            <w:pPr>
              <w:jc w:val="center"/>
              <w:ind w:left="691"/>
              <w:spacing w:after="0"/>
              <w:rPr>
                <w:sz w:val="20"/>
                <w:szCs w:val="20"/>
                <w:color w:val="auto"/>
              </w:rPr>
            </w:pPr>
            <w:r>
              <w:rPr>
                <w:rFonts w:ascii="Arial" w:cs="Arial" w:eastAsia="Arial" w:hAnsi="Arial"/>
                <w:sz w:val="18"/>
                <w:szCs w:val="18"/>
                <w:color w:val="auto"/>
                <w:w w:val="89"/>
              </w:rPr>
              <w:t>57</w:t>
            </w:r>
          </w:p>
        </w:tc>
        <w:tc>
          <w:tcPr>
            <w:tcW w:w="66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Steven Prelack</w:t>
            </w:r>
          </w:p>
        </w:tc>
        <w:tc>
          <w:tcPr>
            <w:tcW w:w="1520" w:type="dxa"/>
            <w:vAlign w:val="bottom"/>
          </w:tcPr>
          <w:p>
            <w:pPr>
              <w:jc w:val="center"/>
              <w:ind w:left="691"/>
              <w:spacing w:after="0"/>
              <w:rPr>
                <w:sz w:val="20"/>
                <w:szCs w:val="20"/>
                <w:color w:val="auto"/>
              </w:rPr>
            </w:pPr>
            <w:r>
              <w:rPr>
                <w:rFonts w:ascii="Arial" w:cs="Arial" w:eastAsia="Arial" w:hAnsi="Arial"/>
                <w:sz w:val="18"/>
                <w:szCs w:val="18"/>
                <w:color w:val="auto"/>
                <w:w w:val="89"/>
              </w:rPr>
              <w:t>63</w:t>
            </w:r>
          </w:p>
        </w:tc>
        <w:tc>
          <w:tcPr>
            <w:tcW w:w="6680" w:type="dxa"/>
            <w:vAlign w:val="bottom"/>
          </w:tcPr>
          <w:p>
            <w:pPr>
              <w:ind w:left="220"/>
              <w:spacing w:after="0"/>
              <w:rPr>
                <w:sz w:val="20"/>
                <w:szCs w:val="20"/>
                <w:color w:val="auto"/>
              </w:rPr>
            </w:pPr>
            <w:r>
              <w:rPr>
                <w:rFonts w:ascii="Arial" w:cs="Arial" w:eastAsia="Arial" w:hAnsi="Arial"/>
                <w:sz w:val="18"/>
                <w:szCs w:val="18"/>
                <w:color w:val="auto"/>
              </w:rPr>
              <w:t>Director, Chairman</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b w:val="1"/>
          <w:bCs w:val="1"/>
          <w:i w:val="1"/>
          <w:iCs w:val="1"/>
          <w:color w:val="auto"/>
        </w:rPr>
        <w:t xml:space="preserve">Joseph Gardner, Ph.D. </w:t>
      </w:r>
      <w:r>
        <w:rPr>
          <w:rFonts w:ascii="Arial" w:cs="Arial" w:eastAsia="Arial" w:hAnsi="Arial"/>
          <w:sz w:val="16"/>
          <w:szCs w:val="16"/>
          <w:color w:val="auto"/>
        </w:rPr>
        <w:t>has served as Aerpio’s President and Founder since December 2011 and served as our Chief Executive Officer from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2011 until December 2017. Dr. Gardner co-founded Akebia Therapeutics, Inc., a biopharmaceutical company, in 2007 and has been an Advisor for Akebia since 2013. He served as the Chief Executive Officer, President and as a member of the board of directors of Akebia until September 2013. Prior to that, Dr. Gardner worked in pharmaceutical discovery and development at Procter &amp; Gamble Pharmaceuticals, Inc. for 23 years, including two years in P&amp;G’s health care mergers and acquisition group and 10 years managing discovery licensing. He served as a Director of Chemistry and Intellectual Property Management of the Pharmaceutical Division of Procter &amp; Gamble, and as a Director of Juvenile Diabetes Research Foundation International Inc.</w:t>
      </w:r>
    </w:p>
    <w:p>
      <w:pPr>
        <w:spacing w:after="0" w:line="4"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Dr. Gardner received his B.S. with honors in Biological Chemistry from Tulane University in 1977, earned his M.S. in Chemistry in 1980 from Utah State University and Ph.D. in 1983 in Medicinal Chemistry from University of Wisconsin. We believe that based on Dr. Gardner’s knowledge of our company, industry and business and his service as our former Chief Executive Officer and President, Dr. Gardner is qualified to serve on our board of directors.</w:t>
      </w:r>
    </w:p>
    <w:p>
      <w:pPr>
        <w:spacing w:after="0" w:line="4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auto"/>
        </w:rPr>
        <w:t xml:space="preserve">Regina Marek </w:t>
      </w:r>
      <w:r>
        <w:rPr>
          <w:rFonts w:ascii="Arial" w:cs="Arial" w:eastAsia="Arial" w:hAnsi="Arial"/>
          <w:sz w:val="16"/>
          <w:szCs w:val="16"/>
          <w:color w:val="auto"/>
        </w:rPr>
        <w:t>has served as Aerpio’s Vice President of Finance and Principal Financial and Accounting Officer since August 2018. From July 2014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July 2018, Ms. Marek served as vice president, corporate controller and vice president, integration for Milacron Holdings Corp. From 2012 to 2014, Ms. Marek was vice president of internal audit at Macy’s, Inc. and, prior to that she held multiple roles at Owens Corning from 2005 to 2012, including controller of the residential insulation business and director of internal audit for the global composites business. Ms. Marek started her career at Ernst &amp; Young LLP and worked as an auditor and senior manager in the transaction advisory service practice group. Ms. Marek is a licensed and active Certified Public Accountant and received her B.S.B.A in Accounting from John Carroll University and her M.B.A. from Bowling Green State University.</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Kevin G. Peters, M.D. </w:t>
      </w:r>
      <w:r>
        <w:rPr>
          <w:rFonts w:ascii="Arial" w:cs="Arial" w:eastAsia="Arial" w:hAnsi="Arial"/>
          <w:sz w:val="17"/>
          <w:szCs w:val="17"/>
          <w:color w:val="auto"/>
        </w:rPr>
        <w:t>has served as Aerpio’s Chief Scientific Officer since November 2011 and as acting Chief Medical Officer since May 2019.</w:t>
      </w:r>
    </w:p>
    <w:p>
      <w:pPr>
        <w:spacing w:after="0" w:line="35" w:lineRule="exact"/>
        <w:rPr>
          <w:sz w:val="20"/>
          <w:szCs w:val="20"/>
          <w:color w:val="auto"/>
        </w:rPr>
      </w:pPr>
    </w:p>
    <w:p>
      <w:pPr>
        <w:jc w:val="both"/>
        <w:ind w:right="200"/>
        <w:spacing w:after="0" w:line="281" w:lineRule="auto"/>
        <w:rPr>
          <w:sz w:val="20"/>
          <w:szCs w:val="20"/>
          <w:color w:val="auto"/>
        </w:rPr>
      </w:pPr>
      <w:r>
        <w:rPr>
          <w:rFonts w:ascii="Arial" w:cs="Arial" w:eastAsia="Arial" w:hAnsi="Arial"/>
          <w:sz w:val="16"/>
          <w:szCs w:val="16"/>
          <w:color w:val="auto"/>
        </w:rPr>
        <w:t>Dr. Peters guided the development of AKB-9778 and ARP-1536 while at Akebia Therapeutics, Inc., and continues to be in charge of scientific discovery and development for Aerpio. From 2006 to 2010 he served as Group Medical Director of Cardiovascular and Metabolic Disease in Global and Discovery Medicine at Bristol Myers Squibb Co., and from 1998 to 2006 he served as head of Therapeutic Angiogenesis research at P&amp;G Pharmaceuticals Inc. Dr.</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Peters served as an Associate Professor of Medicine and Pharmacology in the Division of Cardiology at Duke University Medical Center. After receiving his M.D. from the University of Iowa, Dr. Peters completed an internal medicine residency at the University of Minnesota, a clinical fellowship in cardiology at the University of Iowa and a research fellowship as UCSF. He received and B.A. in Biology and Chemistry (double major) Summa Cum Laude from Augustana College.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 xml:space="preserve">Caley Castelein, M.D. </w:t>
      </w:r>
      <w:r>
        <w:rPr>
          <w:rFonts w:ascii="Arial" w:cs="Arial" w:eastAsia="Arial" w:hAnsi="Arial"/>
          <w:sz w:val="16"/>
          <w:szCs w:val="16"/>
          <w:color w:val="auto"/>
        </w:rPr>
        <w:t>has served on Aerpio’s board of directors since March 2017. Dr. Castelein is the Founder and has been a Managing Director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Kearny Venture Partners since 2006. Dr. Castelein is also the Founder and has been the Managing Director for KVP Capital since 2013. He is a director for ViewRay, Boreal and Newbridge Pharmaceuticals. Previously, Dr. Castelein served on the board of directors of Alivecor from April 2015 to March</w:t>
      </w:r>
    </w:p>
    <w:p>
      <w:pPr>
        <w:spacing w:after="0" w:line="2"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2020. Dr. Castelein received his M.D. from University of California, San Francisco and his A.B. in Biology from Harvard University. We believe that Dr. Castelein is qualified to serve as a director based on his industry experience and service on multiple company boards.</w:t>
      </w:r>
    </w:p>
    <w:p>
      <w:pPr>
        <w:spacing w:after="0" w:line="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Cheryl Cohen </w:t>
      </w:r>
      <w:r>
        <w:rPr>
          <w:rFonts w:ascii="Arial" w:cs="Arial" w:eastAsia="Arial" w:hAnsi="Arial"/>
          <w:sz w:val="16"/>
          <w:szCs w:val="16"/>
          <w:color w:val="auto"/>
        </w:rPr>
        <w:t>has served on Aerpio’s board of directors since June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highlight w:val="white"/>
        </w:rPr>
        <w:t>Ms. Cohen currently serves as president of CLC Consulting, LLC,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highlight w:val="white"/>
        </w:rPr>
        <w:t>pharmaceutical and biotechnology consulting firm specializing in new product start-up and commercialization, which she incorporated in 2008. From 2011 to 2014, Ms. Cohen served as Chief Commercial Officer of Medivation, Inc., where she established and led the company's commercial organization and was responsible for the U.S. launch of Xtandi® (enzalutamide) for metastatic castration-resistant prostate cancer. Ms. Cohen held leadership roles for over a decade at Johnson &amp; Johnson, including as vice president, strategic commercial group, Health Care Systems, Inc., and as vice president, rheumatology franchise, Centocor, Inc. Ms. Cohen began her career at Solvay Pharmaceuticals, Inc. in a variety of sales positions. Since January 2021, Ms. Cohen has served on the boards of directors of Ignyte Acquisition Corp, MEI Pharma, Inc. and NantKwest, Inc. Previously, she served on the boards of directors of CytRx Corporation from June 2015 to October 2016, Eledon Pharmaceuticals, Inc. (previously Novus Therapeutics) from April 2015 to June 2020 and Vital Therapies, Inc. from July 2015 to April 2019. Ms. Cohen received her B.A. from Saint Joseph College. We believe that Ms. Cohen is qualified to serve as director based on her industry experience and service on multiple company boards.</w:t>
      </w:r>
    </w:p>
    <w:p>
      <w:pPr>
        <w:spacing w:after="0" w:line="60"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 xml:space="preserve">Anupam Dalal, M.D. </w:t>
      </w:r>
      <w:r>
        <w:rPr>
          <w:rFonts w:ascii="Arial" w:cs="Arial" w:eastAsia="Arial" w:hAnsi="Arial"/>
          <w:sz w:val="17"/>
          <w:szCs w:val="17"/>
          <w:color w:val="auto"/>
        </w:rPr>
        <w:t>has served on Aerpio’s board of directors since November 2011. Since August 2016, Dr. Dalal has been working at Acuta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2006 to 2016, Dr. Dalal was the Managing Director of Kearny Venture Partners. He was a Founder and Managing Member of KVP Capital. He served as a director of Akebia Therapeutics from 2008 to 2016. Dr. Dalal received an M.D. from the University of California in San Francisco with honors; an M.B.A., with distinction, from Harvard Business School; and a B.A. in Economics, Phi Beta Kappa and highest honors, from the University of California at Berkeley. We believe that Dr. Dalal is qualified to serve as a director based on his industry experience.</w:t>
      </w:r>
    </w:p>
    <w:p>
      <w:pPr>
        <w:spacing w:after="0" w:line="6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Pravin U. Dugel, M.D. </w:t>
      </w:r>
      <w:r>
        <w:rPr>
          <w:rFonts w:ascii="Arial" w:cs="Arial" w:eastAsia="Arial" w:hAnsi="Arial"/>
          <w:sz w:val="16"/>
          <w:szCs w:val="16"/>
          <w:color w:val="auto"/>
        </w:rPr>
        <w:t>has served as a member of Aerpio’s board of directors since March 2017. Since April 2020, Dr. Dugel has been the Executive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Strategy and Business Officer for IVERIC bio, Inc., a publicly traded biopharmaceutical company. Formerly, Dr. Dugel was</w:t>
      </w:r>
    </w:p>
    <w:p>
      <w:pPr>
        <w:spacing w:after="0" w:line="252" w:lineRule="auto"/>
        <w:rPr>
          <w:sz w:val="20"/>
          <w:szCs w:val="20"/>
          <w:color w:val="auto"/>
        </w:rPr>
      </w:pPr>
      <w:r>
        <w:rPr>
          <w:rFonts w:ascii="Arial" w:cs="Arial" w:eastAsia="Arial" w:hAnsi="Arial"/>
          <w:sz w:val="18"/>
          <w:szCs w:val="18"/>
          <w:color w:val="auto"/>
        </w:rPr>
        <w:t>the Managing Partner of Retinal Consultants of Arizona from 2004 to 2019 and he is a Founding Member of the Spectra Eye Institute. Dr. Dugel is a Clinical Professor at the USC Roski Eye Institute, Keck School of Medicine at the University of Southern California. Dr. Dugel serves on the Advisory Board of Acucela, Inc. and as a member of the Scientific Advisory Board at MacuSight, Inc., Alcon Surgical, Genentech and Novartis. He also serves as a Member of the Medical Advisory Board at TrueVision Systems, Inc. and a Member of the Clinical Advisory Board at Opthea Limited. Dr. Dugel received his M.D. from UCLA School of Medicine and his B.A. from Columbia University. We believe that Dr. Dugel is qualified to serve as a director based on his industry experience and service on multiple boards.</w:t>
      </w:r>
    </w:p>
    <w:p>
      <w:pPr>
        <w:spacing w:after="0" w:line="86"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i w:val="1"/>
          <w:iCs w:val="1"/>
          <w:color w:val="auto"/>
        </w:rPr>
        <w:t xml:space="preserve">Steven Prelack </w:t>
      </w:r>
      <w:r>
        <w:rPr>
          <w:rFonts w:ascii="Arial" w:cs="Arial" w:eastAsia="Arial" w:hAnsi="Arial"/>
          <w:sz w:val="16"/>
          <w:szCs w:val="16"/>
          <w:color w:val="auto"/>
        </w:rPr>
        <w:t>has served on Aerpio’s board of directors since March 2017. Mr. Prelack has been the Chief Operating Officer and Senior Vice President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VetCor, Inc. since 2010. Formerly, he served as a director and audit committee chair at Pieris Pharmaceuticals, Inc. until June 2019 and Galectin Therapeutics Inc. until December 2017. Mr. Prelack is a CPA and has a B.B.A. in Finance and Accounting from the University of Massachusetts, Amherst. We believe that Mr. Prelack is qualified to serve as a director based on his industry experience and service on multiple company boards.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Board has adopted corporate governance guidelines to assist and guide its members in the exercise of its responsibilities. These guidelines should be interpreted in accordance with any requirements imposed by applicable federal or state law or regulation and our Amended and Restated Certificate of Incorporation and bylaws. Our corporate governance guidelines are available on our website at www.aerpio.com. Although these corporate governance guidelines have been approved by the Board, it is expected that these guidelines will evolve over time as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7" w:name="page108"/>
    <w:bookmarkEnd w:id="107"/>
    <w:p>
      <w:pPr>
        <w:jc w:val="both"/>
        <w:ind w:right="540"/>
        <w:spacing w:after="0" w:line="263" w:lineRule="auto"/>
        <w:rPr>
          <w:sz w:val="20"/>
          <w:szCs w:val="20"/>
          <w:color w:val="auto"/>
        </w:rPr>
      </w:pPr>
      <w:r>
        <w:rPr>
          <w:rFonts w:ascii="Arial" w:cs="Arial" w:eastAsia="Arial" w:hAnsi="Arial"/>
          <w:sz w:val="18"/>
          <w:szCs w:val="18"/>
          <w:color w:val="auto"/>
        </w:rPr>
        <w:t>customary practice and legal requirements change. In particular, those guidelines that encompass legal, regulatory or exchange requirements as they currently exist will be deemed to be modified as and to the extent that such legal, regulatory or exchange requirements are modified. In addition, the guidelines may also be amended by the Board at any time as it deems appropriate.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Business Conduct and Ethics</w:t>
      </w:r>
    </w:p>
    <w:p>
      <w:pPr>
        <w:spacing w:after="0" w:line="11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have adopted a code of business conduct and ethics that applies to all of our employees, officers and directors, including those officers responsible for financial reporting. Our code of business conduct and ethics is available on our website, which is located at www.aerpio.com. We intend to disclose any amendments to the code, or any waivers of its requirements, on our website or in a current report on Form 8-K as may be required by law.</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Risk Assessment</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believe that although a portion of the compensation provided to our executive officers and other employees is performance-based, our executive compensation program does not encourage excessive or unnecessary risk taking.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Anti-Hedging and Anti-Pledging Policies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insider trading policies prohibit all directors, executive officers, and certain employees from buying or selling derivatives on our securities, engaging in hedging transactions involving our securities or holding our securities in a margin account, and only allow our securities to be pledged as collateral for a loan with the prior approval by the Audit Committee which must have at least two (2) weeks to consider any such request for approval. To date no such requests have been made or approved.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Committees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Composition and Structure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Amended and Restated Certificate of Incorporation states that the number of directors shall be fixed exclusively by our Board. Each director holds office until his or her successor is duly elected and qualified or until his or her death, resignation or removal. Our Amended and Restated Certificate of Incorporation provides that our directors may be removed only for cause by the affirmative vote of the holders of at least 66 2/3% of the voting power of the outstanding shares of capital stock of the Company then entitled to vote generally on the election of directors, voting together as a single class, at a meeting of the stockholders called for that purpose. Any vacancy on the Board, including a vacancy that results from an increase in the number of directors, may be filled by a vote of the supermajority (66 2/3%) of the directors then in office, even if less than a quorum.</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Amended and Restated Certificate of Incorporation provides that our Board is divided into three classes of directors, with the classes as nearly equal in number as possible. Each of our directors previously identified serves in the class indicated. Subject to any earlier resignation or removal in accordance with the terms of our Amended and Restated Certificate of Incorporation and our bylaws each director will serve for a three year period. Our Class I directors will serve until the 2021 annual meeting of stockholders; our Class II directors will serve until the 2022 annual meeting of stockholders; and our Class III directors will serve until the 2023 annual meeting of stockholders. Any additional directorships resulting from an increase in the number of directors will be apportioned by our Board among the three classes.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Nomination Process</w:t>
      </w:r>
    </w:p>
    <w:p>
      <w:pPr>
        <w:spacing w:after="0" w:line="11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Our Nominating and Corporate Governance Committee is responsible for reviewing with the Board, on an annual basis, the appropriate characteristics, skills and experience required for the Board as a whole and its individual members. In evaluating the suitability of individual candidates (both new candidates and current members), the nominating and corporate governance committee, in recommending candidates for election, and the Board, in approving (and, in the case of vacancies, appointing) such candidates, will take into account many factors, including the following:</w:t>
      </w:r>
    </w:p>
    <w:p>
      <w:pPr>
        <w:spacing w:after="0" w:line="1" w:lineRule="exact"/>
        <w:rPr>
          <w:sz w:val="20"/>
          <w:szCs w:val="20"/>
          <w:color w:val="auto"/>
        </w:rPr>
      </w:pPr>
    </w:p>
    <w:p>
      <w:pPr>
        <w:ind w:left="1020" w:hanging="432"/>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9" w:lineRule="exact"/>
        <w:rPr>
          <w:rFonts w:ascii="Arial" w:cs="Arial" w:eastAsia="Arial" w:hAnsi="Arial"/>
          <w:sz w:val="18"/>
          <w:szCs w:val="18"/>
          <w:color w:val="auto"/>
        </w:rPr>
      </w:pPr>
    </w:p>
    <w:p>
      <w:pPr>
        <w:ind w:left="1020" w:hanging="432"/>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ethics and values;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8" w:name="page109"/>
    <w:bookmarkEnd w:id="108"/>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 held company;</w:t>
      </w:r>
    </w:p>
    <w:p>
      <w:pPr>
        <w:spacing w:after="0" w:line="23" w:lineRule="exact"/>
        <w:rPr>
          <w:rFonts w:ascii="Arial" w:cs="Arial" w:eastAsia="Arial" w:hAnsi="Arial"/>
          <w:sz w:val="18"/>
          <w:szCs w:val="18"/>
          <w:color w:val="auto"/>
        </w:rPr>
      </w:pPr>
    </w:p>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experience in the industries in which we compete;</w:t>
      </w:r>
    </w:p>
    <w:p>
      <w:pPr>
        <w:spacing w:after="0" w:line="9" w:lineRule="exact"/>
        <w:rPr>
          <w:rFonts w:ascii="Arial" w:cs="Arial" w:eastAsia="Arial" w:hAnsi="Arial"/>
          <w:sz w:val="18"/>
          <w:szCs w:val="18"/>
          <w:color w:val="auto"/>
        </w:rPr>
      </w:pPr>
    </w:p>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experience as a director or executive officer of another publicly held company;</w:t>
      </w:r>
    </w:p>
    <w:p>
      <w:pPr>
        <w:spacing w:after="0" w:line="9" w:lineRule="exact"/>
        <w:rPr>
          <w:rFonts w:ascii="Arial" w:cs="Arial" w:eastAsia="Arial" w:hAnsi="Arial"/>
          <w:sz w:val="18"/>
          <w:szCs w:val="18"/>
          <w:color w:val="auto"/>
        </w:rPr>
      </w:pPr>
    </w:p>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9" w:lineRule="exact"/>
        <w:rPr>
          <w:rFonts w:ascii="Arial" w:cs="Arial" w:eastAsia="Arial" w:hAnsi="Arial"/>
          <w:sz w:val="18"/>
          <w:szCs w:val="18"/>
          <w:color w:val="auto"/>
        </w:rPr>
      </w:pPr>
    </w:p>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conflicts of interest; and</w:t>
      </w:r>
    </w:p>
    <w:p>
      <w:pPr>
        <w:spacing w:after="0" w:line="9" w:lineRule="exact"/>
        <w:rPr>
          <w:rFonts w:ascii="Arial" w:cs="Arial" w:eastAsia="Arial" w:hAnsi="Arial"/>
          <w:sz w:val="18"/>
          <w:szCs w:val="18"/>
          <w:color w:val="auto"/>
        </w:rPr>
      </w:pPr>
    </w:p>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practical and mature business judgment.</w:t>
      </w:r>
    </w:p>
    <w:p>
      <w:pPr>
        <w:spacing w:after="0" w:line="10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Board evaluates each individual in the context of the Board as a whole, with the objective of assembling a group that can best maximize the success of the business and represent stockholder interests through the exercise of sound judgment using its diversity of experience in these various areas.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Independence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securities are listed on the Nasdaq Capital Market which has a requirement that a majority of directors be independent. We evaluate independence by the standards for director independence set forth in the Nasdaq Marketplace Rules. Under such rules, our Board has determined that all members of the Board, except Joseph Gardner, are independent directors. Joseph Gardner is not an independent director under these rules because he is an executive officer of our company. In making such independence determination, our Board considered the relationships that each non-employee director has with us and all other facts and circumstances that our Board deemed relevant in determining their independence, including the beneficial ownership of our capital stock by each non-employee director. In considering the independence of the directors listed above, our Board considered the association of our directors with the holders of more than 5% of our common stock. The composition and functioning of our Board and each of our committees complies with all applicable requirements of the Nasdaq Capital Market and the rules and regulations of the SEC. There are no family relationships among any of our directors or executive officers.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Recommendations</w:t>
      </w:r>
    </w:p>
    <w:p>
      <w:pPr>
        <w:spacing w:after="0" w:line="117"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color w:val="auto"/>
        </w:rPr>
        <w:t>Stockholders may submit recommendations for director candidates to the Nominating and Corporate Governance Committee by sending the individual's name and qualifications in writing to our Secretary at Aerpio Pharmaceuticals, Inc., 9987 Carver Road, Suite 420, Cincinnati, Ohio 45242 in accordance with the bylaws of the Company, who will forward all recommendations to the Nominating and Corporate Governance Committee. The Nominating and Corporate Governance Committee will evaluate any candidates recommended by stockholders against the same criteria and pursuant to the same policies and procedures applicable to the evaluation of candidates proposed by directors or management.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of Board in Risk Oversight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Structure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established a role of the chairman of the board, Steven Prelack, we plan to keep this role separated from the role of Principal Executive Officer. We believe that separating these positions allows our Principal Executive Officer to focus on our day-to-day business, while allowing a chairman of the board to lead the Board in its fundamental role of providing advice to and independent oversight of management. Our Board recognizes the time, effort and energy that the Principal Executive Officer is required to devote to his position in the current business environment, as well as the commitment required to serve as our chairman, particularly as the Board’ oversight responsibilities continue to grow. Our amended and restated by-laws and corporate governance guidelines require that our chairman of the board not be an employee or an executive officer of our company, and our Board believes that having separate positions is the appropriate leadership structure for us at this time and demonstrates our commitment to good corporate governance.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Oversight</w:t>
      </w:r>
    </w:p>
    <w:p>
      <w:pPr>
        <w:spacing w:after="0" w:line="11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in the section entitled “Risk Factors” located within this Annual Report on Form 10-K for the fiscal year ended December 31, 2020.</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09" w:name="page110"/>
    <w:bookmarkEnd w:id="109"/>
    <w:p>
      <w:pPr>
        <w:ind w:right="60"/>
        <w:spacing w:after="0" w:line="263" w:lineRule="auto"/>
        <w:rPr>
          <w:sz w:val="20"/>
          <w:szCs w:val="20"/>
          <w:color w:val="auto"/>
        </w:rPr>
      </w:pPr>
      <w:r>
        <w:rPr>
          <w:rFonts w:ascii="Arial" w:cs="Arial" w:eastAsia="Arial" w:hAnsi="Arial"/>
          <w:sz w:val="18"/>
          <w:szCs w:val="18"/>
          <w:color w:val="auto"/>
        </w:rPr>
        <w:t>Management is responsible for the day-to-day management of risks we face, while our Board, as a whole and through its committees, has responsibility for the oversight of risk management. In its risk oversight role, our Board has the responsibility to satisfy itself that the risk management processes designed and implemented by management are adequate and functioning as designed.</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role of the Board in overseeing the management of our risks is conducted primarily through committees of the Board, as disclosed in the descriptions of each of the committees below and in the charters of each of the committees. The full Board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chairman of the relevant committee reports on the discussion to the full Board during the committee reports portion of the next board meeting. This enables the Board and its committees to coordinate the risk oversight role, particularly with respect to risk interrelationships.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Meetings and Attendance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Board held 12 meetings during 2020, and each of the incumbent directors of the board attended at least 75% of the aggregate of all meetings of the board and all meetings of committees of our board upon which they served (during the periods that they served) during 2020. The Board regularly holds executive sessions of the independent directors. Executive sessions do not include employee directors or directors who do not qualify as independent under SEC rules. Members of our board are encouraged to attend annual meetings of our stockholders. Seven directors attended the 2020 Annual Meeting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have established the following board committees: audit committee, compensation committee and a nominating and corporate governance committee. Each committee operates pursuant to a charter adopted by our Board. The composition and functioning of all committees comply with all applicable requirements of the Sarbanes-Oxley Act of 2002, SEC rules and regulations, and the Nasdaq Capital Market.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which directors currently serve on each committee of the Board.</w:t>
      </w:r>
    </w:p>
    <w:p>
      <w:pPr>
        <w:spacing w:after="0" w:line="131"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Nominating</w:t>
            </w: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and</w:t>
            </w: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Corporate</w:t>
            </w: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3"/>
        </w:trPr>
        <w:tc>
          <w:tcPr>
            <w:tcW w:w="3840" w:type="dxa"/>
            <w:vAlign w:val="bottom"/>
            <w:gridSpan w:val="2"/>
          </w:tcPr>
          <w:p>
            <w:pPr>
              <w:ind w:left="1620"/>
              <w:spacing w:after="0"/>
              <w:rPr>
                <w:sz w:val="20"/>
                <w:szCs w:val="20"/>
                <w:color w:val="auto"/>
              </w:rPr>
            </w:pPr>
            <w:r>
              <w:rPr>
                <w:rFonts w:ascii="Arial" w:cs="Arial" w:eastAsia="Arial" w:hAnsi="Arial"/>
                <w:sz w:val="16"/>
                <w:szCs w:val="16"/>
                <w:b w:val="1"/>
                <w:bCs w:val="1"/>
                <w:color w:val="auto"/>
              </w:rPr>
              <w:t>Name</w:t>
            </w:r>
          </w:p>
        </w:tc>
        <w:tc>
          <w:tcPr>
            <w:tcW w:w="1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Governance</w:t>
            </w:r>
          </w:p>
        </w:tc>
        <w:tc>
          <w:tcPr>
            <w:tcW w:w="1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Compensation</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7"/>
              </w:rPr>
              <w:t>Audit</w:t>
            </w:r>
          </w:p>
        </w:tc>
      </w:tr>
      <w:tr>
        <w:trPr>
          <w:trHeight w:val="226"/>
        </w:trPr>
        <w:tc>
          <w:tcPr>
            <w:tcW w:w="3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Caley Castelein, M.D.</w:t>
            </w:r>
          </w:p>
        </w:tc>
        <w:tc>
          <w:tcPr>
            <w:tcW w:w="16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M</w:t>
            </w:r>
          </w:p>
        </w:tc>
        <w:tc>
          <w:tcPr>
            <w:tcW w:w="18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M</w:t>
            </w:r>
          </w:p>
        </w:tc>
      </w:tr>
      <w:tr>
        <w:trPr>
          <w:trHeight w:val="229"/>
        </w:trPr>
        <w:tc>
          <w:tcPr>
            <w:tcW w:w="3840" w:type="dxa"/>
            <w:vAlign w:val="bottom"/>
            <w:gridSpan w:val="2"/>
          </w:tcPr>
          <w:p>
            <w:pPr>
              <w:spacing w:after="0"/>
              <w:rPr>
                <w:sz w:val="20"/>
                <w:szCs w:val="20"/>
                <w:color w:val="auto"/>
              </w:rPr>
            </w:pPr>
            <w:r>
              <w:rPr>
                <w:rFonts w:ascii="Arial" w:cs="Arial" w:eastAsia="Arial" w:hAnsi="Arial"/>
                <w:sz w:val="18"/>
                <w:szCs w:val="18"/>
                <w:color w:val="auto"/>
              </w:rPr>
              <w:t>Cheryl Cohen</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CH</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230"/>
        </w:trPr>
        <w:tc>
          <w:tcPr>
            <w:tcW w:w="3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Anupam Dalal, M.D.</w:t>
            </w: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2"/>
              </w:rPr>
              <w:t>CH</w:t>
            </w:r>
          </w:p>
        </w:tc>
        <w:tc>
          <w:tcPr>
            <w:tcW w:w="1700" w:type="dxa"/>
            <w:vAlign w:val="bottom"/>
            <w:shd w:val="clear" w:color="auto" w:fill="CFF0FC"/>
          </w:tcPr>
          <w:p>
            <w:pPr>
              <w:spacing w:after="0"/>
              <w:rPr>
                <w:sz w:val="19"/>
                <w:szCs w:val="19"/>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Pravin Dugel</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rPr>
              <w:t>M</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3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Steven Prelack</w:t>
            </w: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CH</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Steven Prelack, Caley Castelein and Cheryl Cohen serve on the Audit Committee, which is chaired by Steven Prelack. Our Board has determined that Steven Prelack, Caley Castelein and Cheryl Cohen are “independent” for Audit Committee purposes as that term is defined in the rules of the SEC and the applicable Nasdaq rules, and each has sufficient knowledge in financial and auditing matters to serve on the Audit Committee. Our Board has designated Steven Prelack as an “Audit Committee financial expert,” as defined under the applicable rules of the SEC. The Audit Committee’s responsibilities include:</w:t>
      </w:r>
    </w:p>
    <w:p>
      <w:pPr>
        <w:spacing w:after="0" w:line="1" w:lineRule="exact"/>
        <w:rPr>
          <w:sz w:val="20"/>
          <w:szCs w:val="20"/>
          <w:color w:val="auto"/>
        </w:rPr>
      </w:pPr>
    </w:p>
    <w:p>
      <w:pPr>
        <w:ind w:left="1020" w:hanging="432"/>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20" w:lineRule="exact"/>
        <w:rPr>
          <w:rFonts w:ascii="Arial" w:cs="Arial" w:eastAsia="Arial" w:hAnsi="Arial"/>
          <w:sz w:val="17"/>
          <w:szCs w:val="17"/>
          <w:color w:val="auto"/>
        </w:rPr>
      </w:pPr>
    </w:p>
    <w:p>
      <w:pPr>
        <w:ind w:left="1020" w:right="460" w:hanging="432"/>
        <w:spacing w:after="0" w:line="250"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our independent registered public accounting firm;</w:t>
      </w:r>
    </w:p>
    <w:p>
      <w:pPr>
        <w:ind w:left="1020" w:right="640" w:hanging="432"/>
        <w:spacing w:after="0" w:line="260"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0" w:name="page111"/>
    <w:bookmarkEnd w:id="110"/>
    <w:p>
      <w:pPr>
        <w:ind w:left="1020" w:right="580" w:hanging="432"/>
        <w:spacing w:after="0" w:line="258"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1"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our internal control over financial reporting;</w:t>
      </w:r>
    </w:p>
    <w:p>
      <w:pPr>
        <w:spacing w:after="0" w:line="9"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9" w:lineRule="exact"/>
        <w:rPr>
          <w:rFonts w:ascii="Arial" w:cs="Arial" w:eastAsia="Arial" w:hAnsi="Arial"/>
          <w:sz w:val="18"/>
          <w:szCs w:val="18"/>
          <w:color w:val="auto"/>
        </w:rPr>
      </w:pPr>
    </w:p>
    <w:p>
      <w:pPr>
        <w:ind w:left="1020" w:hanging="432"/>
        <w:spacing w:after="0" w:line="250"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ind w:left="1020" w:right="40" w:hanging="432"/>
        <w:spacing w:after="0" w:line="250"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 as they relate to our financial statements and accounting matters;</w:t>
      </w: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9" w:lineRule="exact"/>
        <w:rPr>
          <w:rFonts w:ascii="Arial" w:cs="Arial" w:eastAsia="Arial" w:hAnsi="Arial"/>
          <w:sz w:val="18"/>
          <w:szCs w:val="18"/>
          <w:color w:val="auto"/>
        </w:rPr>
      </w:pPr>
    </w:p>
    <w:p>
      <w:pPr>
        <w:ind w:left="1020" w:right="100" w:hanging="432"/>
        <w:spacing w:after="0" w:line="250"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making recommendations to our Board regarding all such transactions; and</w:t>
      </w: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quarterly earnings releases.</w:t>
      </w:r>
    </w:p>
    <w:p>
      <w:pPr>
        <w:spacing w:after="0" w:line="103" w:lineRule="exact"/>
        <w:rPr>
          <w:sz w:val="20"/>
          <w:szCs w:val="20"/>
          <w:color w:val="auto"/>
        </w:rPr>
      </w:pPr>
    </w:p>
    <w:p>
      <w:pPr>
        <w:ind w:right="1520"/>
        <w:spacing w:after="0" w:line="277" w:lineRule="auto"/>
        <w:rPr>
          <w:sz w:val="20"/>
          <w:szCs w:val="20"/>
          <w:color w:val="auto"/>
        </w:rPr>
      </w:pPr>
      <w:r>
        <w:rPr>
          <w:rFonts w:ascii="Arial" w:cs="Arial" w:eastAsia="Arial" w:hAnsi="Arial"/>
          <w:sz w:val="18"/>
          <w:szCs w:val="18"/>
          <w:color w:val="auto"/>
        </w:rPr>
        <w:t xml:space="preserve">The Audit Committee held four meetings during 2020. A copy of the Audit Committee Charter is available on the Company’s website at </w:t>
      </w:r>
      <w:r>
        <w:rPr>
          <w:rFonts w:ascii="Arial" w:cs="Arial" w:eastAsia="Arial" w:hAnsi="Arial"/>
          <w:sz w:val="18"/>
          <w:szCs w:val="18"/>
          <w:i w:val="1"/>
          <w:iCs w:val="1"/>
          <w:color w:val="auto"/>
        </w:rPr>
        <w:t>www.aerpio.com</w:t>
      </w:r>
      <w:r>
        <w:rPr>
          <w:rFonts w:ascii="Arial" w:cs="Arial" w:eastAsia="Arial" w:hAnsi="Arial"/>
          <w:sz w:val="18"/>
          <w:szCs w:val="18"/>
          <w:color w:val="auto"/>
        </w:rPr>
        <w:t xml:space="preserve"> under the Investors section.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Anupam Dalal and Caley Castelein serve on the Compensation Committee, which is chaired by Anupam Dalal. Our Board has determined that each member of the Compensation Committee is “independent” as defined in the applicable Nasdaq rules. The Compensation Committee’s responsibilities include:</w:t>
      </w:r>
    </w:p>
    <w:p>
      <w:pPr>
        <w:spacing w:after="0" w:line="3" w:lineRule="exact"/>
        <w:rPr>
          <w:sz w:val="20"/>
          <w:szCs w:val="20"/>
          <w:color w:val="auto"/>
        </w:rPr>
      </w:pPr>
    </w:p>
    <w:p>
      <w:pPr>
        <w:ind w:left="1020" w:right="760" w:hanging="432"/>
        <w:spacing w:after="0" w:line="250"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annually reviewing and recommending to the independent directors on the Board the corporate goals and objectives relevant to the compensation of our Chief Executive Officer;</w:t>
      </w:r>
    </w:p>
    <w:p>
      <w:pPr>
        <w:ind w:left="1020" w:hanging="432"/>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in light of such corporate goals and objectives and based on such evaluation:</w:t>
      </w:r>
    </w:p>
    <w:p>
      <w:pPr>
        <w:spacing w:after="0" w:line="20" w:lineRule="exact"/>
        <w:rPr>
          <w:rFonts w:ascii="Arial" w:cs="Arial" w:eastAsia="Arial" w:hAnsi="Arial"/>
          <w:sz w:val="17"/>
          <w:szCs w:val="17"/>
          <w:color w:val="auto"/>
        </w:rPr>
      </w:pPr>
    </w:p>
    <w:p>
      <w:pPr>
        <w:jc w:val="both"/>
        <w:ind w:left="1020" w:right="280"/>
        <w:spacing w:after="0" w:line="250" w:lineRule="auto"/>
        <w:rPr>
          <w:rFonts w:ascii="Arial" w:cs="Arial" w:eastAsia="Arial" w:hAnsi="Arial"/>
          <w:sz w:val="17"/>
          <w:szCs w:val="17"/>
          <w:color w:val="auto"/>
        </w:rPr>
      </w:pPr>
      <w:r>
        <w:rPr>
          <w:rFonts w:ascii="Arial" w:cs="Arial" w:eastAsia="Arial" w:hAnsi="Arial"/>
          <w:sz w:val="18"/>
          <w:szCs w:val="18"/>
          <w:color w:val="auto"/>
        </w:rPr>
        <w:t>(i) recommending to the independent directors on the Board the cash compensation of our Chief Executive Officer and (ii) reviewing and recommending to the independent directors on the Board regarding grants and awards to our Chief Executive Officer under equity-based plans;</w:t>
      </w:r>
    </w:p>
    <w:p>
      <w:pPr>
        <w:spacing w:after="0" w:line="1" w:lineRule="exact"/>
        <w:rPr>
          <w:rFonts w:ascii="Arial" w:cs="Arial" w:eastAsia="Arial" w:hAnsi="Arial"/>
          <w:sz w:val="17"/>
          <w:szCs w:val="17"/>
          <w:color w:val="auto"/>
        </w:rPr>
      </w:pPr>
    </w:p>
    <w:p>
      <w:pPr>
        <w:ind w:left="1020" w:hanging="432"/>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reviewing and approving or recommending to the independent directors on the Board the cash compensation of our other executive officers;</w:t>
      </w:r>
    </w:p>
    <w:p>
      <w:pPr>
        <w:spacing w:after="0" w:line="32" w:lineRule="exact"/>
        <w:rPr>
          <w:rFonts w:ascii="Arial" w:cs="Arial" w:eastAsia="Arial" w:hAnsi="Arial"/>
          <w:sz w:val="16"/>
          <w:szCs w:val="16"/>
          <w:color w:val="auto"/>
        </w:rPr>
      </w:pPr>
    </w:p>
    <w:p>
      <w:pPr>
        <w:ind w:left="1020" w:hanging="43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9" w:lineRule="exact"/>
        <w:rPr>
          <w:rFonts w:ascii="Arial" w:cs="Arial" w:eastAsia="Arial" w:hAnsi="Arial"/>
          <w:sz w:val="18"/>
          <w:szCs w:val="18"/>
          <w:color w:val="auto"/>
        </w:rPr>
      </w:pPr>
    </w:p>
    <w:p>
      <w:pPr>
        <w:ind w:left="1020" w:hanging="43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9" w:lineRule="exact"/>
        <w:rPr>
          <w:rFonts w:ascii="Arial" w:cs="Arial" w:eastAsia="Arial" w:hAnsi="Arial"/>
          <w:sz w:val="18"/>
          <w:szCs w:val="18"/>
          <w:color w:val="auto"/>
        </w:rPr>
      </w:pPr>
    </w:p>
    <w:p>
      <w:pPr>
        <w:ind w:left="1020" w:right="560" w:hanging="432"/>
        <w:spacing w:after="0" w:line="250"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evaluating and assessing potential and current compensation advisors in accordance with the independence standards identified in the applicable Nasdaq rules;</w:t>
      </w:r>
    </w:p>
    <w:p>
      <w:pPr>
        <w:ind w:left="1020" w:hanging="43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9" w:lineRule="exact"/>
        <w:rPr>
          <w:rFonts w:ascii="Arial" w:cs="Arial" w:eastAsia="Arial" w:hAnsi="Arial"/>
          <w:sz w:val="18"/>
          <w:szCs w:val="18"/>
          <w:color w:val="auto"/>
        </w:rPr>
      </w:pPr>
    </w:p>
    <w:p>
      <w:pPr>
        <w:ind w:left="1020" w:hanging="43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recommending to the independent directors on the Board the compensation of our directors;</w:t>
      </w:r>
    </w:p>
    <w:p>
      <w:pPr>
        <w:spacing w:after="0" w:line="9" w:lineRule="exact"/>
        <w:rPr>
          <w:rFonts w:ascii="Arial" w:cs="Arial" w:eastAsia="Arial" w:hAnsi="Arial"/>
          <w:sz w:val="18"/>
          <w:szCs w:val="18"/>
          <w:color w:val="auto"/>
        </w:rPr>
      </w:pPr>
    </w:p>
    <w:p>
      <w:pPr>
        <w:ind w:left="1020" w:hanging="432"/>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preparing the compensation committee report required by SEC rules, if and when required, to be included in our annual proxy statement; and</w:t>
      </w:r>
    </w:p>
    <w:p>
      <w:pPr>
        <w:spacing w:after="0" w:line="32" w:lineRule="exact"/>
        <w:rPr>
          <w:rFonts w:ascii="Arial" w:cs="Arial" w:eastAsia="Arial" w:hAnsi="Arial"/>
          <w:sz w:val="16"/>
          <w:szCs w:val="16"/>
          <w:color w:val="auto"/>
        </w:rPr>
      </w:pPr>
    </w:p>
    <w:p>
      <w:pPr>
        <w:ind w:left="1020" w:right="220" w:hanging="432"/>
        <w:spacing w:after="0" w:line="260"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approving the retention, termination or compensation of any consulting firm or outside advisor to assist in the evaluation of compensation matters.</w:t>
      </w:r>
    </w:p>
    <w:p>
      <w:pPr>
        <w:spacing w:after="0" w:line="7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The Compensation Committee held no meetings during 2020. A copy of the Compensation Committee Charter is available on the Company’s website at </w:t>
      </w:r>
      <w:r>
        <w:rPr>
          <w:rFonts w:ascii="Arial" w:cs="Arial" w:eastAsia="Arial" w:hAnsi="Arial"/>
          <w:sz w:val="18"/>
          <w:szCs w:val="18"/>
          <w:i w:val="1"/>
          <w:iCs w:val="1"/>
          <w:color w:val="auto"/>
        </w:rPr>
        <w:t>www.aerpio.com</w:t>
      </w:r>
      <w:r>
        <w:rPr>
          <w:rFonts w:ascii="Arial" w:cs="Arial" w:eastAsia="Arial" w:hAnsi="Arial"/>
          <w:sz w:val="18"/>
          <w:szCs w:val="18"/>
          <w:color w:val="auto"/>
        </w:rPr>
        <w:t xml:space="preserve"> under the Investors section.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Consultant</w:t>
      </w:r>
    </w:p>
    <w:p>
      <w:pPr>
        <w:spacing w:after="0" w:line="117"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As a part of determining compensation for our named executive officers, the compensation committee has engaged Radford, a business unit of Aon plc, as an independent compensation consultant. Radford provides analysis and recommendations to the compensation committee regarding:</w:t>
      </w:r>
    </w:p>
    <w:p>
      <w:pPr>
        <w:ind w:left="1020" w:hanging="432"/>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trends and emerging topics with respect to executive compensation;</w:t>
      </w:r>
    </w:p>
    <w:p>
      <w:pPr>
        <w:spacing w:after="0" w:line="9" w:lineRule="exact"/>
        <w:rPr>
          <w:rFonts w:ascii="Arial" w:cs="Arial" w:eastAsia="Arial" w:hAnsi="Arial"/>
          <w:sz w:val="18"/>
          <w:szCs w:val="18"/>
          <w:color w:val="auto"/>
        </w:rPr>
      </w:pPr>
    </w:p>
    <w:p>
      <w:pPr>
        <w:ind w:left="1020" w:hanging="432"/>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peer group selection for executive compensation benchmarking;</w:t>
      </w:r>
    </w:p>
    <w:p>
      <w:pPr>
        <w:spacing w:after="0" w:line="9" w:lineRule="exact"/>
        <w:rPr>
          <w:rFonts w:ascii="Arial" w:cs="Arial" w:eastAsia="Arial" w:hAnsi="Arial"/>
          <w:sz w:val="18"/>
          <w:szCs w:val="18"/>
          <w:color w:val="auto"/>
        </w:rPr>
      </w:pPr>
    </w:p>
    <w:p>
      <w:pPr>
        <w:ind w:left="1020" w:hanging="432"/>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compensation practices of our peer group;</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11" w:name="page112"/>
    <w:bookmarkEnd w:id="111"/>
    <w:p>
      <w:pPr>
        <w:ind w:left="1020" w:hanging="432"/>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compensation programs for executives and all of our employees; and</w:t>
      </w:r>
    </w:p>
    <w:p>
      <w:pPr>
        <w:spacing w:after="0" w:line="23" w:lineRule="exact"/>
        <w:rPr>
          <w:rFonts w:ascii="Arial" w:cs="Arial" w:eastAsia="Arial" w:hAnsi="Arial"/>
          <w:sz w:val="18"/>
          <w:szCs w:val="18"/>
          <w:color w:val="auto"/>
        </w:rPr>
      </w:pPr>
    </w:p>
    <w:p>
      <w:pPr>
        <w:ind w:left="1020" w:hanging="432"/>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 utilization and related metrics.</w:t>
      </w:r>
    </w:p>
    <w:p>
      <w:pPr>
        <w:spacing w:after="0" w:line="10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When requested, Radford consultants attend meetings of the compensation committee, including executive sessions in which executive compensation issues are discussed. Radford reports to the compensation committee and not to management, although Radford meets with management for purposes of gathering information for its analyses and recommendations.</w:t>
      </w:r>
    </w:p>
    <w:p>
      <w:pPr>
        <w:spacing w:after="0" w:line="7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determining to engage Radford, the compensation committee considered the independence of Radford taking into consideration relevant factors, including the absence of other services provided to us by Radford, the amount of fees we paid to Radford as a percentage of Radford’s total revenue, the policies and procedures of Radford that are designed to prevent conflicts of interest, any business or personal relationship of the individual compensation advisors employed by Radford with any of our executive officers, any business or personal relationship the individual compensation advisors employed by Radford have with any member of the compensation committee, and any shares of our stock owned by Radford or the individual compensation advisors employed by Radford. The compensation committee has determined, based on its analysis in light of all relevant factors, including the factors listed above, that the work of Radford and the individual compensation advisors employed by Radford as compensation consultants to the compensation committee has not created any conflicts of interest and that Radford is independent pursuant to the independence standards set forth in the Nasdaq Capital Market listing standards promulgated pursuant to Section 10C of the Securities Exchange Act of 1934, as amended (the “Exchange Act”).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Cheryl Cohen and Pravin Dugel currently serve on the Nominating and Corporate Governance Committee, which was chaired by Cheryl Cohen. Our Board has determined that each member of the Nominating and Corporate Governance Committee is “independent” as defined in the applicable Nasdaq rules. The Nominating and Corporate Governance Committee’s responsibilities include:</w:t>
      </w:r>
    </w:p>
    <w:p>
      <w:pPr>
        <w:spacing w:after="0" w:line="3" w:lineRule="exact"/>
        <w:rPr>
          <w:sz w:val="20"/>
          <w:szCs w:val="20"/>
          <w:color w:val="auto"/>
        </w:rPr>
      </w:pPr>
    </w:p>
    <w:p>
      <w:pPr>
        <w:ind w:left="1020" w:hanging="432"/>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developing and recommending to the Board criteria for board and committee membership;</w:t>
      </w:r>
    </w:p>
    <w:p>
      <w:pPr>
        <w:spacing w:after="0" w:line="9" w:lineRule="exact"/>
        <w:rPr>
          <w:rFonts w:ascii="Arial" w:cs="Arial" w:eastAsia="Arial" w:hAnsi="Arial"/>
          <w:sz w:val="18"/>
          <w:szCs w:val="18"/>
          <w:color w:val="auto"/>
        </w:rPr>
      </w:pPr>
    </w:p>
    <w:p>
      <w:pPr>
        <w:ind w:left="1020" w:hanging="432"/>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stockholders;</w:t>
      </w:r>
    </w:p>
    <w:p>
      <w:pPr>
        <w:spacing w:after="0" w:line="20" w:lineRule="exact"/>
        <w:rPr>
          <w:rFonts w:ascii="Arial" w:cs="Arial" w:eastAsia="Arial" w:hAnsi="Arial"/>
          <w:sz w:val="17"/>
          <w:szCs w:val="17"/>
          <w:color w:val="auto"/>
        </w:rPr>
      </w:pPr>
    </w:p>
    <w:p>
      <w:pPr>
        <w:ind w:left="1020" w:hanging="432"/>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reviewing the composition of the Board to ensure that it is composed of members containing the appropriate skills and expertise to advise us;</w:t>
      </w:r>
    </w:p>
    <w:p>
      <w:pPr>
        <w:spacing w:after="0" w:line="32" w:lineRule="exact"/>
        <w:rPr>
          <w:rFonts w:ascii="Arial" w:cs="Arial" w:eastAsia="Arial" w:hAnsi="Arial"/>
          <w:sz w:val="16"/>
          <w:szCs w:val="16"/>
          <w:color w:val="auto"/>
        </w:rPr>
      </w:pPr>
    </w:p>
    <w:p>
      <w:pPr>
        <w:ind w:left="1020" w:hanging="432"/>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w:t>
      </w:r>
    </w:p>
    <w:p>
      <w:pPr>
        <w:spacing w:after="0" w:line="9" w:lineRule="exact"/>
        <w:rPr>
          <w:rFonts w:ascii="Arial" w:cs="Arial" w:eastAsia="Arial" w:hAnsi="Arial"/>
          <w:sz w:val="18"/>
          <w:szCs w:val="18"/>
          <w:color w:val="auto"/>
        </w:rPr>
      </w:pPr>
    </w:p>
    <w:p>
      <w:pPr>
        <w:ind w:left="1020" w:hanging="432"/>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recommending to the Board the persons to be nominated for election as directors and to each of the Board’s committees;</w:t>
      </w:r>
    </w:p>
    <w:p>
      <w:pPr>
        <w:spacing w:after="0" w:line="9" w:lineRule="exact"/>
        <w:rPr>
          <w:rFonts w:ascii="Arial" w:cs="Arial" w:eastAsia="Arial" w:hAnsi="Arial"/>
          <w:sz w:val="18"/>
          <w:szCs w:val="18"/>
          <w:color w:val="auto"/>
        </w:rPr>
      </w:pPr>
    </w:p>
    <w:p>
      <w:pPr>
        <w:ind w:left="1020" w:hanging="432"/>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developing and recommending to the Board a code of business conduct and ethics and a set of corporate governance guidelines; and</w:t>
      </w:r>
    </w:p>
    <w:p>
      <w:pPr>
        <w:spacing w:after="0" w:line="20" w:lineRule="exact"/>
        <w:rPr>
          <w:rFonts w:ascii="Arial" w:cs="Arial" w:eastAsia="Arial" w:hAnsi="Arial"/>
          <w:sz w:val="17"/>
          <w:szCs w:val="17"/>
          <w:color w:val="auto"/>
        </w:rPr>
      </w:pPr>
    </w:p>
    <w:p>
      <w:pPr>
        <w:ind w:left="1020" w:hanging="432"/>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overseeing the evaluation of our Board and management.</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The Nominating and Corporate Governance Committee held no meeting during 2020. A copy of the Nominating and Corporate Governance Committee Charter is available on the Company’s website at </w:t>
      </w:r>
      <w:r>
        <w:rPr>
          <w:rFonts w:ascii="Arial" w:cs="Arial" w:eastAsia="Arial" w:hAnsi="Arial"/>
          <w:sz w:val="18"/>
          <w:szCs w:val="18"/>
          <w:i w:val="1"/>
          <w:iCs w:val="1"/>
          <w:color w:val="auto"/>
        </w:rPr>
        <w:t>www.aerpio.com</w:t>
      </w:r>
      <w:r>
        <w:rPr>
          <w:rFonts w:ascii="Arial" w:cs="Arial" w:eastAsia="Arial" w:hAnsi="Arial"/>
          <w:sz w:val="18"/>
          <w:szCs w:val="18"/>
          <w:color w:val="auto"/>
        </w:rPr>
        <w:t xml:space="preserve"> under the Investors section.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Board may from time to time establish other committees.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summarizes the compensation earned by our executive officers named in the “Summary Compensation Table” below (referred to herein as our “named executive officers”) for the year ending December 31, 2020. This section also discusses the material elements of our executive compensation policies and decisions and important factors relevant to an analysis of these policies and decisions. It provides qualitative information regarding the manner and context in which compensation is awarded to and earned by our named executive officers and is intended to place in perspective the information presented in the following tables and the corresponding narrative.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Historically, our executive compensation program has reflected our growth and corporate goals. To date, the compensation of the named executive officers has consisted of a combination of base salary, annual cash bonus, and long-term equity incentive compensation in the form of restricted stock and stock options, and other employee benefits generally available to our employees. The named executive officers are also entitled to certain compensation and benefits upon certain terminations of employment pursuant to their executive employment agreements as described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named executive officers for the year ended December 31, 2020 were as follows:</w:t>
      </w:r>
    </w:p>
    <w:p>
      <w:pPr>
        <w:spacing w:after="0" w:line="63" w:lineRule="exact"/>
        <w:rPr>
          <w:sz w:val="20"/>
          <w:szCs w:val="20"/>
          <w:color w:val="auto"/>
        </w:rPr>
      </w:pPr>
    </w:p>
    <w:p>
      <w:pPr>
        <w:ind w:left="1020" w:hanging="43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Joseph H. Gardner Ph.D., our President, Founder and Principal Executive Officer</w:t>
      </w:r>
    </w:p>
    <w:p>
      <w:pPr>
        <w:spacing w:after="0" w:line="23" w:lineRule="exact"/>
        <w:rPr>
          <w:rFonts w:ascii="Arial" w:cs="Arial" w:eastAsia="Arial" w:hAnsi="Arial"/>
          <w:sz w:val="18"/>
          <w:szCs w:val="18"/>
          <w:color w:val="auto"/>
        </w:rPr>
      </w:pPr>
    </w:p>
    <w:p>
      <w:pPr>
        <w:ind w:left="1020" w:hanging="43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Regina Marek, our Vice President of Finance and Principal Financial and Accounting Officer;</w:t>
      </w:r>
    </w:p>
    <w:p>
      <w:pPr>
        <w:spacing w:after="0" w:line="9" w:lineRule="exact"/>
        <w:rPr>
          <w:rFonts w:ascii="Arial" w:cs="Arial" w:eastAsia="Arial" w:hAnsi="Arial"/>
          <w:sz w:val="18"/>
          <w:szCs w:val="18"/>
          <w:color w:val="auto"/>
        </w:rPr>
      </w:pPr>
    </w:p>
    <w:p>
      <w:pPr>
        <w:ind w:left="1020" w:hanging="43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Kevin G. Peters, M.D., our Chief Scientific Officer and acting Chief Medical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Salaries</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Base salaries for the named executive officers are determined annually by the compensation committee, subject to review and approval by the Board, based on the scope of each officer’s responsibilities along with his respective experience and contributions during the prior year. When reviewing base salaries, the compensation committee takes factors into account such as each officer’s experience and individual performance, our performance as a whole, data from surveys of compensation paid by comparable companies, and general industry conditions, but does not assign any specific weighting to any factor.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Cash Bonuses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of the named executive officers participate in the Aerpio Pharmaceuticals, Inc. Senior Executive Cash Incentive Bonus Plan, or the Incentive Plan, which promotes and rewards the executives for the achievement of key strategic and business goals. The 2020 Incentive Plan period covered the 12-month period beginning on January 1, 2020 and ending on December 31, 2020. For the 2020 Incentive Plan period, the target annual bonus as a percentage of base salary, as determined based on the salary earned throughout the bonus plan period, for each of the named executive officers is further described in the section titled “</w:t>
      </w:r>
      <w:r>
        <w:rPr>
          <w:rFonts w:ascii="Arial" w:cs="Arial" w:eastAsia="Arial" w:hAnsi="Arial"/>
          <w:sz w:val="17"/>
          <w:szCs w:val="17"/>
          <w:i w:val="1"/>
          <w:iCs w:val="1"/>
          <w:color w:val="auto"/>
        </w:rPr>
        <w:t>Executive Compensation—Employment Agreements</w:t>
      </w:r>
      <w:r>
        <w:rPr>
          <w:rFonts w:ascii="Arial" w:cs="Arial" w:eastAsia="Arial" w:hAnsi="Arial"/>
          <w:sz w:val="17"/>
          <w:szCs w:val="17"/>
          <w:color w:val="auto"/>
        </w:rPr>
        <w:t>.” At the beginning of the 2020 bonus plan period, the Compensation Committee established corporate performance goals, each having a designated weighting, which related to key development, strategic and financial goals of our company. At the end of the 2020 bonus plan period, the Compensation Committee met and evaluated the performance of the Company against the specified performance goals. Based on its evaluation, the Compensation Committee recommended, and the Board approved, that we achieved 50% of our corporate goals. Consequently, the Board approved payment of cash bonuses to the named executive officers for the 2020 bonus plan period in the amounts reported in the “Summary Compensation Table—2020” below.</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Retention Bonuses</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May 14, 2019, the Board approved cash retention payments to its salaried employees, which were paid at the end of the second quarter in fiscal year 2020. Joseph Gardner, President and principal executive officer, Regina Marek, Vice President Finance and principal financial and accounting officer and Kevin Peters Chief Scientific and acting Chief Medical Officer received cash payments of $210,000 $120,000 and $180,000, respectively. The Board approved payment of cash retention bonuses to the named executive officers in the amounts reported in the “Summary Compensation Table—2020” below.</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i w:val="1"/>
          <w:iCs w:val="1"/>
          <w:color w:val="auto"/>
        </w:rPr>
        <w:t>Equity Awards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named executive officers have historically participated in Aerpio’s 2011 Equity Incentive Plan, or 2011 Plan, and the Stock Option and Incentive Plan, or 2017 Plan.</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2020, we made annual equity award grants to each of our named executive officers. We granted Dr. Gardner an option to purchase 155,000 shares of our common stock, Ms. Marek an option to purchase 93,000 shares of our common stock, Dr. Peters an option to purchase 129,000 shares of our common stock each having an exercise price of $0.52 per share, which was the closing price of our stock on the date of grant. These options vest 25% on the first anniversary of the applicable vesting commencement date and then in 36 monthly installments thereafter, in each case subject to the executive continuing to provide services through each such vesting date. These equity awards serve to align the interests of our named executive officers with our stockholders.</w:t>
      </w:r>
    </w:p>
    <w:p>
      <w:pPr>
        <w:spacing w:after="0" w:line="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that equity grants with a time-based vesting feature promote retention because this feature incentivizes our named executive officers to remain in our employment during the vesting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named executive officers are eligible for additional benefits, such as participation in our 401(k) plan, our employee stock purchase plan and basic health benefits that are generally available to all of our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 2020</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to, earned by or paid to each of the named executive officers for the years ending December 31, 2020 and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Non-Equity</w:t>
            </w: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Incentive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1240" w:type="dxa"/>
            <w:vAlign w:val="bottom"/>
            <w:gridSpan w:val="3"/>
          </w:tcPr>
          <w:p>
            <w:pPr>
              <w:ind w:left="300"/>
              <w:spacing w:after="0"/>
              <w:rPr>
                <w:sz w:val="20"/>
                <w:szCs w:val="20"/>
                <w:color w:val="auto"/>
              </w:rPr>
            </w:pPr>
            <w:r>
              <w:rPr>
                <w:rFonts w:ascii="Arial" w:cs="Arial" w:eastAsia="Arial" w:hAnsi="Arial"/>
                <w:sz w:val="16"/>
                <w:szCs w:val="16"/>
                <w:b w:val="1"/>
                <w:bCs w:val="1"/>
                <w:color w:val="auto"/>
              </w:rPr>
              <w:t>Bonus ($)</w:t>
            </w: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Compensation</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Principal Position</w:t>
            </w:r>
          </w:p>
        </w:tc>
        <w:tc>
          <w:tcPr>
            <w:tcW w:w="16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Year</w:t>
            </w:r>
          </w:p>
        </w:tc>
        <w:tc>
          <w:tcPr>
            <w:tcW w:w="18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 xml:space="preserve">Salary </w:t>
            </w:r>
            <w:r>
              <w:rPr>
                <w:rFonts w:ascii="Arial" w:cs="Arial" w:eastAsia="Arial" w:hAnsi="Arial"/>
                <w:sz w:val="16"/>
                <w:szCs w:val="16"/>
                <w:b w:val="1"/>
                <w:bCs w:val="1"/>
                <w:u w:val="single" w:color="auto"/>
                <w:color w:val="auto"/>
                <w:w w:val="94"/>
              </w:rPr>
              <w:t>($</w:t>
            </w:r>
            <w:r>
              <w:rPr>
                <w:rFonts w:ascii="Arial" w:cs="Arial" w:eastAsia="Arial" w:hAnsi="Arial"/>
                <w:sz w:val="16"/>
                <w:szCs w:val="16"/>
                <w:b w:val="1"/>
                <w:bCs w:val="1"/>
                <w:color w:val="auto"/>
                <w:w w:val="94"/>
              </w:rPr>
              <w:t>)</w:t>
            </w:r>
          </w:p>
        </w:tc>
        <w:tc>
          <w:tcPr>
            <w:tcW w:w="3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($)(1)</w:t>
            </w:r>
          </w:p>
        </w:tc>
        <w:tc>
          <w:tcPr>
            <w:tcW w:w="30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w:t>
            </w:r>
          </w:p>
        </w:tc>
        <w:tc>
          <w:tcPr>
            <w:tcW w:w="28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($)(3)</w:t>
            </w:r>
          </w:p>
        </w:tc>
        <w:tc>
          <w:tcPr>
            <w:tcW w:w="28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4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Total ($)</w:t>
            </w:r>
          </w:p>
        </w:tc>
        <w:tc>
          <w:tcPr>
            <w:tcW w:w="100" w:type="dxa"/>
            <w:vAlign w:val="bottom"/>
            <w:tcBorders>
              <w:bottom w:val="single" w:sz="8" w:color="CFF0FC"/>
            </w:tcBorders>
          </w:tcPr>
          <w:p>
            <w:pPr>
              <w:spacing w:after="0"/>
              <w:rPr>
                <w:sz w:val="18"/>
                <w:szCs w:val="18"/>
                <w:color w:val="auto"/>
              </w:rPr>
            </w:pPr>
          </w:p>
        </w:tc>
      </w:tr>
      <w:tr>
        <w:trPr>
          <w:trHeight w:val="213"/>
        </w:trPr>
        <w:tc>
          <w:tcPr>
            <w:tcW w:w="3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Joseph Gardner</w:t>
            </w:r>
          </w:p>
        </w:tc>
        <w:tc>
          <w:tcPr>
            <w:tcW w:w="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2020</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432,600</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48,427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210,000</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108,150</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1,646</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590,823</w:t>
            </w:r>
          </w:p>
        </w:tc>
        <w:tc>
          <w:tcPr>
            <w:tcW w:w="100" w:type="dxa"/>
            <w:vAlign w:val="bottom"/>
            <w:shd w:val="clear" w:color="auto" w:fill="CFF0FC"/>
          </w:tcPr>
          <w:p>
            <w:pPr>
              <w:spacing w:after="0"/>
              <w:rPr>
                <w:sz w:val="18"/>
                <w:szCs w:val="18"/>
                <w:color w:val="auto"/>
              </w:rPr>
            </w:pPr>
          </w:p>
        </w:tc>
      </w:tr>
      <w:tr>
        <w:trPr>
          <w:trHeight w:val="206"/>
        </w:trPr>
        <w:tc>
          <w:tcPr>
            <w:tcW w:w="3280" w:type="dxa"/>
            <w:vAlign w:val="bottom"/>
            <w:gridSpan w:val="2"/>
          </w:tcPr>
          <w:p>
            <w:pPr>
              <w:spacing w:after="0"/>
              <w:rPr>
                <w:sz w:val="20"/>
                <w:szCs w:val="20"/>
                <w:color w:val="auto"/>
              </w:rPr>
            </w:pPr>
            <w:r>
              <w:rPr>
                <w:rFonts w:ascii="Arial" w:cs="Arial" w:eastAsia="Arial" w:hAnsi="Arial"/>
                <w:sz w:val="16"/>
                <w:szCs w:val="16"/>
                <w:i w:val="1"/>
                <w:iCs w:val="1"/>
                <w:color w:val="auto"/>
              </w:rPr>
              <w:t>President and Founder, Principal Executive</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280" w:type="dxa"/>
            <w:vAlign w:val="bottom"/>
            <w:gridSpan w:val="2"/>
          </w:tcPr>
          <w:p>
            <w:pPr>
              <w:spacing w:after="0"/>
              <w:rPr>
                <w:sz w:val="20"/>
                <w:szCs w:val="20"/>
                <w:color w:val="auto"/>
              </w:rPr>
            </w:pPr>
            <w:r>
              <w:rPr>
                <w:rFonts w:ascii="Arial" w:cs="Arial" w:eastAsia="Arial" w:hAnsi="Arial"/>
                <w:sz w:val="16"/>
                <w:szCs w:val="16"/>
                <w:i w:val="1"/>
                <w:iCs w:val="1"/>
                <w:color w:val="auto"/>
              </w:rPr>
              <w:t>Officer</w:t>
            </w:r>
          </w:p>
        </w:tc>
        <w:tc>
          <w:tcPr>
            <w:tcW w:w="660" w:type="dxa"/>
            <w:vAlign w:val="bottom"/>
          </w:tcPr>
          <w:p>
            <w:pPr>
              <w:ind w:left="160"/>
              <w:spacing w:after="0"/>
              <w:rPr>
                <w:sz w:val="20"/>
                <w:szCs w:val="20"/>
                <w:color w:val="auto"/>
              </w:rPr>
            </w:pPr>
            <w:r>
              <w:rPr>
                <w:rFonts w:ascii="Arial" w:cs="Arial" w:eastAsia="Arial" w:hAnsi="Arial"/>
                <w:sz w:val="16"/>
                <w:szCs w:val="16"/>
                <w:color w:val="auto"/>
              </w:rPr>
              <w:t>2019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420,000</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510,423</w:t>
            </w: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199,500</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1,069</w:t>
            </w: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1020" w:type="dxa"/>
            <w:vAlign w:val="bottom"/>
          </w:tcPr>
          <w:p>
            <w:pPr>
              <w:jc w:val="right"/>
              <w:spacing w:after="0"/>
              <w:rPr>
                <w:sz w:val="20"/>
                <w:szCs w:val="20"/>
                <w:color w:val="auto"/>
              </w:rPr>
            </w:pPr>
            <w:r>
              <w:rPr>
                <w:rFonts w:ascii="Arial" w:cs="Arial" w:eastAsia="Arial" w:hAnsi="Arial"/>
                <w:sz w:val="16"/>
                <w:szCs w:val="16"/>
                <w:color w:val="auto"/>
              </w:rPr>
              <w:t>1,130,992</w:t>
            </w:r>
          </w:p>
        </w:tc>
        <w:tc>
          <w:tcPr>
            <w:tcW w:w="100" w:type="dxa"/>
            <w:vAlign w:val="bottom"/>
          </w:tcPr>
          <w:p>
            <w:pPr>
              <w:spacing w:after="0"/>
              <w:rPr>
                <w:sz w:val="18"/>
                <w:szCs w:val="18"/>
                <w:color w:val="auto"/>
              </w:rPr>
            </w:pPr>
          </w:p>
        </w:tc>
      </w:tr>
      <w:tr>
        <w:trPr>
          <w:trHeight w:val="219"/>
        </w:trPr>
        <w:tc>
          <w:tcPr>
            <w:tcW w:w="3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Regina Marek</w:t>
            </w:r>
          </w:p>
        </w:tc>
        <w:tc>
          <w:tcPr>
            <w:tcW w:w="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2020</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278,100</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29,057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120,000</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48,668</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356,175</w:t>
            </w:r>
          </w:p>
        </w:tc>
        <w:tc>
          <w:tcPr>
            <w:tcW w:w="100" w:type="dxa"/>
            <w:vAlign w:val="bottom"/>
            <w:shd w:val="clear" w:color="auto" w:fill="CFF0FC"/>
          </w:tcPr>
          <w:p>
            <w:pPr>
              <w:spacing w:after="0"/>
              <w:rPr>
                <w:sz w:val="19"/>
                <w:szCs w:val="19"/>
                <w:color w:val="auto"/>
              </w:rPr>
            </w:pPr>
          </w:p>
        </w:tc>
      </w:tr>
      <w:tr>
        <w:trPr>
          <w:trHeight w:val="206"/>
        </w:trPr>
        <w:tc>
          <w:tcPr>
            <w:tcW w:w="3280" w:type="dxa"/>
            <w:vAlign w:val="bottom"/>
            <w:gridSpan w:val="2"/>
          </w:tcPr>
          <w:p>
            <w:pPr>
              <w:spacing w:after="0"/>
              <w:rPr>
                <w:sz w:val="20"/>
                <w:szCs w:val="20"/>
                <w:color w:val="auto"/>
              </w:rPr>
            </w:pPr>
            <w:r>
              <w:rPr>
                <w:rFonts w:ascii="Arial" w:cs="Arial" w:eastAsia="Arial" w:hAnsi="Arial"/>
                <w:sz w:val="16"/>
                <w:szCs w:val="16"/>
                <w:i w:val="1"/>
                <w:iCs w:val="1"/>
                <w:color w:val="auto"/>
              </w:rPr>
              <w:t>VP Finance, Principal Financial and</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280" w:type="dxa"/>
            <w:vAlign w:val="bottom"/>
            <w:gridSpan w:val="2"/>
          </w:tcPr>
          <w:p>
            <w:pPr>
              <w:spacing w:after="0"/>
              <w:rPr>
                <w:sz w:val="20"/>
                <w:szCs w:val="20"/>
                <w:color w:val="auto"/>
              </w:rPr>
            </w:pPr>
            <w:r>
              <w:rPr>
                <w:rFonts w:ascii="Arial" w:cs="Arial" w:eastAsia="Arial" w:hAnsi="Arial"/>
                <w:sz w:val="16"/>
                <w:szCs w:val="16"/>
                <w:i w:val="1"/>
                <w:iCs w:val="1"/>
                <w:color w:val="auto"/>
              </w:rPr>
              <w:t>Accounting Officer</w:t>
            </w:r>
          </w:p>
        </w:tc>
        <w:tc>
          <w:tcPr>
            <w:tcW w:w="660" w:type="dxa"/>
            <w:vAlign w:val="bottom"/>
          </w:tcPr>
          <w:p>
            <w:pPr>
              <w:ind w:left="160"/>
              <w:spacing w:after="0"/>
              <w:rPr>
                <w:sz w:val="20"/>
                <w:szCs w:val="20"/>
                <w:color w:val="auto"/>
              </w:rPr>
            </w:pPr>
            <w:r>
              <w:rPr>
                <w:rFonts w:ascii="Arial" w:cs="Arial" w:eastAsia="Arial" w:hAnsi="Arial"/>
                <w:sz w:val="16"/>
                <w:szCs w:val="16"/>
                <w:color w:val="auto"/>
              </w:rPr>
              <w:t>2019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244,643</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168,866</w:t>
            </w: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71,708</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373</w:t>
            </w: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1020" w:type="dxa"/>
            <w:vAlign w:val="bottom"/>
          </w:tcPr>
          <w:p>
            <w:pPr>
              <w:jc w:val="right"/>
              <w:spacing w:after="0"/>
              <w:rPr>
                <w:sz w:val="20"/>
                <w:szCs w:val="20"/>
                <w:color w:val="auto"/>
              </w:rPr>
            </w:pPr>
            <w:r>
              <w:rPr>
                <w:rFonts w:ascii="Arial" w:cs="Arial" w:eastAsia="Arial" w:hAnsi="Arial"/>
                <w:sz w:val="16"/>
                <w:szCs w:val="16"/>
                <w:color w:val="auto"/>
              </w:rPr>
              <w:t>485,590</w:t>
            </w:r>
          </w:p>
        </w:tc>
        <w:tc>
          <w:tcPr>
            <w:tcW w:w="100" w:type="dxa"/>
            <w:vAlign w:val="bottom"/>
          </w:tcPr>
          <w:p>
            <w:pPr>
              <w:spacing w:after="0"/>
              <w:rPr>
                <w:sz w:val="18"/>
                <w:szCs w:val="18"/>
                <w:color w:val="auto"/>
              </w:rPr>
            </w:pPr>
          </w:p>
        </w:tc>
      </w:tr>
      <w:tr>
        <w:trPr>
          <w:trHeight w:val="219"/>
        </w:trPr>
        <w:tc>
          <w:tcPr>
            <w:tcW w:w="3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Kevin Peters</w:t>
            </w:r>
          </w:p>
        </w:tc>
        <w:tc>
          <w:tcPr>
            <w:tcW w:w="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2020</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370,800</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40,304</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180,000</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74,160</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1,003</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486,267</w:t>
            </w:r>
          </w:p>
        </w:tc>
        <w:tc>
          <w:tcPr>
            <w:tcW w:w="100" w:type="dxa"/>
            <w:vAlign w:val="bottom"/>
            <w:shd w:val="clear" w:color="auto" w:fill="CFF0FC"/>
          </w:tcPr>
          <w:p>
            <w:pPr>
              <w:spacing w:after="0"/>
              <w:rPr>
                <w:sz w:val="19"/>
                <w:szCs w:val="19"/>
                <w:color w:val="auto"/>
              </w:rPr>
            </w:pPr>
          </w:p>
        </w:tc>
      </w:tr>
      <w:tr>
        <w:trPr>
          <w:trHeight w:val="206"/>
        </w:trPr>
        <w:tc>
          <w:tcPr>
            <w:tcW w:w="3280" w:type="dxa"/>
            <w:vAlign w:val="bottom"/>
            <w:gridSpan w:val="2"/>
          </w:tcPr>
          <w:p>
            <w:pPr>
              <w:spacing w:after="0"/>
              <w:rPr>
                <w:sz w:val="20"/>
                <w:szCs w:val="20"/>
                <w:color w:val="auto"/>
              </w:rPr>
            </w:pPr>
            <w:r>
              <w:rPr>
                <w:rFonts w:ascii="Arial" w:cs="Arial" w:eastAsia="Arial" w:hAnsi="Arial"/>
                <w:sz w:val="16"/>
                <w:szCs w:val="16"/>
                <w:i w:val="1"/>
                <w:iCs w:val="1"/>
                <w:color w:val="auto"/>
              </w:rPr>
              <w:t>Chief Scientific and acting Chief Medical</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3280" w:type="dxa"/>
            <w:vAlign w:val="bottom"/>
            <w:gridSpan w:val="2"/>
          </w:tcPr>
          <w:p>
            <w:pPr>
              <w:spacing w:after="0"/>
              <w:rPr>
                <w:sz w:val="20"/>
                <w:szCs w:val="20"/>
                <w:color w:val="auto"/>
              </w:rPr>
            </w:pPr>
            <w:r>
              <w:rPr>
                <w:rFonts w:ascii="Arial" w:cs="Arial" w:eastAsia="Arial" w:hAnsi="Arial"/>
                <w:sz w:val="16"/>
                <w:szCs w:val="16"/>
                <w:i w:val="1"/>
                <w:iCs w:val="1"/>
                <w:color w:val="auto"/>
              </w:rPr>
              <w:t>Officer</w:t>
            </w:r>
          </w:p>
        </w:tc>
        <w:tc>
          <w:tcPr>
            <w:tcW w:w="660" w:type="dxa"/>
            <w:vAlign w:val="bottom"/>
          </w:tcPr>
          <w:p>
            <w:pPr>
              <w:ind w:left="160"/>
              <w:spacing w:after="0"/>
              <w:rPr>
                <w:sz w:val="20"/>
                <w:szCs w:val="20"/>
                <w:color w:val="auto"/>
              </w:rPr>
            </w:pPr>
            <w:r>
              <w:rPr>
                <w:rFonts w:ascii="Arial" w:cs="Arial" w:eastAsia="Arial" w:hAnsi="Arial"/>
                <w:sz w:val="16"/>
                <w:szCs w:val="16"/>
                <w:color w:val="auto"/>
              </w:rPr>
              <w:t>2019</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360,000</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450,200</w:t>
            </w:r>
          </w:p>
        </w:tc>
        <w:tc>
          <w:tcPr>
            <w:tcW w:w="30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136,800</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1,069</w:t>
            </w: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1020" w:type="dxa"/>
            <w:vAlign w:val="bottom"/>
          </w:tcPr>
          <w:p>
            <w:pPr>
              <w:jc w:val="right"/>
              <w:spacing w:after="0"/>
              <w:rPr>
                <w:sz w:val="20"/>
                <w:szCs w:val="20"/>
                <w:color w:val="auto"/>
              </w:rPr>
            </w:pPr>
            <w:r>
              <w:rPr>
                <w:rFonts w:ascii="Arial" w:cs="Arial" w:eastAsia="Arial" w:hAnsi="Arial"/>
                <w:sz w:val="16"/>
                <w:szCs w:val="16"/>
                <w:color w:val="auto"/>
              </w:rPr>
              <w:t>948,069</w:t>
            </w:r>
          </w:p>
        </w:tc>
        <w:tc>
          <w:tcPr>
            <w:tcW w:w="100" w:type="dxa"/>
            <w:vAlign w:val="bottom"/>
          </w:tcPr>
          <w:p>
            <w:pPr>
              <w:spacing w:after="0"/>
              <w:rPr>
                <w:sz w:val="17"/>
                <w:szCs w:val="17"/>
                <w:color w:val="auto"/>
              </w:rPr>
            </w:pPr>
          </w:p>
        </w:tc>
      </w:tr>
    </w:tbl>
    <w:p>
      <w:pPr>
        <w:spacing w:after="0" w:line="208" w:lineRule="exact"/>
        <w:rPr>
          <w:sz w:val="20"/>
          <w:szCs w:val="20"/>
          <w:color w:val="auto"/>
        </w:rPr>
      </w:pPr>
    </w:p>
    <w:p>
      <w:pPr>
        <w:ind w:left="440" w:right="60" w:hanging="432"/>
        <w:spacing w:after="0" w:line="296" w:lineRule="auto"/>
        <w:tabs>
          <w:tab w:leader="none" w:pos="440" w:val="left"/>
        </w:tabs>
        <w:numPr>
          <w:ilvl w:val="0"/>
          <w:numId w:val="49"/>
        </w:numPr>
        <w:rPr>
          <w:rFonts w:ascii="Arial" w:cs="Arial" w:eastAsia="Arial" w:hAnsi="Arial"/>
          <w:sz w:val="16"/>
          <w:szCs w:val="16"/>
          <w:color w:val="010000"/>
        </w:rPr>
      </w:pPr>
      <w:r>
        <w:rPr>
          <w:rFonts w:ascii="Arial" w:cs="Arial" w:eastAsia="Arial" w:hAnsi="Arial"/>
          <w:sz w:val="16"/>
          <w:szCs w:val="16"/>
          <w:color w:val="auto"/>
        </w:rPr>
        <w:t>The amounts reported in the Option Awards column represent the grant date fair value of the stock options granted to the named executive officers as of the grant date as computed in accordance with FASB ASC Topic 718, not including any estimates of forfeitures. The assumptions used in calculating the grant date fair value of the stock options reported in the Option Awards column are set forth in Note 7 to our financial statements for the years ended December 31, 2020 and 2019. Note that the amounts reported in this column reflect the accounting cost for these stock options, and do not correspond to the actual economic value that may be received by the named executive officers from the options.</w:t>
      </w:r>
    </w:p>
    <w:p>
      <w:pPr>
        <w:spacing w:after="0" w:line="53" w:lineRule="exact"/>
        <w:rPr>
          <w:rFonts w:ascii="Arial" w:cs="Arial" w:eastAsia="Arial" w:hAnsi="Arial"/>
          <w:sz w:val="16"/>
          <w:szCs w:val="16"/>
          <w:color w:val="010000"/>
        </w:rPr>
      </w:pPr>
    </w:p>
    <w:p>
      <w:pPr>
        <w:ind w:left="440" w:hanging="432"/>
        <w:spacing w:after="0"/>
        <w:tabs>
          <w:tab w:leader="none" w:pos="440"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Amounts represent cash retention bonuses paid in 2020.</w:t>
      </w:r>
    </w:p>
    <w:p>
      <w:pPr>
        <w:spacing w:after="0" w:line="117" w:lineRule="exact"/>
        <w:rPr>
          <w:rFonts w:ascii="Arial" w:cs="Arial" w:eastAsia="Arial" w:hAnsi="Arial"/>
          <w:sz w:val="18"/>
          <w:szCs w:val="18"/>
          <w:color w:val="010000"/>
        </w:rPr>
      </w:pPr>
    </w:p>
    <w:p>
      <w:pPr>
        <w:ind w:left="440" w:hanging="432"/>
        <w:spacing w:after="0" w:line="277" w:lineRule="auto"/>
        <w:tabs>
          <w:tab w:leader="none" w:pos="440"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Amounts represent cash bonuses earned for performance in 2020 and 2019 based upon achievement of corporate performance goals for the respective year.</w:t>
      </w:r>
    </w:p>
    <w:p>
      <w:pPr>
        <w:spacing w:after="0" w:line="62" w:lineRule="exact"/>
        <w:rPr>
          <w:rFonts w:ascii="Arial" w:cs="Arial" w:eastAsia="Arial" w:hAnsi="Arial"/>
          <w:sz w:val="18"/>
          <w:szCs w:val="18"/>
          <w:color w:val="010000"/>
        </w:rPr>
      </w:pPr>
    </w:p>
    <w:p>
      <w:pPr>
        <w:ind w:left="440" w:hanging="432"/>
        <w:spacing w:after="0"/>
        <w:tabs>
          <w:tab w:leader="none" w:pos="440"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Amounts represent the dollar value of life insurance premiums paid by us on behalf of the named executive officers.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4" w:name="page115"/>
    <w:bookmarkEnd w:id="114"/>
    <w:p>
      <w:pPr>
        <w:ind w:left="880"/>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sets forth information concerning outstanding equity awards for each of the named executive officers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w w:val="94"/>
              </w:rPr>
              <w:t>Option Awards</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99"/>
        </w:trPr>
        <w:tc>
          <w:tcPr>
            <w:tcW w:w="2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Number of</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Securities</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Underlying</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5"/>
              </w:rPr>
              <w:t>Underlying</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Vesting</w:t>
            </w:r>
          </w:p>
        </w:tc>
        <w:tc>
          <w:tcPr>
            <w:tcW w:w="17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Unexercised</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38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Option</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r>
      <w:tr>
        <w:trPr>
          <w:trHeight w:val="203"/>
        </w:trPr>
        <w:tc>
          <w:tcPr>
            <w:tcW w:w="2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Commencement</w:t>
            </w:r>
          </w:p>
        </w:tc>
        <w:tc>
          <w:tcPr>
            <w:tcW w:w="17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Options (#)</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2"/>
              </w:rPr>
              <w:t>Options (#)</w:t>
            </w:r>
          </w:p>
        </w:tc>
        <w:tc>
          <w:tcPr>
            <w:tcW w:w="38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Exercise</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7"/>
              </w:rPr>
              <w:t>Expiration</w:t>
            </w:r>
          </w:p>
        </w:tc>
      </w:tr>
      <w:tr>
        <w:trPr>
          <w:trHeight w:val="213"/>
        </w:trPr>
        <w:tc>
          <w:tcPr>
            <w:tcW w:w="2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Principal Position</w:t>
            </w:r>
          </w:p>
        </w:tc>
        <w:tc>
          <w:tcPr>
            <w:tcW w:w="220" w:type="dxa"/>
            <w:vAlign w:val="bottom"/>
            <w:tcBorders>
              <w:bottom w:val="single" w:sz="8" w:color="CFF0FC"/>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220" w:type="dxa"/>
            <w:vAlign w:val="bottom"/>
            <w:tcBorders>
              <w:bottom w:val="single" w:sz="8" w:color="CFF0FC"/>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Exercisable</w:t>
            </w:r>
          </w:p>
        </w:tc>
        <w:tc>
          <w:tcPr>
            <w:tcW w:w="320" w:type="dxa"/>
            <w:vAlign w:val="bottom"/>
            <w:tcBorders>
              <w:bottom w:val="single" w:sz="8" w:color="CFF0FC"/>
            </w:tcBorders>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Unexercisable (1)</w:t>
            </w:r>
          </w:p>
        </w:tc>
        <w:tc>
          <w:tcPr>
            <w:tcW w:w="38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 ($)</w:t>
            </w:r>
          </w:p>
        </w:tc>
        <w:tc>
          <w:tcPr>
            <w:tcW w:w="34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213"/>
        </w:trPr>
        <w:tc>
          <w:tcPr>
            <w:tcW w:w="31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Joseph Gardner</w:t>
            </w: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3/16/2020</w:t>
            </w: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155,000</w:t>
            </w: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89"/>
              </w:rPr>
              <w:t>0.52</w:t>
            </w: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3/16/2030</w:t>
            </w:r>
          </w:p>
        </w:tc>
      </w:tr>
      <w:tr>
        <w:trPr>
          <w:trHeight w:val="213"/>
        </w:trPr>
        <w:tc>
          <w:tcPr>
            <w:tcW w:w="3100" w:type="dxa"/>
            <w:vAlign w:val="bottom"/>
            <w:gridSpan w:val="2"/>
          </w:tcPr>
          <w:p>
            <w:pPr>
              <w:spacing w:after="0"/>
              <w:rPr>
                <w:sz w:val="20"/>
                <w:szCs w:val="20"/>
                <w:color w:val="auto"/>
              </w:rPr>
            </w:pPr>
            <w:r>
              <w:rPr>
                <w:rFonts w:ascii="Arial" w:cs="Arial" w:eastAsia="Arial" w:hAnsi="Arial"/>
                <w:sz w:val="16"/>
                <w:szCs w:val="16"/>
                <w:i w:val="1"/>
                <w:iCs w:val="1"/>
                <w:color w:val="auto"/>
              </w:rPr>
              <w:t>President and Founder,</w:t>
            </w: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5/14/2019</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174,675</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174,675</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60" w:type="dxa"/>
            <w:vAlign w:val="bottom"/>
          </w:tcPr>
          <w:p>
            <w:pPr>
              <w:jc w:val="center"/>
              <w:ind w:left="19"/>
              <w:spacing w:after="0"/>
              <w:rPr>
                <w:sz w:val="20"/>
                <w:szCs w:val="20"/>
                <w:color w:val="auto"/>
              </w:rPr>
            </w:pPr>
            <w:r>
              <w:rPr>
                <w:rFonts w:ascii="Arial" w:cs="Arial" w:eastAsia="Arial" w:hAnsi="Arial"/>
                <w:sz w:val="16"/>
                <w:szCs w:val="16"/>
                <w:color w:val="auto"/>
                <w:w w:val="89"/>
              </w:rPr>
              <w:t>1.04</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5/14/2029</w:t>
            </w:r>
          </w:p>
        </w:tc>
      </w:tr>
      <w:tr>
        <w:trPr>
          <w:trHeight w:val="219"/>
        </w:trPr>
        <w:tc>
          <w:tcPr>
            <w:tcW w:w="3100" w:type="dxa"/>
            <w:vAlign w:val="bottom"/>
            <w:gridSpan w:val="2"/>
            <w:shd w:val="clear" w:color="auto" w:fill="CFF0FC"/>
          </w:tcPr>
          <w:p>
            <w:pPr>
              <w:spacing w:after="0"/>
              <w:rPr>
                <w:sz w:val="20"/>
                <w:szCs w:val="20"/>
                <w:color w:val="auto"/>
              </w:rPr>
            </w:pPr>
            <w:r>
              <w:rPr>
                <w:rFonts w:ascii="Arial" w:cs="Arial" w:eastAsia="Arial" w:hAnsi="Arial"/>
                <w:sz w:val="16"/>
                <w:szCs w:val="16"/>
                <w:i w:val="1"/>
                <w:iCs w:val="1"/>
                <w:color w:val="auto"/>
              </w:rPr>
              <w:t>Principal Executive Officer</w:t>
            </w: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2/15/2019</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68,750</w:t>
            </w:r>
          </w:p>
        </w:tc>
        <w:tc>
          <w:tcPr>
            <w:tcW w:w="32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81,250</w:t>
            </w: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89"/>
              </w:rPr>
              <w:t>3.27</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2/15/2029</w:t>
            </w:r>
          </w:p>
        </w:tc>
      </w:tr>
      <w:tr>
        <w:trPr>
          <w:trHeight w:val="213"/>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4/23/2018</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100,000</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50,000</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60" w:type="dxa"/>
            <w:vAlign w:val="bottom"/>
          </w:tcPr>
          <w:p>
            <w:pPr>
              <w:jc w:val="center"/>
              <w:ind w:left="19"/>
              <w:spacing w:after="0"/>
              <w:rPr>
                <w:sz w:val="20"/>
                <w:szCs w:val="20"/>
                <w:color w:val="auto"/>
              </w:rPr>
            </w:pPr>
            <w:r>
              <w:rPr>
                <w:rFonts w:ascii="Arial" w:cs="Arial" w:eastAsia="Arial" w:hAnsi="Arial"/>
                <w:sz w:val="16"/>
                <w:szCs w:val="16"/>
                <w:color w:val="auto"/>
                <w:w w:val="89"/>
              </w:rPr>
              <w:t>3.59</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4/23/2028</w:t>
            </w:r>
          </w:p>
        </w:tc>
      </w:tr>
      <w:tr>
        <w:trPr>
          <w:trHeight w:val="219"/>
        </w:trPr>
        <w:tc>
          <w:tcPr>
            <w:tcW w:w="2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12/14/2017</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135,000</w:t>
            </w:r>
          </w:p>
        </w:tc>
        <w:tc>
          <w:tcPr>
            <w:tcW w:w="32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89"/>
              </w:rPr>
              <w:t>5.50</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12/14/2027</w:t>
            </w:r>
          </w:p>
        </w:tc>
      </w:tr>
      <w:tr>
        <w:trPr>
          <w:trHeight w:val="213"/>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2/18/2014</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207,628</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60" w:type="dxa"/>
            <w:vAlign w:val="bottom"/>
          </w:tcPr>
          <w:p>
            <w:pPr>
              <w:jc w:val="center"/>
              <w:ind w:left="19"/>
              <w:spacing w:after="0"/>
              <w:rPr>
                <w:sz w:val="20"/>
                <w:szCs w:val="20"/>
                <w:color w:val="auto"/>
              </w:rPr>
            </w:pPr>
            <w:r>
              <w:rPr>
                <w:rFonts w:ascii="Arial" w:cs="Arial" w:eastAsia="Arial" w:hAnsi="Arial"/>
                <w:sz w:val="16"/>
                <w:szCs w:val="16"/>
                <w:color w:val="auto"/>
                <w:w w:val="89"/>
              </w:rPr>
              <w:t>2.11</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2/18/2024</w:t>
            </w:r>
          </w:p>
        </w:tc>
      </w:tr>
      <w:tr>
        <w:trPr>
          <w:trHeight w:val="219"/>
        </w:trPr>
        <w:tc>
          <w:tcPr>
            <w:tcW w:w="2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3/22/2012</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27,727</w:t>
            </w:r>
          </w:p>
        </w:tc>
        <w:tc>
          <w:tcPr>
            <w:tcW w:w="32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89"/>
              </w:rPr>
              <w:t>1.66</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3/22/2022</w:t>
            </w:r>
          </w:p>
        </w:tc>
      </w:tr>
      <w:tr>
        <w:trPr>
          <w:trHeight w:val="213"/>
        </w:trPr>
        <w:tc>
          <w:tcPr>
            <w:tcW w:w="3100" w:type="dxa"/>
            <w:vAlign w:val="bottom"/>
            <w:gridSpan w:val="2"/>
          </w:tcPr>
          <w:p>
            <w:pPr>
              <w:spacing w:after="0"/>
              <w:rPr>
                <w:sz w:val="20"/>
                <w:szCs w:val="20"/>
                <w:color w:val="auto"/>
              </w:rPr>
            </w:pPr>
            <w:r>
              <w:rPr>
                <w:rFonts w:ascii="Arial" w:cs="Arial" w:eastAsia="Arial" w:hAnsi="Arial"/>
                <w:sz w:val="16"/>
                <w:szCs w:val="16"/>
                <w:color w:val="auto"/>
              </w:rPr>
              <w:t>Regina Marek</w:t>
            </w: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3/16/2020</w:t>
            </w:r>
          </w:p>
        </w:tc>
        <w:tc>
          <w:tcPr>
            <w:tcW w:w="2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93,000</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60" w:type="dxa"/>
            <w:vAlign w:val="bottom"/>
          </w:tcPr>
          <w:p>
            <w:pPr>
              <w:jc w:val="center"/>
              <w:ind w:left="19"/>
              <w:spacing w:after="0"/>
              <w:rPr>
                <w:sz w:val="20"/>
                <w:szCs w:val="20"/>
                <w:color w:val="auto"/>
              </w:rPr>
            </w:pPr>
            <w:r>
              <w:rPr>
                <w:rFonts w:ascii="Arial" w:cs="Arial" w:eastAsia="Arial" w:hAnsi="Arial"/>
                <w:sz w:val="16"/>
                <w:szCs w:val="16"/>
                <w:color w:val="auto"/>
                <w:w w:val="89"/>
              </w:rPr>
              <w:t>0.52</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3/16/2030</w:t>
            </w:r>
          </w:p>
        </w:tc>
      </w:tr>
      <w:tr>
        <w:trPr>
          <w:trHeight w:val="219"/>
        </w:trPr>
        <w:tc>
          <w:tcPr>
            <w:tcW w:w="3100" w:type="dxa"/>
            <w:vAlign w:val="bottom"/>
            <w:gridSpan w:val="2"/>
            <w:shd w:val="clear" w:color="auto" w:fill="CFF0FC"/>
          </w:tcPr>
          <w:p>
            <w:pPr>
              <w:spacing w:after="0"/>
              <w:rPr>
                <w:sz w:val="20"/>
                <w:szCs w:val="20"/>
                <w:color w:val="auto"/>
              </w:rPr>
            </w:pPr>
            <w:r>
              <w:rPr>
                <w:rFonts w:ascii="Arial" w:cs="Arial" w:eastAsia="Arial" w:hAnsi="Arial"/>
                <w:sz w:val="16"/>
                <w:szCs w:val="16"/>
                <w:i w:val="1"/>
                <w:iCs w:val="1"/>
                <w:color w:val="auto"/>
              </w:rPr>
              <w:t>VP of Finance, Principal</w:t>
            </w: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11/4/2019</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20,302</w:t>
            </w:r>
          </w:p>
        </w:tc>
        <w:tc>
          <w:tcPr>
            <w:tcW w:w="32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23,998</w:t>
            </w: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89"/>
              </w:rPr>
              <w:t>0.5588</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11/4/2029</w:t>
            </w:r>
          </w:p>
        </w:tc>
      </w:tr>
      <w:tr>
        <w:trPr>
          <w:trHeight w:val="213"/>
        </w:trPr>
        <w:tc>
          <w:tcPr>
            <w:tcW w:w="3100" w:type="dxa"/>
            <w:vAlign w:val="bottom"/>
            <w:gridSpan w:val="2"/>
          </w:tcPr>
          <w:p>
            <w:pPr>
              <w:spacing w:after="0"/>
              <w:rPr>
                <w:sz w:val="20"/>
                <w:szCs w:val="20"/>
                <w:color w:val="auto"/>
              </w:rPr>
            </w:pPr>
            <w:r>
              <w:rPr>
                <w:rFonts w:ascii="Arial" w:cs="Arial" w:eastAsia="Arial" w:hAnsi="Arial"/>
                <w:sz w:val="16"/>
                <w:szCs w:val="16"/>
                <w:i w:val="1"/>
                <w:iCs w:val="1"/>
                <w:color w:val="auto"/>
              </w:rPr>
              <w:t>Finance and Accounting Officer</w:t>
            </w: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5/14/2019</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76,650</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76,650</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60" w:type="dxa"/>
            <w:vAlign w:val="bottom"/>
          </w:tcPr>
          <w:p>
            <w:pPr>
              <w:jc w:val="center"/>
              <w:ind w:left="19"/>
              <w:spacing w:after="0"/>
              <w:rPr>
                <w:sz w:val="20"/>
                <w:szCs w:val="20"/>
                <w:color w:val="auto"/>
              </w:rPr>
            </w:pPr>
            <w:r>
              <w:rPr>
                <w:rFonts w:ascii="Arial" w:cs="Arial" w:eastAsia="Arial" w:hAnsi="Arial"/>
                <w:sz w:val="16"/>
                <w:szCs w:val="16"/>
                <w:color w:val="auto"/>
                <w:w w:val="89"/>
              </w:rPr>
              <w:t>1.04</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5/14/2029</w:t>
            </w:r>
          </w:p>
        </w:tc>
      </w:tr>
      <w:tr>
        <w:trPr>
          <w:trHeight w:val="219"/>
        </w:trPr>
        <w:tc>
          <w:tcPr>
            <w:tcW w:w="2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2/15/2019</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13,750</w:t>
            </w:r>
          </w:p>
        </w:tc>
        <w:tc>
          <w:tcPr>
            <w:tcW w:w="32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16,250</w:t>
            </w: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89"/>
              </w:rPr>
              <w:t>3.27</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2/15/2029</w:t>
            </w:r>
          </w:p>
        </w:tc>
      </w:tr>
      <w:tr>
        <w:trPr>
          <w:trHeight w:val="213"/>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8/9/2018</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46,667</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33,333</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60" w:type="dxa"/>
            <w:vAlign w:val="bottom"/>
          </w:tcPr>
          <w:p>
            <w:pPr>
              <w:jc w:val="center"/>
              <w:ind w:left="19"/>
              <w:spacing w:after="0"/>
              <w:rPr>
                <w:sz w:val="20"/>
                <w:szCs w:val="20"/>
                <w:color w:val="auto"/>
              </w:rPr>
            </w:pPr>
            <w:r>
              <w:rPr>
                <w:rFonts w:ascii="Arial" w:cs="Arial" w:eastAsia="Arial" w:hAnsi="Arial"/>
                <w:sz w:val="16"/>
                <w:szCs w:val="16"/>
                <w:color w:val="auto"/>
                <w:w w:val="89"/>
              </w:rPr>
              <w:t>3.49</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8/9/2028</w:t>
            </w:r>
          </w:p>
        </w:tc>
      </w:tr>
      <w:tr>
        <w:trPr>
          <w:trHeight w:val="219"/>
        </w:trPr>
        <w:tc>
          <w:tcPr>
            <w:tcW w:w="31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Kevin Peters</w:t>
            </w: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3/16/2020</w:t>
            </w:r>
          </w:p>
        </w:tc>
        <w:tc>
          <w:tcPr>
            <w:tcW w:w="22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129,000</w:t>
            </w: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89"/>
              </w:rPr>
              <w:t>0.52</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3/16/2030</w:t>
            </w:r>
          </w:p>
        </w:tc>
      </w:tr>
      <w:tr>
        <w:trPr>
          <w:trHeight w:val="213"/>
        </w:trPr>
        <w:tc>
          <w:tcPr>
            <w:tcW w:w="3100" w:type="dxa"/>
            <w:vAlign w:val="bottom"/>
            <w:gridSpan w:val="2"/>
          </w:tcPr>
          <w:p>
            <w:pPr>
              <w:spacing w:after="0"/>
              <w:rPr>
                <w:sz w:val="20"/>
                <w:szCs w:val="20"/>
                <w:color w:val="auto"/>
              </w:rPr>
            </w:pPr>
            <w:r>
              <w:rPr>
                <w:rFonts w:ascii="Arial" w:cs="Arial" w:eastAsia="Arial" w:hAnsi="Arial"/>
                <w:sz w:val="16"/>
                <w:szCs w:val="16"/>
                <w:i w:val="1"/>
                <w:iCs w:val="1"/>
                <w:color w:val="auto"/>
              </w:rPr>
              <w:t>Chief Scientific and acting</w:t>
            </w: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5/14/2019</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25,031</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38,219</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60" w:type="dxa"/>
            <w:vAlign w:val="bottom"/>
          </w:tcPr>
          <w:p>
            <w:pPr>
              <w:jc w:val="center"/>
              <w:ind w:left="19"/>
              <w:spacing w:after="0"/>
              <w:rPr>
                <w:sz w:val="20"/>
                <w:szCs w:val="20"/>
                <w:color w:val="auto"/>
              </w:rPr>
            </w:pPr>
            <w:r>
              <w:rPr>
                <w:rFonts w:ascii="Arial" w:cs="Arial" w:eastAsia="Arial" w:hAnsi="Arial"/>
                <w:sz w:val="16"/>
                <w:szCs w:val="16"/>
                <w:color w:val="auto"/>
                <w:w w:val="89"/>
              </w:rPr>
              <w:t>1.04</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5/14/2029</w:t>
            </w:r>
          </w:p>
        </w:tc>
      </w:tr>
      <w:tr>
        <w:trPr>
          <w:trHeight w:val="219"/>
        </w:trPr>
        <w:tc>
          <w:tcPr>
            <w:tcW w:w="3100" w:type="dxa"/>
            <w:vAlign w:val="bottom"/>
            <w:gridSpan w:val="2"/>
            <w:shd w:val="clear" w:color="auto" w:fill="CFF0FC"/>
          </w:tcPr>
          <w:p>
            <w:pPr>
              <w:spacing w:after="0"/>
              <w:rPr>
                <w:sz w:val="20"/>
                <w:szCs w:val="20"/>
                <w:color w:val="auto"/>
              </w:rPr>
            </w:pPr>
            <w:r>
              <w:rPr>
                <w:rFonts w:ascii="Arial" w:cs="Arial" w:eastAsia="Arial" w:hAnsi="Arial"/>
                <w:sz w:val="16"/>
                <w:szCs w:val="16"/>
                <w:i w:val="1"/>
                <w:iCs w:val="1"/>
                <w:color w:val="auto"/>
              </w:rPr>
              <w:t>Chief Medical Officer</w:t>
            </w: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5/14/2019</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133,275</w:t>
            </w:r>
          </w:p>
        </w:tc>
        <w:tc>
          <w:tcPr>
            <w:tcW w:w="32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133,275</w:t>
            </w: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w:t>
            </w:r>
          </w:p>
        </w:tc>
        <w:tc>
          <w:tcPr>
            <w:tcW w:w="106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89"/>
              </w:rPr>
              <w:t>1.04</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5/14/2029</w:t>
            </w:r>
          </w:p>
        </w:tc>
      </w:tr>
      <w:tr>
        <w:trPr>
          <w:trHeight w:val="213"/>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2/15/2019</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57,292</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67,708</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60" w:type="dxa"/>
            <w:vAlign w:val="bottom"/>
          </w:tcPr>
          <w:p>
            <w:pPr>
              <w:jc w:val="center"/>
              <w:ind w:left="19"/>
              <w:spacing w:after="0"/>
              <w:rPr>
                <w:sz w:val="20"/>
                <w:szCs w:val="20"/>
                <w:color w:val="auto"/>
              </w:rPr>
            </w:pPr>
            <w:r>
              <w:rPr>
                <w:rFonts w:ascii="Arial" w:cs="Arial" w:eastAsia="Arial" w:hAnsi="Arial"/>
                <w:sz w:val="16"/>
                <w:szCs w:val="16"/>
                <w:color w:val="auto"/>
                <w:w w:val="89"/>
              </w:rPr>
              <w:t>3.27</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2/15/2029</w:t>
            </w:r>
          </w:p>
        </w:tc>
      </w:tr>
      <w:tr>
        <w:trPr>
          <w:trHeight w:val="219"/>
        </w:trPr>
        <w:tc>
          <w:tcPr>
            <w:tcW w:w="2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4/23/2018</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66,667</w:t>
            </w:r>
          </w:p>
        </w:tc>
        <w:tc>
          <w:tcPr>
            <w:tcW w:w="32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33,333</w:t>
            </w: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89"/>
              </w:rPr>
              <w:t>3.59</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4/23/2028</w:t>
            </w:r>
          </w:p>
        </w:tc>
      </w:tr>
      <w:tr>
        <w:trPr>
          <w:trHeight w:val="210"/>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3/22/2012</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1,912</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60" w:type="dxa"/>
            <w:vAlign w:val="bottom"/>
          </w:tcPr>
          <w:p>
            <w:pPr>
              <w:jc w:val="center"/>
              <w:ind w:left="19"/>
              <w:spacing w:after="0"/>
              <w:rPr>
                <w:sz w:val="20"/>
                <w:szCs w:val="20"/>
                <w:color w:val="auto"/>
              </w:rPr>
            </w:pPr>
            <w:r>
              <w:rPr>
                <w:rFonts w:ascii="Arial" w:cs="Arial" w:eastAsia="Arial" w:hAnsi="Arial"/>
                <w:sz w:val="16"/>
                <w:szCs w:val="16"/>
                <w:color w:val="auto"/>
                <w:w w:val="89"/>
              </w:rPr>
              <w:t>1.66</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3/22/2022</w:t>
            </w:r>
          </w:p>
        </w:tc>
      </w:tr>
    </w:tbl>
    <w:p>
      <w:pPr>
        <w:spacing w:after="0" w:line="208" w:lineRule="exact"/>
        <w:rPr>
          <w:sz w:val="20"/>
          <w:szCs w:val="20"/>
          <w:color w:val="auto"/>
        </w:rPr>
      </w:pPr>
    </w:p>
    <w:p>
      <w:pPr>
        <w:ind w:left="440" w:right="60" w:hanging="432"/>
        <w:spacing w:after="0" w:line="263"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Unless otherwise noted, each option vests 25% on the first anniversary of the vesting commencement date, then vests in 36 equal monthly installments thereafter, such that the option is vested on the fourth anniversary of the vesting commencement date, subject to the holder continuing to provide services to the Company through such vesting date.</w:t>
      </w:r>
    </w:p>
    <w:p>
      <w:pPr>
        <w:spacing w:after="0" w:line="75" w:lineRule="exact"/>
        <w:rPr>
          <w:rFonts w:ascii="Arial" w:cs="Arial" w:eastAsia="Arial" w:hAnsi="Arial"/>
          <w:sz w:val="18"/>
          <w:szCs w:val="18"/>
          <w:color w:val="auto"/>
        </w:rPr>
      </w:pPr>
    </w:p>
    <w:p>
      <w:pPr>
        <w:ind w:left="440" w:right="380" w:hanging="432"/>
        <w:spacing w:after="0" w:line="277"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Vests 50% on June 30, 2020, then vests 50% on June 30, 2021, subject to the holder continuing to provide services to the Company through such vesting date.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have entered into employment agreements with each of our named executive officers and our other executive officers. Each employment agreement provides for “at will” employment, meaning that either we or the officer may terminate the employment relationship at any time without cause. The material terms of the employment agreements and separation agreements with our 2020 named executive officers are described below. The terms “change of control,” “cause” and “good reason” referred to below are defined in the applicable employment agreement or separation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Employment Agreement with Joseph H. Gardner</w:t>
      </w:r>
    </w:p>
    <w:p>
      <w:pPr>
        <w:spacing w:after="0" w:line="11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Dr. Gardner entered into an employment agreement with us in March 2017, as amended on October 8, 2017, and further amended on January 31, 2021. Pursuant to his employment agreement, Dr. Gardner receives an annual base salary, which is subject to annual review and adjustment, and he is eligible to earn an annual cash incentive bonus. For 2020, Dr. Gardner’s base salary was equal to $432,600, and his target incentive compensation equal to 50% of his base salary. Dr. Gardner is also eligible to participate in the employee benefit plans available to our employees, subject to the terms of those plans.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5" w:name="page116"/>
    <w:bookmarkEnd w:id="115"/>
    <w:p>
      <w:pPr>
        <w:ind w:right="300"/>
        <w:spacing w:after="0" w:line="291" w:lineRule="auto"/>
        <w:rPr>
          <w:sz w:val="20"/>
          <w:szCs w:val="20"/>
          <w:color w:val="auto"/>
        </w:rPr>
      </w:pPr>
      <w:r>
        <w:rPr>
          <w:rFonts w:ascii="Arial" w:cs="Arial" w:eastAsia="Arial" w:hAnsi="Arial"/>
          <w:sz w:val="16"/>
          <w:szCs w:val="16"/>
          <w:color w:val="auto"/>
        </w:rPr>
        <w:t>Dr. Gardner’s employment agreement provides that, in the event that his employment is terminated by us without cause or he resigns for “good reason”, and subject to the execution and effectiveness of a separation agreement, including a general release of claims in our favor, he will be entitled to receive</w:t>
      </w:r>
    </w:p>
    <w:p>
      <w:pPr>
        <w:ind w:firstLine="8"/>
        <w:spacing w:after="0" w:line="253" w:lineRule="auto"/>
        <w:tabs>
          <w:tab w:leader="none" w:pos="2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amount equal to twelve months of his base salary, (ii) if Dr. Gardner is participating in our group health plan immediately prior to his termination, a monthly cash payment until the earlier of twelve months following termination or the end of Dr. Gardner’s COBRA health continuation period in an amount equal to the amount that we would have made to provide health insurance to Dr. Gardner had he remained employed with us, and (iii) acceleration of all time-based equity awards held by Dr. Gardner in which Dr. Gardner would have vested if he had remained employed for an additional twelve months. All amounts payable to Dr. Gardner shall be paid in a lump sum.</w:t>
      </w:r>
    </w:p>
    <w:p>
      <w:pPr>
        <w:spacing w:after="0" w:line="8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lieu of the payments and benefits described in the preceding paragraph, in the event that Dr. Gardner’s employment is terminated by us without cause or Dr. Gardner resigns for good reason, in either case within 15 months following a “change in control”, subject to the execution and effectiveness of a separation agreement, including a general release of claims in our favor, he will be entitled to receive (i) a lump sum cash payment equal to one and a half (1.5) times the sum of both (x) Dr. Gardner’s then-current base salary (or his base salary in effect immediately prior to the change in control, if higher) and</w:t>
      </w:r>
    </w:p>
    <w:p>
      <w:pPr>
        <w:spacing w:after="0" w:line="1" w:lineRule="exact"/>
        <w:rPr>
          <w:sz w:val="20"/>
          <w:szCs w:val="20"/>
          <w:color w:val="auto"/>
        </w:rPr>
      </w:pPr>
    </w:p>
    <w:p>
      <w:pPr>
        <w:ind w:right="140" w:firstLine="8"/>
        <w:spacing w:after="0" w:line="253"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his target annual incentive compensation, (ii) if Dr. Gardner is participating in our group health plan immediately prior to his termination, a monthly cash payment until the earlier of eighteen (18) months following termination or the end of Dr. Gardner’s COBRA health continuation period in an amount equal to the amount that we would have made to provide health insurance to him had he remained employed with us and (iii) full acceleration of all time-based equity awards held by Dr. Gardner.</w:t>
      </w:r>
    </w:p>
    <w:p>
      <w:pPr>
        <w:spacing w:after="0" w:line="8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In addition, Dr. Gardner remains bound by certain restrictive covenants, including non-competition and non-solicitation provisions, which have been incorporated by reference into the employment agreement from his prior employment agreement. These restrictive covenants apply during the term of Dr. Gardner’s employment and for one year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Employment Agreement with Regina Marek</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Ms. Marek entered into an employment agreement with us in November 2019. Pursuant to her employment agreement, Ms. Marek receives an annual base salary, which is subject to annual review and adjustment, and she is eligible to earn an annual cash incentive bonus. For 2020, Ms. Marek’s base salary was equal to $278,100 and her target annual incentive compensation was equal to 35% of her base salary. Ms. Marek is also eligible to participate in the employee benefit plans available to our employees, subject to the terms of those plans.</w:t>
      </w:r>
    </w:p>
    <w:p>
      <w:pPr>
        <w:spacing w:after="0" w:line="79"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Ms. Marek’s employment agreement provides that, in the event that her employment is terminated by us without “cause” or Ms. Marek resigns for “good reason”, and subject to the execution and effectiveness of a separation agreement, including a general release of claims in our favor, she will be entitled to receive (i) an amount equal to twelve months of her base salary, (ii) if Ms. Marek is participating in our group health plan immediately prior to her termination, a monthly cash payment until the earlier of twelve months following termination or the end of Ms. Marek’s COBRA health continuation period in an amount equal to the amount that we would have made to provide health insurance to Ms. Marek had she remained employed with us, and</w:t>
      </w:r>
    </w:p>
    <w:p>
      <w:pPr>
        <w:spacing w:after="0" w:line="2" w:lineRule="exact"/>
        <w:rPr>
          <w:sz w:val="20"/>
          <w:szCs w:val="20"/>
          <w:color w:val="auto"/>
        </w:rPr>
      </w:pPr>
    </w:p>
    <w:p>
      <w:pPr>
        <w:jc w:val="both"/>
        <w:ind w:right="760" w:firstLine="8"/>
        <w:spacing w:after="0" w:line="255" w:lineRule="auto"/>
        <w:tabs>
          <w:tab w:leader="none" w:pos="3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acceleration of all time-based equity awards held by Ms. Marek in which Ms. Marek would have vested if she had remained employed for an additional twelve months. All amounts payable to Ms. Marek shall be made in substantially equal installments over twelve months following her termination.</w:t>
      </w:r>
    </w:p>
    <w:p>
      <w:pPr>
        <w:spacing w:after="0" w:line="8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lieu of the payments and benefits described in the preceding paragraph, in the event that Ms. Marek’s employment is terminated by us without cause or Ms. Marek resigns for good reason, in either case within 15 months following a “change in control”, subject to the execution and effectiveness of a separation agreement, including a general release of claims in our favor, she will be entitled to receive (i) a lump sum cash payment equal to one and a half (1.5) times the sum of both (x) Ms. Marek’s then-current base salary (or her base salary in effect immediately prior to the change in control, if higher) plus</w:t>
      </w:r>
    </w:p>
    <w:p>
      <w:pPr>
        <w:spacing w:after="0" w:line="1" w:lineRule="exact"/>
        <w:rPr>
          <w:sz w:val="20"/>
          <w:szCs w:val="20"/>
          <w:color w:val="auto"/>
        </w:rPr>
      </w:pPr>
    </w:p>
    <w:p>
      <w:pPr>
        <w:ind w:right="60" w:firstLine="8"/>
        <w:spacing w:after="0" w:line="295" w:lineRule="auto"/>
        <w:tabs>
          <w:tab w:leader="none" w:pos="2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Ms. Marek’s target annual incentive compensation (or her target annual incentive compensation in effect immediately prior to the change in control, if larger), (ii) if Ms. Marek is participating in our group health plan immediately prior to her termination, a monthly cash payment until the earlier of eighteen (18) months following termination or the end of Ms. Marek’s COBRA health continuation period in an amount equal to the amount that we would have made to provide health insurance to her had she remained employed with us and (iii) full acceleration of all time-based equity awards held by Ms. Marek.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6" w:name="page117"/>
    <w:bookmarkEnd w:id="116"/>
    <w:p>
      <w:pPr>
        <w:ind w:right="60"/>
        <w:spacing w:after="0" w:line="263" w:lineRule="auto"/>
        <w:rPr>
          <w:sz w:val="20"/>
          <w:szCs w:val="20"/>
          <w:color w:val="auto"/>
        </w:rPr>
      </w:pPr>
      <w:r>
        <w:rPr>
          <w:rFonts w:ascii="Arial" w:cs="Arial" w:eastAsia="Arial" w:hAnsi="Arial"/>
          <w:sz w:val="18"/>
          <w:szCs w:val="18"/>
          <w:color w:val="auto"/>
        </w:rPr>
        <w:t>In addition, Ms. Marek remains bound by certain restrictive covenants, including non-competition and non-solicitation provisions, which have been incorporated by reference into the new employment agreement from her prior employment agreement. These restrictive covenants apply during the term of Ms. Marek’s employment and for one year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Employment Agreement with Kevin G. Peters, M.D.</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Dr. Peters entered into an employment agreement with us in March 2017. Pursuant to his employment agreement, Dr. Peters receives an annual base salary, which is subject to annual review and adjustment, and he is eligible to earn an annual cash incentive bonus. For 2020, Dr. Peters’ base salary was equal to $370,800, and his target incentive compensation equal to 40% of his base salary. Dr. Peters is also eligible to participate in the employee benefit plans available to our employees, subject to the terms of those plans. Dr. Peters’ employment agreement also provided for certain severance arrangements that were superseded in the terms of his transition services agreement as described below.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Services Agreement with Kevin G. Peters, M.D.</w:t>
      </w:r>
    </w:p>
    <w:p>
      <w:pPr>
        <w:spacing w:after="0" w:line="11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February 9, 2021, Dr. Peters entered into a transition services agreement with the Company. The transition services agreement provides for Dr. Peters’ departure from his positions as Chief Scientific Officer and Chief Medical Officer of the Company, effective as of the Date of Termination (as defined in the transition services agreement). As a result, Dr. Peters will continue to provide transitional services to the Company until the earlier of March 31, 2021 or the last day of the ongoing trial conducted with MTEC designated RESCUE. Under this transition services agreement, Dr. Peters is entitled to receive a continuation of his current base salary, remain eligible to participate in the Company’s group employee benefit plans and continue to vest in his outstanding equity awards during this transition period. In connection with the ending of his employment, Dr. Peters will receive his current base salary through the Date of Termination, any unused vacation accrued through the Date of Termination, unpaid expense reimbursements, and any vested benefits under any employee benefit plan through the Date of Termination. Additionally, if Dr. Peters complies with the transition services agreement and satisfies the conditions set forth therein, then following the Date of Termination, Dr. Peters will be entitled to receive (i) monthly cash payments in an amount equal to 12 months of his current base salary, (ii) a monthly cash payment for medical and dental benefits in an amount equal to the amount that we would have made to provide health insurance to him had he remained employed with us for 12 months or for Dr. Peters’ COBRA health continuation period, whichever ends earlier, and (iii) acceleration of vesting on any time-based stock options in which Dr. Peters would have vested if he had remained employed for an additional 12 months. However, in the event that Dr. Peters complies with the transition services agreement and satisfies the conditions set forth therein, and a change in control (as defined in his transition services agreement) occurs prior to his Date of Termination or within three months following the Date of Termination, then in lieu of the severance payments and benefits described in the preceding sentence, Dr. Peters will be entitled to receive: (i) a lump sum in cash in an amount equal to 1.5 times the sum of both Dr. Peters’ current base salary (as defined in his transition services agreement) plus his target annual incentive bonus (as defined in his transition services agreement) for the year in which the termination occurs, (ii) a monthly cash payment for medical and dental benefits in an amount equal to the amount that we would have made to provide health insurance to him had he remained employed with us for 18 months or for Dr. Peters’ COBRA health continuation period, whichever ends earlier, and (iii) acceleration of vesting on any stock options subject to time-based vesting. This agreement also contains a general release of claims against the Company and a non-disparagement provision.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12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offer a 401(k) plan to eligible employees, including our named executive officers. In accordance with this plan, all eligible employees may contribute a percentage of compensation up to a maximum of the statutory limits per year. Company contributions are discretionary. We made no contributions during the year ended December 31, 2020. We intend for the 401(k) plan to qualify, depending on the employee’s election, under Section 401(a) of the Code, so that contributions by employees, and income earned on those contributions, are not taxable to employees until withdrawn from the 401(k) plan.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following table contains information about our equity compensation plans as of December 31, 2020. As of December 31, 2020, we had three equity compensation plans, each of which was approved by our stockholders: our 2011 Plan, our 2017 Plan and our Amended and Restated 2017 Employee Stock Purchase Plan.</w:t>
      </w:r>
    </w:p>
    <w:p>
      <w:pPr>
        <w:spacing w:after="0" w:line="292"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42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available</w:t>
            </w:r>
          </w:p>
        </w:tc>
        <w:tc>
          <w:tcPr>
            <w:tcW w:w="42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0"/>
              </w:rPr>
              <w:t>for future issuance</w:t>
            </w:r>
          </w:p>
        </w:tc>
        <w:tc>
          <w:tcPr>
            <w:tcW w:w="42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0"/>
              </w:rPr>
              <w:t>to be issued upon</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9"/>
              </w:rPr>
              <w:t>Weighted average</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3"/>
              </w:rPr>
              <w:t>under equity</w:t>
            </w:r>
          </w:p>
        </w:tc>
        <w:tc>
          <w:tcPr>
            <w:tcW w:w="42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86"/>
              </w:rPr>
              <w:t>exercise of</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7"/>
              </w:rPr>
              <w:t>exercise price of</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87"/>
              </w:rPr>
              <w:t>compensation plans</w:t>
            </w:r>
          </w:p>
        </w:tc>
        <w:tc>
          <w:tcPr>
            <w:tcW w:w="42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88"/>
              </w:rPr>
              <w:t>outstanding options,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9"/>
              </w:rPr>
              <w:t>outstanding options,</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89"/>
              </w:rPr>
              <w:t>(excluding securities</w:t>
            </w:r>
          </w:p>
        </w:tc>
        <w:tc>
          <w:tcPr>
            <w:tcW w:w="420" w:type="dxa"/>
            <w:vAlign w:val="bottom"/>
          </w:tcPr>
          <w:p>
            <w:pPr>
              <w:spacing w:after="0"/>
              <w:rPr>
                <w:sz w:val="17"/>
                <w:szCs w:val="17"/>
                <w:color w:val="auto"/>
              </w:rPr>
            </w:pPr>
          </w:p>
        </w:tc>
      </w:tr>
      <w:tr>
        <w:trPr>
          <w:trHeight w:val="213"/>
        </w:trPr>
        <w:tc>
          <w:tcPr>
            <w:tcW w:w="3660" w:type="dxa"/>
            <w:vAlign w:val="bottom"/>
            <w:gridSpan w:val="2"/>
          </w:tcPr>
          <w:p>
            <w:pPr>
              <w:ind w:left="1240"/>
              <w:spacing w:after="0"/>
              <w:rPr>
                <w:sz w:val="20"/>
                <w:szCs w:val="20"/>
                <w:color w:val="auto"/>
              </w:rPr>
            </w:pPr>
            <w:r>
              <w:rPr>
                <w:rFonts w:ascii="Arial" w:cs="Arial" w:eastAsia="Arial" w:hAnsi="Arial"/>
                <w:sz w:val="16"/>
                <w:szCs w:val="16"/>
                <w:b w:val="1"/>
                <w:bCs w:val="1"/>
                <w:color w:val="auto"/>
              </w:rPr>
              <w:t>Plan Category</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2"/>
              </w:rPr>
              <w:t>warrants and rights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warrants and rights</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1"/>
              </w:rPr>
              <w:t>reflected in column (1))</w:t>
            </w:r>
          </w:p>
        </w:tc>
        <w:tc>
          <w:tcPr>
            <w:tcW w:w="420" w:type="dxa"/>
            <w:vAlign w:val="bottom"/>
          </w:tcPr>
          <w:p>
            <w:pPr>
              <w:spacing w:after="0"/>
              <w:rPr>
                <w:sz w:val="18"/>
                <w:szCs w:val="18"/>
                <w:color w:val="auto"/>
              </w:rPr>
            </w:pPr>
          </w:p>
        </w:tc>
      </w:tr>
      <w:tr>
        <w:trPr>
          <w:trHeight w:val="207"/>
        </w:trPr>
        <w:tc>
          <w:tcPr>
            <w:tcW w:w="3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(1)</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r>
      <w:tr>
        <w:trPr>
          <w:trHeight w:val="221"/>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approved</w:t>
            </w:r>
          </w:p>
        </w:tc>
        <w:tc>
          <w:tcPr>
            <w:tcW w:w="2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r>
      <w:tr>
        <w:trPr>
          <w:trHeight w:val="230"/>
        </w:trPr>
        <w:tc>
          <w:tcPr>
            <w:tcW w:w="3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by security holders (1)</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4,642,240</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FF0FC"/>
          </w:tcPr>
          <w:p>
            <w:pPr>
              <w:spacing w:after="0"/>
              <w:rPr>
                <w:sz w:val="20"/>
                <w:szCs w:val="20"/>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3,634,905</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3660" w:type="dxa"/>
            <w:vAlign w:val="bottom"/>
            <w:gridSpan w:val="2"/>
          </w:tcPr>
          <w:p>
            <w:pPr>
              <w:spacing w:after="0"/>
              <w:rPr>
                <w:sz w:val="20"/>
                <w:szCs w:val="20"/>
                <w:color w:val="auto"/>
              </w:rPr>
            </w:pPr>
            <w:r>
              <w:rPr>
                <w:rFonts w:ascii="Arial" w:cs="Arial" w:eastAsia="Arial" w:hAnsi="Arial"/>
                <w:sz w:val="18"/>
                <w:szCs w:val="18"/>
                <w:color w:val="auto"/>
              </w:rPr>
              <w:t>Warrants (3)</w:t>
            </w:r>
          </w:p>
        </w:tc>
        <w:tc>
          <w:tcPr>
            <w:tcW w:w="2020" w:type="dxa"/>
            <w:vAlign w:val="bottom"/>
          </w:tcPr>
          <w:p>
            <w:pPr>
              <w:jc w:val="right"/>
              <w:spacing w:after="0"/>
              <w:rPr>
                <w:sz w:val="20"/>
                <w:szCs w:val="20"/>
                <w:color w:val="auto"/>
              </w:rPr>
            </w:pPr>
            <w:r>
              <w:rPr>
                <w:rFonts w:ascii="Arial" w:cs="Arial" w:eastAsia="Arial" w:hAnsi="Arial"/>
                <w:sz w:val="18"/>
                <w:szCs w:val="18"/>
                <w:color w:val="auto"/>
              </w:rPr>
              <w:t>600,000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5,242,240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3,634,905</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pacing w:after="0" w:line="326" w:lineRule="exact"/>
        <w:rPr>
          <w:sz w:val="20"/>
          <w:szCs w:val="20"/>
          <w:color w:val="auto"/>
        </w:rPr>
      </w:pPr>
    </w:p>
    <w:p>
      <w:pPr>
        <w:ind w:left="440" w:right="520" w:hanging="432"/>
        <w:spacing w:after="0" w:line="277" w:lineRule="auto"/>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the following plans: our 2011 Equity Incentive Plan, our 2017 Stock Option and Incentive Plan and our Amended and Restated 2017 Employee Stock Purchase Plan.</w:t>
      </w:r>
    </w:p>
    <w:p>
      <w:pPr>
        <w:spacing w:after="0" w:line="62" w:lineRule="exact"/>
        <w:rPr>
          <w:rFonts w:ascii="Arial" w:cs="Arial" w:eastAsia="Arial" w:hAnsi="Arial"/>
          <w:sz w:val="18"/>
          <w:szCs w:val="18"/>
          <w:color w:val="auto"/>
        </w:rPr>
      </w:pPr>
    </w:p>
    <w:p>
      <w:pPr>
        <w:ind w:left="440" w:right="160" w:hanging="432"/>
        <w:spacing w:after="0" w:line="311" w:lineRule="auto"/>
        <w:tabs>
          <w:tab w:leader="none" w:pos="4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Excludes (i) 1,890,052 additional shares of common stock that may be issued pursuant to our 2017 Stock Option and Incentive Plan pursuant to an automatic annual increase effective on January 1, 2021 and (ii) 350,000 additional shares of common stock that may be issued pursuant to our Amended and Restated 2017 Employee Stock Purchase Plan pursuant to an annual increase effective on January 1, 2021.</w:t>
      </w:r>
    </w:p>
    <w:p>
      <w:pPr>
        <w:spacing w:after="0" w:line="148" w:lineRule="exact"/>
        <w:rPr>
          <w:rFonts w:ascii="Arial" w:cs="Arial" w:eastAsia="Arial" w:hAnsi="Arial"/>
          <w:sz w:val="16"/>
          <w:szCs w:val="16"/>
          <w:color w:val="auto"/>
        </w:rPr>
      </w:pPr>
    </w:p>
    <w:p>
      <w:pPr>
        <w:ind w:left="440" w:hanging="432"/>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Warrants issued outside of our equity compensation plans. These warrants have an exercise price of $0.486 and are fully vested.</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relating to the beneficial ownership of our common stock at March 8, 2021 by:</w:t>
      </w:r>
    </w:p>
    <w:p>
      <w:pPr>
        <w:spacing w:after="0" w:line="23" w:lineRule="exact"/>
        <w:rPr>
          <w:sz w:val="20"/>
          <w:szCs w:val="20"/>
          <w:color w:val="auto"/>
        </w:rPr>
      </w:pPr>
    </w:p>
    <w:p>
      <w:pPr>
        <w:ind w:left="1020" w:hanging="432"/>
        <w:spacing w:after="0"/>
        <w:tabs>
          <w:tab w:leader="none" w:pos="10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beneficially own more than 5% of the outstanding shares of our common stock;</w:t>
      </w:r>
    </w:p>
    <w:p>
      <w:pPr>
        <w:spacing w:after="0" w:line="32" w:lineRule="exact"/>
        <w:rPr>
          <w:rFonts w:ascii="Arial" w:cs="Arial" w:eastAsia="Arial" w:hAnsi="Arial"/>
          <w:sz w:val="16"/>
          <w:szCs w:val="16"/>
          <w:color w:val="auto"/>
        </w:rPr>
      </w:pPr>
    </w:p>
    <w:p>
      <w:pPr>
        <w:ind w:left="1020" w:hanging="432"/>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 w:lineRule="exact"/>
        <w:rPr>
          <w:rFonts w:ascii="Arial" w:cs="Arial" w:eastAsia="Arial" w:hAnsi="Arial"/>
          <w:sz w:val="18"/>
          <w:szCs w:val="18"/>
          <w:color w:val="auto"/>
        </w:rPr>
      </w:pPr>
    </w:p>
    <w:p>
      <w:pPr>
        <w:ind w:left="1020" w:hanging="432"/>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 w:lineRule="exact"/>
        <w:rPr>
          <w:rFonts w:ascii="Arial" w:cs="Arial" w:eastAsia="Arial" w:hAnsi="Arial"/>
          <w:sz w:val="18"/>
          <w:szCs w:val="18"/>
          <w:color w:val="auto"/>
        </w:rPr>
      </w:pPr>
    </w:p>
    <w:p>
      <w:pPr>
        <w:ind w:left="1020" w:hanging="432"/>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10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March 8, 2021 through the exercise of any stock option, warrants or other rights. Except as otherwise indicated, and subject to applicable community property laws, the persons named in the table have sole voting and investment power with respect to all shares of common stock held by such person.</w:t>
      </w:r>
    </w:p>
    <w:p>
      <w:pPr>
        <w:spacing w:after="0" w:line="53"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The percentage of shares beneficially owned is computed on the basis of 47,251,319 shares of common stock outstanding as of March 8, 2021. Shares of common stock that a person has the right to acquire within 60 days of March 8, 2021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in the table is c/o Aerpio Pharmaceuticals, Inc., 9987 Carver Road, Suite 420, Cincinnati, Ohio 45242.</w:t>
      </w:r>
    </w:p>
    <w:p>
      <w:pPr>
        <w:spacing w:after="0" w:line="4" w:lineRule="exact"/>
        <w:rPr>
          <w:sz w:val="20"/>
          <w:szCs w:val="20"/>
          <w:color w:val="auto"/>
        </w:rPr>
      </w:pPr>
    </w:p>
    <w:tbl>
      <w:tblPr>
        <w:tblLayout w:type="fixed"/>
        <w:tblInd w:w="140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780" w:type="dxa"/>
            <w:vAlign w:val="bottom"/>
            <w:gridSpan w:val="4"/>
          </w:tcPr>
          <w:p>
            <w:pPr>
              <w:ind w:left="360"/>
              <w:spacing w:after="0"/>
              <w:rPr>
                <w:sz w:val="20"/>
                <w:szCs w:val="20"/>
                <w:color w:val="auto"/>
              </w:rPr>
            </w:pPr>
            <w:r>
              <w:rPr>
                <w:rFonts w:ascii="Arial" w:cs="Arial" w:eastAsia="Arial" w:hAnsi="Arial"/>
                <w:sz w:val="16"/>
                <w:szCs w:val="16"/>
                <w:b w:val="1"/>
                <w:bCs w:val="1"/>
                <w:color w:val="auto"/>
              </w:rPr>
              <w:t>Shares Beneficially Owned</w:t>
            </w: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540" w:type="dxa"/>
            <w:vAlign w:val="bottom"/>
            <w:tcBorders>
              <w:top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Number</w:t>
            </w: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Percentage</w:t>
            </w:r>
          </w:p>
        </w:tc>
        <w:tc>
          <w:tcPr>
            <w:tcW w:w="18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5% Stockholders:</w:t>
            </w:r>
          </w:p>
        </w:tc>
        <w:tc>
          <w:tcPr>
            <w:tcW w:w="1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Satter Entities (1)</w:t>
            </w:r>
          </w:p>
        </w:tc>
        <w:tc>
          <w:tcPr>
            <w:tcW w:w="1300" w:type="dxa"/>
            <w:vAlign w:val="bottom"/>
          </w:tcPr>
          <w:p>
            <w:pPr>
              <w:jc w:val="right"/>
              <w:spacing w:after="0"/>
              <w:rPr>
                <w:sz w:val="20"/>
                <w:szCs w:val="20"/>
                <w:color w:val="auto"/>
              </w:rPr>
            </w:pPr>
            <w:r>
              <w:rPr>
                <w:rFonts w:ascii="Arial" w:cs="Arial" w:eastAsia="Arial" w:hAnsi="Arial"/>
                <w:sz w:val="18"/>
                <w:szCs w:val="18"/>
                <w:color w:val="auto"/>
              </w:rPr>
              <w:t>5,621,835</w:t>
            </w:r>
          </w:p>
        </w:tc>
        <w:tc>
          <w:tcPr>
            <w:tcW w:w="2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r>
      <w:tr>
        <w:trPr>
          <w:trHeight w:val="215"/>
        </w:trPr>
        <w:tc>
          <w:tcPr>
            <w:tcW w:w="20" w:type="dxa"/>
            <w:vAlign w:val="bottom"/>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Entities affiliated with OrbiMed Private</w:t>
            </w: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Investments V, LP(2)</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5,193,946</w:t>
            </w:r>
          </w:p>
        </w:tc>
        <w:tc>
          <w:tcPr>
            <w:tcW w:w="2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w:t>
            </w:r>
          </w:p>
        </w:tc>
      </w:tr>
      <w:tr>
        <w:trPr>
          <w:trHeight w:val="229"/>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The Vanguard Group, Inc. (3)</w:t>
            </w:r>
          </w:p>
        </w:tc>
        <w:tc>
          <w:tcPr>
            <w:tcW w:w="1300" w:type="dxa"/>
            <w:vAlign w:val="bottom"/>
          </w:tcPr>
          <w:p>
            <w:pPr>
              <w:jc w:val="right"/>
              <w:spacing w:after="0"/>
              <w:rPr>
                <w:sz w:val="20"/>
                <w:szCs w:val="20"/>
                <w:color w:val="auto"/>
              </w:rPr>
            </w:pPr>
            <w:r>
              <w:rPr>
                <w:rFonts w:ascii="Arial" w:cs="Arial" w:eastAsia="Arial" w:hAnsi="Arial"/>
                <w:sz w:val="18"/>
                <w:szCs w:val="18"/>
                <w:color w:val="auto"/>
              </w:rPr>
              <w:t>2,711,579</w:t>
            </w:r>
          </w:p>
        </w:tc>
        <w:tc>
          <w:tcPr>
            <w:tcW w:w="2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29"/>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Steven Prelack(4)</w:t>
            </w:r>
          </w:p>
        </w:tc>
        <w:tc>
          <w:tcPr>
            <w:tcW w:w="1300" w:type="dxa"/>
            <w:vAlign w:val="bottom"/>
          </w:tcPr>
          <w:p>
            <w:pPr>
              <w:jc w:val="right"/>
              <w:spacing w:after="0"/>
              <w:rPr>
                <w:sz w:val="20"/>
                <w:szCs w:val="20"/>
                <w:color w:val="auto"/>
              </w:rPr>
            </w:pPr>
            <w:r>
              <w:rPr>
                <w:rFonts w:ascii="Arial" w:cs="Arial" w:eastAsia="Arial" w:hAnsi="Arial"/>
                <w:sz w:val="18"/>
                <w:szCs w:val="18"/>
                <w:color w:val="auto"/>
              </w:rPr>
              <w:t>42,800</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Caley Castelein(5)</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327,171</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Cheryl Cohen (6)</w:t>
            </w:r>
          </w:p>
        </w:tc>
        <w:tc>
          <w:tcPr>
            <w:tcW w:w="1300" w:type="dxa"/>
            <w:vAlign w:val="bottom"/>
          </w:tcPr>
          <w:p>
            <w:pPr>
              <w:jc w:val="right"/>
              <w:spacing w:after="0"/>
              <w:rPr>
                <w:sz w:val="20"/>
                <w:szCs w:val="20"/>
                <w:color w:val="auto"/>
              </w:rPr>
            </w:pPr>
            <w:r>
              <w:rPr>
                <w:rFonts w:ascii="Arial" w:cs="Arial" w:eastAsia="Arial" w:hAnsi="Arial"/>
                <w:sz w:val="18"/>
                <w:szCs w:val="18"/>
                <w:color w:val="auto"/>
              </w:rPr>
              <w:t>54,540</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Anupam Dalal(7)</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49,533</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Pravin Dugel(8)</w:t>
            </w:r>
          </w:p>
        </w:tc>
        <w:tc>
          <w:tcPr>
            <w:tcW w:w="1300" w:type="dxa"/>
            <w:vAlign w:val="bottom"/>
          </w:tcPr>
          <w:p>
            <w:pPr>
              <w:jc w:val="right"/>
              <w:spacing w:after="0"/>
              <w:rPr>
                <w:sz w:val="20"/>
                <w:szCs w:val="20"/>
                <w:color w:val="auto"/>
              </w:rPr>
            </w:pPr>
            <w:r>
              <w:rPr>
                <w:rFonts w:ascii="Arial" w:cs="Arial" w:eastAsia="Arial" w:hAnsi="Arial"/>
                <w:sz w:val="18"/>
                <w:szCs w:val="18"/>
                <w:color w:val="auto"/>
              </w:rPr>
              <w:t>66,506</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Joseph Gardner(9)</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1,390,028</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r>
      <w:tr>
        <w:trPr>
          <w:trHeight w:val="230"/>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Kevin Peters(10)</w:t>
            </w:r>
          </w:p>
        </w:tc>
        <w:tc>
          <w:tcPr>
            <w:tcW w:w="1300" w:type="dxa"/>
            <w:vAlign w:val="bottom"/>
          </w:tcPr>
          <w:p>
            <w:pPr>
              <w:jc w:val="right"/>
              <w:spacing w:after="0"/>
              <w:rPr>
                <w:sz w:val="20"/>
                <w:szCs w:val="20"/>
                <w:color w:val="auto"/>
              </w:rPr>
            </w:pPr>
            <w:r>
              <w:rPr>
                <w:rFonts w:ascii="Arial" w:cs="Arial" w:eastAsia="Arial" w:hAnsi="Arial"/>
                <w:sz w:val="18"/>
                <w:szCs w:val="18"/>
                <w:color w:val="auto"/>
              </w:rPr>
              <w:t>669,671</w:t>
            </w:r>
          </w:p>
        </w:tc>
        <w:tc>
          <w:tcPr>
            <w:tcW w:w="2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Regina Marek(11)</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209,331</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120"/>
              <w:spacing w:after="0"/>
              <w:rPr>
                <w:sz w:val="20"/>
                <w:szCs w:val="20"/>
                <w:color w:val="auto"/>
              </w:rPr>
            </w:pPr>
            <w:r>
              <w:rPr>
                <w:rFonts w:ascii="Arial" w:cs="Arial" w:eastAsia="Arial" w:hAnsi="Arial"/>
                <w:sz w:val="18"/>
                <w:szCs w:val="18"/>
                <w:color w:val="auto"/>
              </w:rPr>
              <w:t>(8 persons) (12)</w:t>
            </w:r>
          </w:p>
        </w:tc>
        <w:tc>
          <w:tcPr>
            <w:tcW w:w="1300" w:type="dxa"/>
            <w:vAlign w:val="bottom"/>
          </w:tcPr>
          <w:p>
            <w:pPr>
              <w:jc w:val="right"/>
              <w:spacing w:after="0"/>
              <w:rPr>
                <w:sz w:val="20"/>
                <w:szCs w:val="20"/>
                <w:color w:val="auto"/>
              </w:rPr>
            </w:pPr>
            <w:r>
              <w:rPr>
                <w:rFonts w:ascii="Arial" w:cs="Arial" w:eastAsia="Arial" w:hAnsi="Arial"/>
                <w:sz w:val="18"/>
                <w:szCs w:val="18"/>
                <w:color w:val="auto"/>
              </w:rPr>
              <w:t>2,809,580</w:t>
            </w:r>
          </w:p>
        </w:tc>
        <w:tc>
          <w:tcPr>
            <w:tcW w:w="2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Indicates beneficial ownership of less than 1% of the total outstanding common stock.</w:t>
      </w:r>
    </w:p>
    <w:p>
      <w:pPr>
        <w:spacing w:after="0" w:line="117" w:lineRule="exact"/>
        <w:rPr>
          <w:sz w:val="20"/>
          <w:szCs w:val="20"/>
          <w:color w:val="auto"/>
        </w:rPr>
      </w:pPr>
    </w:p>
    <w:p>
      <w:pPr>
        <w:ind w:left="440" w:right="180" w:hanging="432"/>
        <w:spacing w:after="0" w:line="263" w:lineRule="auto"/>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solely on a Schedule 13D/A filed with the SEC on November 23, 2020, consists of 5,621,835 shares of common stock that are held by Satter Management Co., L.P., for which Muneer A. Satter has sole voting and dispositive power over all such shares. The address of Satter Management Co., L.P. is 676 North Michigan Avenue, Suite 4000, Chicago, Illinois 60611.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9" w:name="page120"/>
    <w:bookmarkEnd w:id="119"/>
    <w:p>
      <w:pPr>
        <w:ind w:left="432" w:hanging="432"/>
        <w:spacing w:after="0" w:line="272" w:lineRule="auto"/>
        <w:tabs>
          <w:tab w:leader="none" w:pos="432"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solely on a Schedule 13D/A filed with the SEC on November 12, 2020, consists of 5,193,946 shares of common stock owned directly by OrbiMed Private Investments V, LP, or OPI V. OrbiMed Capital GP V LLC, or GP V, is the general partner of OPI V. OrbiMed Advisors LLC, or OrbiMed, pursuant to its authority as the managing member of GP V, may be deemed to indirectly beneficially own the Shares held by OPI V. By virtue of such relationships, GP V and OrbiMed may be deemed to have voting and investment power over the shares held by OPI V and as a result may be deemed to have beneficial ownership of such shares. Each of GP V and OrbiMed disclaims beneficial ownership of the shares held by OPI V, except to the extent of its pecuniary interest therein, if any. The address of OrbiMed Investments and OrbiMed Associates is c/o OrbiMed Advisors LLC, 601 Lexington Avenue, 54th Floor, New York, New York 10022.</w:t>
      </w:r>
    </w:p>
    <w:p>
      <w:pPr>
        <w:spacing w:after="0" w:line="69" w:lineRule="exact"/>
        <w:rPr>
          <w:rFonts w:ascii="Arial" w:cs="Arial" w:eastAsia="Arial" w:hAnsi="Arial"/>
          <w:sz w:val="17"/>
          <w:szCs w:val="17"/>
          <w:color w:val="auto"/>
        </w:rPr>
      </w:pPr>
    </w:p>
    <w:p>
      <w:pPr>
        <w:ind w:left="432" w:right="120" w:hanging="432"/>
        <w:spacing w:after="0" w:line="301" w:lineRule="auto"/>
        <w:tabs>
          <w:tab w:leader="none" w:pos="432"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solely on a Schedule 13G filed with the SEC on February 10, 2021, consists of 2,711,579 shares of common stock that are held by The Vanguard Group, Inc. and its subsidiaries listed on Appendix A of Schedule 13G (collectively, “Vanguard”). According to Schedule 13G, Vanguard had the sole power to dispose of 2,698,373 shares of common stock; the shared power to vote 2,964 shares of common stock; and the shared power to dispose of 13,206 shares of common stock. The address of Vanguard is 100 Vanguard Boulevard, Malvern, Pennsylvania 19355.</w:t>
      </w:r>
    </w:p>
    <w:p>
      <w:pPr>
        <w:spacing w:after="0" w:line="49" w:lineRule="exact"/>
        <w:rPr>
          <w:rFonts w:ascii="Arial" w:cs="Arial" w:eastAsia="Arial" w:hAnsi="Arial"/>
          <w:sz w:val="16"/>
          <w:szCs w:val="16"/>
          <w:color w:val="auto"/>
        </w:rPr>
      </w:pPr>
    </w:p>
    <w:p>
      <w:pPr>
        <w:ind w:left="432" w:hanging="432"/>
        <w:spacing w:after="0"/>
        <w:tabs>
          <w:tab w:leader="none" w:pos="432"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Consists of 42,800 shares of common stock issuable directly to Steven Prelack upon the conversion of options within 60 days of March 8, 2021.</w:t>
      </w:r>
    </w:p>
    <w:p>
      <w:pPr>
        <w:spacing w:after="0" w:line="140" w:lineRule="exact"/>
        <w:rPr>
          <w:rFonts w:ascii="Arial" w:cs="Arial" w:eastAsia="Arial" w:hAnsi="Arial"/>
          <w:sz w:val="16"/>
          <w:szCs w:val="16"/>
          <w:color w:val="auto"/>
        </w:rPr>
      </w:pPr>
    </w:p>
    <w:p>
      <w:pPr>
        <w:ind w:left="432" w:right="780" w:hanging="432"/>
        <w:spacing w:after="0" w:line="277" w:lineRule="auto"/>
        <w:tabs>
          <w:tab w:leader="none" w:pos="432"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Consists of (i) 279,907 shares of common stock held directly by Caley Castelein and (ii) 47,264 shares of common stock issuable upon the conversion of options within 60 days of March 8, 2021.</w:t>
      </w:r>
    </w:p>
    <w:p>
      <w:pPr>
        <w:spacing w:after="0" w:line="62" w:lineRule="exact"/>
        <w:rPr>
          <w:rFonts w:ascii="Arial" w:cs="Arial" w:eastAsia="Arial" w:hAnsi="Arial"/>
          <w:sz w:val="18"/>
          <w:szCs w:val="18"/>
          <w:color w:val="auto"/>
        </w:rPr>
      </w:pPr>
    </w:p>
    <w:p>
      <w:pPr>
        <w:ind w:left="432" w:hanging="432"/>
        <w:spacing w:after="0"/>
        <w:tabs>
          <w:tab w:leader="none" w:pos="432"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Consists of 54,540 shares of common stock issuable directly to Cheryl Cohen upon the conversion of options within 60 days of March 8, 2021.</w:t>
      </w:r>
    </w:p>
    <w:p>
      <w:pPr>
        <w:spacing w:after="0" w:line="128" w:lineRule="exact"/>
        <w:rPr>
          <w:rFonts w:ascii="Arial" w:cs="Arial" w:eastAsia="Arial" w:hAnsi="Arial"/>
          <w:sz w:val="17"/>
          <w:szCs w:val="17"/>
          <w:color w:val="auto"/>
        </w:rPr>
      </w:pPr>
    </w:p>
    <w:p>
      <w:pPr>
        <w:ind w:left="432" w:hanging="432"/>
        <w:spacing w:after="0" w:line="277" w:lineRule="auto"/>
        <w:tabs>
          <w:tab w:leader="none" w:pos="432"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Consists of (i) 2,269 shares of common stock held directly by Anupam Dalal and (ii) 47,264 shares of common stock issuable upon the conversion of options within 60 days of March 8, 2021.</w:t>
      </w:r>
    </w:p>
    <w:p>
      <w:pPr>
        <w:spacing w:after="0" w:line="62" w:lineRule="exact"/>
        <w:rPr>
          <w:rFonts w:ascii="Arial" w:cs="Arial" w:eastAsia="Arial" w:hAnsi="Arial"/>
          <w:sz w:val="18"/>
          <w:szCs w:val="18"/>
          <w:color w:val="auto"/>
        </w:rPr>
      </w:pPr>
    </w:p>
    <w:p>
      <w:pPr>
        <w:ind w:left="432" w:hanging="432"/>
        <w:spacing w:after="0"/>
        <w:tabs>
          <w:tab w:leader="none" w:pos="432"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Consists of 66,506 shares of common stock issuable directly to Pravin Dugel upon the conversion of options within 60 days of March 8, 2021.</w:t>
      </w:r>
    </w:p>
    <w:p>
      <w:pPr>
        <w:spacing w:after="0" w:line="128" w:lineRule="exact"/>
        <w:rPr>
          <w:rFonts w:ascii="Arial" w:cs="Arial" w:eastAsia="Arial" w:hAnsi="Arial"/>
          <w:sz w:val="17"/>
          <w:szCs w:val="17"/>
          <w:color w:val="auto"/>
        </w:rPr>
      </w:pPr>
    </w:p>
    <w:p>
      <w:pPr>
        <w:ind w:left="432" w:right="20" w:hanging="432"/>
        <w:spacing w:after="0" w:line="342" w:lineRule="auto"/>
        <w:tabs>
          <w:tab w:leader="none" w:pos="432"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Consists of (i) 453,019 shares of common stock held directly by Joseph Gardner, (ii) 150,000 shares of common stock held in a family trust for the benefit of Dr. Gardner’s children and (iii) 787,009 shares of common stock issuable upon the conversion of options within 60 days of March 8, 2021.</w:t>
      </w:r>
    </w:p>
    <w:p>
      <w:pPr>
        <w:spacing w:after="0" w:line="15" w:lineRule="exact"/>
        <w:rPr>
          <w:rFonts w:ascii="Arial" w:cs="Arial" w:eastAsia="Arial" w:hAnsi="Arial"/>
          <w:sz w:val="16"/>
          <w:szCs w:val="16"/>
          <w:color w:val="auto"/>
        </w:rPr>
      </w:pPr>
    </w:p>
    <w:p>
      <w:pPr>
        <w:ind w:left="432" w:right="60" w:hanging="432"/>
        <w:spacing w:after="0" w:line="277" w:lineRule="auto"/>
        <w:tabs>
          <w:tab w:leader="none" w:pos="432"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Consists of (i) 320,536 shares of common stock held directly by Kevin Peters and (ii) 349,135 shares of common stock issuable upon the conversion of options within 60 days of March 8, 2021.</w:t>
      </w:r>
    </w:p>
    <w:p>
      <w:pPr>
        <w:spacing w:after="0" w:line="62" w:lineRule="exact"/>
        <w:rPr>
          <w:rFonts w:ascii="Arial" w:cs="Arial" w:eastAsia="Arial" w:hAnsi="Arial"/>
          <w:sz w:val="18"/>
          <w:szCs w:val="18"/>
          <w:color w:val="auto"/>
        </w:rPr>
      </w:pPr>
    </w:p>
    <w:p>
      <w:pPr>
        <w:ind w:left="432" w:right="60" w:hanging="432"/>
        <w:spacing w:after="0" w:line="277" w:lineRule="auto"/>
        <w:tabs>
          <w:tab w:leader="none" w:pos="432"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Consists of (i) 11,625 shares of common stock held directly by Regina Marek and (ii) 197,706 shares of common stock issuable upon the conversion of options within 60 days of March 8, 2021.</w:t>
      </w:r>
    </w:p>
    <w:p>
      <w:pPr>
        <w:spacing w:after="0" w:line="62" w:lineRule="exact"/>
        <w:rPr>
          <w:rFonts w:ascii="Arial" w:cs="Arial" w:eastAsia="Arial" w:hAnsi="Arial"/>
          <w:sz w:val="18"/>
          <w:szCs w:val="18"/>
          <w:color w:val="auto"/>
        </w:rPr>
      </w:pPr>
    </w:p>
    <w:p>
      <w:pPr>
        <w:ind w:left="432" w:right="60" w:hanging="415"/>
        <w:spacing w:after="0" w:line="277" w:lineRule="auto"/>
        <w:tabs>
          <w:tab w:leader="none" w:pos="361"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Includes an aggregate of 1,592,224 shares issuable upon exercise of stock options within 60 days of March 8, 2021 held by our executive officers and directors as a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92"/>
          </w:cols>
          <w:pgMar w:left="328" w:top="449" w:right="3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March 15, 2017, we adopted a compensation policy for our non-employee directors, or the Director Compensation Program that was designed to enable us to attract and retain, on a long-term basis, highly qualified non-employee directors. Pursuant to the Director Compensation Program, our non-employee directors will receive cash compensation, paid quarterly, as follows:</w:t>
      </w:r>
    </w:p>
    <w:p>
      <w:pPr>
        <w:spacing w:after="0" w:line="76" w:lineRule="exact"/>
        <w:rPr>
          <w:sz w:val="20"/>
          <w:szCs w:val="20"/>
          <w:color w:val="auto"/>
        </w:rPr>
      </w:pPr>
    </w:p>
    <w:p>
      <w:pPr>
        <w:ind w:left="1020" w:hanging="432"/>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non-employee director will receive an annual cash retainer in the amount of $35,000 per year.</w:t>
      </w:r>
    </w:p>
    <w:p>
      <w:pPr>
        <w:spacing w:after="0" w:line="23" w:lineRule="exact"/>
        <w:rPr>
          <w:rFonts w:ascii="Arial" w:cs="Arial" w:eastAsia="Arial" w:hAnsi="Arial"/>
          <w:sz w:val="18"/>
          <w:szCs w:val="18"/>
          <w:color w:val="auto"/>
        </w:rPr>
      </w:pPr>
    </w:p>
    <w:p>
      <w:pPr>
        <w:ind w:left="1020" w:hanging="432"/>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non-employee Chairman will receive an additional annual cash retainer in the amount of $25,000 per year.</w:t>
      </w:r>
    </w:p>
    <w:p>
      <w:pPr>
        <w:spacing w:after="0" w:line="9" w:lineRule="exact"/>
        <w:rPr>
          <w:rFonts w:ascii="Arial" w:cs="Arial" w:eastAsia="Arial" w:hAnsi="Arial"/>
          <w:sz w:val="18"/>
          <w:szCs w:val="18"/>
          <w:color w:val="auto"/>
        </w:rPr>
      </w:pPr>
    </w:p>
    <w:p>
      <w:pPr>
        <w:ind w:left="1020" w:right="460" w:hanging="432"/>
        <w:spacing w:after="0" w:line="265" w:lineRule="auto"/>
        <w:tabs>
          <w:tab w:leader="none" w:pos="10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chairperson of the audit committee will receive additional annual cash compensation in the amount of $15,000 per year for such chairperson’s service on the audit committee. Each non-chairperson member of the audit committee will receive additional annual cash compensation in the amount of $7,500 per year for such member’s service on the audit committee.</w:t>
      </w:r>
    </w:p>
    <w:p>
      <w:pPr>
        <w:ind w:left="1020" w:hanging="432"/>
        <w:spacing w:after="0" w:line="281" w:lineRule="auto"/>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chairperson of the compensation committee will receive additional annual cash compensation in the amount of $10,000 per year for such chairperson’s service on the compensation committee. Each non-chairperson member of the compensation committee will receive additional annual cash compensation in the amount of $5,000 per year for such member’s service on the compensation committee.</w:t>
      </w:r>
    </w:p>
    <w:p>
      <w:pPr>
        <w:spacing w:after="0" w:line="1" w:lineRule="exact"/>
        <w:rPr>
          <w:rFonts w:ascii="Arial" w:cs="Arial" w:eastAsia="Arial" w:hAnsi="Arial"/>
          <w:sz w:val="16"/>
          <w:szCs w:val="16"/>
          <w:color w:val="auto"/>
        </w:rPr>
      </w:pPr>
    </w:p>
    <w:p>
      <w:pPr>
        <w:ind w:left="1020" w:right="40" w:hanging="432"/>
        <w:spacing w:after="0" w:line="273" w:lineRule="auto"/>
        <w:tabs>
          <w:tab w:leader="none" w:pos="10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chairperson of the nominating and corporate governance committee will receive additional annual cash compensation in the amount of $7,000 per year for such chairperson’s service on the nominating and corporate governance committee. Each non-chairperson member of the nominating and corporate governance committee will receive additional annual cash compensation in the amount of $3,500 per year for such member’s service on the nominating and corporate governance committee.</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Under the Director Compensation Program, upon the director’s initial appointment or election to our Board, each non-employee director will receive an option (the Initial Grant) to purchase shares of our common stock with an aggregate grant date fair value (as defined below) equal to $181,400. In addition, each non-employee director who has been serving as a director for the prior three months and will continue to serve as a director immediately following each annual stockholder meeting, will receive, on the date of such annual stockholder meeting, an option (the Annual Grant) to purchase shares of our common stock with an aggregate grant date fair value equal to $90,700. For purposes of the Initial Grant and the Annual Grant, “grant date fair value” will mean the fair value of an award as of the date of grant as determined in accordance with ASC Topic 718, “</w:t>
      </w:r>
      <w:r>
        <w:rPr>
          <w:rFonts w:ascii="Arial" w:cs="Arial" w:eastAsia="Arial" w:hAnsi="Arial"/>
          <w:sz w:val="16"/>
          <w:szCs w:val="16"/>
          <w:i w:val="1"/>
          <w:iCs w:val="1"/>
          <w:color w:val="auto"/>
        </w:rPr>
        <w:t>Share-Based Payment</w:t>
      </w:r>
      <w:r>
        <w:rPr>
          <w:rFonts w:ascii="Arial" w:cs="Arial" w:eastAsia="Arial" w:hAnsi="Arial"/>
          <w:sz w:val="16"/>
          <w:szCs w:val="16"/>
          <w:color w:val="auto"/>
        </w:rPr>
        <w:t>”, using the Black-Scholes pricing model and the valuation assumptions used by the company in accounting for options as of such date of grant. The Initial Grant will vest as to one-third of the shares subject to Initial Grant on each yearly anniversary of the applicable grant date, subject to continued service through each applicable vesting date, and the Annual Grant will fully vest on the earlier of the first anniversary of the applicable grant date or the date of the next annual stockholder meeting, subject to continued service through such vesting date. In June 2020, the Board deemed it appropriate to reduce the value to be received for the 2020 Annual Grant, we granted to each of our non-employee directors as of the date of the 2020 annual meeting of stockholders a fixed number of options to purchase 52,144 shares of our common stock, with a grant date fair value of $39,672.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Director Compensation Table</w:t>
      </w:r>
    </w:p>
    <w:p>
      <w:pPr>
        <w:spacing w:after="0" w:line="11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following table sets forth information for the year ended December 31, 2020, regarding the compensation awarded to, earned by or paid to our non-employee directors as of December 31, 2020. Directors who are also our employees receive no additional compensation for their service as a director. The compensation received by Dr. Gardner as an employee of the Company is presented in “</w:t>
      </w:r>
      <w:r>
        <w:rPr>
          <w:rFonts w:ascii="Arial" w:cs="Arial" w:eastAsia="Arial" w:hAnsi="Arial"/>
          <w:sz w:val="16"/>
          <w:szCs w:val="16"/>
          <w:i w:val="1"/>
          <w:iCs w:val="1"/>
          <w:color w:val="auto"/>
        </w:rPr>
        <w:t>Executive Compensation—Summary Compensation Table—2020</w:t>
      </w:r>
      <w:r>
        <w:rPr>
          <w:rFonts w:ascii="Arial" w:cs="Arial" w:eastAsia="Arial" w:hAnsi="Arial"/>
          <w:sz w:val="16"/>
          <w:szCs w:val="16"/>
          <w:color w:val="auto"/>
        </w:rPr>
        <w:t>”.</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21" w:name="page122"/>
    <w:bookmarkEnd w:id="121"/>
    <w:tbl>
      <w:tblPr>
        <w:tblLayout w:type="fixed"/>
        <w:tblInd w:w="9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ind w:left="560"/>
              <w:spacing w:after="0"/>
              <w:rPr>
                <w:sz w:val="20"/>
                <w:szCs w:val="20"/>
                <w:color w:val="auto"/>
              </w:rPr>
            </w:pPr>
            <w:r>
              <w:rPr>
                <w:rFonts w:ascii="Arial" w:cs="Arial" w:eastAsia="Arial" w:hAnsi="Arial"/>
                <w:sz w:val="16"/>
                <w:szCs w:val="16"/>
                <w:b w:val="1"/>
                <w:bCs w:val="1"/>
                <w:color w:val="auto"/>
                <w:w w:val="91"/>
              </w:rPr>
              <w:t>Fees Earned or</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Option</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560" w:type="dxa"/>
            <w:vAlign w:val="bottom"/>
            <w:gridSpan w:val="2"/>
          </w:tcPr>
          <w:p>
            <w:pPr>
              <w:ind w:left="1440"/>
              <w:spacing w:after="0"/>
              <w:rPr>
                <w:sz w:val="20"/>
                <w:szCs w:val="20"/>
                <w:color w:val="auto"/>
              </w:rPr>
            </w:pPr>
            <w:r>
              <w:rPr>
                <w:rFonts w:ascii="Arial" w:cs="Arial" w:eastAsia="Arial" w:hAnsi="Arial"/>
                <w:sz w:val="16"/>
                <w:szCs w:val="16"/>
                <w:b w:val="1"/>
                <w:bCs w:val="1"/>
                <w:color w:val="auto"/>
              </w:rPr>
              <w:t>Name</w:t>
            </w:r>
          </w:p>
        </w:tc>
        <w:tc>
          <w:tcPr>
            <w:tcW w:w="1640" w:type="dxa"/>
            <w:vAlign w:val="bottom"/>
          </w:tcPr>
          <w:p>
            <w:pPr>
              <w:ind w:left="540"/>
              <w:spacing w:after="0"/>
              <w:rPr>
                <w:sz w:val="20"/>
                <w:szCs w:val="20"/>
                <w:color w:val="auto"/>
              </w:rPr>
            </w:pPr>
            <w:r>
              <w:rPr>
                <w:rFonts w:ascii="Arial" w:cs="Arial" w:eastAsia="Arial" w:hAnsi="Arial"/>
                <w:sz w:val="16"/>
                <w:szCs w:val="16"/>
                <w:b w:val="1"/>
                <w:bCs w:val="1"/>
                <w:color w:val="auto"/>
                <w:w w:val="93"/>
              </w:rPr>
              <w:t>Paid in Cash($)</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Awards ($)(1)</w:t>
            </w:r>
          </w:p>
        </w:tc>
        <w:tc>
          <w:tcPr>
            <w:tcW w:w="1320" w:type="dxa"/>
            <w:vAlign w:val="bottom"/>
            <w:gridSpan w:val="2"/>
          </w:tcPr>
          <w:p>
            <w:pPr>
              <w:ind w:left="340"/>
              <w:spacing w:after="0"/>
              <w:rPr>
                <w:sz w:val="20"/>
                <w:szCs w:val="20"/>
                <w:color w:val="auto"/>
              </w:rPr>
            </w:pPr>
            <w:r>
              <w:rPr>
                <w:rFonts w:ascii="Arial" w:cs="Arial" w:eastAsia="Arial" w:hAnsi="Arial"/>
                <w:sz w:val="16"/>
                <w:szCs w:val="16"/>
                <w:b w:val="1"/>
                <w:bCs w:val="1"/>
                <w:color w:val="auto"/>
              </w:rPr>
              <w:t>Total($)</w:t>
            </w:r>
          </w:p>
        </w:tc>
      </w:tr>
      <w:tr>
        <w:trPr>
          <w:trHeight w:val="226"/>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Caley Castelein, M.D. (2)</w:t>
            </w:r>
          </w:p>
        </w:tc>
        <w:tc>
          <w:tcPr>
            <w:tcW w:w="24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45,083</w:t>
            </w:r>
          </w:p>
        </w:tc>
        <w:tc>
          <w:tcPr>
            <w:tcW w:w="34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39,672</w:t>
            </w:r>
          </w:p>
        </w:tc>
        <w:tc>
          <w:tcPr>
            <w:tcW w:w="34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84,755</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Cheryl Cohen (3)</w:t>
            </w:r>
          </w:p>
        </w:tc>
        <w:tc>
          <w:tcPr>
            <w:tcW w:w="164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48,617</w:t>
            </w:r>
          </w:p>
        </w:tc>
        <w:tc>
          <w:tcPr>
            <w:tcW w:w="340" w:type="dxa"/>
            <w:vAlign w:val="bottom"/>
            <w:shd w:val="clear" w:color="auto" w:fill="CFF0FC"/>
          </w:tcPr>
          <w:p>
            <w:pPr>
              <w:spacing w:after="0"/>
              <w:rPr>
                <w:sz w:val="22"/>
                <w:szCs w:val="22"/>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39,672</w:t>
            </w:r>
          </w:p>
        </w:tc>
        <w:tc>
          <w:tcPr>
            <w:tcW w:w="34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88,289</w:t>
            </w:r>
          </w:p>
        </w:tc>
        <w:tc>
          <w:tcPr>
            <w:tcW w:w="80" w:type="dxa"/>
            <w:vAlign w:val="bottom"/>
            <w:shd w:val="clear" w:color="auto" w:fill="CFF0FC"/>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Anupam Dalal, M.D. (4)</w:t>
            </w:r>
          </w:p>
        </w:tc>
        <w:tc>
          <w:tcPr>
            <w:tcW w:w="16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45,000</w:t>
            </w:r>
          </w:p>
        </w:tc>
        <w:tc>
          <w:tcPr>
            <w:tcW w:w="3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39,672</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84,672</w:t>
            </w:r>
          </w:p>
        </w:tc>
        <w:tc>
          <w:tcPr>
            <w:tcW w:w="80" w:type="dxa"/>
            <w:vAlign w:val="bottom"/>
          </w:tcPr>
          <w:p>
            <w:pPr>
              <w:spacing w:after="0"/>
              <w:rPr>
                <w:sz w:val="20"/>
                <w:szCs w:val="20"/>
                <w:color w:val="auto"/>
              </w:rPr>
            </w:pPr>
          </w:p>
        </w:tc>
      </w:tr>
      <w:tr>
        <w:trPr>
          <w:trHeight w:val="263"/>
        </w:trPr>
        <w:tc>
          <w:tcPr>
            <w:tcW w:w="20" w:type="dxa"/>
            <w:vAlign w:val="bottom"/>
          </w:tcPr>
          <w:p>
            <w:pPr>
              <w:spacing w:after="0"/>
              <w:rPr>
                <w:sz w:val="22"/>
                <w:szCs w:val="22"/>
                <w:color w:val="auto"/>
              </w:rPr>
            </w:pP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Pravin U. Dugel, M.D. (5)</w:t>
            </w:r>
          </w:p>
        </w:tc>
        <w:tc>
          <w:tcPr>
            <w:tcW w:w="164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36,808</w:t>
            </w:r>
          </w:p>
        </w:tc>
        <w:tc>
          <w:tcPr>
            <w:tcW w:w="340" w:type="dxa"/>
            <w:vAlign w:val="bottom"/>
            <w:shd w:val="clear" w:color="auto" w:fill="CFF0FC"/>
          </w:tcPr>
          <w:p>
            <w:pPr>
              <w:spacing w:after="0"/>
              <w:rPr>
                <w:sz w:val="22"/>
                <w:szCs w:val="22"/>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39,672</w:t>
            </w:r>
          </w:p>
        </w:tc>
        <w:tc>
          <w:tcPr>
            <w:tcW w:w="34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76,480</w:t>
            </w:r>
          </w:p>
        </w:tc>
        <w:tc>
          <w:tcPr>
            <w:tcW w:w="80" w:type="dxa"/>
            <w:vAlign w:val="bottom"/>
            <w:shd w:val="clear" w:color="auto" w:fill="CFF0FC"/>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Steven Prelack (6)</w:t>
            </w:r>
          </w:p>
        </w:tc>
        <w:tc>
          <w:tcPr>
            <w:tcW w:w="16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62,917</w:t>
            </w:r>
          </w:p>
        </w:tc>
        <w:tc>
          <w:tcPr>
            <w:tcW w:w="3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39,672</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102,589</w:t>
            </w:r>
          </w:p>
        </w:tc>
        <w:tc>
          <w:tcPr>
            <w:tcW w:w="80" w:type="dxa"/>
            <w:vAlign w:val="bottom"/>
          </w:tcPr>
          <w:p>
            <w:pPr>
              <w:spacing w:after="0"/>
              <w:rPr>
                <w:sz w:val="20"/>
                <w:szCs w:val="20"/>
                <w:color w:val="auto"/>
              </w:rPr>
            </w:pPr>
          </w:p>
        </w:tc>
      </w:tr>
      <w:tr>
        <w:trPr>
          <w:trHeight w:val="263"/>
        </w:trPr>
        <w:tc>
          <w:tcPr>
            <w:tcW w:w="20" w:type="dxa"/>
            <w:vAlign w:val="bottom"/>
          </w:tcPr>
          <w:p>
            <w:pPr>
              <w:spacing w:after="0"/>
              <w:rPr>
                <w:sz w:val="22"/>
                <w:szCs w:val="22"/>
                <w:color w:val="auto"/>
              </w:rPr>
            </w:pP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Muneer Satter (7)</w:t>
            </w:r>
          </w:p>
        </w:tc>
        <w:tc>
          <w:tcPr>
            <w:tcW w:w="164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30,692</w:t>
            </w:r>
          </w:p>
        </w:tc>
        <w:tc>
          <w:tcPr>
            <w:tcW w:w="340" w:type="dxa"/>
            <w:vAlign w:val="bottom"/>
            <w:shd w:val="clear" w:color="auto" w:fill="CFF0FC"/>
          </w:tcPr>
          <w:p>
            <w:pPr>
              <w:spacing w:after="0"/>
              <w:rPr>
                <w:sz w:val="22"/>
                <w:szCs w:val="22"/>
                <w:color w:val="auto"/>
              </w:rPr>
            </w:pPr>
          </w:p>
        </w:tc>
        <w:tc>
          <w:tcPr>
            <w:tcW w:w="20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30,692</w:t>
            </w:r>
          </w:p>
        </w:tc>
        <w:tc>
          <w:tcPr>
            <w:tcW w:w="80" w:type="dxa"/>
            <w:vAlign w:val="bottom"/>
            <w:shd w:val="clear" w:color="auto" w:fill="CFF0FC"/>
          </w:tcPr>
          <w:p>
            <w:pPr>
              <w:spacing w:after="0"/>
              <w:rPr>
                <w:sz w:val="22"/>
                <w:szCs w:val="22"/>
                <w:color w:val="auto"/>
              </w:rPr>
            </w:pPr>
          </w:p>
        </w:tc>
      </w:tr>
      <w:tr>
        <w:trPr>
          <w:trHeight w:val="243"/>
        </w:trPr>
        <w:tc>
          <w:tcPr>
            <w:tcW w:w="3580" w:type="dxa"/>
            <w:vAlign w:val="bottom"/>
            <w:gridSpan w:val="3"/>
          </w:tcPr>
          <w:p>
            <w:pPr>
              <w:spacing w:after="0"/>
              <w:rPr>
                <w:sz w:val="20"/>
                <w:szCs w:val="20"/>
                <w:color w:val="auto"/>
              </w:rPr>
            </w:pPr>
            <w:r>
              <w:rPr>
                <w:rFonts w:ascii="Arial" w:cs="Arial" w:eastAsia="Arial" w:hAnsi="Arial"/>
                <w:sz w:val="18"/>
                <w:szCs w:val="18"/>
                <w:color w:val="auto"/>
              </w:rPr>
              <w:t>Chau Khuong (7)</w:t>
            </w:r>
          </w:p>
        </w:tc>
        <w:tc>
          <w:tcPr>
            <w:tcW w:w="16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20,300</w:t>
            </w:r>
          </w:p>
        </w:tc>
        <w:tc>
          <w:tcPr>
            <w:tcW w:w="340" w:type="dxa"/>
            <w:vAlign w:val="bottom"/>
          </w:tcPr>
          <w:p>
            <w:pPr>
              <w:spacing w:after="0"/>
              <w:rPr>
                <w:sz w:val="21"/>
                <w:szCs w:val="21"/>
                <w:color w:val="auto"/>
              </w:rPr>
            </w:pPr>
          </w:p>
        </w:tc>
        <w:tc>
          <w:tcPr>
            <w:tcW w:w="2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20,300</w:t>
            </w:r>
          </w:p>
        </w:tc>
        <w:tc>
          <w:tcPr>
            <w:tcW w:w="80" w:type="dxa"/>
            <w:vAlign w:val="bottom"/>
          </w:tcPr>
          <w:p>
            <w:pPr>
              <w:spacing w:after="0"/>
              <w:rPr>
                <w:sz w:val="21"/>
                <w:szCs w:val="21"/>
                <w:color w:val="auto"/>
              </w:rPr>
            </w:pPr>
          </w:p>
        </w:tc>
      </w:tr>
    </w:tbl>
    <w:p>
      <w:pPr>
        <w:spacing w:after="0" w:line="323" w:lineRule="exact"/>
        <w:rPr>
          <w:sz w:val="20"/>
          <w:szCs w:val="20"/>
          <w:color w:val="auto"/>
        </w:rPr>
      </w:pPr>
    </w:p>
    <w:p>
      <w:pPr>
        <w:ind w:left="440" w:right="120" w:hanging="432"/>
        <w:spacing w:after="0" w:line="296" w:lineRule="auto"/>
        <w:tabs>
          <w:tab w:leader="none" w:pos="4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represent the grant date fair value of the stock options granted to our non-employee directors as of the grant date as computed in accordance with FASB ASC Topic 718, not including any estimates of forfeitures. The assumptions used in calculating the grant date fair value of the stock options reported in the Option Awards column are set forth in Note 7 to our financial statements for the years ended December 31, 2020 and 2019. Note that the amounts reported in this column reflect the accounting cost for these stock options, and do not correspond to the actual economic value that may be received by our non-employee directors from the options.</w:t>
      </w:r>
    </w:p>
    <w:p>
      <w:pPr>
        <w:spacing w:after="0" w:line="53" w:lineRule="exact"/>
        <w:rPr>
          <w:rFonts w:ascii="Arial" w:cs="Arial" w:eastAsia="Arial" w:hAnsi="Arial"/>
          <w:sz w:val="16"/>
          <w:szCs w:val="16"/>
          <w:color w:val="auto"/>
        </w:rPr>
      </w:pPr>
    </w:p>
    <w:p>
      <w:pPr>
        <w:ind w:left="440" w:hanging="432"/>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of December 31, 2020, Dr. Castelein held 94,944 unexercised options.</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of December 31, 2020, Ms. Cohen held 116,344 unexercised options.</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of December 31, 2020, Dr. Dalal held 94,944 unexercised options.</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of December 31, 2020, Dr. Dugel held 114,186 unexercised options,</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of December 31, 2020, Mr. Prelack held 94,944 unexercised options.</w:t>
      </w:r>
    </w:p>
    <w:p>
      <w:pPr>
        <w:spacing w:after="0" w:line="117"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Mr. Satter and Mr. Khuong were board members through June 2020. Amount reflects fees paid to each Mr. Satter and Mr. Khuong through the end of their board service period.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fees of Ernst &amp; Young LLP, our independent registered public accounting firm, for each of the last two fiscal years.</w:t>
      </w:r>
    </w:p>
    <w:p>
      <w:pPr>
        <w:spacing w:after="0" w:line="276" w:lineRule="exact"/>
        <w:rPr>
          <w:sz w:val="20"/>
          <w:szCs w:val="20"/>
          <w:color w:val="auto"/>
        </w:rPr>
      </w:pPr>
    </w:p>
    <w:tbl>
      <w:tblPr>
        <w:tblLayout w:type="fixed"/>
        <w:tblInd w:w="74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Fee Category:</w:t>
            </w:r>
          </w:p>
        </w:tc>
        <w:tc>
          <w:tcPr>
            <w:tcW w:w="34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2"/>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Borders>
              <w:bottom w:val="single" w:sz="8" w:color="CFF0FC"/>
            </w:tcBorders>
          </w:tcPr>
          <w:p>
            <w:pPr>
              <w:spacing w:after="0"/>
              <w:rPr>
                <w:sz w:val="18"/>
                <w:szCs w:val="18"/>
                <w:color w:val="auto"/>
              </w:rPr>
            </w:pPr>
          </w:p>
        </w:tc>
      </w:tr>
      <w:tr>
        <w:trPr>
          <w:trHeight w:val="22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330,154</w:t>
            </w: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280,920</w:t>
            </w:r>
          </w:p>
        </w:tc>
        <w:tc>
          <w:tcPr>
            <w:tcW w:w="10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Audit-related fees</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23,400</w:t>
            </w: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24,096</w:t>
            </w: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All other fees</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353,554</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305,016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11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Consist of aggregate fees for professional services provided in connection with the annual audit of our financial statements, the review of our quarterly condensed financial statements, consultation on accounting matters directly related to the audit, and comfort letters, consents and assistance with and review of documented filed with the SEC.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Consist of aggregate fees for tax compliance, tax advice and tax planning services including the review and preparation of our federal and state income tax returns.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(a)(1) Financial Statements.</w:t>
      </w:r>
    </w:p>
    <w:p>
      <w:pPr>
        <w:spacing w:after="0" w:line="117" w:lineRule="exact"/>
        <w:rPr>
          <w:sz w:val="20"/>
          <w:szCs w:val="20"/>
          <w:color w:val="auto"/>
        </w:rPr>
      </w:pPr>
    </w:p>
    <w:p>
      <w:pPr>
        <w:ind w:left="600"/>
        <w:spacing w:after="0" w:line="277" w:lineRule="auto"/>
        <w:rPr>
          <w:sz w:val="20"/>
          <w:szCs w:val="20"/>
          <w:color w:val="auto"/>
        </w:rPr>
      </w:pPr>
      <w:r>
        <w:rPr>
          <w:rFonts w:ascii="Arial" w:cs="Arial" w:eastAsia="Arial" w:hAnsi="Arial"/>
          <w:sz w:val="18"/>
          <w:szCs w:val="18"/>
          <w:color w:val="auto"/>
        </w:rPr>
        <w:t>The consolidated financial statements required by this item are submitted in a separate section beginning on page 80 of this Annual Report on Form 10-K.</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(a)(2) Exhibits.</w:t>
      </w:r>
    </w:p>
    <w:p>
      <w:pPr>
        <w:spacing w:after="0" w:line="117" w:lineRule="exact"/>
        <w:rPr>
          <w:sz w:val="20"/>
          <w:szCs w:val="20"/>
          <w:color w:val="auto"/>
        </w:rPr>
      </w:pPr>
    </w:p>
    <w:p>
      <w:pPr>
        <w:ind w:left="600" w:right="200"/>
        <w:spacing w:after="0" w:line="277" w:lineRule="auto"/>
        <w:rPr>
          <w:sz w:val="20"/>
          <w:szCs w:val="20"/>
          <w:color w:val="auto"/>
        </w:rPr>
      </w:pPr>
      <w:r>
        <w:rPr>
          <w:rFonts w:ascii="Arial" w:cs="Arial" w:eastAsia="Arial" w:hAnsi="Arial"/>
          <w:sz w:val="18"/>
          <w:szCs w:val="18"/>
          <w:color w:val="auto"/>
        </w:rPr>
        <w:t>The exhibits filed as part of this Annual Report on Form 10-K are set forth on the Exhibit Index immediately preceding the signature page of this Annual Report on Form 10-K. The Exhibit Index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20" w:type="dxa"/>
            <w:vAlign w:val="bottom"/>
            <w:gridSpan w:val="23"/>
          </w:tcPr>
          <w:p>
            <w:pPr>
              <w:ind w:left="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20" w:type="dxa"/>
            <w:vAlign w:val="bottom"/>
            <w:gridSpan w:val="23"/>
            <w:vMerge w:val="restart"/>
          </w:tcPr>
          <w:p>
            <w:pPr>
              <w:ind w:left="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1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8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2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160" w:type="dxa"/>
            <w:vAlign w:val="bottom"/>
          </w:tcPr>
          <w:p>
            <w:pPr>
              <w:jc w:val="right"/>
              <w:ind w:right="652"/>
              <w:spacing w:after="0"/>
              <w:rPr>
                <w:sz w:val="20"/>
                <w:szCs w:val="20"/>
                <w:color w:val="auto"/>
              </w:rPr>
            </w:pPr>
            <w:r>
              <w:rPr>
                <w:rFonts w:ascii="Arial" w:cs="Arial" w:eastAsia="Arial" w:hAnsi="Arial"/>
                <w:sz w:val="18"/>
                <w:szCs w:val="18"/>
                <w:color w:val="auto"/>
              </w:rPr>
              <w:t>3.1</w:t>
            </w:r>
          </w:p>
        </w:tc>
        <w:tc>
          <w:tcPr>
            <w:tcW w:w="10040" w:type="dxa"/>
            <w:vAlign w:val="bottom"/>
            <w:tcBorders>
              <w:bottom w:val="single" w:sz="8" w:color="0000EE"/>
            </w:tcBorders>
            <w:gridSpan w:val="25"/>
          </w:tcPr>
          <w:p>
            <w:pPr>
              <w:spacing w:after="0"/>
              <w:rPr>
                <w:rFonts w:ascii="Arial" w:cs="Arial" w:eastAsia="Arial" w:hAnsi="Arial"/>
                <w:sz w:val="18"/>
                <w:szCs w:val="18"/>
                <w:color w:val="0000EE"/>
                <w:w w:val="91"/>
              </w:rPr>
            </w:pPr>
            <w:hyperlink r:id="rId144">
              <w:r>
                <w:rPr>
                  <w:rFonts w:ascii="Arial" w:cs="Arial" w:eastAsia="Arial" w:hAnsi="Arial"/>
                  <w:sz w:val="18"/>
                  <w:szCs w:val="18"/>
                  <w:color w:val="0000EE"/>
                  <w:w w:val="91"/>
                </w:rPr>
                <w:t>Amended and Restated Certificate of Incorporation of the Registrant (incorporated by reference to Exhibit 3.2 to the Registrant’s Form 8-K</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100" w:type="dxa"/>
            <w:vAlign w:val="bottom"/>
            <w:gridSpan w:val="26"/>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filed with the Securities and Exchange Commission on March 17, 2017, File No. 000-53057)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right"/>
              <w:ind w:right="652"/>
              <w:spacing w:after="0"/>
              <w:rPr>
                <w:sz w:val="20"/>
                <w:szCs w:val="20"/>
                <w:color w:val="auto"/>
              </w:rPr>
            </w:pPr>
            <w:r>
              <w:rPr>
                <w:rFonts w:ascii="Arial" w:cs="Arial" w:eastAsia="Arial" w:hAnsi="Arial"/>
                <w:sz w:val="18"/>
                <w:szCs w:val="18"/>
                <w:color w:val="auto"/>
              </w:rPr>
              <w:t>3.2</w:t>
            </w:r>
          </w:p>
        </w:tc>
        <w:tc>
          <w:tcPr>
            <w:tcW w:w="9900" w:type="dxa"/>
            <w:vAlign w:val="bottom"/>
            <w:tcBorders>
              <w:bottom w:val="single" w:sz="8" w:color="0000EE"/>
            </w:tcBorders>
            <w:gridSpan w:val="22"/>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Amended and Restated By-laws of the Registrant, as currently in effect (incorporated by reference to Exhibit 3.3 to the Registrant’s Form</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100" w:type="dxa"/>
            <w:vAlign w:val="bottom"/>
            <w:gridSpan w:val="26"/>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8-K filed with the Securities and Exchange Commission on March 17, 2017, File No. 000-53057)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right"/>
              <w:ind w:right="652"/>
              <w:spacing w:after="0"/>
              <w:rPr>
                <w:sz w:val="20"/>
                <w:szCs w:val="20"/>
                <w:color w:val="auto"/>
              </w:rPr>
            </w:pPr>
            <w:r>
              <w:rPr>
                <w:rFonts w:ascii="Arial" w:cs="Arial" w:eastAsia="Arial" w:hAnsi="Arial"/>
                <w:sz w:val="18"/>
                <w:szCs w:val="18"/>
                <w:color w:val="auto"/>
              </w:rPr>
              <w:t>4.1</w:t>
            </w:r>
          </w:p>
        </w:tc>
        <w:tc>
          <w:tcPr>
            <w:tcW w:w="9860" w:type="dxa"/>
            <w:vAlign w:val="bottom"/>
            <w:tcBorders>
              <w:bottom w:val="single" w:sz="8" w:color="0000EE"/>
            </w:tcBorders>
            <w:gridSpan w:val="20"/>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Specimen Stock Certificate evidencing shares of common stock (incorporated by reference to Exhibit 4.2 to the Registrant’s Registration</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0100" w:type="dxa"/>
            <w:vAlign w:val="bottom"/>
            <w:gridSpan w:val="26"/>
          </w:tcPr>
          <w:p>
            <w:pPr>
              <w:spacing w:after="0"/>
              <w:rPr>
                <w:rFonts w:ascii="Arial" w:cs="Arial" w:eastAsia="Arial" w:hAnsi="Arial"/>
                <w:sz w:val="18"/>
                <w:szCs w:val="18"/>
                <w:u w:val="single" w:color="auto"/>
                <w:color w:val="0000EE"/>
              </w:rPr>
            </w:pPr>
            <w:hyperlink r:id="rId146">
              <w:r>
                <w:rPr>
                  <w:rFonts w:ascii="Arial" w:cs="Arial" w:eastAsia="Arial" w:hAnsi="Arial"/>
                  <w:sz w:val="18"/>
                  <w:szCs w:val="18"/>
                  <w:u w:val="single" w:color="auto"/>
                  <w:color w:val="0000EE"/>
                </w:rPr>
                <w:t>Statement on Form S-1 filed with the Securities and Exchange Commission on April 14, 2017, File No. 333-217320)</w:t>
              </w:r>
            </w:hyperlink>
          </w:p>
        </w:tc>
        <w:tc>
          <w:tcPr>
            <w:tcW w:w="0" w:type="dxa"/>
            <w:vAlign w:val="bottom"/>
          </w:tcPr>
          <w:p>
            <w:pPr>
              <w:spacing w:after="0"/>
              <w:rPr>
                <w:sz w:val="1"/>
                <w:szCs w:val="1"/>
                <w:color w:val="auto"/>
              </w:rPr>
            </w:pPr>
          </w:p>
        </w:tc>
      </w:tr>
      <w:tr>
        <w:trPr>
          <w:trHeight w:val="297"/>
        </w:trPr>
        <w:tc>
          <w:tcPr>
            <w:tcW w:w="1160" w:type="dxa"/>
            <w:vAlign w:val="bottom"/>
          </w:tcPr>
          <w:p>
            <w:pPr>
              <w:jc w:val="right"/>
              <w:ind w:right="652"/>
              <w:spacing w:after="0"/>
              <w:rPr>
                <w:sz w:val="20"/>
                <w:szCs w:val="20"/>
                <w:color w:val="auto"/>
              </w:rPr>
            </w:pPr>
            <w:r>
              <w:rPr>
                <w:rFonts w:ascii="Arial" w:cs="Arial" w:eastAsia="Arial" w:hAnsi="Arial"/>
                <w:sz w:val="18"/>
                <w:szCs w:val="18"/>
                <w:color w:val="auto"/>
              </w:rPr>
              <w:t>4.2</w:t>
            </w:r>
          </w:p>
        </w:tc>
        <w:tc>
          <w:tcPr>
            <w:tcW w:w="10040" w:type="dxa"/>
            <w:vAlign w:val="bottom"/>
            <w:tcBorders>
              <w:bottom w:val="single" w:sz="8" w:color="0000EE"/>
            </w:tcBorders>
            <w:gridSpan w:val="25"/>
          </w:tcPr>
          <w:p>
            <w:pPr>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Form of Warrant Agreements (incorporated by reference to Exhibit 4.1 to the Registrant’s Form 8-K filed with the Securities and Exchange</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100" w:type="dxa"/>
            <w:vAlign w:val="bottom"/>
            <w:gridSpan w:val="26"/>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Commission on March 17, 2017, File No. 000-53057)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60" w:type="dxa"/>
            <w:vAlign w:val="bottom"/>
          </w:tcPr>
          <w:p>
            <w:pPr>
              <w:jc w:val="right"/>
              <w:ind w:right="652"/>
              <w:spacing w:after="0"/>
              <w:rPr>
                <w:sz w:val="20"/>
                <w:szCs w:val="20"/>
                <w:color w:val="auto"/>
              </w:rPr>
            </w:pPr>
            <w:r>
              <w:rPr>
                <w:rFonts w:ascii="Arial" w:cs="Arial" w:eastAsia="Arial" w:hAnsi="Arial"/>
                <w:sz w:val="18"/>
                <w:szCs w:val="18"/>
                <w:color w:val="auto"/>
              </w:rPr>
              <w:t>4.3</w:t>
            </w:r>
          </w:p>
        </w:tc>
        <w:tc>
          <w:tcPr>
            <w:tcW w:w="10100" w:type="dxa"/>
            <w:vAlign w:val="bottom"/>
            <w:gridSpan w:val="26"/>
          </w:tcPr>
          <w:p>
            <w:pPr>
              <w:spacing w:after="0"/>
              <w:rPr>
                <w:rFonts w:ascii="Arial" w:cs="Arial" w:eastAsia="Arial" w:hAnsi="Arial"/>
                <w:sz w:val="18"/>
                <w:szCs w:val="18"/>
                <w:color w:val="0000EE"/>
                <w:w w:val="93"/>
              </w:rPr>
            </w:pPr>
            <w:hyperlink r:id="rId148">
              <w:r>
                <w:rPr>
                  <w:rFonts w:ascii="Arial" w:cs="Arial" w:eastAsia="Arial" w:hAnsi="Arial"/>
                  <w:sz w:val="18"/>
                  <w:szCs w:val="18"/>
                  <w:color w:val="0000EE"/>
                  <w:w w:val="93"/>
                </w:rPr>
                <w:t>Description of Registrant’s Securities (incorporated by reference to Exhibit 4.3 to the Registrant’s Annual Report on Form 10-K filed with</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9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the Securities and Exchange Commission on March 16, 2020, File No. 001-38560)</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right"/>
              <w:ind w:right="572"/>
              <w:spacing w:after="0"/>
              <w:rPr>
                <w:sz w:val="20"/>
                <w:szCs w:val="20"/>
                <w:color w:val="auto"/>
              </w:rPr>
            </w:pPr>
            <w:r>
              <w:rPr>
                <w:rFonts w:ascii="Arial" w:cs="Arial" w:eastAsia="Arial" w:hAnsi="Arial"/>
                <w:sz w:val="18"/>
                <w:szCs w:val="18"/>
                <w:color w:val="auto"/>
              </w:rPr>
              <w:t>10.1#</w:t>
            </w:r>
          </w:p>
        </w:tc>
        <w:tc>
          <w:tcPr>
            <w:tcW w:w="10020" w:type="dxa"/>
            <w:vAlign w:val="bottom"/>
            <w:tcBorders>
              <w:bottom w:val="single" w:sz="8" w:color="0000EE"/>
            </w:tcBorders>
            <w:gridSpan w:val="24"/>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2011 Equity Incentive Plan and forms of award agreements thereunder, assumed in the Merger (incorporated herein by reference to Exhibit</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0100" w:type="dxa"/>
            <w:vAlign w:val="bottom"/>
            <w:gridSpan w:val="26"/>
          </w:tcPr>
          <w:p>
            <w:pPr>
              <w:spacing w:after="0"/>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10.1 to the Registrant’s Form 8-K filed with the Securities and Exchange Commission on March 17, 2017, File No. 000-53057)</w:t>
              </w:r>
            </w:hyperlink>
          </w:p>
        </w:tc>
        <w:tc>
          <w:tcPr>
            <w:tcW w:w="0" w:type="dxa"/>
            <w:vAlign w:val="bottom"/>
          </w:tcPr>
          <w:p>
            <w:pPr>
              <w:spacing w:after="0"/>
              <w:rPr>
                <w:sz w:val="1"/>
                <w:szCs w:val="1"/>
                <w:color w:val="auto"/>
              </w:rPr>
            </w:pPr>
          </w:p>
        </w:tc>
      </w:tr>
      <w:tr>
        <w:trPr>
          <w:trHeight w:val="297"/>
        </w:trPr>
        <w:tc>
          <w:tcPr>
            <w:tcW w:w="1160" w:type="dxa"/>
            <w:vAlign w:val="bottom"/>
          </w:tcPr>
          <w:p>
            <w:pPr>
              <w:jc w:val="right"/>
              <w:ind w:right="572"/>
              <w:spacing w:after="0"/>
              <w:rPr>
                <w:sz w:val="20"/>
                <w:szCs w:val="20"/>
                <w:color w:val="auto"/>
              </w:rPr>
            </w:pPr>
            <w:r>
              <w:rPr>
                <w:rFonts w:ascii="Arial" w:cs="Arial" w:eastAsia="Arial" w:hAnsi="Arial"/>
                <w:sz w:val="18"/>
                <w:szCs w:val="18"/>
                <w:color w:val="auto"/>
              </w:rPr>
              <w:t>10.2#</w:t>
            </w:r>
          </w:p>
        </w:tc>
        <w:tc>
          <w:tcPr>
            <w:tcW w:w="10100" w:type="dxa"/>
            <w:vAlign w:val="bottom"/>
            <w:gridSpan w:val="26"/>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2017 Stock Option and Incentive Plan and forms of award agreements thereunder (incorporated herein by reference to Exhibit 10.2 to the</w:t>
              </w:r>
            </w:hyperlink>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9880" w:type="dxa"/>
            <w:vAlign w:val="bottom"/>
            <w:tcBorders>
              <w:top w:val="single" w:sz="8" w:color="0000EE"/>
            </w:tcBorders>
            <w:gridSpan w:val="21"/>
          </w:tcPr>
          <w:p>
            <w:pPr>
              <w:spacing w:after="0"/>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Registrant’s Form 8-K filed with the Securities and Exchange Commission on March 17, 2017, File No. 000-53057)</w:t>
              </w:r>
            </w:hyperlink>
          </w:p>
        </w:tc>
        <w:tc>
          <w:tcPr>
            <w:tcW w:w="2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60" w:type="dxa"/>
            <w:vAlign w:val="bottom"/>
          </w:tcPr>
          <w:p>
            <w:pPr>
              <w:jc w:val="right"/>
              <w:ind w:right="572"/>
              <w:spacing w:after="0"/>
              <w:rPr>
                <w:sz w:val="20"/>
                <w:szCs w:val="20"/>
                <w:color w:val="auto"/>
              </w:rPr>
            </w:pPr>
            <w:r>
              <w:rPr>
                <w:rFonts w:ascii="Arial" w:cs="Arial" w:eastAsia="Arial" w:hAnsi="Arial"/>
                <w:sz w:val="18"/>
                <w:szCs w:val="18"/>
                <w:color w:val="auto"/>
              </w:rPr>
              <w:t>10.3#</w:t>
            </w:r>
          </w:p>
        </w:tc>
        <w:tc>
          <w:tcPr>
            <w:tcW w:w="9820" w:type="dxa"/>
            <w:vAlign w:val="bottom"/>
            <w:tcBorders>
              <w:bottom w:val="single" w:sz="8" w:color="0000EE"/>
            </w:tcBorders>
            <w:gridSpan w:val="18"/>
          </w:tcPr>
          <w:p>
            <w:pPr>
              <w:spacing w:after="0"/>
              <w:rPr>
                <w:rFonts w:ascii="Arial" w:cs="Arial" w:eastAsia="Arial" w:hAnsi="Arial"/>
                <w:sz w:val="18"/>
                <w:szCs w:val="18"/>
                <w:color w:val="0000EE"/>
                <w:w w:val="88"/>
              </w:rPr>
            </w:pPr>
            <w:hyperlink r:id="rId151">
              <w:r>
                <w:rPr>
                  <w:rFonts w:ascii="Arial" w:cs="Arial" w:eastAsia="Arial" w:hAnsi="Arial"/>
                  <w:sz w:val="18"/>
                  <w:szCs w:val="18"/>
                  <w:color w:val="0000EE"/>
                  <w:w w:val="88"/>
                </w:rPr>
                <w:t>Amended and Restated 2017 Employee Stock Purchase Plan (incorporated herein by reference to Exhibit 10.1 to the Registrant’s Form 8-K</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100" w:type="dxa"/>
            <w:vAlign w:val="bottom"/>
            <w:gridSpan w:val="26"/>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filed with the Securities and Exchange Commission on December 18, 2017, File No. 000-53057)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right"/>
              <w:ind w:right="572"/>
              <w:spacing w:after="0"/>
              <w:rPr>
                <w:sz w:val="20"/>
                <w:szCs w:val="20"/>
                <w:color w:val="auto"/>
              </w:rPr>
            </w:pPr>
            <w:r>
              <w:rPr>
                <w:rFonts w:ascii="Arial" w:cs="Arial" w:eastAsia="Arial" w:hAnsi="Arial"/>
                <w:sz w:val="18"/>
                <w:szCs w:val="18"/>
                <w:color w:val="auto"/>
              </w:rPr>
              <w:t>10.4#</w:t>
            </w:r>
          </w:p>
        </w:tc>
        <w:tc>
          <w:tcPr>
            <w:tcW w:w="9840" w:type="dxa"/>
            <w:vAlign w:val="bottom"/>
            <w:tcBorders>
              <w:bottom w:val="single" w:sz="8" w:color="0000EE"/>
            </w:tcBorders>
            <w:gridSpan w:val="19"/>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Form of Indemnification Agreement (incorporated herein by reference to Exhibit 10.4 to the Registrant’s Form 8-K filed with the Securities</w:t>
              </w:r>
            </w:hyperlink>
          </w:p>
        </w:tc>
        <w:tc>
          <w:tcPr>
            <w:tcW w:w="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8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52">
              <w:r>
                <w:rPr>
                  <w:rFonts w:ascii="Arial" w:cs="Arial" w:eastAsia="Arial" w:hAnsi="Arial"/>
                  <w:sz w:val="18"/>
                  <w:szCs w:val="18"/>
                  <w:color w:val="0000EE"/>
                  <w:w w:val="88"/>
                </w:rPr>
                <w:t>and Exchange Commission on March 17, 2017, File No. 000-53057)</w:t>
              </w:r>
            </w:hyperlink>
          </w:p>
        </w:tc>
        <w:tc>
          <w:tcPr>
            <w:tcW w:w="52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right"/>
              <w:ind w:right="652"/>
              <w:spacing w:after="0"/>
              <w:rPr>
                <w:sz w:val="20"/>
                <w:szCs w:val="20"/>
                <w:color w:val="auto"/>
              </w:rPr>
            </w:pPr>
            <w:r>
              <w:rPr>
                <w:rFonts w:ascii="Arial" w:cs="Arial" w:eastAsia="Arial" w:hAnsi="Arial"/>
                <w:sz w:val="18"/>
                <w:szCs w:val="18"/>
                <w:color w:val="auto"/>
              </w:rPr>
              <w:t>10.5</w:t>
            </w:r>
          </w:p>
        </w:tc>
        <w:tc>
          <w:tcPr>
            <w:tcW w:w="9780" w:type="dxa"/>
            <w:vAlign w:val="bottom"/>
            <w:tcBorders>
              <w:bottom w:val="single" w:sz="8" w:color="0000EE"/>
            </w:tcBorders>
            <w:gridSpan w:val="16"/>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Registration Rights Agreement, dated March 15, 2017, by and among the Company and the persons listed on Exhibit A attached thereto</w:t>
              </w:r>
            </w:hyperlink>
          </w:p>
        </w:tc>
        <w:tc>
          <w:tcPr>
            <w:tcW w:w="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100" w:type="dxa"/>
            <w:vAlign w:val="bottom"/>
            <w:gridSpan w:val="26"/>
          </w:tcPr>
          <w:p>
            <w:pPr>
              <w:spacing w:after="0" w:line="196" w:lineRule="exact"/>
              <w:rPr>
                <w:rFonts w:ascii="Arial" w:cs="Arial" w:eastAsia="Arial" w:hAnsi="Arial"/>
                <w:sz w:val="18"/>
                <w:szCs w:val="18"/>
                <w:color w:val="0000EE"/>
                <w:w w:val="95"/>
              </w:rPr>
            </w:pPr>
            <w:hyperlink r:id="rId153">
              <w:r>
                <w:rPr>
                  <w:rFonts w:ascii="Arial" w:cs="Arial" w:eastAsia="Arial" w:hAnsi="Arial"/>
                  <w:sz w:val="18"/>
                  <w:szCs w:val="18"/>
                  <w:color w:val="0000EE"/>
                  <w:w w:val="95"/>
                </w:rPr>
                <w:t>(incorporated herein by reference to Exhibit 10.5 to the Registrant’s Form 8-K filed with the Securities and Exchange Commission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6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March 17, 2017, File No. 000-53057)</w:t>
              </w:r>
            </w:hyperlink>
          </w:p>
        </w:tc>
        <w:tc>
          <w:tcPr>
            <w:tcW w:w="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right"/>
              <w:ind w:right="652"/>
              <w:spacing w:after="0"/>
              <w:rPr>
                <w:sz w:val="20"/>
                <w:szCs w:val="20"/>
                <w:color w:val="auto"/>
              </w:rPr>
            </w:pPr>
            <w:r>
              <w:rPr>
                <w:rFonts w:ascii="Arial" w:cs="Arial" w:eastAsia="Arial" w:hAnsi="Arial"/>
                <w:sz w:val="18"/>
                <w:szCs w:val="18"/>
                <w:color w:val="auto"/>
              </w:rPr>
              <w:t>10.6</w:t>
            </w:r>
          </w:p>
        </w:tc>
        <w:tc>
          <w:tcPr>
            <w:tcW w:w="10100" w:type="dxa"/>
            <w:vAlign w:val="bottom"/>
            <w:gridSpan w:val="26"/>
          </w:tcPr>
          <w:p>
            <w:pPr>
              <w:spacing w:after="0"/>
              <w:rPr>
                <w:rFonts w:ascii="Arial" w:cs="Arial" w:eastAsia="Arial" w:hAnsi="Arial"/>
                <w:sz w:val="18"/>
                <w:szCs w:val="18"/>
                <w:color w:val="0000EE"/>
                <w:w w:val="94"/>
              </w:rPr>
            </w:pPr>
            <w:hyperlink r:id="rId154">
              <w:r>
                <w:rPr>
                  <w:rFonts w:ascii="Arial" w:cs="Arial" w:eastAsia="Arial" w:hAnsi="Arial"/>
                  <w:sz w:val="18"/>
                  <w:szCs w:val="18"/>
                  <w:color w:val="0000EE"/>
                  <w:w w:val="94"/>
                </w:rPr>
                <w:t>Subscription Agreement, dated March 15, 2017, by and between the Registrant and the investors party thereto (incorporated herein by</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980" w:type="dxa"/>
            <w:vAlign w:val="bottom"/>
            <w:gridSpan w:val="3"/>
            <w:shd w:val="clear" w:color="auto" w:fill="0000EE"/>
          </w:tcPr>
          <w:p>
            <w:pPr>
              <w:spacing w:after="0" w:line="20" w:lineRule="exact"/>
              <w:rPr>
                <w:sz w:val="1"/>
                <w:szCs w:val="1"/>
                <w:color w:val="auto"/>
              </w:rPr>
            </w:pPr>
          </w:p>
        </w:tc>
        <w:tc>
          <w:tcPr>
            <w:tcW w:w="470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100" w:type="dxa"/>
            <w:vAlign w:val="bottom"/>
            <w:gridSpan w:val="26"/>
          </w:tcPr>
          <w:p>
            <w:pPr>
              <w:spacing w:after="0" w:line="196" w:lineRule="exact"/>
              <w:rPr>
                <w:rFonts w:ascii="Arial" w:cs="Arial" w:eastAsia="Arial" w:hAnsi="Arial"/>
                <w:sz w:val="18"/>
                <w:szCs w:val="18"/>
                <w:color w:val="0000EE"/>
                <w:w w:val="94"/>
              </w:rPr>
            </w:pPr>
            <w:hyperlink r:id="rId154">
              <w:r>
                <w:rPr>
                  <w:rFonts w:ascii="Arial" w:cs="Arial" w:eastAsia="Arial" w:hAnsi="Arial"/>
                  <w:sz w:val="18"/>
                  <w:szCs w:val="18"/>
                  <w:color w:val="0000EE"/>
                  <w:w w:val="94"/>
                </w:rPr>
                <w:t>reference to Exhibit 10.6 to the Registrant’s Form 8-K filed with the Securities and Exchange Commission on March 17, 2017, File No.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54">
              <w:r>
                <w:rPr>
                  <w:rFonts w:ascii="Arial" w:cs="Arial" w:eastAsia="Arial" w:hAnsi="Arial"/>
                  <w:sz w:val="18"/>
                  <w:szCs w:val="18"/>
                  <w:color w:val="0000EE"/>
                  <w:w w:val="89"/>
                </w:rPr>
                <w:t>000-53057)</w:t>
              </w:r>
            </w:hyperlink>
          </w:p>
        </w:tc>
        <w:tc>
          <w:tcPr>
            <w:tcW w:w="186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right"/>
              <w:ind w:right="652"/>
              <w:spacing w:after="0"/>
              <w:rPr>
                <w:sz w:val="20"/>
                <w:szCs w:val="20"/>
                <w:color w:val="auto"/>
              </w:rPr>
            </w:pPr>
            <w:r>
              <w:rPr>
                <w:rFonts w:ascii="Arial" w:cs="Arial" w:eastAsia="Arial" w:hAnsi="Arial"/>
                <w:sz w:val="18"/>
                <w:szCs w:val="18"/>
                <w:color w:val="auto"/>
              </w:rPr>
              <w:t>10.7</w:t>
            </w:r>
          </w:p>
        </w:tc>
        <w:tc>
          <w:tcPr>
            <w:tcW w:w="10040" w:type="dxa"/>
            <w:vAlign w:val="bottom"/>
            <w:tcBorders>
              <w:bottom w:val="single" w:sz="8" w:color="0000EE"/>
            </w:tcBorders>
            <w:gridSpan w:val="25"/>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Office Lease at 10300 Alliance Road, Cincinnati, OH dated as of September 29, 2009, by and between Akebia Therapeutics, Inc. and Duke</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Realty Ohio, as amended by the First Lease Amendment dated as of April 23, 2010 by and between Akebia Therapeutics, Inc. and Duke</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Realty Ohio, as amended by the Second Lease Amendment and Assignment and Assumption of Lease dated as of April 25, 2012 by and</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6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between DP Landings Building II, LLC, Akebia Therapeutics, Inc., and Aerpio, as amended by the Third Amendment to Office Lease</w:t>
              </w:r>
            </w:hyperlink>
          </w:p>
        </w:tc>
        <w:tc>
          <w:tcPr>
            <w:tcW w:w="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0100" w:type="dxa"/>
            <w:vAlign w:val="bottom"/>
            <w:gridSpan w:val="26"/>
          </w:tcPr>
          <w:p>
            <w:pPr>
              <w:spacing w:after="0"/>
              <w:rPr>
                <w:rFonts w:ascii="Arial" w:cs="Arial" w:eastAsia="Arial" w:hAnsi="Arial"/>
                <w:sz w:val="18"/>
                <w:szCs w:val="18"/>
                <w:u w:val="single" w:color="auto"/>
                <w:color w:val="0000EE"/>
                <w:w w:val="92"/>
              </w:rPr>
            </w:pPr>
            <w:hyperlink r:id="rId155">
              <w:r>
                <w:rPr>
                  <w:rFonts w:ascii="Arial" w:cs="Arial" w:eastAsia="Arial" w:hAnsi="Arial"/>
                  <w:sz w:val="18"/>
                  <w:szCs w:val="18"/>
                  <w:u w:val="single" w:color="auto"/>
                  <w:color w:val="0000EE"/>
                  <w:w w:val="92"/>
                </w:rPr>
                <w:t>dated as of February 27, 2015 by and between RT Landings Building II, LLC and Aerpio (incorporated herein by reference to Exhibit 10.7</w:t>
              </w:r>
            </w:hyperlink>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100" w:type="dxa"/>
            <w:vAlign w:val="bottom"/>
            <w:gridSpan w:val="26"/>
          </w:tcPr>
          <w:p>
            <w:pPr>
              <w:spacing w:after="0"/>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to the Registrant’s Form 8-K filed with the Securities and Exchange Commission on March 17, 2017, File No. 000-53057)</w:t>
              </w:r>
            </w:hyperlink>
          </w:p>
        </w:tc>
        <w:tc>
          <w:tcPr>
            <w:tcW w:w="0" w:type="dxa"/>
            <w:vAlign w:val="bottom"/>
          </w:tcPr>
          <w:p>
            <w:pPr>
              <w:spacing w:after="0"/>
              <w:rPr>
                <w:sz w:val="1"/>
                <w:szCs w:val="1"/>
                <w:color w:val="auto"/>
              </w:rPr>
            </w:pPr>
          </w:p>
        </w:tc>
      </w:tr>
      <w:tr>
        <w:trPr>
          <w:trHeight w:val="297"/>
        </w:trPr>
        <w:tc>
          <w:tcPr>
            <w:tcW w:w="1160" w:type="dxa"/>
            <w:vAlign w:val="bottom"/>
          </w:tcPr>
          <w:p>
            <w:pPr>
              <w:jc w:val="right"/>
              <w:ind w:right="652"/>
              <w:spacing w:after="0"/>
              <w:rPr>
                <w:sz w:val="20"/>
                <w:szCs w:val="20"/>
                <w:color w:val="auto"/>
              </w:rPr>
            </w:pPr>
            <w:r>
              <w:rPr>
                <w:rFonts w:ascii="Arial" w:cs="Arial" w:eastAsia="Arial" w:hAnsi="Arial"/>
                <w:sz w:val="18"/>
                <w:szCs w:val="18"/>
                <w:color w:val="auto"/>
              </w:rPr>
              <w:t>10.8</w:t>
            </w:r>
          </w:p>
        </w:tc>
        <w:tc>
          <w:tcPr>
            <w:tcW w:w="9560" w:type="dxa"/>
            <w:vAlign w:val="bottom"/>
            <w:tcBorders>
              <w:bottom w:val="single" w:sz="8" w:color="0000EE"/>
            </w:tcBorders>
            <w:gridSpan w:val="11"/>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Fourth Amendment to Office Lease and Assignment and Assumption of Lease dated as of March 29, 2018 by and between Blue Ash</w:t>
              </w:r>
            </w:hyperlink>
          </w:p>
        </w:tc>
        <w:tc>
          <w:tcPr>
            <w:tcW w:w="5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8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Landings Acquisition, LLC and Aerpio (incorporated herein by reference to Exhibit 10.1 to the Company’s 8-K filed with the Securities</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100" w:type="dxa"/>
            <w:vAlign w:val="bottom"/>
            <w:gridSpan w:val="26"/>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and Exchange Commission on April 2, 2018, File No. 000-53057))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20" w:type="dxa"/>
            <w:vAlign w:val="bottom"/>
            <w:gridSpan w:val="4"/>
            <w:shd w:val="clear" w:color="auto" w:fill="0000EE"/>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right"/>
              <w:ind w:right="652"/>
              <w:spacing w:after="0"/>
              <w:rPr>
                <w:sz w:val="20"/>
                <w:szCs w:val="20"/>
                <w:color w:val="auto"/>
              </w:rPr>
            </w:pPr>
            <w:r>
              <w:rPr>
                <w:rFonts w:ascii="Arial" w:cs="Arial" w:eastAsia="Arial" w:hAnsi="Arial"/>
                <w:sz w:val="18"/>
                <w:szCs w:val="18"/>
                <w:color w:val="auto"/>
              </w:rPr>
              <w:t>10.9</w:t>
            </w:r>
          </w:p>
        </w:tc>
        <w:tc>
          <w:tcPr>
            <w:tcW w:w="10100" w:type="dxa"/>
            <w:vAlign w:val="bottom"/>
            <w:gridSpan w:val="26"/>
          </w:tcPr>
          <w:p>
            <w:pPr>
              <w:spacing w:after="0"/>
              <w:rPr>
                <w:rFonts w:ascii="Arial" w:cs="Arial" w:eastAsia="Arial" w:hAnsi="Arial"/>
                <w:sz w:val="18"/>
                <w:szCs w:val="18"/>
                <w:color w:val="0000EE"/>
                <w:w w:val="94"/>
              </w:rPr>
            </w:pPr>
            <w:hyperlink r:id="rId157">
              <w:r>
                <w:rPr>
                  <w:rFonts w:ascii="Arial" w:cs="Arial" w:eastAsia="Arial" w:hAnsi="Arial"/>
                  <w:sz w:val="18"/>
                  <w:szCs w:val="18"/>
                  <w:color w:val="0000EE"/>
                  <w:w w:val="94"/>
                </w:rPr>
                <w:t>License Agreement dated June 24, 2018, by and between the Registrant and Gossamer Bio, Inc. (incorporated herein by reference to</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520" w:type="dxa"/>
            <w:vAlign w:val="bottom"/>
            <w:gridSpan w:val="10"/>
            <w:shd w:val="clear" w:color="auto" w:fill="0000EE"/>
          </w:tcPr>
          <w:p>
            <w:pPr>
              <w:spacing w:after="0" w:line="20" w:lineRule="exact"/>
              <w:rPr>
                <w:sz w:val="1"/>
                <w:szCs w:val="1"/>
                <w:color w:val="auto"/>
              </w:rPr>
            </w:pPr>
          </w:p>
        </w:tc>
        <w:tc>
          <w:tcPr>
            <w:tcW w:w="5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10100" w:type="dxa"/>
            <w:vAlign w:val="bottom"/>
            <w:gridSpan w:val="26"/>
          </w:tcPr>
          <w:p>
            <w:pPr>
              <w:spacing w:after="0"/>
              <w:rPr>
                <w:rFonts w:ascii="Arial" w:cs="Arial" w:eastAsia="Arial" w:hAnsi="Arial"/>
                <w:sz w:val="18"/>
                <w:szCs w:val="18"/>
                <w:u w:val="single" w:color="auto"/>
                <w:color w:val="0000EE"/>
                <w:w w:val="95"/>
              </w:rPr>
            </w:pPr>
            <w:hyperlink r:id="rId157">
              <w:r>
                <w:rPr>
                  <w:rFonts w:ascii="Arial" w:cs="Arial" w:eastAsia="Arial" w:hAnsi="Arial"/>
                  <w:sz w:val="18"/>
                  <w:szCs w:val="18"/>
                  <w:u w:val="single" w:color="auto"/>
                  <w:color w:val="0000EE"/>
                  <w:w w:val="95"/>
                </w:rPr>
                <w:t>Exhibit 10.1 to the Registrant’s Form 8-K filed with the Securities and Exchange Commission on June 25, 2018 (File No. 000-53057))</w:t>
              </w:r>
            </w:hyperlink>
          </w:p>
        </w:tc>
        <w:tc>
          <w:tcPr>
            <w:tcW w:w="0" w:type="dxa"/>
            <w:vAlign w:val="bottom"/>
          </w:tcPr>
          <w:p>
            <w:pPr>
              <w:spacing w:after="0"/>
              <w:rPr>
                <w:sz w:val="1"/>
                <w:szCs w:val="1"/>
                <w:color w:val="auto"/>
              </w:rPr>
            </w:pPr>
          </w:p>
        </w:tc>
      </w:tr>
      <w:tr>
        <w:trPr>
          <w:trHeight w:val="648"/>
        </w:trPr>
        <w:tc>
          <w:tcPr>
            <w:tcW w:w="1160" w:type="dxa"/>
            <w:vAlign w:val="bottom"/>
          </w:tcPr>
          <w:p>
            <w:pPr>
              <w:spacing w:after="0"/>
              <w:rPr>
                <w:sz w:val="24"/>
                <w:szCs w:val="24"/>
                <w:color w:val="auto"/>
              </w:rPr>
            </w:pPr>
          </w:p>
        </w:tc>
        <w:tc>
          <w:tcPr>
            <w:tcW w:w="4820" w:type="dxa"/>
            <w:vAlign w:val="bottom"/>
            <w:gridSpan w:val="4"/>
          </w:tcPr>
          <w:p>
            <w:pPr>
              <w:ind w:left="432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1160" w:type="dxa"/>
            <w:vAlign w:val="bottom"/>
          </w:tcPr>
          <w:p>
            <w:pPr>
              <w:ind w:left="100"/>
              <w:spacing w:after="0"/>
              <w:rPr>
                <w:sz w:val="20"/>
                <w:szCs w:val="20"/>
                <w:color w:val="auto"/>
              </w:rPr>
            </w:pPr>
            <w:r>
              <w:rPr>
                <w:rFonts w:ascii="Arial" w:cs="Arial" w:eastAsia="Arial" w:hAnsi="Arial"/>
                <w:sz w:val="18"/>
                <w:szCs w:val="18"/>
                <w:color w:val="auto"/>
              </w:rPr>
              <w:t>10.10#</w:t>
            </w:r>
          </w:p>
        </w:tc>
        <w:tc>
          <w:tcPr>
            <w:tcW w:w="10100" w:type="dxa"/>
            <w:vAlign w:val="bottom"/>
            <w:tcBorders>
              <w:bottom w:val="single" w:sz="8" w:color="0000EE"/>
            </w:tcBorders>
            <w:gridSpan w:val="24"/>
          </w:tcPr>
          <w:p>
            <w:pPr>
              <w:spacing w:after="0"/>
              <w:rPr>
                <w:rFonts w:ascii="Arial" w:cs="Arial" w:eastAsia="Arial" w:hAnsi="Arial"/>
                <w:sz w:val="18"/>
                <w:szCs w:val="18"/>
                <w:color w:val="0000EE"/>
                <w:w w:val="90"/>
              </w:rPr>
            </w:pPr>
            <w:hyperlink r:id="rId160">
              <w:r>
                <w:rPr>
                  <w:rFonts w:ascii="Arial" w:cs="Arial" w:eastAsia="Arial" w:hAnsi="Arial"/>
                  <w:sz w:val="18"/>
                  <w:szCs w:val="18"/>
                  <w:color w:val="0000EE"/>
                  <w:w w:val="90"/>
                </w:rPr>
                <w:t>Employment Agreement, dated March 15, 2017, between the Registrant and Joseph H. Gardner (incorporated herein by reference to Exhibit</w:t>
              </w:r>
            </w:hyperlink>
          </w:p>
        </w:tc>
      </w:tr>
      <w:tr>
        <w:trPr>
          <w:trHeight w:val="196"/>
        </w:trPr>
        <w:tc>
          <w:tcPr>
            <w:tcW w:w="116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8</w:t>
              </w:r>
              <w:r>
                <w:rPr>
                  <w:rFonts w:ascii="Arial" w:cs="Arial" w:eastAsia="Arial" w:hAnsi="Arial"/>
                  <w:sz w:val="18"/>
                  <w:szCs w:val="18"/>
                  <w:color w:val="0000EE"/>
                  <w:w w:val="91"/>
                </w:rPr>
                <w:t xml:space="preserve"> to the Registrant’s Registration Statement on Form S-1 filed with the Securities and Exchange Commission on April 14, 2017, File</w:t>
              </w:r>
            </w:hyperlink>
          </w:p>
        </w:tc>
        <w:tc>
          <w:tcPr>
            <w:tcW w:w="320" w:type="dxa"/>
            <w:vAlign w:val="bottom"/>
            <w:gridSpan w:val="9"/>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No. 333-217320)</w:t>
              </w:r>
            </w:hyperlink>
          </w:p>
        </w:tc>
        <w:tc>
          <w:tcPr>
            <w:tcW w:w="8860" w:type="dxa"/>
            <w:vAlign w:val="bottom"/>
            <w:gridSpan w:val="20"/>
          </w:tcPr>
          <w:p>
            <w:pPr>
              <w:spacing w:after="0"/>
              <w:rPr>
                <w:sz w:val="17"/>
                <w:szCs w:val="17"/>
                <w:color w:val="auto"/>
              </w:rPr>
            </w:pPr>
          </w:p>
        </w:tc>
      </w:tr>
      <w:tr>
        <w:trPr>
          <w:trHeight w:val="345"/>
        </w:trPr>
        <w:tc>
          <w:tcPr>
            <w:tcW w:w="1160" w:type="dxa"/>
            <w:vAlign w:val="bottom"/>
          </w:tcPr>
          <w:p>
            <w:pPr>
              <w:ind w:left="100"/>
              <w:spacing w:after="0"/>
              <w:rPr>
                <w:sz w:val="20"/>
                <w:szCs w:val="20"/>
                <w:color w:val="auto"/>
              </w:rPr>
            </w:pPr>
            <w:r>
              <w:rPr>
                <w:rFonts w:ascii="Arial" w:cs="Arial" w:eastAsia="Arial" w:hAnsi="Arial"/>
                <w:sz w:val="18"/>
                <w:szCs w:val="18"/>
                <w:color w:val="auto"/>
              </w:rPr>
              <w:t>10.11#</w:t>
            </w:r>
          </w:p>
        </w:tc>
        <w:tc>
          <w:tcPr>
            <w:tcW w:w="9660" w:type="dxa"/>
            <w:vAlign w:val="bottom"/>
            <w:tcBorders>
              <w:bottom w:val="single" w:sz="8" w:color="0000EE"/>
            </w:tcBorders>
            <w:gridSpan w:val="14"/>
          </w:tcPr>
          <w:p>
            <w:pPr>
              <w:spacing w:after="0"/>
              <w:rPr>
                <w:rFonts w:ascii="Arial" w:cs="Arial" w:eastAsia="Arial" w:hAnsi="Arial"/>
                <w:sz w:val="18"/>
                <w:szCs w:val="18"/>
                <w:color w:val="0000EE"/>
                <w:w w:val="89"/>
              </w:rPr>
            </w:pPr>
            <w:hyperlink r:id="rId161">
              <w:r>
                <w:rPr>
                  <w:rFonts w:ascii="Arial" w:cs="Arial" w:eastAsia="Arial" w:hAnsi="Arial"/>
                  <w:sz w:val="18"/>
                  <w:szCs w:val="18"/>
                  <w:color w:val="0000EE"/>
                  <w:w w:val="89"/>
                </w:rPr>
                <w:t>Employment Agreement, dated as of March 15, 2017, between the Registrant and Kevin G. Peters (</w:t>
              </w:r>
              <w:r>
                <w:rPr>
                  <w:rFonts w:ascii="Arial" w:cs="Arial" w:eastAsia="Arial" w:hAnsi="Arial"/>
                  <w:sz w:val="18"/>
                  <w:szCs w:val="18"/>
                  <w:color w:val="0000EE"/>
                  <w:highlight w:val="white"/>
                  <w:w w:val="89"/>
                </w:rPr>
                <w:t>incorporated herein by reference to</w:t>
              </w:r>
            </w:hyperlink>
          </w:p>
        </w:tc>
        <w:tc>
          <w:tcPr>
            <w:tcW w:w="440" w:type="dxa"/>
            <w:vAlign w:val="bottom"/>
            <w:gridSpan w:val="10"/>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Exhibit 10.9 to the Registrant’s Registration Statement on Form S-1 filed with the Securities and Exchange Commission on April 14, 2017,</w:t>
              </w:r>
            </w:hyperlink>
          </w:p>
        </w:tc>
        <w:tc>
          <w:tcPr>
            <w:tcW w:w="6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5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File No. 333-217320)</w:t>
              </w:r>
            </w:hyperlink>
          </w:p>
        </w:tc>
        <w:tc>
          <w:tcPr>
            <w:tcW w:w="8540" w:type="dxa"/>
            <w:vAlign w:val="bottom"/>
            <w:gridSpan w:val="18"/>
          </w:tcPr>
          <w:p>
            <w:pPr>
              <w:spacing w:after="0"/>
              <w:rPr>
                <w:sz w:val="17"/>
                <w:szCs w:val="17"/>
                <w:color w:val="auto"/>
              </w:rPr>
            </w:pPr>
          </w:p>
        </w:tc>
      </w:tr>
      <w:tr>
        <w:trPr>
          <w:trHeight w:val="412"/>
        </w:trPr>
        <w:tc>
          <w:tcPr>
            <w:tcW w:w="1160" w:type="dxa"/>
            <w:vAlign w:val="bottom"/>
          </w:tcPr>
          <w:p>
            <w:pPr>
              <w:ind w:left="100"/>
              <w:spacing w:after="0"/>
              <w:rPr>
                <w:sz w:val="20"/>
                <w:szCs w:val="20"/>
                <w:color w:val="auto"/>
              </w:rPr>
            </w:pPr>
            <w:r>
              <w:rPr>
                <w:rFonts w:ascii="Arial" w:cs="Arial" w:eastAsia="Arial" w:hAnsi="Arial"/>
                <w:sz w:val="18"/>
                <w:szCs w:val="18"/>
                <w:color w:val="auto"/>
              </w:rPr>
              <w:t>10.12</w:t>
            </w:r>
          </w:p>
        </w:tc>
        <w:tc>
          <w:tcPr>
            <w:tcW w:w="10100" w:type="dxa"/>
            <w:vAlign w:val="bottom"/>
            <w:gridSpan w:val="24"/>
          </w:tcPr>
          <w:p>
            <w:pPr>
              <w:spacing w:after="0"/>
              <w:rPr>
                <w:rFonts w:ascii="Arial" w:cs="Arial" w:eastAsia="Arial" w:hAnsi="Arial"/>
                <w:sz w:val="18"/>
                <w:szCs w:val="18"/>
                <w:color w:val="0000EE"/>
                <w:w w:val="93"/>
              </w:rPr>
            </w:pPr>
            <w:hyperlink r:id="rId162">
              <w:r>
                <w:rPr>
                  <w:rFonts w:ascii="Arial" w:cs="Arial" w:eastAsia="Arial" w:hAnsi="Arial"/>
                  <w:sz w:val="18"/>
                  <w:szCs w:val="18"/>
                  <w:color w:val="0000EE"/>
                  <w:w w:val="93"/>
                </w:rPr>
                <w:t>First Amendment to Employment Agreement, dated October 8, 2017, by and between the Registrant and Joseph Gardner (incorporated</w:t>
              </w:r>
            </w:hyperlink>
          </w:p>
        </w:tc>
      </w:tr>
      <w:tr>
        <w:trPr>
          <w:trHeight w:val="20"/>
        </w:trPr>
        <w:tc>
          <w:tcPr>
            <w:tcW w:w="11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herein by reference to Exhibit 10.2 to the Registrant’s Form 8-K filed with the Securities and Exchange Commission on October 10, 2017,</w:t>
              </w:r>
            </w:hyperlink>
          </w:p>
        </w:tc>
        <w:tc>
          <w:tcPr>
            <w:tcW w:w="140" w:type="dxa"/>
            <w:vAlign w:val="bottom"/>
            <w:gridSpan w:val="7"/>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100" w:type="dxa"/>
            <w:vAlign w:val="bottom"/>
            <w:gridSpan w:val="24"/>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File No. 000-53057)</w:t>
              </w:r>
            </w:hyperlink>
          </w:p>
        </w:tc>
      </w:tr>
      <w:tr>
        <w:trPr>
          <w:trHeight w:val="20"/>
        </w:trPr>
        <w:tc>
          <w:tcPr>
            <w:tcW w:w="11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10.13</w:t>
            </w:r>
          </w:p>
        </w:tc>
        <w:tc>
          <w:tcPr>
            <w:tcW w:w="10080" w:type="dxa"/>
            <w:vAlign w:val="bottom"/>
            <w:tcBorders>
              <w:bottom w:val="single" w:sz="8" w:color="0000EE"/>
            </w:tcBorders>
            <w:gridSpan w:val="23"/>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Registration Rights Agreement by and among the Registrant and certain former stockholders of Aerpio (incorporated herein by reference to</w:t>
              </w:r>
            </w:hyperlink>
          </w:p>
        </w:tc>
        <w:tc>
          <w:tcPr>
            <w:tcW w:w="20" w:type="dxa"/>
            <w:vAlign w:val="bottom"/>
          </w:tcPr>
          <w:p>
            <w:pPr>
              <w:spacing w:after="0"/>
              <w:rPr>
                <w:sz w:val="24"/>
                <w:szCs w:val="24"/>
                <w:color w:val="auto"/>
              </w:rPr>
            </w:pPr>
          </w:p>
        </w:tc>
      </w:tr>
      <w:tr>
        <w:trPr>
          <w:trHeight w:val="237"/>
        </w:trPr>
        <w:tc>
          <w:tcPr>
            <w:tcW w:w="1160" w:type="dxa"/>
            <w:vAlign w:val="bottom"/>
          </w:tcPr>
          <w:p>
            <w:pPr>
              <w:spacing w:after="0"/>
              <w:rPr>
                <w:sz w:val="20"/>
                <w:szCs w:val="20"/>
                <w:color w:val="auto"/>
              </w:rPr>
            </w:pPr>
          </w:p>
        </w:tc>
        <w:tc>
          <w:tcPr>
            <w:tcW w:w="10100" w:type="dxa"/>
            <w:vAlign w:val="bottom"/>
            <w:gridSpan w:val="24"/>
          </w:tcPr>
          <w:p>
            <w:pPr>
              <w:spacing w:after="0"/>
              <w:rPr>
                <w:rFonts w:ascii="Arial" w:cs="Arial" w:eastAsia="Arial" w:hAnsi="Arial"/>
                <w:sz w:val="18"/>
                <w:szCs w:val="18"/>
                <w:u w:val="single" w:color="auto"/>
                <w:color w:val="0000EE"/>
                <w:w w:val="94"/>
              </w:rPr>
            </w:pPr>
            <w:hyperlink r:id="rId163">
              <w:r>
                <w:rPr>
                  <w:rFonts w:ascii="Arial" w:cs="Arial" w:eastAsia="Arial" w:hAnsi="Arial"/>
                  <w:sz w:val="18"/>
                  <w:szCs w:val="18"/>
                  <w:u w:val="single" w:color="auto"/>
                  <w:color w:val="0000EE"/>
                  <w:w w:val="94"/>
                </w:rPr>
                <w:t>Exhibit 10.9 to the Registrant’s Form 8-K filed with the Securities and Exchange Commission on March 17, 2017, File No. 000-53057).</w:t>
              </w:r>
            </w:hyperlink>
          </w:p>
        </w:tc>
      </w:tr>
      <w:tr>
        <w:trPr>
          <w:trHeight w:val="297"/>
        </w:trPr>
        <w:tc>
          <w:tcPr>
            <w:tcW w:w="1160" w:type="dxa"/>
            <w:vAlign w:val="bottom"/>
          </w:tcPr>
          <w:p>
            <w:pPr>
              <w:ind w:left="100"/>
              <w:spacing w:after="0"/>
              <w:rPr>
                <w:sz w:val="20"/>
                <w:szCs w:val="20"/>
                <w:color w:val="auto"/>
              </w:rPr>
            </w:pPr>
            <w:r>
              <w:rPr>
                <w:rFonts w:ascii="Arial" w:cs="Arial" w:eastAsia="Arial" w:hAnsi="Arial"/>
                <w:sz w:val="18"/>
                <w:szCs w:val="18"/>
                <w:color w:val="auto"/>
              </w:rPr>
              <w:t>10.14</w:t>
            </w:r>
          </w:p>
        </w:tc>
        <w:tc>
          <w:tcPr>
            <w:tcW w:w="10060" w:type="dxa"/>
            <w:vAlign w:val="bottom"/>
            <w:tcBorders>
              <w:bottom w:val="single" w:sz="8" w:color="0000EE"/>
            </w:tcBorders>
            <w:gridSpan w:val="22"/>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Senior Cash Incentive Bonus Plan of the Registrant (incorporated herein by reference to Exhibit 10.15 to the Registrant’s Annual Report on</w:t>
              </w:r>
            </w:hyperlink>
          </w:p>
        </w:tc>
        <w:tc>
          <w:tcPr>
            <w:tcW w:w="4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3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Form 10-K filed with Securities and Exchange Commission on March 15, 2018, File No. 000-53057).</w:t>
              </w:r>
            </w:hyperlink>
          </w:p>
        </w:tc>
        <w:tc>
          <w:tcPr>
            <w:tcW w:w="2760" w:type="dxa"/>
            <w:vAlign w:val="bottom"/>
            <w:gridSpan w:val="13"/>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10.15#</w:t>
            </w:r>
          </w:p>
        </w:tc>
        <w:tc>
          <w:tcPr>
            <w:tcW w:w="9660" w:type="dxa"/>
            <w:vAlign w:val="bottom"/>
            <w:tcBorders>
              <w:bottom w:val="single" w:sz="8" w:color="0000EE"/>
            </w:tcBorders>
            <w:gridSpan w:val="14"/>
          </w:tcPr>
          <w:p>
            <w:pP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Form of Inducement Stock Option Award (incorporated herein by reference to Exhibit 99.1 to the Registrant’s Form S-8 filed with the</w:t>
              </w:r>
            </w:hyperlink>
          </w:p>
        </w:tc>
        <w:tc>
          <w:tcPr>
            <w:tcW w:w="440" w:type="dxa"/>
            <w:vAlign w:val="bottom"/>
            <w:gridSpan w:val="10"/>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0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Securities and Exchange Commission on December 28, 2018 (File No. 333-229089)</w:t>
              </w:r>
            </w:hyperlink>
          </w:p>
        </w:tc>
        <w:tc>
          <w:tcPr>
            <w:tcW w:w="4020" w:type="dxa"/>
            <w:vAlign w:val="bottom"/>
            <w:gridSpan w:val="14"/>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10.16#</w:t>
            </w:r>
          </w:p>
        </w:tc>
        <w:tc>
          <w:tcPr>
            <w:tcW w:w="10100" w:type="dxa"/>
            <w:vAlign w:val="bottom"/>
            <w:gridSpan w:val="24"/>
          </w:tcPr>
          <w:p>
            <w:pPr>
              <w:spacing w:after="0"/>
              <w:rPr>
                <w:rFonts w:ascii="Arial" w:cs="Arial" w:eastAsia="Arial" w:hAnsi="Arial"/>
                <w:sz w:val="18"/>
                <w:szCs w:val="18"/>
                <w:color w:val="0000EE"/>
                <w:w w:val="94"/>
              </w:rPr>
            </w:pPr>
            <w:hyperlink r:id="rId166">
              <w:r>
                <w:rPr>
                  <w:rFonts w:ascii="Arial" w:cs="Arial" w:eastAsia="Arial" w:hAnsi="Arial"/>
                  <w:sz w:val="18"/>
                  <w:szCs w:val="18"/>
                  <w:color w:val="0000EE"/>
                  <w:w w:val="94"/>
                </w:rPr>
                <w:t>Employment Agreement, effective as of November 6, 2019, by and between the Registrant and Regina Marek (incorporated herein by</w:t>
              </w:r>
            </w:hyperlink>
          </w:p>
        </w:tc>
      </w:tr>
      <w:tr>
        <w:trPr>
          <w:trHeight w:val="20"/>
        </w:trPr>
        <w:tc>
          <w:tcPr>
            <w:tcW w:w="11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7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100" w:type="dxa"/>
            <w:vAlign w:val="bottom"/>
            <w:gridSpan w:val="24"/>
          </w:tcPr>
          <w:p>
            <w:pPr>
              <w:spacing w:after="0" w:line="196"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reference to Exhibit 10.1 to the Registrant’s Form 8-K filed with the Securities and Exchange Commission on November 7, 2019, File No.</w:t>
              </w:r>
            </w:hyperlink>
          </w:p>
        </w:tc>
      </w:tr>
      <w:tr>
        <w:trPr>
          <w:trHeight w:val="196"/>
        </w:trPr>
        <w:tc>
          <w:tcPr>
            <w:tcW w:w="1160" w:type="dxa"/>
            <w:vAlign w:val="bottom"/>
          </w:tcPr>
          <w:p>
            <w:pPr>
              <w:spacing w:after="0"/>
              <w:rPr>
                <w:sz w:val="17"/>
                <w:szCs w:val="17"/>
                <w:color w:val="auto"/>
              </w:rPr>
            </w:pPr>
          </w:p>
        </w:tc>
        <w:tc>
          <w:tcPr>
            <w:tcW w:w="8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66">
              <w:r>
                <w:rPr>
                  <w:rFonts w:ascii="Arial" w:cs="Arial" w:eastAsia="Arial" w:hAnsi="Arial"/>
                  <w:sz w:val="18"/>
                  <w:szCs w:val="18"/>
                  <w:color w:val="0000EE"/>
                  <w:w w:val="89"/>
                </w:rPr>
                <w:t>001-38560)</w:t>
              </w:r>
            </w:hyperlink>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60" w:type="dxa"/>
            <w:vAlign w:val="bottom"/>
          </w:tcPr>
          <w:p>
            <w:pPr>
              <w:ind w:left="100"/>
              <w:spacing w:after="0"/>
              <w:rPr>
                <w:sz w:val="20"/>
                <w:szCs w:val="20"/>
                <w:color w:val="auto"/>
              </w:rPr>
            </w:pPr>
            <w:r>
              <w:rPr>
                <w:rFonts w:ascii="Arial" w:cs="Arial" w:eastAsia="Arial" w:hAnsi="Arial"/>
                <w:sz w:val="18"/>
                <w:szCs w:val="18"/>
                <w:color w:val="auto"/>
              </w:rPr>
              <w:t>10.17#</w:t>
            </w:r>
          </w:p>
        </w:tc>
        <w:tc>
          <w:tcPr>
            <w:tcW w:w="10100" w:type="dxa"/>
            <w:vAlign w:val="bottom"/>
            <w:gridSpan w:val="24"/>
          </w:tcPr>
          <w:p>
            <w:pPr>
              <w:spacing w:after="0"/>
              <w:rPr>
                <w:rFonts w:ascii="Arial" w:cs="Arial" w:eastAsia="Arial" w:hAnsi="Arial"/>
                <w:sz w:val="18"/>
                <w:szCs w:val="18"/>
                <w:color w:val="0000EE"/>
                <w:w w:val="93"/>
              </w:rPr>
            </w:pPr>
            <w:hyperlink r:id="rId167">
              <w:r>
                <w:rPr>
                  <w:rFonts w:ascii="Arial" w:cs="Arial" w:eastAsia="Arial" w:hAnsi="Arial"/>
                  <w:sz w:val="18"/>
                  <w:szCs w:val="18"/>
                  <w:color w:val="0000EE"/>
                  <w:w w:val="93"/>
                </w:rPr>
                <w:t>Second Amendment to Employment Agreement dated January 31, 2021, by and between Registrant and Joseph Gardner (incorporated</w:t>
              </w:r>
            </w:hyperlink>
          </w:p>
        </w:tc>
      </w:tr>
      <w:tr>
        <w:trPr>
          <w:trHeight w:val="20"/>
        </w:trPr>
        <w:tc>
          <w:tcPr>
            <w:tcW w:w="1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7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herein by reference to Exhibit 10.1 to the Registrant’s Form 8-K filed with the Securities and Exchange Commission on February 1, 2021,</w:t>
              </w:r>
            </w:hyperlink>
          </w:p>
        </w:tc>
        <w:tc>
          <w:tcPr>
            <w:tcW w:w="160" w:type="dxa"/>
            <w:vAlign w:val="bottom"/>
            <w:gridSpan w:val="8"/>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100" w:type="dxa"/>
            <w:vAlign w:val="bottom"/>
            <w:gridSpan w:val="24"/>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File No. 001-38560)</w:t>
              </w:r>
            </w:hyperlink>
          </w:p>
        </w:tc>
      </w:tr>
      <w:tr>
        <w:trPr>
          <w:trHeight w:val="20"/>
        </w:trPr>
        <w:tc>
          <w:tcPr>
            <w:tcW w:w="1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2"/>
        </w:trPr>
        <w:tc>
          <w:tcPr>
            <w:tcW w:w="1160" w:type="dxa"/>
            <w:vAlign w:val="bottom"/>
          </w:tcPr>
          <w:p>
            <w:pPr>
              <w:ind w:left="100"/>
              <w:spacing w:after="0"/>
              <w:rPr>
                <w:sz w:val="20"/>
                <w:szCs w:val="20"/>
                <w:color w:val="auto"/>
              </w:rPr>
            </w:pPr>
            <w:r>
              <w:rPr>
                <w:rFonts w:ascii="Arial" w:cs="Arial" w:eastAsia="Arial" w:hAnsi="Arial"/>
                <w:sz w:val="18"/>
                <w:szCs w:val="18"/>
                <w:color w:val="auto"/>
              </w:rPr>
              <w:t>10.18#</w:t>
            </w:r>
          </w:p>
        </w:tc>
        <w:tc>
          <w:tcPr>
            <w:tcW w:w="10020" w:type="dxa"/>
            <w:vAlign w:val="bottom"/>
            <w:tcBorders>
              <w:bottom w:val="single" w:sz="8" w:color="0000EE"/>
            </w:tcBorders>
            <w:gridSpan w:val="20"/>
          </w:tcPr>
          <w:p>
            <w:pPr>
              <w:spacing w:after="0"/>
              <w:rPr>
                <w:rFonts w:ascii="Arial" w:cs="Arial" w:eastAsia="Arial" w:hAnsi="Arial"/>
                <w:sz w:val="18"/>
                <w:szCs w:val="18"/>
                <w:color w:val="0000EE"/>
                <w:w w:val="89"/>
              </w:rPr>
            </w:pPr>
            <w:hyperlink r:id="rId168">
              <w:r>
                <w:rPr>
                  <w:rFonts w:ascii="Arial" w:cs="Arial" w:eastAsia="Arial" w:hAnsi="Arial"/>
                  <w:sz w:val="18"/>
                  <w:szCs w:val="18"/>
                  <w:color w:val="0000EE"/>
                  <w:w w:val="89"/>
                </w:rPr>
                <w:t>Transitional Services and Separation Agreement, dated February 9, 2021, by and between the Registrant and Kevin G. Peters (incorporated</w:t>
              </w:r>
            </w:hyperlink>
          </w:p>
        </w:tc>
        <w:tc>
          <w:tcPr>
            <w:tcW w:w="8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herein by reference to Exhibit 10.1 to the Registrant’s Form 8-K filed with the Securities and Exchange Commission on February 16, 2021,</w:t>
              </w:r>
            </w:hyperlink>
          </w:p>
        </w:tc>
        <w:tc>
          <w:tcPr>
            <w:tcW w:w="6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100" w:type="dxa"/>
            <w:vAlign w:val="bottom"/>
            <w:gridSpan w:val="24"/>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File No. 001-38560)</w:t>
              </w:r>
            </w:hyperlink>
          </w:p>
        </w:tc>
      </w:tr>
      <w:tr>
        <w:trPr>
          <w:trHeight w:val="20"/>
        </w:trPr>
        <w:tc>
          <w:tcPr>
            <w:tcW w:w="1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21.1</w:t>
            </w:r>
          </w:p>
        </w:tc>
        <w:tc>
          <w:tcPr>
            <w:tcW w:w="10100" w:type="dxa"/>
            <w:vAlign w:val="bottom"/>
            <w:gridSpan w:val="24"/>
          </w:tcPr>
          <w:p>
            <w:pPr>
              <w:spacing w:after="0"/>
              <w:rPr>
                <w:rFonts w:ascii="Arial" w:cs="Arial" w:eastAsia="Arial" w:hAnsi="Arial"/>
                <w:sz w:val="18"/>
                <w:szCs w:val="18"/>
                <w:color w:val="0000EE"/>
                <w:w w:val="98"/>
              </w:rPr>
            </w:pPr>
            <w:hyperlink r:id="rId169">
              <w:r>
                <w:rPr>
                  <w:rFonts w:ascii="Arial" w:cs="Arial" w:eastAsia="Arial" w:hAnsi="Arial"/>
                  <w:sz w:val="18"/>
                  <w:szCs w:val="18"/>
                  <w:color w:val="0000EE"/>
                  <w:w w:val="98"/>
                </w:rPr>
                <w:t>Subsidiaries of the Registrant (incorporated herein by reference to Exhibit 21.1 to the Company’s 8-K filed with the Securities and</w:t>
              </w:r>
            </w:hyperlink>
          </w:p>
        </w:tc>
      </w:tr>
      <w:tr>
        <w:trPr>
          <w:trHeight w:val="196"/>
        </w:trPr>
        <w:tc>
          <w:tcPr>
            <w:tcW w:w="1160" w:type="dxa"/>
            <w:vAlign w:val="bottom"/>
          </w:tcPr>
          <w:p>
            <w:pPr>
              <w:spacing w:after="0"/>
              <w:rPr>
                <w:sz w:val="17"/>
                <w:szCs w:val="17"/>
                <w:color w:val="auto"/>
              </w:rPr>
            </w:pPr>
          </w:p>
        </w:tc>
        <w:tc>
          <w:tcPr>
            <w:tcW w:w="93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Exchange Commission on March 17, 2017, File No. 000-53057).</w:t>
              </w:r>
            </w:hyperlink>
          </w:p>
        </w:tc>
        <w:tc>
          <w:tcPr>
            <w:tcW w:w="720" w:type="dxa"/>
            <w:vAlign w:val="bottom"/>
            <w:gridSpan w:val="12"/>
          </w:tcPr>
          <w:p>
            <w:pPr>
              <w:spacing w:after="0"/>
              <w:rPr>
                <w:sz w:val="17"/>
                <w:szCs w:val="17"/>
                <w:color w:val="auto"/>
              </w:rPr>
            </w:pPr>
          </w:p>
        </w:tc>
      </w:tr>
      <w:tr>
        <w:trPr>
          <w:trHeight w:val="358"/>
        </w:trPr>
        <w:tc>
          <w:tcPr>
            <w:tcW w:w="1160" w:type="dxa"/>
            <w:vAlign w:val="bottom"/>
          </w:tcPr>
          <w:p>
            <w:pPr>
              <w:ind w:left="100"/>
              <w:spacing w:after="0"/>
              <w:rPr>
                <w:sz w:val="20"/>
                <w:szCs w:val="20"/>
                <w:color w:val="auto"/>
              </w:rPr>
            </w:pPr>
            <w:r>
              <w:rPr>
                <w:rFonts w:ascii="Arial" w:cs="Arial" w:eastAsia="Arial" w:hAnsi="Arial"/>
                <w:sz w:val="18"/>
                <w:szCs w:val="18"/>
                <w:color w:val="auto"/>
              </w:rPr>
              <w:t>23.1*</w:t>
            </w:r>
          </w:p>
        </w:tc>
        <w:tc>
          <w:tcPr>
            <w:tcW w:w="4680" w:type="dxa"/>
            <w:vAlign w:val="bottom"/>
            <w:tcBorders>
              <w:top w:val="single" w:sz="8" w:color="0000EE"/>
            </w:tcBorders>
            <w:gridSpan w:val="9"/>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Consent of Ernst &amp; Young LLP</w:t>
              </w:r>
            </w:hyperlink>
          </w:p>
        </w:tc>
        <w:tc>
          <w:tcPr>
            <w:tcW w:w="5420" w:type="dxa"/>
            <w:vAlign w:val="bottom"/>
            <w:gridSpan w:val="15"/>
          </w:tcPr>
          <w:p>
            <w:pPr>
              <w:spacing w:after="0"/>
              <w:rPr>
                <w:sz w:val="24"/>
                <w:szCs w:val="24"/>
                <w:color w:val="auto"/>
              </w:rPr>
            </w:pPr>
          </w:p>
        </w:tc>
      </w:tr>
      <w:tr>
        <w:trPr>
          <w:trHeight w:val="297"/>
        </w:trPr>
        <w:tc>
          <w:tcPr>
            <w:tcW w:w="1160" w:type="dxa"/>
            <w:vAlign w:val="bottom"/>
          </w:tcPr>
          <w:p>
            <w:pPr>
              <w:ind w:left="100"/>
              <w:spacing w:after="0"/>
              <w:rPr>
                <w:sz w:val="20"/>
                <w:szCs w:val="20"/>
                <w:color w:val="auto"/>
              </w:rPr>
            </w:pPr>
            <w:r>
              <w:rPr>
                <w:rFonts w:ascii="Arial" w:cs="Arial" w:eastAsia="Arial" w:hAnsi="Arial"/>
                <w:sz w:val="18"/>
                <w:szCs w:val="18"/>
                <w:color w:val="auto"/>
              </w:rPr>
              <w:t>31.1*</w:t>
            </w:r>
          </w:p>
        </w:tc>
        <w:tc>
          <w:tcPr>
            <w:tcW w:w="10100" w:type="dxa"/>
            <w:vAlign w:val="bottom"/>
            <w:gridSpan w:val="24"/>
          </w:tcPr>
          <w:p>
            <w:pPr>
              <w:spacing w:after="0"/>
              <w:rPr>
                <w:rFonts w:ascii="Arial" w:cs="Arial" w:eastAsia="Arial" w:hAnsi="Arial"/>
                <w:sz w:val="18"/>
                <w:szCs w:val="18"/>
                <w:color w:val="0000EE"/>
                <w:w w:val="89"/>
              </w:rPr>
            </w:pPr>
            <w:hyperlink w:anchor="page129">
              <w:r>
                <w:rPr>
                  <w:rFonts w:ascii="Arial" w:cs="Arial" w:eastAsia="Arial" w:hAnsi="Arial"/>
                  <w:sz w:val="18"/>
                  <w:szCs w:val="18"/>
                  <w:color w:val="0000EE"/>
                  <w:w w:val="89"/>
                </w:rPr>
                <w:t>Certification of Principal Executive Officer Pursuant to Rules 13a-14(a) and 15d-14(a) under the Securities Exchange Act of 1934, as Adopted</w:t>
              </w:r>
            </w:hyperlink>
          </w:p>
        </w:tc>
      </w:tr>
      <w:tr>
        <w:trPr>
          <w:trHeight w:val="196"/>
        </w:trPr>
        <w:tc>
          <w:tcPr>
            <w:tcW w:w="116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129">
              <w:r>
                <w:rPr>
                  <w:rFonts w:ascii="Arial" w:cs="Arial" w:eastAsia="Arial" w:hAnsi="Arial"/>
                  <w:sz w:val="18"/>
                  <w:szCs w:val="18"/>
                  <w:color w:val="0000EE"/>
                  <w:w w:val="87"/>
                </w:rPr>
                <w:t>Pursuant to Section 302 of the Sarbanes-Oxley Act of 2002.</w:t>
              </w:r>
            </w:hyperlink>
          </w:p>
        </w:tc>
        <w:tc>
          <w:tcPr>
            <w:tcW w:w="5800" w:type="dxa"/>
            <w:vAlign w:val="bottom"/>
            <w:tcBorders>
              <w:top w:val="single" w:sz="8" w:color="0000EE"/>
            </w:tcBorders>
            <w:gridSpan w:val="12"/>
          </w:tcPr>
          <w:p>
            <w:pPr>
              <w:spacing w:after="0"/>
              <w:rPr>
                <w:sz w:val="17"/>
                <w:szCs w:val="17"/>
                <w:color w:val="auto"/>
              </w:rPr>
            </w:pPr>
          </w:p>
        </w:tc>
        <w:tc>
          <w:tcPr>
            <w:tcW w:w="80" w:type="dxa"/>
            <w:vAlign w:val="bottom"/>
            <w:gridSpan w:val="4"/>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31.2*</w:t>
            </w:r>
          </w:p>
        </w:tc>
        <w:tc>
          <w:tcPr>
            <w:tcW w:w="99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130">
              <w:r>
                <w:rPr>
                  <w:rFonts w:ascii="Arial" w:cs="Arial" w:eastAsia="Arial" w:hAnsi="Arial"/>
                  <w:sz w:val="18"/>
                  <w:szCs w:val="18"/>
                  <w:color w:val="0000EE"/>
                  <w:w w:val="88"/>
                </w:rPr>
                <w:t>Certification of Principal Financial Officer Pursuant to Rules 13a-14(a) and 15d-14(a) under the Securities Exchange Act of 1934, as Adopted</w:t>
              </w:r>
            </w:hyperlink>
          </w:p>
        </w:tc>
        <w:tc>
          <w:tcPr>
            <w:tcW w:w="120" w:type="dxa"/>
            <w:vAlign w:val="bottom"/>
            <w:gridSpan w:val="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100" w:type="dxa"/>
            <w:vAlign w:val="bottom"/>
            <w:gridSpan w:val="24"/>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Pursuant to Section 302 of the Sarbanes-Oxley Act of 2002.</w:t>
              </w:r>
            </w:hyperlink>
          </w:p>
        </w:tc>
      </w:tr>
      <w:tr>
        <w:trPr>
          <w:trHeight w:val="20"/>
        </w:trPr>
        <w:tc>
          <w:tcPr>
            <w:tcW w:w="1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580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32.1**</w:t>
            </w:r>
          </w:p>
        </w:tc>
        <w:tc>
          <w:tcPr>
            <w:tcW w:w="10100" w:type="dxa"/>
            <w:vAlign w:val="bottom"/>
            <w:gridSpan w:val="24"/>
          </w:tcPr>
          <w:p>
            <w:pPr>
              <w:spacing w:after="0"/>
              <w:rPr>
                <w:rFonts w:ascii="Arial" w:cs="Arial" w:eastAsia="Arial" w:hAnsi="Arial"/>
                <w:sz w:val="18"/>
                <w:szCs w:val="18"/>
                <w:color w:val="0000EE"/>
                <w:w w:val="91"/>
              </w:rPr>
            </w:pPr>
            <w:hyperlink w:anchor="page131">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31">
              <w:r>
                <w:rPr>
                  <w:rFonts w:ascii="Arial" w:cs="Arial" w:eastAsia="Arial" w:hAnsi="Arial"/>
                  <w:sz w:val="18"/>
                  <w:szCs w:val="18"/>
                  <w:color w:val="0000EE"/>
                  <w:w w:val="93"/>
                </w:rPr>
                <w:t>Act of 2002.</w:t>
              </w:r>
            </w:hyperlink>
          </w:p>
        </w:tc>
        <w:tc>
          <w:tcPr>
            <w:tcW w:w="9120" w:type="dxa"/>
            <w:vAlign w:val="bottom"/>
            <w:tcBorders>
              <w:top w:val="single" w:sz="8" w:color="0000EE"/>
            </w:tcBorders>
            <w:gridSpan w:val="18"/>
          </w:tcPr>
          <w:p>
            <w:pPr>
              <w:spacing w:after="0"/>
              <w:rPr>
                <w:sz w:val="17"/>
                <w:szCs w:val="17"/>
                <w:color w:val="auto"/>
              </w:rPr>
            </w:pPr>
          </w:p>
        </w:tc>
        <w:tc>
          <w:tcPr>
            <w:tcW w:w="60" w:type="dxa"/>
            <w:vAlign w:val="bottom"/>
            <w:gridSpan w:val="3"/>
          </w:tcPr>
          <w:p>
            <w:pPr>
              <w:spacing w:after="0"/>
              <w:rPr>
                <w:sz w:val="17"/>
                <w:szCs w:val="17"/>
                <w:color w:val="auto"/>
              </w:rPr>
            </w:pPr>
          </w:p>
        </w:tc>
      </w:tr>
      <w:tr>
        <w:trPr>
          <w:trHeight w:val="317"/>
        </w:trPr>
        <w:tc>
          <w:tcPr>
            <w:tcW w:w="1160" w:type="dxa"/>
            <w:vAlign w:val="bottom"/>
          </w:tcPr>
          <w:p>
            <w:pPr>
              <w:ind w:left="100"/>
              <w:spacing w:after="0"/>
              <w:rPr>
                <w:sz w:val="20"/>
                <w:szCs w:val="20"/>
                <w:color w:val="auto"/>
              </w:rPr>
            </w:pPr>
            <w:r>
              <w:rPr>
                <w:rFonts w:ascii="Arial" w:cs="Arial" w:eastAsia="Arial" w:hAnsi="Arial"/>
                <w:sz w:val="18"/>
                <w:szCs w:val="18"/>
                <w:color w:val="auto"/>
              </w:rPr>
              <w:t>32.2**</w:t>
            </w:r>
          </w:p>
        </w:tc>
        <w:tc>
          <w:tcPr>
            <w:tcW w:w="1000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132">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100" w:type="dxa"/>
            <w:vAlign w:val="bottom"/>
            <w:gridSpan w:val="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32">
              <w:r>
                <w:rPr>
                  <w:rFonts w:ascii="Arial" w:cs="Arial" w:eastAsia="Arial" w:hAnsi="Arial"/>
                  <w:sz w:val="18"/>
                  <w:szCs w:val="18"/>
                  <w:color w:val="0000EE"/>
                  <w:w w:val="91"/>
                </w:rPr>
                <w:t>Act of 2002.</w:t>
              </w:r>
            </w:hyperlink>
          </w:p>
        </w:tc>
        <w:tc>
          <w:tcPr>
            <w:tcW w:w="9200" w:type="dxa"/>
            <w:vAlign w:val="bottom"/>
            <w:gridSpan w:val="22"/>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4680" w:type="dxa"/>
            <w:vAlign w:val="bottom"/>
            <w:gridSpan w:val="9"/>
          </w:tcPr>
          <w:p>
            <w:pPr>
              <w:ind w:left="4320"/>
              <w:spacing w:after="0"/>
              <w:rPr>
                <w:sz w:val="20"/>
                <w:szCs w:val="20"/>
                <w:color w:val="auto"/>
              </w:rPr>
            </w:pPr>
            <w:r>
              <w:rPr>
                <w:rFonts w:ascii="Arial" w:cs="Arial" w:eastAsia="Arial" w:hAnsi="Arial"/>
                <w:sz w:val="18"/>
                <w:szCs w:val="18"/>
                <w:color w:val="auto"/>
              </w:rPr>
              <w:t>124</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2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2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2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2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2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20" w:type="dxa"/>
            <w:vAlign w:val="bottom"/>
          </w:tcPr>
          <w:p>
            <w:pPr>
              <w:ind w:left="24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134" w:lineRule="exact"/>
        <w:rPr>
          <w:sz w:val="20"/>
          <w:szCs w:val="20"/>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0972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 w:lineRule="exact"/>
        <w:rPr>
          <w:sz w:val="20"/>
          <w:szCs w:val="20"/>
          <w:color w:val="auto"/>
        </w:rPr>
      </w:pPr>
    </w:p>
    <w:p>
      <w:pPr>
        <w:ind w:left="580" w:hanging="57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Indicates the exhibit is being furnished, not filed, with this report</w:t>
      </w:r>
    </w:p>
    <w:p>
      <w:pPr>
        <w:spacing w:after="0" w:line="9" w:lineRule="exact"/>
        <w:rPr>
          <w:sz w:val="20"/>
          <w:szCs w:val="20"/>
          <w:color w:val="auto"/>
        </w:rPr>
      </w:pPr>
    </w:p>
    <w:p>
      <w:pPr>
        <w:ind w:left="580" w:hanging="572"/>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of 10-K Summary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voluntarily include a summary of information required by Form 10-K under this Item 16. We have elected not to include such summary information.</w:t>
      </w:r>
    </w:p>
    <w:p>
      <w:pPr>
        <w:spacing w:after="0" w:line="38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00"/>
          </w:cols>
          <w:pgMar w:left="320" w:top="463" w:right="117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7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AERPIO PHARMACEUTICALS, INC.</w:t>
      </w:r>
    </w:p>
    <w:p>
      <w:pPr>
        <w:spacing w:after="0" w:line="266" w:lineRule="exact"/>
        <w:rPr>
          <w:sz w:val="20"/>
          <w:szCs w:val="20"/>
          <w:color w:val="auto"/>
        </w:rPr>
      </w:pPr>
    </w:p>
    <w:p>
      <w:pPr>
        <w:spacing w:after="0"/>
        <w:tabs>
          <w:tab w:leader="none" w:pos="6680" w:val="left"/>
          <w:tab w:leader="none" w:pos="820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Joseph Gardner,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Joseph Gardner, Ph.D.</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President and Principal Executive Officer</w:t>
      </w:r>
    </w:p>
    <w:p>
      <w:pPr>
        <w:spacing w:after="0" w:line="2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80" w:type="dxa"/>
            <w:vAlign w:val="bottom"/>
          </w:tcPr>
          <w:p>
            <w:pPr>
              <w:spacing w:after="0"/>
              <w:rPr>
                <w:sz w:val="14"/>
                <w:szCs w:val="1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71"/>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Joseph Gardner, Ph.D</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President, Founder and 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0"/>
              </w:rPr>
              <w:t>Joseph Gardner, Ph.D.</w:t>
            </w:r>
          </w:p>
        </w:tc>
        <w:tc>
          <w:tcPr>
            <w:tcW w:w="120" w:type="dxa"/>
            <w:vAlign w:val="bottom"/>
          </w:tcPr>
          <w:p>
            <w:pPr>
              <w:spacing w:after="0"/>
              <w:rPr>
                <w:sz w:val="19"/>
                <w:szCs w:val="19"/>
                <w:color w:val="auto"/>
              </w:rPr>
            </w:pPr>
          </w:p>
        </w:tc>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3140" w:type="dxa"/>
            <w:vAlign w:val="bottom"/>
          </w:tcPr>
          <w:p>
            <w:pPr>
              <w:spacing w:after="0"/>
              <w:rPr>
                <w:sz w:val="19"/>
                <w:szCs w:val="19"/>
                <w:color w:val="auto"/>
              </w:rPr>
            </w:pPr>
          </w:p>
        </w:tc>
      </w:tr>
      <w:tr>
        <w:trPr>
          <w:trHeight w:val="40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Regina Marek</w:t>
            </w:r>
          </w:p>
        </w:tc>
        <w:tc>
          <w:tcPr>
            <w:tcW w:w="120" w:type="dxa"/>
            <w:vAlign w:val="bottom"/>
          </w:tcPr>
          <w:p>
            <w:pPr>
              <w:spacing w:after="0"/>
              <w:rPr>
                <w:sz w:val="24"/>
                <w:szCs w:val="24"/>
                <w:color w:val="auto"/>
              </w:rPr>
            </w:pPr>
          </w:p>
        </w:tc>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Vice President Finance and Principal</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5"/>
              </w:rPr>
              <w:t>Regina Marek</w:t>
            </w:r>
          </w:p>
        </w:tc>
        <w:tc>
          <w:tcPr>
            <w:tcW w:w="120" w:type="dxa"/>
            <w:vAlign w:val="bottom"/>
          </w:tcPr>
          <w:p>
            <w:pPr>
              <w:spacing w:after="0"/>
              <w:rPr>
                <w:sz w:val="19"/>
                <w:szCs w:val="19"/>
                <w:color w:val="auto"/>
              </w:rPr>
            </w:pPr>
          </w:p>
        </w:tc>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Financial and Accounting Officer</w:t>
            </w:r>
          </w:p>
        </w:tc>
        <w:tc>
          <w:tcPr>
            <w:tcW w:w="3140" w:type="dxa"/>
            <w:vAlign w:val="bottom"/>
          </w:tcPr>
          <w:p>
            <w:pPr>
              <w:spacing w:after="0"/>
              <w:rPr>
                <w:sz w:val="19"/>
                <w:szCs w:val="19"/>
                <w:color w:val="auto"/>
              </w:rPr>
            </w:pPr>
          </w:p>
        </w:tc>
      </w:tr>
      <w:tr>
        <w:trPr>
          <w:trHeight w:val="373"/>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Steven Prelack</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0"/>
              </w:rPr>
              <w:t>Steven Prelack</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0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Cheryl Cohen</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2"/>
              </w:rPr>
              <w:t>Cheryl Cohen</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0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Caley Castelein, M.D.</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0"/>
              </w:rPr>
              <w:t>Caley Castelein</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0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Anupam Dalal, M.D.</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3"/>
              </w:rPr>
              <w:t>Anupam Dalal</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387"/>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/s/ Pravin Dugel, M.D.</w:t>
            </w:r>
          </w:p>
        </w:tc>
        <w:tc>
          <w:tcPr>
            <w:tcW w:w="120" w:type="dxa"/>
            <w:vAlign w:val="bottom"/>
          </w:tcPr>
          <w:p>
            <w:pPr>
              <w:spacing w:after="0"/>
              <w:rPr>
                <w:sz w:val="24"/>
                <w:szCs w:val="24"/>
                <w:color w:val="auto"/>
              </w:rPr>
            </w:pPr>
          </w:p>
        </w:tc>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8"/>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0"/>
              </w:rPr>
              <w:t>Pravin Dugel</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643"/>
        </w:trPr>
        <w:tc>
          <w:tcPr>
            <w:tcW w:w="4120" w:type="dxa"/>
            <w:vAlign w:val="bottom"/>
          </w:tcPr>
          <w:p>
            <w:pPr>
              <w:spacing w:after="0"/>
              <w:rPr>
                <w:sz w:val="24"/>
                <w:szCs w:val="24"/>
                <w:color w:val="auto"/>
              </w:rPr>
            </w:pPr>
          </w:p>
        </w:tc>
        <w:tc>
          <w:tcPr>
            <w:tcW w:w="3900" w:type="dxa"/>
            <w:vAlign w:val="bottom"/>
            <w:gridSpan w:val="2"/>
          </w:tcPr>
          <w:p>
            <w:pPr>
              <w:jc w:val="right"/>
              <w:ind w:right="2172"/>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jc w:val="both"/>
        <w:ind w:left="800" w:right="320" w:hanging="401"/>
        <w:spacing w:after="0" w:line="255"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Registration Statement (Form S-8 No. 333-220057) of Aerpio Pharmaceuticals, Inc., pertaining to the Aerpio Therapeutics, Inc. 2011 Equity Incentive Plan, Aerpio Pharmaceuticals, Inc. 2017 Stock Option and Incentive Plan, and Aerpio Pharmaceuticals, Inc. 2017 Employee Stock Purchase Plan,</w:t>
      </w:r>
    </w:p>
    <w:p>
      <w:pPr>
        <w:spacing w:after="0" w:line="2" w:lineRule="exact"/>
        <w:rPr>
          <w:rFonts w:ascii="Arial" w:cs="Arial" w:eastAsia="Arial" w:hAnsi="Arial"/>
          <w:sz w:val="18"/>
          <w:szCs w:val="18"/>
          <w:color w:val="auto"/>
        </w:rPr>
      </w:pPr>
    </w:p>
    <w:p>
      <w:pPr>
        <w:ind w:left="800" w:right="120" w:hanging="401"/>
        <w:spacing w:after="0" w:line="250"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Registration Statement (Form S-3 No. 333-223113) of Aerpio Pharmaceuticals, Inc., for the registration of common stock, preferred stock, debt securities, warrants, and/or units,</w:t>
      </w:r>
    </w:p>
    <w:p>
      <w:pPr>
        <w:ind w:left="800" w:right="240" w:hanging="401"/>
        <w:spacing w:after="0" w:line="310" w:lineRule="auto"/>
        <w:tabs>
          <w:tab w:leader="none" w:pos="8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 xml:space="preserve">Registration Statement (Form S-8 No. 333-224189) of Aerpio Pharmaceuticals, Inc., pertaining to the </w:t>
      </w:r>
      <w:r>
        <w:rPr>
          <w:rFonts w:ascii="Arial" w:cs="Arial" w:eastAsia="Arial" w:hAnsi="Arial"/>
          <w:sz w:val="14"/>
          <w:szCs w:val="14"/>
          <w:color w:val="auto"/>
        </w:rPr>
        <w:t>Aerpio Therapeutics, Inc. 2011 Equity Incentive</w:t>
      </w:r>
      <w:r>
        <w:rPr>
          <w:rFonts w:ascii="Arial" w:cs="Arial" w:eastAsia="Arial" w:hAnsi="Arial"/>
          <w:sz w:val="15"/>
          <w:szCs w:val="15"/>
          <w:color w:val="auto"/>
        </w:rPr>
        <w:t xml:space="preserve"> </w:t>
      </w:r>
      <w:r>
        <w:rPr>
          <w:rFonts w:ascii="Arial" w:cs="Arial" w:eastAsia="Arial" w:hAnsi="Arial"/>
          <w:sz w:val="14"/>
          <w:szCs w:val="14"/>
          <w:color w:val="auto"/>
        </w:rPr>
        <w:t>Plan, Aerpio Pharmaceuticals, Inc. 2017 Stock Option and Incentive Plan, and Aerpio Pharmaceuticals, Inc. 2017 Employee Stock Purchase Plan,</w:t>
      </w:r>
    </w:p>
    <w:p>
      <w:pPr>
        <w:spacing w:after="0" w:line="1" w:lineRule="exact"/>
        <w:rPr>
          <w:rFonts w:ascii="Arial" w:cs="Arial" w:eastAsia="Arial" w:hAnsi="Arial"/>
          <w:sz w:val="15"/>
          <w:szCs w:val="15"/>
          <w:color w:val="auto"/>
        </w:rPr>
      </w:pPr>
    </w:p>
    <w:p>
      <w:pPr>
        <w:ind w:left="800" w:hanging="401"/>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Registration Statement (Form S-3 No. 333-217320) of Aerpio Pharmaceuticals, Inc., for the registration of common stock,</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Registration Statement (Form S-3 No. 333-229087) of Aerpio Pharmaceuticals Inc., for the registration of common stock,</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Registration Statement (Form S-8 No. 333-229089) of Aerpio Pharmaceuticals, Inc., pertaining to the Inducement Stock Option Agreements,</w:t>
      </w:r>
    </w:p>
    <w:p>
      <w:pPr>
        <w:spacing w:after="0" w:line="28" w:lineRule="exact"/>
        <w:rPr>
          <w:rFonts w:ascii="Arial" w:cs="Arial" w:eastAsia="Arial" w:hAnsi="Arial"/>
          <w:sz w:val="16"/>
          <w:szCs w:val="16"/>
          <w:color w:val="auto"/>
        </w:rPr>
      </w:pPr>
    </w:p>
    <w:p>
      <w:pPr>
        <w:ind w:left="800" w:right="140" w:hanging="401"/>
        <w:spacing w:after="0" w:line="241"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7"/>
          <w:szCs w:val="17"/>
          <w:color w:val="auto"/>
        </w:rPr>
        <w:t>Registration Statement (Form S-8 No. 333-230114) of Aerpio Pharmaceuticals, Inc., pertaining to the Aerpio Pharmaceuticals, Inc. 2017 Stock Option and Incentive Plan and Aerpio Pharmaceuticals, Inc. Amended and Restated 2017 Employee Stock Purchase Plan,</w:t>
      </w:r>
    </w:p>
    <w:p>
      <w:pPr>
        <w:ind w:left="800" w:right="180" w:hanging="401"/>
        <w:spacing w:after="0" w:line="243"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7"/>
          <w:szCs w:val="17"/>
          <w:color w:val="auto"/>
        </w:rPr>
        <w:t>Registration Statement (Form S-8 No. 333-237210) of Aerpio Pharmaceuticals, Inc. pertaining to the Aerpio Pharmaceuticals, Inc. 2017 Stock Option and Incentive Plan and Aerpio Pharmaceuticals, Inc. Amended and Restated 2017 Employee Stock Purchase Plan, and</w:t>
      </w:r>
    </w:p>
    <w:p>
      <w:pPr>
        <w:spacing w:after="0" w:line="2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of our report dated March 11, 2021, with respect to the consolidated financial statements of Aerpio Pharmaceuticals, Inc., included in this Annual Report (Form 10-K) of Aerpio Pharmaceuticals, Inc. for the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ectPr>
          <w:pgSz w:w="11900" w:h="16838" w:orient="portrait"/>
          <w:cols w:equalWidth="0" w:num="1">
            <w:col w:w="11240"/>
          </w:cols>
          <w:pgMar w:left="320" w:top="337"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Gardner, certify that:</w:t>
      </w:r>
    </w:p>
    <w:p>
      <w:pPr>
        <w:spacing w:after="0" w:line="225"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Aerpio Pharmaceuticals,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20" w:val="left"/>
          <w:tab w:leader="none" w:pos="830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Joseph Gardner,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5285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12" w:lineRule="exact"/>
        <w:rPr>
          <w:sz w:val="20"/>
          <w:szCs w:val="20"/>
          <w:color w:val="auto"/>
        </w:rPr>
      </w:pPr>
    </w:p>
    <w:p>
      <w:pPr>
        <w:jc w:val="center"/>
        <w:ind w:left="7220"/>
        <w:spacing w:after="0"/>
        <w:rPr>
          <w:sz w:val="20"/>
          <w:szCs w:val="20"/>
          <w:color w:val="auto"/>
        </w:rPr>
      </w:pPr>
      <w:r>
        <w:rPr>
          <w:rFonts w:ascii="Arial" w:cs="Arial" w:eastAsia="Arial" w:hAnsi="Arial"/>
          <w:sz w:val="18"/>
          <w:szCs w:val="18"/>
          <w:b w:val="1"/>
          <w:bCs w:val="1"/>
          <w:color w:val="auto"/>
        </w:rPr>
        <w:t>Joseph Gardner, Ph.D.</w:t>
      </w:r>
    </w:p>
    <w:p>
      <w:pPr>
        <w:spacing w:after="0" w:line="144" w:lineRule="exact"/>
        <w:rPr>
          <w:sz w:val="20"/>
          <w:szCs w:val="20"/>
          <w:color w:val="auto"/>
        </w:rPr>
      </w:pPr>
    </w:p>
    <w:p>
      <w:pPr>
        <w:jc w:val="center"/>
        <w:ind w:left="7220"/>
        <w:spacing w:after="0"/>
        <w:rPr>
          <w:sz w:val="20"/>
          <w:szCs w:val="20"/>
          <w:color w:val="auto"/>
        </w:rPr>
      </w:pPr>
      <w:r>
        <w:rPr>
          <w:rFonts w:ascii="Arial" w:cs="Arial" w:eastAsia="Arial" w:hAnsi="Arial"/>
          <w:sz w:val="18"/>
          <w:szCs w:val="18"/>
          <w:b w:val="1"/>
          <w:bCs w:val="1"/>
          <w:color w:val="auto"/>
        </w:rPr>
        <w:t>President and Principal Executive Officer</w:t>
      </w:r>
    </w:p>
    <w:p>
      <w:pPr>
        <w:sectPr>
          <w:pgSz w:w="11900" w:h="16838" w:orient="portrait"/>
          <w:cols w:equalWidth="0" w:num="1">
            <w:col w:w="11240"/>
          </w:cols>
          <w:pgMar w:left="320" w:top="12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Regina Marek, certify that:</w:t>
      </w:r>
    </w:p>
    <w:p>
      <w:pPr>
        <w:spacing w:after="0" w:line="225"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Aerpio Pharmaceuticals,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0" w:hanging="572"/>
        <w:spacing w:after="0" w:line="263"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20" w:val="left"/>
          <w:tab w:leader="none" w:pos="860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Regina Marek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5285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12"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Regina Marek</w:t>
      </w:r>
    </w:p>
    <w:p>
      <w:pPr>
        <w:spacing w:after="0" w:line="27" w:lineRule="exact"/>
        <w:rPr>
          <w:sz w:val="20"/>
          <w:szCs w:val="20"/>
          <w:color w:val="auto"/>
        </w:rPr>
      </w:pPr>
    </w:p>
    <w:p>
      <w:pPr>
        <w:ind w:left="7420"/>
        <w:spacing w:after="0"/>
        <w:rPr>
          <w:sz w:val="20"/>
          <w:szCs w:val="20"/>
          <w:color w:val="auto"/>
        </w:rPr>
      </w:pPr>
      <w:r>
        <w:rPr>
          <w:rFonts w:ascii="Arial" w:cs="Arial" w:eastAsia="Arial" w:hAnsi="Arial"/>
          <w:sz w:val="17"/>
          <w:szCs w:val="17"/>
          <w:b w:val="1"/>
          <w:bCs w:val="1"/>
          <w:color w:val="auto"/>
        </w:rPr>
        <w:t>Vice President, Finance and Principal Financial</w:t>
      </w:r>
    </w:p>
    <w:p>
      <w:pPr>
        <w:spacing w:after="0" w:line="34"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and Accounting Officer</w:t>
      </w:r>
    </w:p>
    <w:p>
      <w:pPr>
        <w:sectPr>
          <w:pgSz w:w="11900" w:h="16838" w:orient="portrait"/>
          <w:cols w:equalWidth="0" w:num="1">
            <w:col w:w="11240"/>
          </w:cols>
          <w:pgMar w:left="320" w:top="12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In connection with the Annual Report of Aerpio Pharmaceuticals, Inc.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5280" w:val="left"/>
          <w:tab w:leader="none" w:pos="748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Joseph Gardner,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Joseph Gardner, Ph.D.</w:t>
      </w:r>
    </w:p>
    <w:p>
      <w:pPr>
        <w:spacing w:after="0" w:line="27"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President and Principal Executive Officer</w:t>
      </w:r>
    </w:p>
    <w:p>
      <w:pPr>
        <w:sectPr>
          <w:pgSz w:w="11900" w:h="16838" w:orient="portrait"/>
          <w:cols w:equalWidth="0" w:num="1">
            <w:col w:w="11240"/>
          </w:cols>
          <w:pgMar w:left="320" w:top="337"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In connection with the Annual Report of Aerpio Pharmaceuticals, Inc.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5280" w:val="left"/>
          <w:tab w:leader="none" w:pos="778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Regina Marek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Regina Marek</w:t>
      </w:r>
    </w:p>
    <w:p>
      <w:pPr>
        <w:spacing w:after="0" w:line="27"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Vice President, Finance and Principal Financial and Accounting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2"/>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1)"/>
      <w:numFmt w:val="lowerRoman"/>
      <w:start w:val="1"/>
    </w:lvl>
  </w:abstractNum>
  <w:abstractNum w:abstractNumId="51">
    <w:nsid w:val="741226BB"/>
    <w:multiLevelType w:val="hybridMultilevel"/>
    <w:lvl w:ilvl="0">
      <w:lvlJc w:val="left"/>
      <w:lvlText w:val="(%1)"/>
      <w:numFmt w:val="lowerLetter"/>
      <w:start w:val="25"/>
    </w:lvl>
  </w:abstractNum>
  <w:abstractNum w:abstractNumId="52">
    <w:nsid w:val="D34B6A8"/>
    <w:multiLevelType w:val="hybridMultilevel"/>
    <w:lvl w:ilvl="0">
      <w:lvlJc w:val="left"/>
      <w:lvlText w:val="(%1)"/>
      <w:numFmt w:val="lowerRoman"/>
      <w:start w:val="3"/>
    </w:lvl>
  </w:abstractNum>
  <w:abstractNum w:abstractNumId="53">
    <w:nsid w:val="10233C99"/>
    <w:multiLevelType w:val="hybridMultilevel"/>
    <w:lvl w:ilvl="0">
      <w:lvlJc w:val="left"/>
      <w:lvlText w:val="(%1)"/>
      <w:numFmt w:val="lowerLetter"/>
      <w:start w:val="25"/>
    </w:lvl>
  </w:abstractNum>
  <w:abstractNum w:abstractNumId="54">
    <w:nsid w:val="3F6AB60F"/>
    <w:multiLevelType w:val="hybridMultilevel"/>
    <w:lvl w:ilvl="0">
      <w:lvlJc w:val="left"/>
      <w:lvlText w:val="(%1)"/>
      <w:numFmt w:val="decimal"/>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1)"/>
      <w:numFmt w:val="decimal"/>
      <w:start w:val="1"/>
    </w:lvl>
  </w:abstractNum>
  <w:abstractNum w:abstractNumId="57">
    <w:nsid w:val="77AE35EB"/>
    <w:multiLevelType w:val="hybridMultilevel"/>
    <w:lvl w:ilvl="0">
      <w:lvlJc w:val="left"/>
      <w:lvlText w:val="(%1)"/>
      <w:numFmt w:val="decimal"/>
      <w:start w:val="2"/>
    </w:lvl>
    <w:lvl w:ilvl="1">
      <w:lvlJc w:val="left"/>
      <w:lvlText w:val="(%2)"/>
      <w:numFmt w:val="decimal"/>
      <w:start w:val="12"/>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1)"/>
      <w:numFmt w:val="decimal"/>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44" Type="http://schemas.openxmlformats.org/officeDocument/2006/relationships/hyperlink" Target="http://www.sec.gov/Archives/edgar/data/0001422142/000119312517085855/d350384dex32.htm" TargetMode="External"/><Relationship Id="rId145" Type="http://schemas.openxmlformats.org/officeDocument/2006/relationships/hyperlink" Target="http://www.sec.gov/Archives/edgar/data/0001422142/000119312517085855/d350384dex33.htm" TargetMode="External"/><Relationship Id="rId146" Type="http://schemas.openxmlformats.org/officeDocument/2006/relationships/hyperlink" Target="http://www.sec.gov/Archives/edgar/data/1422142/000119312517124762/d374211dex42.htm" TargetMode="External"/><Relationship Id="rId147" Type="http://schemas.openxmlformats.org/officeDocument/2006/relationships/hyperlink" Target="http://www.sec.gov/Archives/edgar/data/1422142/000119312517085855/d350384dex41.htm" TargetMode="External"/><Relationship Id="rId148" Type="http://schemas.openxmlformats.org/officeDocument/2006/relationships/hyperlink" Target="http://www.sec.gov/Archives/edgar/data/0001422142/000156459020011174/arpo-ex43_247.htm" TargetMode="External"/><Relationship Id="rId149" Type="http://schemas.openxmlformats.org/officeDocument/2006/relationships/hyperlink" Target="http://www.sec.gov/Archives/edgar/data/0001422142/000119312517085855/d350384dex101.htm" TargetMode="External"/><Relationship Id="rId150" Type="http://schemas.openxmlformats.org/officeDocument/2006/relationships/hyperlink" Target="http://www.sec.gov/Archives/edgar/data/0001422142/000119312517085855/d350384dex102.htm" TargetMode="External"/><Relationship Id="rId151" Type="http://schemas.openxmlformats.org/officeDocument/2006/relationships/hyperlink" Target="http://www.sec.gov/Archives/edgar/data/1422142/000119312517372228/d490988dex101.htm" TargetMode="External"/><Relationship Id="rId152" Type="http://schemas.openxmlformats.org/officeDocument/2006/relationships/hyperlink" Target="http://www.sec.gov/Archives/edgar/data/0001422142/000119312517085855/d350384dex104.htm" TargetMode="External"/><Relationship Id="rId153" Type="http://schemas.openxmlformats.org/officeDocument/2006/relationships/hyperlink" Target="http://www.sec.gov/Archives/edgar/data/0001422142/000119312517085855/d350384dex105.htm" TargetMode="External"/><Relationship Id="rId154" Type="http://schemas.openxmlformats.org/officeDocument/2006/relationships/hyperlink" Target="http://www.sec.gov/Archives/edgar/data/0001422142/000119312517085855/d350384dex106.htm" TargetMode="External"/><Relationship Id="rId155" Type="http://schemas.openxmlformats.org/officeDocument/2006/relationships/hyperlink" Target="http://www.sec.gov/Archives/edgar/data/0001422142/000119312517085855/d350384dex107.htm" TargetMode="External"/><Relationship Id="rId156" Type="http://schemas.openxmlformats.org/officeDocument/2006/relationships/hyperlink" Target="http://www.sec.gov/Archives/edgar/data/1422142/000119312518104965/d549891dex101.htm" TargetMode="External"/><Relationship Id="rId157" Type="http://schemas.openxmlformats.org/officeDocument/2006/relationships/hyperlink" Target="http://www.sec.gov/Archives/edgar/data/1422142/000119312518201775/d453419dex101.htm" TargetMode="External"/><Relationship Id="rId160" Type="http://schemas.openxmlformats.org/officeDocument/2006/relationships/hyperlink" Target="http://www.sec.gov/Archives/edgar/data/1422142/000119312517124762/d374211dex108.htm" TargetMode="External"/><Relationship Id="rId161" Type="http://schemas.openxmlformats.org/officeDocument/2006/relationships/hyperlink" Target="http://www.sec.gov/Archives/edgar/data/1422142/000119312517124762/d374211dex109.htm" TargetMode="External"/><Relationship Id="rId162" Type="http://schemas.openxmlformats.org/officeDocument/2006/relationships/hyperlink" Target="http://www.sec.gov/Archives/edgar/data/1422142/000119312517306571/d467358dex102.htm" TargetMode="External"/><Relationship Id="rId163" Type="http://schemas.openxmlformats.org/officeDocument/2006/relationships/hyperlink" Target="http://www.sec.gov/Archives/edgar/data/1422142/000119312517085855/d350384dex109.htm" TargetMode="External"/><Relationship Id="rId164" Type="http://schemas.openxmlformats.org/officeDocument/2006/relationships/hyperlink" Target="http://www.sec.gov/Archives/edgar/data/1422142/000156459018005868/arpo-ex1015_878.htm" TargetMode="External"/><Relationship Id="rId165" Type="http://schemas.openxmlformats.org/officeDocument/2006/relationships/hyperlink" Target="http://www.sec.gov/Archives/edgar/data/1422142/000119312518360982/d643448dex991.htm" TargetMode="External"/><Relationship Id="rId166" Type="http://schemas.openxmlformats.org/officeDocument/2006/relationships/hyperlink" Target="http://www.sec.gov/Archives/edgar/data/1422142/000119312519286608/d824083dex101.htm" TargetMode="External"/><Relationship Id="rId167" Type="http://schemas.openxmlformats.org/officeDocument/2006/relationships/hyperlink" Target="http://www.sec.gov/Archives/edgar/data/1422142/000119312521024764/d122520dex101.htm" TargetMode="External"/><Relationship Id="rId168" Type="http://schemas.openxmlformats.org/officeDocument/2006/relationships/hyperlink" Target="http://www.sec.gov/Archives/edgar/data/1422142/000119312521044954/d15639dex101.htm" TargetMode="External"/><Relationship Id="rId169" Type="http://schemas.openxmlformats.org/officeDocument/2006/relationships/hyperlink" Target="http://www.sec.gov/Archives/edgar/data/1422142/000119312517085855/d35038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2021-03-11T07:27:17Z</dcterms:created>
  <dcterms:modified xsi:type="dcterms:W3CDTF">2021-03-11T07:27:17Z</dcterms:modified>
</cp:coreProperties>
</file>