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192" w:before="1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192"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192"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 to ______________</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shd w:fill="FFFFFF" w:val="clear"/>
        </w:rPr>
        <w:t>001-38560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AADI BIOSCIENCE,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379" w:type="dxa"/>
        <w:jc w:val="center"/>
        <w:tblInd w:w="0" w:type="dxa"/>
        <w:tblLayout w:type="fixed"/>
        <w:tblCellMar>
          <w:top w:w="28" w:type="dxa"/>
          <w:left w:w="28" w:type="dxa"/>
          <w:bottom w:w="28" w:type="dxa"/>
          <w:right w:w="28" w:type="dxa"/>
        </w:tblCellMar>
      </w:tblPr>
      <w:tblGrid>
        <w:gridCol w:w="1133"/>
        <w:gridCol w:w="995"/>
        <w:gridCol w:w="1007"/>
        <w:gridCol w:w="363"/>
        <w:gridCol w:w="363"/>
        <w:gridCol w:w="518"/>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61-1547850</w:t>
            </w:r>
          </w:p>
        </w:tc>
      </w:tr>
      <w:tr>
        <w:trPr/>
        <w:tc>
          <w:tcPr>
            <w:tcW w:w="31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17383 Sunset Boulevard Suite A250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Pacific Palisades, California </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90272</w:t>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437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(424) 744-8055</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tc>
      </w:tr>
    </w:tbl>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74"/>
        <w:gridCol w:w="1032"/>
        <w:gridCol w:w="1048"/>
        <w:gridCol w:w="484"/>
        <w:gridCol w:w="484"/>
        <w:gridCol w:w="486"/>
        <w:gridCol w:w="956"/>
        <w:gridCol w:w="956"/>
        <w:gridCol w:w="1357"/>
      </w:tblGrid>
      <w:tr>
        <w:trPr/>
        <w:tc>
          <w:tcPr>
            <w:tcW w:w="11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Title of each class </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AADI</w:t>
            </w:r>
          </w:p>
        </w:tc>
        <w:tc>
          <w:tcPr>
            <w:tcW w:w="326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4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w:t>
      </w:r>
      <w:r>
        <w:rPr>
          <w:color w:val="000000"/>
        </w:rPr>
        <w:t xml:space="preserve"> </w:t>
      </w:r>
      <w:r>
        <w:rPr>
          <w:rFonts w:ascii="Times New Roman;sans-serif" w:hAnsi="Times New Roman;sans-serif"/>
          <w:b w:val="false"/>
          <w:color w:val="000000"/>
          <w:sz w:val="18"/>
        </w:rPr>
        <w:t xml:space="preserve">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4, 2023, the registrant had 24,519,860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4"/>
        <w:gridCol w:w="258"/>
        <w:gridCol w:w="260"/>
        <w:gridCol w:w="2957"/>
        <w:gridCol w:w="2957"/>
        <w:gridCol w:w="2964"/>
        <w:gridCol w:w="149"/>
        <w:gridCol w:w="149"/>
        <w:gridCol w:w="2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0">
              <w:r>
                <w:rPr>
                  <w:rStyle w:val="InternetLink"/>
                  <w:rFonts w:ascii="Times New Roman;sans-serif" w:hAnsi="Times New Roman;sans-serif"/>
                  <w:b/>
                  <w:strike w:val="false"/>
                  <w:dstrike w:val="false"/>
                  <w:color w:val="000000"/>
                  <w:sz w:val="20"/>
                  <w:u w:val="none"/>
                  <w:effect w:val="none"/>
                </w:rPr>
                <w:t>PART 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0">
              <w:r>
                <w:rPr>
                  <w:rStyle w:val="InternetLink"/>
                  <w:rFonts w:ascii="Times New Roman;sans-serif" w:hAnsi="Times New Roman;sans-serif"/>
                  <w:b/>
                  <w:color w:val="0000FF"/>
                  <w:sz w:val="20"/>
                  <w:u w:val="single"/>
                </w:rPr>
                <w:t>FINANCIAL INFORMATION</w:t>
              </w:r>
            </w:hyperlink>
          </w:p>
        </w:tc>
        <w:tc>
          <w:tcPr>
            <w:tcW w:w="5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right"/>
              <w:rPr/>
            </w:pPr>
            <w:hyperlink w:anchor="i49aea1a2b61f49c5b1b553ac9f0741a1_10">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
              <w:r>
                <w:rPr>
                  <w:rStyle w:val="InternetLink"/>
                  <w:rFonts w:ascii="Times New Roman;sans-serif" w:hAnsi="Times New Roman;sans-serif"/>
                  <w:b w:val="false"/>
                  <w:strike w:val="false"/>
                  <w:dstrike w:val="false"/>
                  <w:color w:val="000000"/>
                  <w:sz w:val="20"/>
                  <w:u w:val="none"/>
                  <w:effect w:val="non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
              <w:r>
                <w:rPr>
                  <w:rStyle w:val="InternetLink"/>
                  <w:rFonts w:ascii="Times New Roman;sans-serif" w:hAnsi="Times New Roman;sans-serif"/>
                  <w:b w:val="false"/>
                  <w:color w:val="0000FF"/>
                  <w:sz w:val="20"/>
                  <w:u w:val="single"/>
                </w:rPr>
                <w:t>Financial Statements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3">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6">
              <w:r>
                <w:rPr>
                  <w:rStyle w:val="InternetLink"/>
                  <w:rFonts w:ascii="Times New Roman;sans-serif" w:hAnsi="Times New Roman;sans-serif"/>
                  <w:b w:val="false"/>
                  <w:color w:val="000080"/>
                  <w:sz w:val="20"/>
                  <w:u w:val="single"/>
                </w:rPr>
                <w:t xml:space="preserve">Condensed Consolidated Balance Sheets – </w:t>
              </w:r>
            </w:hyperlink>
            <w:hyperlink w:anchor="i49aea1a2b61f49c5b1b553ac9f0741a1_16">
              <w:r>
                <w:rPr>
                  <w:rStyle w:val="InternetLink"/>
                  <w:rFonts w:ascii="Times New Roman;sans-serif" w:hAnsi="Times New Roman;sans-serif"/>
                  <w:b w:val="false"/>
                  <w:color w:val="000080"/>
                  <w:sz w:val="20"/>
                  <w:u w:val="single"/>
                </w:rPr>
                <w:t>June</w:t>
              </w:r>
            </w:hyperlink>
            <w:hyperlink w:anchor="i49aea1a2b61f49c5b1b553ac9f0741a1_16">
              <w:r>
                <w:rPr>
                  <w:rStyle w:val="InternetLink"/>
                  <w:rFonts w:ascii="Times New Roman;sans-serif" w:hAnsi="Times New Roman;sans-serif"/>
                  <w:b w:val="false"/>
                  <w:color w:val="000080"/>
                  <w:sz w:val="20"/>
                  <w:u w:val="single"/>
                </w:rPr>
                <w:t xml:space="preserve"> 3</w:t>
              </w:r>
            </w:hyperlink>
            <w:hyperlink w:anchor="i49aea1a2b61f49c5b1b553ac9f0741a1_16">
              <w:r>
                <w:rPr>
                  <w:rStyle w:val="InternetLink"/>
                  <w:rFonts w:ascii="Times New Roman;sans-serif" w:hAnsi="Times New Roman;sans-serif"/>
                  <w:b w:val="false"/>
                  <w:color w:val="000080"/>
                  <w:sz w:val="20"/>
                  <w:u w:val="single"/>
                </w:rPr>
                <w:t>0</w:t>
              </w:r>
            </w:hyperlink>
            <w:hyperlink w:anchor="i49aea1a2b61f49c5b1b553ac9f0741a1_16">
              <w:r>
                <w:rPr>
                  <w:rStyle w:val="InternetLink"/>
                  <w:rFonts w:ascii="Times New Roman;sans-serif" w:hAnsi="Times New Roman;sans-serif"/>
                  <w:b w:val="false"/>
                  <w:color w:val="000080"/>
                  <w:sz w:val="20"/>
                  <w:u w:val="single"/>
                </w:rPr>
                <w:t>, 2023 and December 31, 2022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6">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9">
              <w:r>
                <w:rPr>
                  <w:rStyle w:val="InternetLink"/>
                  <w:rFonts w:ascii="Times New Roman;sans-serif" w:hAnsi="Times New Roman;sans-serif"/>
                  <w:b w:val="false"/>
                  <w:color w:val="000080"/>
                  <w:sz w:val="20"/>
                  <w:u w:val="single"/>
                </w:rPr>
                <w:t>Condensed Consolidated Statements of Operations and Comprehensive Loss – Three</w:t>
              </w:r>
            </w:hyperlink>
            <w:hyperlink w:anchor="i49aea1a2b61f49c5b1b553ac9f0741a1_19">
              <w:r>
                <w:rPr>
                  <w:rStyle w:val="InternetLink"/>
                  <w:rFonts w:ascii="Times New Roman;sans-serif" w:hAnsi="Times New Roman;sans-serif"/>
                  <w:b w:val="false"/>
                  <w:color w:val="000080"/>
                  <w:sz w:val="20"/>
                  <w:u w:val="single"/>
                </w:rPr>
                <w:t xml:space="preserve"> and Six</w:t>
              </w:r>
            </w:hyperlink>
            <w:hyperlink w:anchor="i49aea1a2b61f49c5b1b553ac9f0741a1_19">
              <w:r>
                <w:rPr>
                  <w:rStyle w:val="InternetLink"/>
                  <w:rFonts w:ascii="Times New Roman;sans-serif" w:hAnsi="Times New Roman;sans-serif"/>
                  <w:b w:val="false"/>
                  <w:color w:val="000080"/>
                  <w:sz w:val="20"/>
                  <w:u w:val="single"/>
                </w:rPr>
                <w:t xml:space="preserve"> Months Ended </w:t>
              </w:r>
            </w:hyperlink>
            <w:hyperlink w:anchor="i49aea1a2b61f49c5b1b553ac9f0741a1_19">
              <w:r>
                <w:rPr>
                  <w:rStyle w:val="InternetLink"/>
                  <w:rFonts w:ascii="Times New Roman;sans-serif" w:hAnsi="Times New Roman;sans-serif"/>
                  <w:b w:val="false"/>
                  <w:color w:val="000080"/>
                  <w:sz w:val="20"/>
                  <w:u w:val="single"/>
                </w:rPr>
                <w:t>June</w:t>
              </w:r>
            </w:hyperlink>
            <w:hyperlink w:anchor="i49aea1a2b61f49c5b1b553ac9f0741a1_19">
              <w:r>
                <w:rPr>
                  <w:rStyle w:val="InternetLink"/>
                  <w:rFonts w:ascii="Times New Roman;sans-serif" w:hAnsi="Times New Roman;sans-serif"/>
                  <w:b w:val="false"/>
                  <w:color w:val="000080"/>
                  <w:sz w:val="20"/>
                  <w:u w:val="single"/>
                </w:rPr>
                <w:t xml:space="preserve"> 3</w:t>
              </w:r>
            </w:hyperlink>
            <w:hyperlink w:anchor="i49aea1a2b61f49c5b1b553ac9f0741a1_19">
              <w:r>
                <w:rPr>
                  <w:rStyle w:val="InternetLink"/>
                  <w:rFonts w:ascii="Times New Roman;sans-serif" w:hAnsi="Times New Roman;sans-serif"/>
                  <w:b w:val="false"/>
                  <w:color w:val="000080"/>
                  <w:sz w:val="20"/>
                  <w:u w:val="single"/>
                </w:rPr>
                <w:t>0</w:t>
              </w:r>
            </w:hyperlink>
            <w:hyperlink w:anchor="i49aea1a2b61f49c5b1b553ac9f0741a1_19">
              <w:r>
                <w:rPr>
                  <w:rStyle w:val="InternetLink"/>
                  <w:rFonts w:ascii="Times New Roman;sans-serif" w:hAnsi="Times New Roman;sans-serif"/>
                  <w:b w:val="false"/>
                  <w:color w:val="000080"/>
                  <w:sz w:val="20"/>
                  <w:u w:val="single"/>
                </w:rPr>
                <w:t>, 2023 and 2022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9">
              <w:r>
                <w:rPr>
                  <w:rStyle w:val="InternetLink"/>
                  <w:rFonts w:ascii="Times New Roman;sans-serif" w:hAnsi="Times New Roman;sans-serif"/>
                  <w:b w:val="false"/>
                  <w:strike w:val="false"/>
                  <w:dstrike w:val="false"/>
                  <w:color w:val="000000"/>
                  <w:sz w:val="20"/>
                  <w:u w:val="none"/>
                  <w:effect w:val="none"/>
                </w:rPr>
                <w:t>3</w:t>
              </w:r>
            </w:hyperlink>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25">
              <w:r>
                <w:rPr>
                  <w:rStyle w:val="InternetLink"/>
                  <w:rFonts w:ascii="Times New Roman;sans-serif" w:hAnsi="Times New Roman;sans-serif"/>
                  <w:b w:val="false"/>
                  <w:color w:val="000080"/>
                  <w:sz w:val="20"/>
                  <w:u w:val="single"/>
                </w:rPr>
                <w:t>Condensed Consolidated Statements of Stockholders’ Equity – Three</w:t>
              </w:r>
            </w:hyperlink>
            <w:hyperlink w:anchor="i49aea1a2b61f49c5b1b553ac9f0741a1_25">
              <w:r>
                <w:rPr>
                  <w:rStyle w:val="InternetLink"/>
                  <w:rFonts w:ascii="Times New Roman;sans-serif" w:hAnsi="Times New Roman;sans-serif"/>
                  <w:b w:val="false"/>
                  <w:color w:val="000080"/>
                  <w:sz w:val="20"/>
                  <w:u w:val="single"/>
                </w:rPr>
                <w:t xml:space="preserve"> and Six</w:t>
              </w:r>
            </w:hyperlink>
            <w:hyperlink w:anchor="i49aea1a2b61f49c5b1b553ac9f0741a1_25">
              <w:r>
                <w:rPr>
                  <w:rStyle w:val="InternetLink"/>
                  <w:rFonts w:ascii="Times New Roman;sans-serif" w:hAnsi="Times New Roman;sans-serif"/>
                  <w:b w:val="false"/>
                  <w:color w:val="000080"/>
                  <w:sz w:val="20"/>
                  <w:u w:val="single"/>
                </w:rPr>
                <w:t xml:space="preserve"> Months Ended </w:t>
              </w:r>
            </w:hyperlink>
            <w:hyperlink w:anchor="i49aea1a2b61f49c5b1b553ac9f0741a1_25">
              <w:r>
                <w:rPr>
                  <w:rStyle w:val="InternetLink"/>
                  <w:rFonts w:ascii="Times New Roman;sans-serif" w:hAnsi="Times New Roman;sans-serif"/>
                  <w:b w:val="false"/>
                  <w:color w:val="000080"/>
                  <w:sz w:val="20"/>
                  <w:u w:val="single"/>
                </w:rPr>
                <w:t>June</w:t>
              </w:r>
            </w:hyperlink>
            <w:hyperlink w:anchor="i49aea1a2b61f49c5b1b553ac9f0741a1_25">
              <w:r>
                <w:rPr>
                  <w:rStyle w:val="InternetLink"/>
                  <w:rFonts w:ascii="Times New Roman;sans-serif" w:hAnsi="Times New Roman;sans-serif"/>
                  <w:b w:val="false"/>
                  <w:color w:val="000080"/>
                  <w:sz w:val="20"/>
                  <w:u w:val="single"/>
                </w:rPr>
                <w:t xml:space="preserve"> 3</w:t>
              </w:r>
            </w:hyperlink>
            <w:hyperlink w:anchor="i49aea1a2b61f49c5b1b553ac9f0741a1_25">
              <w:r>
                <w:rPr>
                  <w:rStyle w:val="InternetLink"/>
                  <w:rFonts w:ascii="Times New Roman;sans-serif" w:hAnsi="Times New Roman;sans-serif"/>
                  <w:b w:val="false"/>
                  <w:color w:val="000080"/>
                  <w:sz w:val="20"/>
                  <w:u w:val="single"/>
                </w:rPr>
                <w:t>0</w:t>
              </w:r>
            </w:hyperlink>
            <w:hyperlink w:anchor="i49aea1a2b61f49c5b1b553ac9f0741a1_25">
              <w:r>
                <w:rPr>
                  <w:rStyle w:val="InternetLink"/>
                  <w:rFonts w:ascii="Times New Roman;sans-serif" w:hAnsi="Times New Roman;sans-serif"/>
                  <w:b w:val="false"/>
                  <w:color w:val="000080"/>
                  <w:sz w:val="20"/>
                  <w:u w:val="single"/>
                </w:rPr>
                <w:t>, 2023 and 2022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25">
              <w:r>
                <w:rPr>
                  <w:rStyle w:val="InternetLink"/>
                  <w:rFonts w:ascii="Times New Roman;sans-serif" w:hAnsi="Times New Roman;sans-serif"/>
                  <w:b w:val="false"/>
                  <w:strike w:val="false"/>
                  <w:dstrike w:val="false"/>
                  <w:color w:val="000000"/>
                  <w:sz w:val="20"/>
                  <w:u w:val="none"/>
                  <w:effect w:val="none"/>
                </w:rPr>
                <w:t>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28">
              <w:r>
                <w:rPr>
                  <w:rStyle w:val="InternetLink"/>
                  <w:rFonts w:ascii="Times New Roman;sans-serif" w:hAnsi="Times New Roman;sans-serif"/>
                  <w:b w:val="false"/>
                  <w:color w:val="000080"/>
                  <w:sz w:val="20"/>
                  <w:u w:val="single"/>
                </w:rPr>
                <w:t xml:space="preserve">Condensed Consolidated Statements of Cash Flows – </w:t>
              </w:r>
            </w:hyperlink>
            <w:hyperlink w:anchor="i49aea1a2b61f49c5b1b553ac9f0741a1_28">
              <w:r>
                <w:rPr>
                  <w:rStyle w:val="InternetLink"/>
                  <w:rFonts w:ascii="Times New Roman;sans-serif" w:hAnsi="Times New Roman;sans-serif"/>
                  <w:b w:val="false"/>
                  <w:color w:val="000080"/>
                  <w:sz w:val="20"/>
                  <w:u w:val="single"/>
                </w:rPr>
                <w:t>Six</w:t>
              </w:r>
            </w:hyperlink>
            <w:hyperlink w:anchor="i49aea1a2b61f49c5b1b553ac9f0741a1_28">
              <w:r>
                <w:rPr>
                  <w:rStyle w:val="InternetLink"/>
                  <w:rFonts w:ascii="Times New Roman;sans-serif" w:hAnsi="Times New Roman;sans-serif"/>
                  <w:b w:val="false"/>
                  <w:color w:val="000080"/>
                  <w:sz w:val="20"/>
                  <w:u w:val="single"/>
                </w:rPr>
                <w:t xml:space="preserve"> Months Ended </w:t>
              </w:r>
            </w:hyperlink>
            <w:hyperlink w:anchor="i49aea1a2b61f49c5b1b553ac9f0741a1_28">
              <w:r>
                <w:rPr>
                  <w:rStyle w:val="InternetLink"/>
                  <w:rFonts w:ascii="Times New Roman;sans-serif" w:hAnsi="Times New Roman;sans-serif"/>
                  <w:b w:val="false"/>
                  <w:color w:val="000080"/>
                  <w:sz w:val="20"/>
                  <w:u w:val="single"/>
                </w:rPr>
                <w:t>June</w:t>
              </w:r>
            </w:hyperlink>
            <w:hyperlink w:anchor="i49aea1a2b61f49c5b1b553ac9f0741a1_28">
              <w:r>
                <w:rPr>
                  <w:rStyle w:val="InternetLink"/>
                  <w:rFonts w:ascii="Times New Roman;sans-serif" w:hAnsi="Times New Roman;sans-serif"/>
                  <w:b w:val="false"/>
                  <w:color w:val="000080"/>
                  <w:sz w:val="20"/>
                  <w:u w:val="single"/>
                </w:rPr>
                <w:t xml:space="preserve"> 3</w:t>
              </w:r>
            </w:hyperlink>
            <w:hyperlink w:anchor="i49aea1a2b61f49c5b1b553ac9f0741a1_28">
              <w:r>
                <w:rPr>
                  <w:rStyle w:val="InternetLink"/>
                  <w:rFonts w:ascii="Times New Roman;sans-serif" w:hAnsi="Times New Roman;sans-serif"/>
                  <w:b w:val="false"/>
                  <w:color w:val="000080"/>
                  <w:sz w:val="20"/>
                  <w:u w:val="single"/>
                </w:rPr>
                <w:t>0</w:t>
              </w:r>
            </w:hyperlink>
            <w:hyperlink w:anchor="i49aea1a2b61f49c5b1b553ac9f0741a1_28">
              <w:r>
                <w:rPr>
                  <w:rStyle w:val="InternetLink"/>
                  <w:rFonts w:ascii="Times New Roman;sans-serif" w:hAnsi="Times New Roman;sans-serif"/>
                  <w:b w:val="false"/>
                  <w:color w:val="000080"/>
                  <w:sz w:val="20"/>
                  <w:u w:val="single"/>
                </w:rPr>
                <w:t>, 2023 and 2022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28">
              <w:r>
                <w:rPr>
                  <w:rStyle w:val="InternetLink"/>
                  <w:rFonts w:ascii="Times New Roman;sans-serif" w:hAnsi="Times New Roman;sans-serif"/>
                  <w:b w:val="false"/>
                  <w:strike w:val="false"/>
                  <w:dstrike w:val="false"/>
                  <w:color w:val="000000"/>
                  <w:sz w:val="20"/>
                  <w:u w:val="none"/>
                  <w:effect w:val="none"/>
                </w:rPr>
                <w:t>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31">
              <w:r>
                <w:rPr>
                  <w:rStyle w:val="InternetLink"/>
                  <w:rFonts w:ascii="Times New Roman;sans-serif" w:hAnsi="Times New Roman;sans-serif"/>
                  <w:b w:val="false"/>
                  <w:color w:val="0000FF"/>
                  <w:sz w:val="20"/>
                  <w:u w:val="single"/>
                </w:rPr>
                <w:t>Notes to Condensed Consolidated Financial Statements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31">
              <w:r>
                <w:rPr>
                  <w:rStyle w:val="InternetLink"/>
                  <w:rFonts w:ascii="Times New Roman;sans-serif" w:hAnsi="Times New Roman;sans-serif"/>
                  <w:b w:val="false"/>
                  <w:strike w:val="false"/>
                  <w:dstrike w:val="false"/>
                  <w:color w:val="000000"/>
                  <w:sz w:val="20"/>
                  <w:u w:val="none"/>
                  <w:effect w:val="none"/>
                </w:rPr>
                <w:t>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88">
              <w:r>
                <w:rPr>
                  <w:rStyle w:val="InternetLink"/>
                  <w:rFonts w:ascii="Times New Roman;sans-serif" w:hAnsi="Times New Roman;sans-serif"/>
                  <w:b w:val="false"/>
                  <w:strike w:val="false"/>
                  <w:dstrike w:val="false"/>
                  <w:color w:val="000000"/>
                  <w:sz w:val="20"/>
                  <w:u w:val="none"/>
                  <w:effect w:val="non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88">
              <w:r>
                <w:rPr>
                  <w:rStyle w:val="InternetLink"/>
                  <w:rFonts w:ascii="Times New Roman;sans-serif" w:hAnsi="Times New Roman;sans-serif"/>
                  <w:b w:val="false"/>
                  <w:strike w:val="false"/>
                  <w:dstrike w:val="false"/>
                  <w:color w:val="000000"/>
                  <w:sz w:val="20"/>
                  <w:u w:val="none"/>
                  <w:effect w:val="none"/>
                </w:rPr>
                <w:t>25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27">
              <w:r>
                <w:rPr>
                  <w:rStyle w:val="InternetLink"/>
                  <w:rFonts w:ascii="Times New Roman;sans-serif" w:hAnsi="Times New Roman;sans-serif"/>
                  <w:b w:val="false"/>
                  <w:strike w:val="false"/>
                  <w:dstrike w:val="false"/>
                  <w:color w:val="000000"/>
                  <w:sz w:val="20"/>
                  <w:u w:val="none"/>
                  <w:effect w:val="none"/>
                </w:rPr>
                <w:t>Item 3.</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27">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27">
              <w:r>
                <w:rPr>
                  <w:rStyle w:val="InternetLink"/>
                  <w:rFonts w:ascii="Times New Roman;sans-serif" w:hAnsi="Times New Roman;sans-serif"/>
                  <w:b w:val="false"/>
                  <w:strike w:val="false"/>
                  <w:dstrike w:val="false"/>
                  <w:color w:val="000000"/>
                  <w:sz w:val="20"/>
                  <w:u w:val="none"/>
                  <w:effect w:val="none"/>
                </w:rPr>
                <w:t>34</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0">
              <w:r>
                <w:rPr>
                  <w:rStyle w:val="InternetLink"/>
                  <w:rFonts w:ascii="Times New Roman;sans-serif" w:hAnsi="Times New Roman;sans-serif"/>
                  <w:b w:val="false"/>
                  <w:strike w:val="false"/>
                  <w:dstrike w:val="false"/>
                  <w:color w:val="000000"/>
                  <w:sz w:val="20"/>
                  <w:u w:val="none"/>
                  <w:effect w:val="none"/>
                </w:rPr>
                <w:t>Item 4.</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0">
              <w:r>
                <w:rPr>
                  <w:rStyle w:val="InternetLink"/>
                  <w:rFonts w:ascii="Times New Roman;sans-serif" w:hAnsi="Times New Roman;sans-serif"/>
                  <w:b w:val="false"/>
                  <w:color w:val="0000FF"/>
                  <w:sz w:val="20"/>
                  <w:u w:val="single"/>
                </w:rPr>
                <w:t>Controls and Procedures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3">
              <w:r>
                <w:rPr>
                  <w:rStyle w:val="InternetLink"/>
                  <w:rFonts w:ascii="Times New Roman;sans-serif" w:hAnsi="Times New Roman;sans-serif"/>
                  <w:b/>
                  <w:strike w:val="false"/>
                  <w:dstrike w:val="false"/>
                  <w:color w:val="000000"/>
                  <w:sz w:val="20"/>
                  <w:u w:val="none"/>
                  <w:effect w:val="none"/>
                </w:rPr>
                <w:t>PART II.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3">
              <w:r>
                <w:rPr>
                  <w:rStyle w:val="InternetLink"/>
                  <w:rFonts w:ascii="Times New Roman;sans-serif" w:hAnsi="Times New Roman;sans-serif"/>
                  <w:b/>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33">
              <w:r>
                <w:rPr>
                  <w:rStyle w:val="InternetLink"/>
                  <w:rFonts w:ascii="Times New Roman;sans-serif" w:hAnsi="Times New Roman;sans-serif"/>
                  <w:b w:val="false"/>
                  <w:strike w:val="false"/>
                  <w:dstrike w:val="false"/>
                  <w:color w:val="000000"/>
                  <w:sz w:val="20"/>
                  <w:u w:val="none"/>
                  <w:effect w:val="none"/>
                </w:rPr>
                <w:t>36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6">
              <w:r>
                <w:rPr>
                  <w:rStyle w:val="InternetLink"/>
                  <w:rFonts w:ascii="Times New Roman;sans-serif" w:hAnsi="Times New Roman;sans-serif"/>
                  <w:b w:val="false"/>
                  <w:strike w:val="false"/>
                  <w:dstrike w:val="false"/>
                  <w:color w:val="000000"/>
                  <w:sz w:val="20"/>
                  <w:u w:val="none"/>
                  <w:effect w:val="non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6">
              <w:r>
                <w:rPr>
                  <w:rStyle w:val="InternetLink"/>
                  <w:rFonts w:ascii="Times New Roman;sans-serif" w:hAnsi="Times New Roman;sans-serif"/>
                  <w:b w:val="false"/>
                  <w:color w:val="0000FF"/>
                  <w:sz w:val="20"/>
                  <w:u w:val="single"/>
                </w:rPr>
                <w:t>Legal Proceedings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36">
              <w:r>
                <w:rPr>
                  <w:rStyle w:val="InternetLink"/>
                  <w:rFonts w:ascii="Times New Roman;sans-serif" w:hAnsi="Times New Roman;sans-serif"/>
                  <w:b w:val="false"/>
                  <w:strike w:val="false"/>
                  <w:dstrike w:val="false"/>
                  <w:color w:val="000000"/>
                  <w:sz w:val="20"/>
                  <w:u w:val="none"/>
                  <w:effect w:val="none"/>
                </w:rPr>
                <w:t>36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39">
              <w:r>
                <w:rPr>
                  <w:rStyle w:val="InternetLink"/>
                  <w:rFonts w:ascii="Times New Roman;sans-serif" w:hAnsi="Times New Roman;sans-serif"/>
                  <w:b w:val="false"/>
                  <w:color w:val="0000FF"/>
                  <w:sz w:val="20"/>
                  <w:u w:val="single"/>
                </w:rPr>
                <w:t>Risk Factors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39">
              <w:r>
                <w:rPr>
                  <w:rStyle w:val="InternetLink"/>
                  <w:rFonts w:ascii="Times New Roman;sans-serif" w:hAnsi="Times New Roman;sans-serif"/>
                  <w:b w:val="false"/>
                  <w:strike w:val="false"/>
                  <w:dstrike w:val="false"/>
                  <w:color w:val="000000"/>
                  <w:sz w:val="20"/>
                  <w:u w:val="none"/>
                  <w:effect w:val="none"/>
                </w:rPr>
                <w:t>36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2">
              <w:r>
                <w:rPr>
                  <w:rStyle w:val="InternetLink"/>
                  <w:rFonts w:ascii="Times New Roman;sans-serif" w:hAnsi="Times New Roman;sans-serif"/>
                  <w:b w:val="false"/>
                  <w:strike w:val="false"/>
                  <w:dstrike w:val="false"/>
                  <w:color w:val="000000"/>
                  <w:sz w:val="20"/>
                  <w:u w:val="none"/>
                  <w:effect w:val="non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2">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42">
              <w:r>
                <w:rPr>
                  <w:rStyle w:val="InternetLink"/>
                  <w:rFonts w:ascii="Times New Roman;sans-serif" w:hAnsi="Times New Roman;sans-serif"/>
                  <w:b w:val="false"/>
                  <w:strike w:val="false"/>
                  <w:dstrike w:val="false"/>
                  <w:color w:val="000000"/>
                  <w:sz w:val="20"/>
                  <w:u w:val="none"/>
                  <w:effect w:val="none"/>
                </w:rPr>
                <w:t>100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5">
              <w:r>
                <w:rPr>
                  <w:rStyle w:val="InternetLink"/>
                  <w:rFonts w:ascii="Times New Roman;sans-serif" w:hAnsi="Times New Roman;sans-serif"/>
                  <w:b w:val="false"/>
                  <w:strike w:val="false"/>
                  <w:dstrike w:val="false"/>
                  <w:color w:val="000000"/>
                  <w:sz w:val="20"/>
                  <w:u w:val="none"/>
                  <w:effect w:val="none"/>
                </w:rPr>
                <w:t>Item 3.</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5">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45">
              <w:r>
                <w:rPr>
                  <w:rStyle w:val="InternetLink"/>
                  <w:rFonts w:ascii="Times New Roman;sans-serif" w:hAnsi="Times New Roman;sans-serif"/>
                  <w:b w:val="false"/>
                  <w:strike w:val="false"/>
                  <w:dstrike w:val="false"/>
                  <w:color w:val="000000"/>
                  <w:sz w:val="20"/>
                  <w:u w:val="none"/>
                  <w:effect w:val="none"/>
                </w:rPr>
                <w:t>100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8">
              <w:r>
                <w:rPr>
                  <w:rStyle w:val="InternetLink"/>
                  <w:rFonts w:ascii="Times New Roman;sans-serif" w:hAnsi="Times New Roman;sans-serif"/>
                  <w:b w:val="false"/>
                  <w:strike w:val="false"/>
                  <w:dstrike w:val="false"/>
                  <w:color w:val="000000"/>
                  <w:sz w:val="20"/>
                  <w:u w:val="none"/>
                  <w:effect w:val="none"/>
                </w:rPr>
                <w:t>Item 4.</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48">
              <w:r>
                <w:rPr>
                  <w:rStyle w:val="InternetLink"/>
                  <w:rFonts w:ascii="Times New Roman;sans-serif" w:hAnsi="Times New Roman;sans-serif"/>
                  <w:b w:val="false"/>
                  <w:color w:val="0000FF"/>
                  <w:sz w:val="20"/>
                  <w:u w:val="single"/>
                </w:rPr>
                <w:t>Mine Safety Disclosures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48">
              <w:r>
                <w:rPr>
                  <w:rStyle w:val="InternetLink"/>
                  <w:rFonts w:ascii="Times New Roman;sans-serif" w:hAnsi="Times New Roman;sans-serif"/>
                  <w:b w:val="false"/>
                  <w:strike w:val="false"/>
                  <w:dstrike w:val="false"/>
                  <w:color w:val="000000"/>
                  <w:sz w:val="20"/>
                  <w:u w:val="none"/>
                  <w:effect w:val="none"/>
                </w:rPr>
                <w:t>100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51">
              <w:r>
                <w:rPr>
                  <w:rStyle w:val="InternetLink"/>
                  <w:rFonts w:ascii="Times New Roman;sans-serif" w:hAnsi="Times New Roman;sans-serif"/>
                  <w:b w:val="false"/>
                  <w:strike w:val="false"/>
                  <w:dstrike w:val="false"/>
                  <w:color w:val="000000"/>
                  <w:sz w:val="20"/>
                  <w:u w:val="none"/>
                  <w:effect w:val="none"/>
                </w:rPr>
                <w:t>Item 5.</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51">
              <w:r>
                <w:rPr>
                  <w:rStyle w:val="InternetLink"/>
                  <w:rFonts w:ascii="Times New Roman;sans-serif" w:hAnsi="Times New Roman;sans-serif"/>
                  <w:b w:val="false"/>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51">
              <w:r>
                <w:rPr>
                  <w:rStyle w:val="InternetLink"/>
                  <w:rFonts w:ascii="Times New Roman;sans-serif" w:hAnsi="Times New Roman;sans-serif"/>
                  <w:b w:val="false"/>
                  <w:strike w:val="false"/>
                  <w:dstrike w:val="false"/>
                  <w:color w:val="000000"/>
                  <w:sz w:val="20"/>
                  <w:u w:val="none"/>
                  <w:effect w:val="none"/>
                </w:rPr>
                <w:t>100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54">
              <w:r>
                <w:rPr>
                  <w:rStyle w:val="InternetLink"/>
                  <w:rFonts w:ascii="Times New Roman;sans-serif" w:hAnsi="Times New Roman;sans-serif"/>
                  <w:b w:val="false"/>
                  <w:strike w:val="false"/>
                  <w:dstrike w:val="false"/>
                  <w:color w:val="000000"/>
                  <w:sz w:val="20"/>
                  <w:u w:val="none"/>
                  <w:effect w:val="none"/>
                </w:rPr>
                <w:t>Item 6.</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54">
              <w:r>
                <w:rPr>
                  <w:rStyle w:val="InternetLink"/>
                  <w:rFonts w:ascii="Times New Roman;sans-serif" w:hAnsi="Times New Roman;sans-serif"/>
                  <w:b w:val="false"/>
                  <w:color w:val="0000FF"/>
                  <w:sz w:val="20"/>
                  <w:u w:val="single"/>
                </w:rPr>
                <w:t>Exhibits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54">
              <w:r>
                <w:rPr>
                  <w:rStyle w:val="InternetLink"/>
                  <w:rFonts w:ascii="Times New Roman;sans-serif" w:hAnsi="Times New Roman;sans-serif"/>
                  <w:b w:val="false"/>
                  <w:strike w:val="false"/>
                  <w:dstrike w:val="false"/>
                  <w:color w:val="000000"/>
                  <w:sz w:val="20"/>
                  <w:u w:val="none"/>
                  <w:effect w:val="none"/>
                </w:rPr>
                <w:t>101</w:t>
              </w:r>
            </w:hyperlink>
          </w:p>
        </w:tc>
      </w:tr>
      <w:tr>
        <w:trPr/>
        <w:tc>
          <w:tcPr>
            <w:tcW w:w="9690"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49aea1a2b61f49c5b1b553ac9f0741a1_157">
              <w:r>
                <w:rPr>
                  <w:rStyle w:val="InternetLink"/>
                  <w:rFonts w:ascii="Times New Roman;sans-serif" w:hAnsi="Times New Roman;sans-serif"/>
                  <w:b w:val="false"/>
                  <w:color w:val="0000FF"/>
                  <w:sz w:val="20"/>
                  <w:u w:val="single"/>
                </w:rPr>
                <w:t>Signatures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49aea1a2b61f49c5b1b553ac9f0741a1_157">
              <w:r>
                <w:rPr>
                  <w:rStyle w:val="InternetLink"/>
                  <w:rFonts w:ascii="Times New Roman;sans-serif" w:hAnsi="Times New Roman;sans-serif"/>
                  <w:b w:val="false"/>
                  <w:strike w:val="false"/>
                  <w:dstrike w:val="false"/>
                  <w:color w:val="000000"/>
                  <w:sz w:val="20"/>
                  <w:u w:val="none"/>
                  <w:effect w:val="non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par value)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9"/>
        <w:gridCol w:w="2378"/>
        <w:gridCol w:w="2403"/>
        <w:gridCol w:w="211"/>
        <w:gridCol w:w="826"/>
        <w:gridCol w:w="109"/>
        <w:gridCol w:w="109"/>
        <w:gridCol w:w="109"/>
        <w:gridCol w:w="109"/>
        <w:gridCol w:w="211"/>
        <w:gridCol w:w="826"/>
        <w:gridCol w:w="155"/>
      </w:tblGrid>
      <w:tr>
        <w:trPr/>
        <w:tc>
          <w:tcPr>
            <w:tcW w:w="275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licensor (Note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as of June 30, 2023 and 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24,519,860</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24,435,007 shares issued and outstanding as of June 30,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earnings per share amounts)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00"/>
        <w:gridCol w:w="1377"/>
        <w:gridCol w:w="1340"/>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70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acquired contract intangible asset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(32,173)</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(32,117)</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26,879,089 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20,970,459 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26,878,672 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20,942,804 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pPr>
      <w:r>
        <w:rPr>
          <w:rFonts w:ascii="Times New Roman;sans-serif" w:hAnsi="Times New Roman;sans-serif"/>
          <w:b/>
          <w:color w:val="000000"/>
          <w:sz w:val="20"/>
        </w:rPr>
        <w:t>Condensed Consolidated Statements of</w:t>
      </w:r>
      <w:r>
        <w:rPr>
          <w:color w:val="000000"/>
        </w:rPr>
        <w:t xml:space="preserve"> </w:t>
      </w: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including share amounts)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64"/>
        <w:gridCol w:w="522"/>
        <w:gridCol w:w="525"/>
        <w:gridCol w:w="360"/>
        <w:gridCol w:w="361"/>
        <w:gridCol w:w="196"/>
        <w:gridCol w:w="109"/>
        <w:gridCol w:w="109"/>
        <w:gridCol w:w="109"/>
        <w:gridCol w:w="228"/>
        <w:gridCol w:w="277"/>
        <w:gridCol w:w="118"/>
        <w:gridCol w:w="109"/>
        <w:gridCol w:w="109"/>
        <w:gridCol w:w="109"/>
        <w:gridCol w:w="222"/>
        <w:gridCol w:w="871"/>
        <w:gridCol w:w="114"/>
        <w:gridCol w:w="109"/>
        <w:gridCol w:w="109"/>
        <w:gridCol w:w="109"/>
        <w:gridCol w:w="406"/>
        <w:gridCol w:w="927"/>
        <w:gridCol w:w="210"/>
        <w:gridCol w:w="109"/>
        <w:gridCol w:w="109"/>
        <w:gridCol w:w="109"/>
        <w:gridCol w:w="211"/>
        <w:gridCol w:w="851"/>
        <w:gridCol w:w="109"/>
        <w:gridCol w:w="109"/>
        <w:gridCol w:w="109"/>
        <w:gridCol w:w="109"/>
        <w:gridCol w:w="211"/>
        <w:gridCol w:w="826"/>
        <w:gridCol w:w="161"/>
      </w:tblGrid>
      <w:tr>
        <w:trPr/>
        <w:tc>
          <w:tcPr>
            <w:tcW w:w="8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Six Months Ended June 30, 2023</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investments,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under the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investments,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367,853 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117"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255"/>
        <w:gridCol w:w="255"/>
        <w:gridCol w:w="256"/>
        <w:gridCol w:w="109"/>
        <w:gridCol w:w="431"/>
        <w:gridCol w:w="290"/>
        <w:gridCol w:w="291"/>
        <w:gridCol w:w="195"/>
        <w:gridCol w:w="195"/>
        <w:gridCol w:w="196"/>
        <w:gridCol w:w="445"/>
        <w:gridCol w:w="540"/>
        <w:gridCol w:w="231"/>
        <w:gridCol w:w="109"/>
        <w:gridCol w:w="109"/>
        <w:gridCol w:w="109"/>
        <w:gridCol w:w="211"/>
        <w:gridCol w:w="826"/>
        <w:gridCol w:w="109"/>
        <w:gridCol w:w="175"/>
        <w:gridCol w:w="175"/>
        <w:gridCol w:w="176"/>
        <w:gridCol w:w="211"/>
        <w:gridCol w:w="406"/>
        <w:gridCol w:w="109"/>
        <w:gridCol w:w="109"/>
        <w:gridCol w:w="109"/>
        <w:gridCol w:w="109"/>
        <w:gridCol w:w="211"/>
        <w:gridCol w:w="841"/>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5"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Six Months Ended June 30, 2022</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Capital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00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7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113" w:type="dxa"/>
        <w:jc w:val="center"/>
        <w:tblInd w:w="0" w:type="dxa"/>
        <w:tblLayout w:type="fixed"/>
        <w:tblCellMar>
          <w:top w:w="28" w:type="dxa"/>
          <w:left w:w="28" w:type="dxa"/>
          <w:bottom w:w="28" w:type="dxa"/>
          <w:right w:w="28" w:type="dxa"/>
        </w:tblCellMar>
      </w:tblPr>
      <w:tblGrid>
        <w:gridCol w:w="2347"/>
        <w:gridCol w:w="2058"/>
        <w:gridCol w:w="2074"/>
        <w:gridCol w:w="211"/>
        <w:gridCol w:w="796"/>
        <w:gridCol w:w="109"/>
        <w:gridCol w:w="109"/>
        <w:gridCol w:w="109"/>
        <w:gridCol w:w="109"/>
        <w:gridCol w:w="211"/>
        <w:gridCol w:w="826"/>
        <w:gridCol w:w="154"/>
      </w:tblGrid>
      <w:tr>
        <w:trPr/>
        <w:tc>
          <w:tcPr>
            <w:tcW w:w="234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2634" w:type="dxa"/>
            <w:gridSpan w:val="9"/>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acquired contract intangible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short-term investments,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paid for financing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during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included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arising from obtaining right-of-use asset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Nature of Organization and Operations</w:t>
      </w:r>
    </w:p>
    <w:p>
      <w:pPr>
        <w:pStyle w:val="TextBody"/>
        <w:bidi w:val="0"/>
        <w:spacing w:lineRule="auto" w:line="288" w:before="120" w:after="120"/>
        <w:jc w:val="both"/>
        <w:rPr/>
      </w:pPr>
      <w:r>
        <w:rPr>
          <w:rFonts w:ascii="Times New Roman;sans-serif" w:hAnsi="Times New Roman;sans-serif"/>
          <w:b w:val="false"/>
          <w:color w:val="231F20"/>
          <w:sz w:val="20"/>
        </w:rPr>
        <w:t xml:space="preserve">Aadi Bioscience, Inc. (together with its subsidiaries, the “Company” or “Aadi”) is </w:t>
      </w:r>
      <w:r>
        <w:rPr>
          <w:rFonts w:ascii="Times New Roman;sans-serif" w:hAnsi="Times New Roman;sans-serif"/>
          <w:b w:val="false"/>
          <w:color w:val="000000"/>
          <w:sz w:val="20"/>
        </w:rPr>
        <w:t>a biopharmaceutical company focused on developing and commercializing precision therapies for genetically defined cancers with alterations in mTOR pathway genes. Aadi’s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is a form of sirolimus bound to albumin. Sirolimus is a potent inhibitor of the mTOR biological pathway, the activation of which pathway can promote tumor growth, and inhibits downstream signaling from mTOR. 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w:t>
      </w:r>
      <w:r>
        <w:rPr>
          <w:color w:val="231F20"/>
        </w:rPr>
        <w:t>“</w:t>
      </w:r>
      <w:r>
        <w:rPr>
          <w:rFonts w:ascii="Times New Roman;sans-serif" w:hAnsi="Times New Roman;sans-serif"/>
          <w:b w:val="false"/>
          <w:color w:val="000000"/>
          <w:sz w:val="20"/>
        </w:rPr>
        <w:t>PEComa</w:t>
      </w:r>
      <w:r>
        <w:rPr>
          <w:color w:val="231F20"/>
        </w:rPr>
        <w:t>”</w:t>
      </w:r>
      <w:r>
        <w:rPr>
          <w:rFonts w:ascii="Times New Roman;sans-serif" w:hAnsi="Times New Roman;sans-serif"/>
          <w:b w:val="false"/>
          <w:color w:val="000000"/>
          <w:sz w:val="20"/>
        </w:rPr>
        <w:t xml:space="preserve">). On February 22, 2022, Aadi launched FYARRO in the United States for treatment of advanced malignant PEComa. FYARRO is licensed to Aadi by Abraxis BioScience, LLC, a wholly owned subsidiary of Celgene Corporation, which is a wholly owned subsidiary of Bristol Myers Squibb Company (“BMS”).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Liquidity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bidi w:val="0"/>
        <w:spacing w:lineRule="auto" w:line="288" w:before="120" w:after="120"/>
        <w:jc w:val="both"/>
        <w:rPr/>
      </w:pPr>
      <w:r>
        <w:rPr>
          <w:rFonts w:ascii="Times New Roman;sans-serif" w:hAnsi="Times New Roman;sans-serif"/>
          <w:b w:val="false"/>
          <w:color w:val="231F20"/>
          <w:sz w:val="20"/>
        </w:rPr>
        <w:t xml:space="preserve">The Company has experienced net losses since its inception and expects to continue to incur net losses into the foreseeable future. The Company had an accumulated deficit of </w:t>
      </w:r>
      <w:r>
        <w:rPr>
          <w:rFonts w:ascii="Times New Roman;sans-serif" w:hAnsi="Times New Roman;sans-serif"/>
          <w:b w:val="false"/>
          <w:color w:val="231F20"/>
          <w:sz w:val="20"/>
          <w:shd w:fill="FFFFFF" w:val="clear"/>
        </w:rPr>
        <w:t>$236.4 million</w:t>
      </w:r>
      <w:r>
        <w:rPr>
          <w:color w:val="231F20"/>
        </w:rPr>
        <w:t xml:space="preserve"> </w:t>
      </w:r>
      <w:r>
        <w:rPr>
          <w:rFonts w:ascii="Times New Roman;sans-serif" w:hAnsi="Times New Roman;sans-serif"/>
          <w:b w:val="false"/>
          <w:color w:val="231F20"/>
          <w:sz w:val="20"/>
        </w:rPr>
        <w:t xml:space="preserve">as of June 30, 2023. For the three months ended June 30, 2023 and 2022, the Company had a net loss of $18.0 million and $18.3 million, respectively. For the six months ended June 30, 2023 and 2022, the Company had a net loss of $33.2 million and $32.1 million, respectively. To date, these operating losses have been funded primarily from outside sources of invested capital through the issuance of convertible promissory notes, grant funding, the sale of securities, and proceeds from license agreements. </w:t>
      </w:r>
    </w:p>
    <w:p>
      <w:pPr>
        <w:pStyle w:val="TextBody"/>
        <w:bidi w:val="0"/>
        <w:spacing w:lineRule="auto" w:line="288" w:before="120" w:after="120"/>
        <w:jc w:val="both"/>
        <w:rPr/>
      </w:pPr>
      <w:r>
        <w:rPr>
          <w:rFonts w:ascii="Times New Roman;sans-serif" w:hAnsi="Times New Roman;sans-serif"/>
          <w:b w:val="false"/>
          <w:color w:val="000000"/>
          <w:sz w:val="20"/>
        </w:rPr>
        <w:t>The Company</w:t>
      </w:r>
      <w:r>
        <w:rPr>
          <w:color w:val="231F20"/>
        </w:rPr>
        <w:t xml:space="preserve"> </w:t>
      </w:r>
      <w:r>
        <w:rPr>
          <w:rFonts w:ascii="Times New Roman;sans-serif" w:hAnsi="Times New Roman;sans-serif"/>
          <w:b w:val="false"/>
          <w:color w:val="231F20"/>
          <w:sz w:val="20"/>
        </w:rPr>
        <w:t xml:space="preserve">had cash, cash equivalents and short-term investments of </w:t>
      </w:r>
      <w:r>
        <w:rPr>
          <w:rFonts w:ascii="Times New Roman;sans-serif" w:hAnsi="Times New Roman;sans-serif"/>
          <w:b w:val="false"/>
          <w:color w:val="231F20"/>
          <w:sz w:val="20"/>
          <w:shd w:fill="FFFFFF" w:val="clear"/>
        </w:rPr>
        <w:t>$134.9 million</w:t>
      </w:r>
      <w:r>
        <w:rPr>
          <w:color w:val="000000"/>
        </w:rPr>
        <w:t xml:space="preserve"> </w:t>
      </w:r>
      <w:r>
        <w:rPr>
          <w:rFonts w:ascii="Times New Roman;sans-serif" w:hAnsi="Times New Roman;sans-serif"/>
          <w:b w:val="false"/>
          <w:color w:val="000000"/>
          <w:sz w:val="20"/>
        </w:rPr>
        <w:t xml:space="preserve">at June 30, 2023.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 </w:t>
      </w:r>
    </w:p>
    <w:p>
      <w:pPr>
        <w:pStyle w:val="TextBody"/>
        <w:bidi w:val="0"/>
        <w:spacing w:lineRule="auto" w:line="288" w:before="120" w:after="120"/>
        <w:jc w:val="both"/>
        <w:rPr/>
      </w:pPr>
      <w:r>
        <w:rPr>
          <w:rFonts w:ascii="Times New Roman;sans-serif" w:hAnsi="Times New Roman;sans-serif"/>
          <w:b w:val="false"/>
          <w:color w:val="000000"/>
          <w:sz w:val="20"/>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sans-serif" w:hAnsi="Times New Roman;sans-serif"/>
          <w:b w:val="false"/>
          <w:color w:val="231F20"/>
          <w:sz w:val="20"/>
        </w:rPr>
        <w:t>June 30, 2023</w:t>
      </w:r>
      <w:r>
        <w:rPr>
          <w:rFonts w:ascii="Times New Roman;sans-serif" w:hAnsi="Times New Roman;sans-serif"/>
          <w:b w:val="false"/>
          <w:color w:val="000000"/>
          <w:sz w:val="20"/>
        </w:rPr>
        <w:t xml:space="preserve">, no shares of common stock had been sold under this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and the related disclosures, have been prepared in accordance with GAAP and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and note disclosures normally included in annual financial statements prepared in accordance with GAAP have been condensed or omitted. Accordingly, the accompanying unaudited interim financial statements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read in conjunction with the audited financial statements and the related notes thereto for the year ended December 31, 2022, which are included in the Company’s Annual Report on Form 10-K filed with the SEC on March 29, 2023.</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Concentration of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primarily of cash and cash equivalents and investments in money market funds, United States government treasury bills, commercial paper, corporate bonds, and government agency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is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Customer Concentration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two customers represented 55% and 45%, and 47% and 50%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 xml:space="preserve">For the six months ended June 30, 2023 and 2022, two customers represented </w:t>
      </w:r>
      <w:r>
        <w:rPr>
          <w:rFonts w:ascii="Times New Roman;sans-serif" w:hAnsi="Times New Roman;sans-serif"/>
          <w:b w:val="false"/>
          <w:color w:val="000000"/>
          <w:sz w:val="20"/>
          <w:shd w:fill="FFFFFF" w:val="clear"/>
        </w:rPr>
        <w:t>53% and 46%,</w:t>
      </w:r>
      <w:r>
        <w:rPr>
          <w:color w:val="000000"/>
        </w:rPr>
        <w:t xml:space="preserve"> </w:t>
      </w:r>
      <w:r>
        <w:rPr>
          <w:rFonts w:ascii="Times New Roman;sans-serif" w:hAnsi="Times New Roman;sans-serif"/>
          <w:b w:val="false"/>
          <w:color w:val="000000"/>
          <w:sz w:val="20"/>
        </w:rPr>
        <w:t>and 47% and 51%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Additionally, two customers accounted for 78% and</w:t>
      </w:r>
      <w:r>
        <w:rPr>
          <w:color w:val="000000"/>
          <w:shd w:fill="FFFFFF" w:val="clear"/>
        </w:rPr>
        <w:t xml:space="preserve"> </w:t>
      </w:r>
      <w:r>
        <w:rPr>
          <w:rFonts w:ascii="Times New Roman;sans-serif" w:hAnsi="Times New Roman;sans-serif"/>
          <w:b w:val="false"/>
          <w:color w:val="000000"/>
          <w:sz w:val="20"/>
          <w:shd w:fill="FFFFFF" w:val="clear"/>
        </w:rPr>
        <w:t>22%</w:t>
      </w:r>
      <w:r>
        <w:rPr>
          <w:color w:val="000000"/>
        </w:rPr>
        <w:t xml:space="preserve"> </w:t>
      </w:r>
      <w:r>
        <w:rPr>
          <w:rFonts w:ascii="Times New Roman;sans-serif" w:hAnsi="Times New Roman;sans-serif"/>
          <w:b w:val="false"/>
          <w:color w:val="000000"/>
          <w:sz w:val="20"/>
        </w:rPr>
        <w:t>of net accounts receivable as of June 30, 2023.</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marketable securities purchased with original maturities of three months or less at the time of purchase date to be cash equivalents. As of June 30, 2023 and December 31, 2022, cash and cash equivalents including money market investments totaled $67.0 million and $32.0 million, respectively. Restricted cash consists of a letter of credit secured by restricted cash in connection with one of the Company's office leases described in Note 7, and is included in other assets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(in thousands):</w:t>
      </w:r>
    </w:p>
    <w:tbl>
      <w:tblPr>
        <w:tblW w:w="6985" w:type="dxa"/>
        <w:jc w:val="left"/>
        <w:tblInd w:w="0" w:type="dxa"/>
        <w:tblLayout w:type="fixed"/>
        <w:tblCellMar>
          <w:top w:w="28" w:type="dxa"/>
          <w:left w:w="28" w:type="dxa"/>
          <w:bottom w:w="28" w:type="dxa"/>
          <w:right w:w="28" w:type="dxa"/>
        </w:tblCellMar>
      </w:tblPr>
      <w:tblGrid>
        <w:gridCol w:w="1445"/>
        <w:gridCol w:w="1268"/>
        <w:gridCol w:w="1276"/>
        <w:gridCol w:w="228"/>
        <w:gridCol w:w="779"/>
        <w:gridCol w:w="117"/>
        <w:gridCol w:w="109"/>
        <w:gridCol w:w="109"/>
        <w:gridCol w:w="109"/>
        <w:gridCol w:w="300"/>
        <w:gridCol w:w="1026"/>
        <w:gridCol w:w="219"/>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bidi w:val="0"/>
        <w:spacing w:lineRule="auto" w:line="288" w:before="12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prepaid expenses and other current assets, and accounts payable are reasonable estimates of their fair value because of the short maturity of these items.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Short-Term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have been no allowance for expected credit losses recorded during any of the periods presented. See Note 4 for further information.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Accounts Receivable,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terms of the customer contracts. As of June 30, 2023 and December 31, 2022, recorded customer allowances for chargebacks were $1.2 million and $0.1 million, respectively. There were no allowances for credit losses and no receivables were written off for the periods ended June 30, 2023 and December 31, 2022, respectively.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inventory are presented as follows (in thousands):</w:t>
      </w:r>
    </w:p>
    <w:tbl>
      <w:tblPr>
        <w:tblW w:w="4421" w:type="dxa"/>
        <w:jc w:val="left"/>
        <w:tblInd w:w="0" w:type="dxa"/>
        <w:tblLayout w:type="fixed"/>
        <w:tblCellMar>
          <w:top w:w="28" w:type="dxa"/>
          <w:left w:w="28" w:type="dxa"/>
          <w:bottom w:w="28" w:type="dxa"/>
          <w:right w:w="28" w:type="dxa"/>
        </w:tblCellMar>
      </w:tblPr>
      <w:tblGrid>
        <w:gridCol w:w="516"/>
        <w:gridCol w:w="453"/>
        <w:gridCol w:w="456"/>
        <w:gridCol w:w="253"/>
        <w:gridCol w:w="741"/>
        <w:gridCol w:w="131"/>
        <w:gridCol w:w="109"/>
        <w:gridCol w:w="109"/>
        <w:gridCol w:w="109"/>
        <w:gridCol w:w="332"/>
        <w:gridCol w:w="970"/>
        <w:gridCol w:w="242"/>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consisting of computers, furniture and fixtures, office equipment, construction in process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property and equipment are presented as follows (in thousands): </w:t>
      </w:r>
    </w:p>
    <w:tbl>
      <w:tblPr>
        <w:tblW w:w="5412" w:type="dxa"/>
        <w:jc w:val="left"/>
        <w:tblInd w:w="0" w:type="dxa"/>
        <w:tblLayout w:type="fixed"/>
        <w:tblCellMar>
          <w:top w:w="28" w:type="dxa"/>
          <w:left w:w="28" w:type="dxa"/>
          <w:bottom w:w="28" w:type="dxa"/>
          <w:right w:w="28" w:type="dxa"/>
        </w:tblCellMar>
      </w:tblPr>
      <w:tblGrid>
        <w:gridCol w:w="875"/>
        <w:gridCol w:w="768"/>
        <w:gridCol w:w="772"/>
        <w:gridCol w:w="253"/>
        <w:gridCol w:w="741"/>
        <w:gridCol w:w="131"/>
        <w:gridCol w:w="109"/>
        <w:gridCol w:w="109"/>
        <w:gridCol w:w="109"/>
        <w:gridCol w:w="392"/>
        <w:gridCol w:w="866"/>
        <w:gridCol w:w="287"/>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8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adjustments to the right-of-use asset may be required for items such as initial direct costs paid or incentives received. As the Company’s leases do not typically provide an implicit rate, the Company utilizes the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sans-serif" w:hAnsi="Times New Roman;sans-serif"/>
          <w:b w:val="false"/>
          <w:color w:val="231F20"/>
          <w:sz w:val="20"/>
        </w:rPr>
        <w:t>condensed consolidated statements of operations and comprehensive loss</w:t>
      </w:r>
      <w:r>
        <w:rPr>
          <w:rFonts w:ascii="Times New Roman;sans-serif" w:hAnsi="Times New Roman;sans-serif"/>
          <w:b w:val="false"/>
          <w:color w:val="000000"/>
          <w:sz w:val="20"/>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Commitments and Contingencies</w:t>
      </w:r>
    </w:p>
    <w:p>
      <w:pPr>
        <w:pStyle w:val="TextBody"/>
        <w:bidi w:val="0"/>
        <w:spacing w:lineRule="auto" w:line="288" w:before="120" w:after="120"/>
        <w:jc w:val="both"/>
        <w:rPr/>
      </w:pPr>
      <w:r>
        <w:rPr>
          <w:rFonts w:ascii="Times New Roman;sans-serif" w:hAnsi="Times New Roman;sans-serif"/>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June 30, 2023 and December 31, 2022</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 and Related Allowances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Net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jc w:val="both"/>
        <w:rPr/>
      </w:pP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bidi w:val="0"/>
        <w:spacing w:lineRule="auto" w:line="288" w:before="120" w:after="120"/>
        <w:jc w:val="both"/>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 xml:space="preserve">The Company offers co-payment assistance to commercially insured patients meeting certain eligibility requirement. Co-payment assistance is accrued at the time of product sale to SDs and SP based on estimated patient participation and average co-pay benefit to be paid per a claim. The Company estimated amounts are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jc w:val="both"/>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deducted from gross product sales for the allowances described above for the three months ended June 30, 2023, and 2022, was $1.1 million and $0.6 million, respectively, and for the six months ended June 30, 2023 and 2022 was $2.1 million and $1.0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accrued revenue allowances (in thousands):</w:t>
      </w:r>
    </w:p>
    <w:tbl>
      <w:tblPr>
        <w:tblW w:w="7893"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233"/>
        <w:gridCol w:w="681"/>
        <w:gridCol w:w="120"/>
        <w:gridCol w:w="120"/>
        <w:gridCol w:w="120"/>
        <w:gridCol w:w="120"/>
        <w:gridCol w:w="233"/>
        <w:gridCol w:w="515"/>
        <w:gridCol w:w="120"/>
        <w:gridCol w:w="109"/>
        <w:gridCol w:w="109"/>
        <w:gridCol w:w="109"/>
        <w:gridCol w:w="213"/>
        <w:gridCol w:w="622"/>
        <w:gridCol w:w="110"/>
        <w:gridCol w:w="110"/>
        <w:gridCol w:w="110"/>
        <w:gridCol w:w="110"/>
        <w:gridCol w:w="213"/>
        <w:gridCol w:w="470"/>
        <w:gridCol w:w="155"/>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120" w:after="120"/>
        <w:jc w:val="both"/>
        <w:rPr/>
      </w:pPr>
      <w:r>
        <w:rPr>
          <w:rFonts w:ascii="Times New Roman;sans-serif" w:hAnsi="Times New Roman;sans-serif"/>
          <w:b w:val="false"/>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w:t>
      </w:r>
      <w:r>
        <w:rPr>
          <w:color w:val="231F20"/>
        </w:rPr>
        <w:t xml:space="preserve"> </w:t>
      </w:r>
      <w:r>
        <w:rPr>
          <w:rFonts w:ascii="Times New Roman;sans-serif" w:hAnsi="Times New Roman;sans-serif"/>
          <w:b w:val="false"/>
          <w:color w:val="000000"/>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recognizes all share-based payments to employees, including grants of employee stock options in the condensed consolidated statements of operations and comprehensive loss based on their fair values. All of the Company’s share-based awards, to employees, non-employees, officers, and directors, are subject only to service-based vesting conditions. The Company estimates the fair value of its share-based awards using the Black-Scholes option pricing model, which requires the input of assumptions, including (i) the expected stock price volatility, (ii) the calculation of expected term of the award, (iii) the risk-free interest rate and (iv) expected dividends. </w:t>
      </w:r>
      <w:r>
        <w:rPr>
          <w:rFonts w:ascii="Times New Roman;sans-serif" w:hAnsi="Times New Roman;sans-serif"/>
          <w:b w:val="false"/>
          <w:color w:val="231F20"/>
          <w:sz w:val="20"/>
        </w:rPr>
        <w:t>Options granted during the year have a maximum contractual term of ten years. Forfeitures are recognized and accounted for as they occur.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 </w:t>
      </w:r>
    </w:p>
    <w:p>
      <w:pPr>
        <w:pStyle w:val="TextBody"/>
        <w:bidi w:val="0"/>
        <w:spacing w:lineRule="auto" w:line="288" w:before="120" w:after="120"/>
        <w:jc w:val="both"/>
        <w:rPr/>
      </w:pPr>
      <w:r>
        <w:rPr>
          <w:rFonts w:ascii="Times New Roman;sans-serif" w:hAnsi="Times New Roman;sans-serif"/>
          <w:b w:val="false"/>
          <w:color w:val="231F20"/>
          <w:sz w:val="20"/>
        </w:rPr>
        <w:t>The Company has limited historical stock option activity and therefore estimates</w:t>
      </w:r>
      <w:r>
        <w:rPr>
          <w:color w:val="231F20"/>
        </w:rPr>
        <w:t xml:space="preserve"> </w:t>
      </w:r>
      <w:r>
        <w:rPr>
          <w:rFonts w:ascii="Times New Roman;sans-serif" w:hAnsi="Times New Roman;sans-serif"/>
          <w:b w:val="false"/>
          <w:color w:val="231F20"/>
          <w:sz w:val="20"/>
        </w:rPr>
        <w:t>the expected term of stock options granted to employees, officers, and directors using the simplified method, which represents the average of the contractual term of the stock option and its weighted-average vesting period,</w:t>
      </w:r>
      <w:r>
        <w:rPr>
          <w:color w:val="000000"/>
        </w:rPr>
        <w:t xml:space="preserve"> </w:t>
      </w:r>
      <w:r>
        <w:rPr>
          <w:rFonts w:ascii="Times New Roman;sans-serif" w:hAnsi="Times New Roman;sans-serif"/>
          <w:b w:val="false"/>
          <w:color w:val="000000"/>
          <w:sz w:val="20"/>
        </w:rPr>
        <w:t xml:space="preserve">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120"/>
        <w:jc w:val="both"/>
        <w:rPr/>
      </w:pPr>
      <w:r>
        <w:rPr>
          <w:rFonts w:ascii="Times New Roman;sans-serif" w:hAnsi="Times New Roman;sans-serif"/>
          <w:b w:val="false"/>
          <w:color w:val="000000"/>
          <w:sz w:val="20"/>
        </w:rPr>
        <w:t xml:space="preserve">Basic net loss per share is calculated by dividing the net loss attributable to common stockholders by the weighted-average number of common shares outstanding for the period. Basic and diluted weighted average shares of common stock outstanding for the three and six months ended June 30, 2023, </w:t>
      </w:r>
      <w:r>
        <w:rPr>
          <w:rFonts w:ascii="Times New Roman;sans-serif" w:hAnsi="Times New Roman;sans-serif"/>
          <w:b w:val="false"/>
          <w:color w:val="000000"/>
          <w:sz w:val="20"/>
          <w:shd w:fill="FFFFFF" w:val="clear"/>
        </w:rPr>
        <w:t>includes the weighted average effect of 2,426,493</w:t>
      </w:r>
      <w:r>
        <w:rPr>
          <w:color w:val="000000"/>
        </w:rPr>
        <w:t xml:space="preserve"> </w:t>
      </w:r>
      <w:r>
        <w:rPr>
          <w:rFonts w:ascii="Times New Roman;sans-serif" w:hAnsi="Times New Roman;sans-serif"/>
          <w:b w:val="false"/>
          <w:color w:val="000000"/>
          <w:sz w:val="20"/>
        </w:rPr>
        <w:t>Pre-Funded Warrants (as defined below), which were issued in September 2022, for the purchase of shares of common stock, for which the remaining unfunded exercise price is $0.0001 per share.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and warrants have been excluded from the computation of diluted net loss per share as they would be anti-dilutive.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potentially dilutive securities that have been excluded in the calculation of diluted net loss per share because their inclusion would be anti-dilutive (in thousands):</w:t>
      </w:r>
    </w:p>
    <w:tbl>
      <w:tblPr>
        <w:tblW w:w="5489" w:type="dxa"/>
        <w:jc w:val="left"/>
        <w:tblInd w:w="0" w:type="dxa"/>
        <w:tblLayout w:type="fixed"/>
        <w:tblCellMar>
          <w:top w:w="28" w:type="dxa"/>
          <w:left w:w="28" w:type="dxa"/>
          <w:bottom w:w="28" w:type="dxa"/>
          <w:right w:w="28" w:type="dxa"/>
        </w:tblCellMar>
      </w:tblPr>
      <w:tblGrid>
        <w:gridCol w:w="1100"/>
        <w:gridCol w:w="970"/>
        <w:gridCol w:w="974"/>
        <w:gridCol w:w="386"/>
        <w:gridCol w:w="230"/>
        <w:gridCol w:w="224"/>
        <w:gridCol w:w="224"/>
        <w:gridCol w:w="224"/>
        <w:gridCol w:w="224"/>
        <w:gridCol w:w="386"/>
        <w:gridCol w:w="230"/>
        <w:gridCol w:w="317"/>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3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jc w:val="both"/>
        <w:rPr/>
      </w:pPr>
      <w:r>
        <w:rPr>
          <w:rFonts w:ascii="Times New Roman;sans-serif" w:hAnsi="Times New Roman;sans-serif"/>
          <w:b w:val="false"/>
          <w:color w:val="000000"/>
          <w:sz w:val="20"/>
        </w:rPr>
        <w:t>In August 2020, the FASB issued ASU 2020-06, “</w:t>
      </w:r>
      <w:r>
        <w:rPr>
          <w:rFonts w:ascii="Times New Roman;sans-serif" w:hAnsi="Times New Roman;sans-serif"/>
          <w:b w:val="false"/>
          <w:i/>
          <w:color w:val="000000"/>
          <w:sz w:val="20"/>
        </w:rPr>
        <w:t>Debt – Debt with Conversion and Other Options”</w:t>
      </w:r>
      <w:r>
        <w:rPr>
          <w:color w:val="000000"/>
        </w:rPr>
        <w:t xml:space="preserve"> </w:t>
      </w:r>
      <w:r>
        <w:rPr>
          <w:rFonts w:ascii="Times New Roman;sans-serif" w:hAnsi="Times New Roman;sans-serif"/>
          <w:b w:val="false"/>
          <w:color w:val="000000"/>
          <w:sz w:val="20"/>
        </w:rPr>
        <w:t xml:space="preserve">(Subtopic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consolidated financial statements. </w:t>
      </w:r>
    </w:p>
    <w:p>
      <w:pPr>
        <w:pStyle w:val="TextBody"/>
        <w:bidi w:val="0"/>
        <w:spacing w:lineRule="auto" w:line="288" w:before="120" w:after="120"/>
        <w:jc w:val="both"/>
        <w:rPr/>
      </w:pPr>
      <w:r>
        <w:rPr>
          <w:rFonts w:ascii="Times New Roman;sans-serif" w:hAnsi="Times New Roman;sans-serif"/>
          <w:b w:val="false"/>
          <w:color w:val="000000"/>
          <w:sz w:val="20"/>
        </w:rPr>
        <w:t>In 2016, the FASB issued ASU 2016-13 “</w:t>
      </w:r>
      <w:r>
        <w:rPr>
          <w:rFonts w:ascii="Times New Roman;sans-serif" w:hAnsi="Times New Roman;sans-serif"/>
          <w:b w:val="false"/>
          <w:i/>
          <w:color w:val="000000"/>
          <w:sz w:val="20"/>
        </w:rPr>
        <w:t xml:space="preserve">Financial Instruments - Credit Losses” </w:t>
      </w:r>
      <w:r>
        <w:rPr>
          <w:rFonts w:ascii="Times New Roman;sans-serif" w:hAnsi="Times New Roman;sans-serif"/>
          <w:b w:val="false"/>
          <w:color w:val="000000"/>
          <w:sz w:val="20"/>
        </w:rPr>
        <w:t xml:space="preserve">which (i) significantly changes the impairment model for most financial assets that are measured at amortized cost and certain other instruments from an incurred loss model to an expected loss model which will be based on an estimate of current expected credit loss; and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provides for recording credit losses on available-for-sale debt securities through an allowance account. The standard also requires certain incremental disclosures. Subsequently, the FASB issued several ASUs to clarify, improve, or defer the adoption of ASU 2016-13. The Company adopted ASU 2016-13 beginning in January 2023. The Company determined that the adoption of this standard did not result in a material impact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3. Fair Value Measurement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recurring fair value of the Company’s financial assets and liabilities, allocated into the Level 1, Level 2 and Level 3 hierarchy that were measured at fair value on a recurring basis (in thousands):</w:t>
      </w:r>
    </w:p>
    <w:tbl>
      <w:tblPr>
        <w:tblW w:w="754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June 30, 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50" w:type="dxa"/>
        <w:jc w:val="left"/>
        <w:tblInd w:w="0" w:type="dxa"/>
        <w:tblLayout w:type="fixed"/>
        <w:tblCellMar>
          <w:top w:w="28" w:type="dxa"/>
          <w:left w:w="28" w:type="dxa"/>
          <w:bottom w:w="28" w:type="dxa"/>
          <w:right w:w="28" w:type="dxa"/>
        </w:tblCellMar>
      </w:tblPr>
      <w:tblGrid>
        <w:gridCol w:w="927"/>
        <w:gridCol w:w="814"/>
        <w:gridCol w:w="824"/>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2022</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accompanying condensed consolidated balance sheets.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net unrealized loss on investments was $44,000. All marketable securities had a contractual maturity of less than one year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4. Short-Term Investments and Cash Equivalents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the Company's short-term investments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83"/>
        <w:gridCol w:w="739"/>
        <w:gridCol w:w="199"/>
        <w:gridCol w:w="109"/>
        <w:gridCol w:w="109"/>
        <w:gridCol w:w="109"/>
        <w:gridCol w:w="211"/>
        <w:gridCol w:w="826"/>
        <w:gridCol w:w="162"/>
      </w:tblGrid>
      <w:tr>
        <w:trPr/>
        <w:tc>
          <w:tcPr>
            <w:tcW w:w="89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44"/>
        <w:gridCol w:w="799"/>
        <w:gridCol w:w="178"/>
        <w:gridCol w:w="109"/>
        <w:gridCol w:w="109"/>
        <w:gridCol w:w="109"/>
        <w:gridCol w:w="211"/>
        <w:gridCol w:w="826"/>
        <w:gridCol w:w="162"/>
      </w:tblGrid>
      <w:tr>
        <w:trPr/>
        <w:tc>
          <w:tcPr>
            <w:tcW w:w="89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5. Intangible Asset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Company closed its reverse merger pursuant to which the Company’s wholly-owned subsidiary merged with and into Aadi Subsidiary, Inc. (formerly Aadi Bioscience, Inc.) (“Private Aadi”), with Private Aadi surviving as a wholly owned subsidiary of the Company (the “Merger”). The Company recorded a long-lived contract intangible asset as a result of the Merger, related to the license agreement, dated June 24, 2018, with Gossamer Bio, Inc. (“Gossamer”), as amended (the “Gossamer License Agreement”),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At the effective time of the Merger, the Company recognized an impairment of $74.2 million to bring the carrying amount of the contract intangible asset down to its estimated fair value of $3.9 million. The fair value estimate of the intangible asset related to contingent cash flows expected from the out-licensing arrangement, of which 90% of any future net cash proceeds will be remitted to each holder of common stock of the Company’s predecessor, Aerpio, as of immediately prior to the closing of the Merger and paid through the contingent value rights (“CVRs”) pursuant to a Contingent Value Rights Agreement, dated as of August 26, 2021 (the “CVR Agreement”). The useful life of the intangible asset was estimated to be approximately 14.3 years.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2022, the Company received a formal notice of termination from Gossamer for the Gossamer License Agreement, relating to Gossamer’s GB004 product candidate, a legacy product candidate of Aerpio, after Gossamer announced that its Phase 2 SHIFT-UC clinical trial studying GB004 in patients with mild-to-moderate active ulcerative colitis did not meet the primary or secondary endpoints at week 12 and the study was being terminated for lack of treatment benefit. The Gossamer License Agreement terminated effective July 24, 2022. Based on the termination of the Gossamer License Agreement, the Company fully impaired the intangible asset, $3.7 million, of which the Gossamer License Agreement is the underlying asset, during the year ended December 31,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amortization expense for the three and six months ended June 30, 2023. Amortization expense was $19,000 and $87,000 for the three and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amortization expense and impairment of the finite lived intangible asset for the six months ended June 30, 2022 (in thousands): </w:t>
      </w:r>
    </w:p>
    <w:tbl>
      <w:tblPr>
        <w:tblW w:w="4040" w:type="dxa"/>
        <w:jc w:val="left"/>
        <w:tblInd w:w="0" w:type="dxa"/>
        <w:tblLayout w:type="fixed"/>
        <w:tblCellMar>
          <w:top w:w="28" w:type="dxa"/>
          <w:left w:w="28" w:type="dxa"/>
          <w:bottom w:w="28" w:type="dxa"/>
          <w:right w:w="28" w:type="dxa"/>
        </w:tblCellMar>
      </w:tblPr>
      <w:tblGrid>
        <w:gridCol w:w="1108"/>
        <w:gridCol w:w="974"/>
        <w:gridCol w:w="977"/>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contract intangible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6. Accrued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accrued liabilities are presented as follows (in thousands):</w:t>
      </w:r>
    </w:p>
    <w:tbl>
      <w:tblPr>
        <w:tblW w:w="5132" w:type="dxa"/>
        <w:jc w:val="left"/>
        <w:tblInd w:w="0" w:type="dxa"/>
        <w:tblLayout w:type="fixed"/>
        <w:tblCellMar>
          <w:top w:w="28" w:type="dxa"/>
          <w:left w:w="28" w:type="dxa"/>
          <w:bottom w:w="28" w:type="dxa"/>
          <w:right w:w="28" w:type="dxa"/>
        </w:tblCellMar>
      </w:tblPr>
      <w:tblGrid>
        <w:gridCol w:w="987"/>
        <w:gridCol w:w="870"/>
        <w:gridCol w:w="873"/>
        <w:gridCol w:w="211"/>
        <w:gridCol w:w="616"/>
        <w:gridCol w:w="109"/>
        <w:gridCol w:w="109"/>
        <w:gridCol w:w="109"/>
        <w:gridCol w:w="109"/>
        <w:gridCol w:w="221"/>
        <w:gridCol w:w="757"/>
        <w:gridCol w:w="161"/>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customer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 sales related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Operating Lease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the Company’s lease (in thousands):</w:t>
      </w:r>
    </w:p>
    <w:tbl>
      <w:tblPr>
        <w:tblW w:w="6235" w:type="dxa"/>
        <w:jc w:val="left"/>
        <w:tblInd w:w="0" w:type="dxa"/>
        <w:tblLayout w:type="fixed"/>
        <w:tblCellMar>
          <w:top w:w="28" w:type="dxa"/>
          <w:left w:w="28" w:type="dxa"/>
          <w:bottom w:w="28" w:type="dxa"/>
          <w:right w:w="28" w:type="dxa"/>
        </w:tblCellMar>
      </w:tblPr>
      <w:tblGrid>
        <w:gridCol w:w="1170"/>
        <w:gridCol w:w="1030"/>
        <w:gridCol w:w="1039"/>
        <w:gridCol w:w="253"/>
        <w:gridCol w:w="741"/>
        <w:gridCol w:w="131"/>
        <w:gridCol w:w="109"/>
        <w:gridCol w:w="109"/>
        <w:gridCol w:w="109"/>
        <w:gridCol w:w="332"/>
        <w:gridCol w:w="970"/>
        <w:gridCol w:w="24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Rent expense </w:t>
      </w:r>
      <w:r>
        <w:rPr>
          <w:rFonts w:ascii="Times New Roman;sans-serif" w:hAnsi="Times New Roman;sans-serif"/>
          <w:b w:val="false"/>
          <w:color w:val="000000"/>
          <w:sz w:val="20"/>
        </w:rPr>
        <w:t>for the three and six months ended June 30, 2023 and 2022 is presented on the following table (in thousands):</w:t>
      </w:r>
    </w:p>
    <w:tbl>
      <w:tblPr>
        <w:tblW w:w="7221" w:type="dxa"/>
        <w:jc w:val="left"/>
        <w:tblInd w:w="0" w:type="dxa"/>
        <w:tblLayout w:type="fixed"/>
        <w:tblCellMar>
          <w:top w:w="28" w:type="dxa"/>
          <w:left w:w="28" w:type="dxa"/>
          <w:bottom w:w="28" w:type="dxa"/>
          <w:right w:w="28" w:type="dxa"/>
        </w:tblCellMar>
      </w:tblPr>
      <w:tblGrid>
        <w:gridCol w:w="912"/>
        <w:gridCol w:w="801"/>
        <w:gridCol w:w="806"/>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rent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leases and included in operating cash flows for the six months ended June 30, 2023 and 2022 is presented on the following table (in thousands):</w:t>
      </w:r>
    </w:p>
    <w:tbl>
      <w:tblPr>
        <w:tblW w:w="6159" w:type="dxa"/>
        <w:jc w:val="left"/>
        <w:tblInd w:w="0" w:type="dxa"/>
        <w:tblLayout w:type="fixed"/>
        <w:tblCellMar>
          <w:top w:w="28" w:type="dxa"/>
          <w:left w:w="28" w:type="dxa"/>
          <w:bottom w:w="28" w:type="dxa"/>
          <w:right w:w="28" w:type="dxa"/>
        </w:tblCellMar>
      </w:tblPr>
      <w:tblGrid>
        <w:gridCol w:w="1308"/>
        <w:gridCol w:w="1151"/>
        <w:gridCol w:w="1155"/>
        <w:gridCol w:w="243"/>
        <w:gridCol w:w="537"/>
        <w:gridCol w:w="125"/>
        <w:gridCol w:w="125"/>
        <w:gridCol w:w="125"/>
        <w:gridCol w:w="125"/>
        <w:gridCol w:w="243"/>
        <w:gridCol w:w="416"/>
        <w:gridCol w:w="125"/>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included in operating cash flows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required under the operating lease as of June 30, 2023, are summarized below (in thousands):</w:t>
      </w:r>
    </w:p>
    <w:tbl>
      <w:tblPr>
        <w:tblW w:w="4652" w:type="dxa"/>
        <w:jc w:val="left"/>
        <w:tblInd w:w="0" w:type="dxa"/>
        <w:tblLayout w:type="fixed"/>
        <w:tblCellMar>
          <w:top w:w="28" w:type="dxa"/>
          <w:left w:w="28" w:type="dxa"/>
          <w:bottom w:w="28" w:type="dxa"/>
          <w:right w:w="28" w:type="dxa"/>
        </w:tblCellMar>
      </w:tblPr>
      <w:tblGrid>
        <w:gridCol w:w="1271"/>
        <w:gridCol w:w="1117"/>
        <w:gridCol w:w="1121"/>
        <w:gridCol w:w="211"/>
        <w:gridCol w:w="616"/>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Future Minimum Lease Payments: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11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borrowing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231F20"/>
          <w:sz w:val="20"/>
        </w:rPr>
        <w:t>8. L</w:t>
      </w:r>
      <w:r>
        <w:rPr>
          <w:rFonts w:ascii="Times New Roman;sans-serif" w:hAnsi="Times New Roman;sans-serif"/>
          <w:b/>
          <w:color w:val="000000"/>
          <w:sz w:val="20"/>
        </w:rPr>
        <w:t>icense Agreements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Bristol Myers Squibb Company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License Agreement will remain in effect from the effective date of April 9, 2014 until expiration of all milestone and royalty payment obligations under the agreement, unless terminated by either of the parties upon giving an advance notice as specified in the BMS License Agreement. Under the terms of the BMS License Agreement, BMS agreed to supply the Company with licensed products of FYARRO necessary for clinical or non-clinical development.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BMS License Agreement, BMS is entitled to receive certain development milestone payments, royalties on net sales from licensed products under the agreement and any sublicense fees. During the three months ended June 30, 2023 and 2022, royalties on net product sales were $0.5 million and $0.2 million, respectively. During the six months ended June 30, 2023 and 2022, royalties on net product sales were $0.9 million and $0.4 million, respectively. No payments related to development milestones were paid during the three and six months ended June 30, 2023 or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2021 private investment in public equity financing (the “2021 PIPE Financing”). Pursuant to the terms of the Amendment, the remaining previously outstanding payment obligation of $5.8 million, is due on the third anniversary of the effective time of the 2021 PIPE Financing, or August 26, 2024 plus any accrued and unpaid interest due thereon (the “Balloon Payment”).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EOC License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EOC License Agreement and concluded that EOC was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Stockholders’ Equity (Deficit)</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Preferred Stock</w:t>
      </w:r>
    </w:p>
    <w:p>
      <w:pPr>
        <w:pStyle w:val="TextBody"/>
        <w:bidi w:val="0"/>
        <w:spacing w:lineRule="auto" w:line="288" w:before="120" w:after="120"/>
        <w:jc w:val="both"/>
        <w:rPr/>
      </w:pPr>
      <w:r>
        <w:rPr>
          <w:rFonts w:ascii="Times New Roman;sans-serif" w:hAnsi="Times New Roman;sans-serif"/>
          <w:b w:val="false"/>
          <w:color w:val="000000"/>
          <w:sz w:val="20"/>
        </w:rPr>
        <w:t xml:space="preserve">As of June 30, 2023 and </w:t>
      </w:r>
      <w:r>
        <w:rPr>
          <w:rFonts w:ascii="Times New Roman;sans-serif" w:hAnsi="Times New Roman;sans-serif"/>
          <w:b w:val="false"/>
          <w:color w:val="231F20"/>
          <w:sz w:val="20"/>
        </w:rPr>
        <w:t>December 31, 2022</w:t>
      </w:r>
      <w:r>
        <w:rPr>
          <w:rFonts w:ascii="Times New Roman;sans-serif" w:hAnsi="Times New Roman;sans-serif"/>
          <w:b w:val="false"/>
          <w:color w:val="000000"/>
          <w:sz w:val="20"/>
        </w:rPr>
        <w:t>, under the Company’s certificate of incorporation, as amended and restated, the Company has 10,000,000 shares of preferred stock, par value $0.0001 per share, in authorized capital with no shares outstanding.</w:t>
      </w:r>
      <w:r>
        <w:rPr>
          <w:color w:val="231F20"/>
        </w:rPr>
        <w:t xml:space="preserv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300,000,000 shares of authorized common stock, par value of $0.0001 per share under the Company's certificate of incorporation, as amended and restated. As of June 30, 2023 and December 31, 2022, the shares of common stock outstanding were 24,519,860 and 24,435,007, respectively.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March 2022, the Company entered into a </w:t>
      </w:r>
      <w:r>
        <w:rPr>
          <w:rFonts w:ascii="Times New Roman;sans-serif" w:hAnsi="Times New Roman;sans-serif"/>
          <w:b w:val="false"/>
          <w:color w:val="000000"/>
          <w:sz w:val="20"/>
        </w:rPr>
        <w:t>Sales Agreement (the "Sales Agreement") with Cowen and Company LLC (“Cowen”)</w:t>
      </w:r>
      <w:r>
        <w:rPr>
          <w:rFonts w:ascii="Times New Roman;sans-serif" w:hAnsi="Times New Roman;sans-serif"/>
          <w:b w:val="false"/>
          <w:color w:val="000000"/>
          <w:sz w:val="20"/>
          <w:shd w:fill="FFFFFF" w:val="clear"/>
        </w:rPr>
        <w:t xml:space="preserve">, with respect to an “at the market offering” program </w:t>
      </w:r>
      <w:r>
        <w:rPr>
          <w:rFonts w:ascii="Times New Roman;sans-serif" w:hAnsi="Times New Roman;sans-serif"/>
          <w:b w:val="false"/>
          <w:color w:val="000000"/>
          <w:sz w:val="20"/>
        </w:rPr>
        <w:t>pursuant to which the Company may offer and sell, from time to time at its sole discretion, shares of common stock having aggregate gross proceeds of up to $75.0 million through Cowen as its sales agent</w:t>
      </w:r>
      <w:r>
        <w:rPr>
          <w:rFonts w:ascii="Times New Roman;sans-serif" w:hAnsi="Times New Roman;sans-serif"/>
          <w:b w:val="false"/>
          <w:color w:val="000000"/>
          <w:sz w:val="20"/>
          <w:shd w:fill="FFFFFF" w:val="clear"/>
        </w:rPr>
        <w:t xml:space="preserve">. The Company will pay Cowen 3.0% of the aggregate gross proceeds from each sale of shares of common stock under the Sales Agreement. 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no shares of common stock had been sold pursuant to the Sales Agreement.</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September 22, 2022, the Company entered into a securities purchase agreement (the “Purchase Agreement”) for a private investment in public equity financing (the “2022 PIPE Financing”) with certain investors (the “2022 PIPE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Aggregated net proceeds, after deducting certain expenses incurred of $0.3 million related to the issuance of the shares were $72.2 million.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Pre-Funded Warrants meet the criteria to be classified within stockholders’ equity. As of June 30, 2023, all Pre-Funded Warrants are still outstanding.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common stock are entitled to receive cash dividends, if and when declared by the board of directors of the Company (the “board of directors”). Since the Company’s inception, no cash dividends have been declared or paid to the holders of common stock.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w:t>
      </w:r>
    </w:p>
    <w:p>
      <w:pPr>
        <w:pStyle w:val="TextBody"/>
        <w:bidi w:val="0"/>
        <w:spacing w:lineRule="auto" w:line="288" w:before="120" w:after="120"/>
        <w:jc w:val="both"/>
        <w:rPr/>
      </w:pPr>
      <w:r>
        <w:rPr>
          <w:rFonts w:ascii="Times New Roman;sans-serif" w:hAnsi="Times New Roman;sans-serif"/>
          <w:b w:val="false"/>
          <w:color w:val="000000"/>
          <w:sz w:val="20"/>
        </w:rPr>
        <w:t>In the event of any voluntary or involuntary liquidation, dissolution, or winding-up of the Company, the holders of common stock are entitled to share ratably in the Company’s assets.</w:t>
      </w:r>
      <w:r>
        <w:rPr>
          <w:color w:val="000000"/>
        </w:rPr>
        <w:t xml:space="preserv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at all meetings of stockholders for each share of common stock held by such stockholder as of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10. Share-Based Compensation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2014 Plan (as amended and restated in February 2017, the “Private Aadi Plan”)</w:t>
      </w:r>
    </w:p>
    <w:p>
      <w:pPr>
        <w:pStyle w:val="TextBody"/>
        <w:bidi w:val="0"/>
        <w:spacing w:lineRule="auto" w:line="288" w:before="120" w:after="120"/>
        <w:jc w:val="both"/>
        <w:rPr/>
      </w:pPr>
      <w:r>
        <w:rPr>
          <w:rFonts w:ascii="Times New Roman;sans-serif" w:hAnsi="Times New Roman;sans-serif"/>
          <w:b w:val="false"/>
          <w:color w:val="000000"/>
          <w:sz w:val="20"/>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sans-serif" w:hAnsi="Times New Roman;sans-serif"/>
          <w:b w:val="false"/>
          <w:color w:val="231F20"/>
          <w:sz w:val="20"/>
        </w:rPr>
        <w:t xml:space="preserve">The Private Aadi Plan allowed for the grant of incentive stock options, non-statutory stock options, stock appreciation rights, restricted stock unit awards and other stock awards. In connection with the closing of the Merger and the adoption of the 2021 Plan (as defined below), no further awards will be issued under the Private Aadi Plan.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2011 Plan and 2017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will be granted under the Prior Plans effective as of the closing of the Merger and adoption of the 2021 Plan (as defined below).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available for issuance under the 2021 Plan will include an annual increase, or the evergreen feature, on the first day of each of the Company’s fiscal years, beginning with the Company’s fiscal year 2022, equal to the least of: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2,070,784 shares of common stock;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number of shares equal to 4% of the outstanding shares of common stock on the last day of the immediately preceding fiscal year; or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such number of shares as the board of directors or its designated committee may determine.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evergreen increase, a total of 977,400 shares were added to the 2021 Plan on January 1,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262,454, 99,025 and 3,723,886 shares were outstanding under the Private Aadi Plan, 2017 Plan and 2021 Plan, respectively. As of June 30, 2023, no shares were outstanding under the 2011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 option activity during the six months ended June 30, 2023: </w:t>
      </w:r>
    </w:p>
    <w:tbl>
      <w:tblPr>
        <w:tblW w:w="10205" w:type="dxa"/>
        <w:jc w:val="left"/>
        <w:tblInd w:w="0" w:type="dxa"/>
        <w:tblLayout w:type="fixed"/>
        <w:tblCellMar>
          <w:top w:w="28" w:type="dxa"/>
          <w:left w:w="28" w:type="dxa"/>
          <w:bottom w:w="28" w:type="dxa"/>
          <w:right w:w="28" w:type="dxa"/>
        </w:tblCellMar>
      </w:tblPr>
      <w:tblGrid>
        <w:gridCol w:w="1331"/>
        <w:gridCol w:w="1171"/>
        <w:gridCol w:w="1175"/>
        <w:gridCol w:w="488"/>
        <w:gridCol w:w="488"/>
        <w:gridCol w:w="206"/>
        <w:gridCol w:w="109"/>
        <w:gridCol w:w="109"/>
        <w:gridCol w:w="109"/>
        <w:gridCol w:w="315"/>
        <w:gridCol w:w="920"/>
        <w:gridCol w:w="162"/>
        <w:gridCol w:w="109"/>
        <w:gridCol w:w="109"/>
        <w:gridCol w:w="109"/>
        <w:gridCol w:w="467"/>
        <w:gridCol w:w="467"/>
        <w:gridCol w:w="468"/>
        <w:gridCol w:w="109"/>
        <w:gridCol w:w="109"/>
        <w:gridCol w:w="109"/>
        <w:gridCol w:w="335"/>
        <w:gridCol w:w="981"/>
        <w:gridCol w:w="250"/>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2,990,423 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1,680,709 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June 30,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1,131,691 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4,085,366 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aggregate intrinsic value of options outstanding was $1.0 million. For the six months ended June 30, 2023, and 2022, the weighted-average grant-date fair value of options granted was $6.07 and $12.08 per share, respectively.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$25.7 million of unrecognized compensation cost related to stock options, which is expected to be recognized over a weighted average period of 2.6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options exercised during the three months ended June 30, 2023, and 2022, was $0.2 million and $1.0 million, respectively. The total intrinsic value of the options exercised during the six months ended June 30, 2023 and 2022 was $0.2 million and $1.5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700,584 and 853,760 shares were reserved for issuance under the 2021 Plan,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Expense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following compensation cost related to employee and non-employee share-based compensation activity for the periods presented (in thousands): </w:t>
      </w:r>
    </w:p>
    <w:tbl>
      <w:tblPr>
        <w:tblW w:w="7788" w:type="dxa"/>
        <w:jc w:val="left"/>
        <w:tblInd w:w="0" w:type="dxa"/>
        <w:tblLayout w:type="fixed"/>
        <w:tblCellMar>
          <w:top w:w="28" w:type="dxa"/>
          <w:left w:w="28" w:type="dxa"/>
          <w:bottom w:w="28" w:type="dxa"/>
          <w:right w:w="28" w:type="dxa"/>
        </w:tblCellMar>
      </w:tblPr>
      <w:tblGrid>
        <w:gridCol w:w="1071"/>
        <w:gridCol w:w="941"/>
        <w:gridCol w:w="943"/>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estimated fair value for share-based awards. Option pricing and models require the input of various assumptions, including the option’s expected life, expected dividend yield, price volatility and risk-free interest rate of the underlying stock.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10205" w:type="dxa"/>
        <w:jc w:val="left"/>
        <w:tblInd w:w="0" w:type="dxa"/>
        <w:tblLayout w:type="fixed"/>
        <w:tblCellMar>
          <w:top w:w="28" w:type="dxa"/>
          <w:left w:w="28" w:type="dxa"/>
          <w:bottom w:w="28" w:type="dxa"/>
          <w:right w:w="28" w:type="dxa"/>
        </w:tblCellMar>
      </w:tblPr>
      <w:tblGrid>
        <w:gridCol w:w="1295"/>
        <w:gridCol w:w="1136"/>
        <w:gridCol w:w="1143"/>
        <w:gridCol w:w="435"/>
        <w:gridCol w:w="412"/>
        <w:gridCol w:w="394"/>
        <w:gridCol w:w="226"/>
        <w:gridCol w:w="226"/>
        <w:gridCol w:w="226"/>
        <w:gridCol w:w="429"/>
        <w:gridCol w:w="417"/>
        <w:gridCol w:w="394"/>
        <w:gridCol w:w="109"/>
        <w:gridCol w:w="109"/>
        <w:gridCol w:w="109"/>
        <w:gridCol w:w="430"/>
        <w:gridCol w:w="414"/>
        <w:gridCol w:w="396"/>
        <w:gridCol w:w="203"/>
        <w:gridCol w:w="203"/>
        <w:gridCol w:w="203"/>
        <w:gridCol w:w="389"/>
        <w:gridCol w:w="379"/>
        <w:gridCol w:w="528"/>
      </w:tblGrid>
      <w:tr>
        <w:trPr/>
        <w:tc>
          <w:tcPr>
            <w:tcW w:w="129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2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$12.08</w:t>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3.47% - 3.85%</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2.53% - 3.38%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3.42% - 4.17%</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1.46% - 3.38%</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91.54% - 99.29%</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85.91% - 87.06%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89.94% - 99.29%</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85.91% - 87.06%</w:t>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Merger Warrants to Purchase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warrants outstanding for the purchase of 29,167 shares of the Company’s common stock at both June 30, 2023, and December 31, 2022.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six months ended June 30, 2023. At the grant date, the fair value of these awards was determined using a Black-Scholes option pricing model. </w:t>
      </w:r>
    </w:p>
    <w:p>
      <w:pPr>
        <w:pStyle w:val="TextBody"/>
        <w:bidi w:val="0"/>
        <w:spacing w:lineRule="auto" w:line="288" w:before="120" w:after="120"/>
        <w:jc w:val="both"/>
        <w:rPr/>
      </w:pPr>
      <w:r>
        <w:rPr>
          <w:rFonts w:ascii="Times New Roman;sans-serif" w:hAnsi="Times New Roman;sans-serif"/>
          <w:b w:val="false"/>
          <w:color w:val="000000"/>
          <w:sz w:val="20"/>
        </w:rPr>
        <w:t>The number of shares and the exercise price shall be adjusted for standard anti-dilution events such as stock splits, combinations, reorganizations, or issue shares as part of a stock dividend.</w:t>
      </w:r>
      <w:r>
        <w:rPr>
          <w:color w:val="000000"/>
        </w:rPr>
        <w:t xml:space="preserve"> </w:t>
      </w:r>
      <w:r>
        <w:rPr>
          <w:rFonts w:ascii="Times New Roman;sans-serif" w:hAnsi="Times New Roman;sans-serif"/>
          <w:b w:val="false"/>
          <w:color w:val="000000"/>
          <w:sz w:val="20"/>
        </w:rPr>
        <w:t>The warrants meet the criteria to be classified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Employee Stock Purchase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(iii) an amount to be determined by the board of directors or its designated committee no later than the last day of the immediately preceding fiscal year. On January 1, 2023, 244,350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9554" w:type="dxa"/>
        <w:jc w:val="left"/>
        <w:tblInd w:w="0" w:type="dxa"/>
        <w:tblLayout w:type="fixed"/>
        <w:tblCellMar>
          <w:top w:w="28" w:type="dxa"/>
          <w:left w:w="28" w:type="dxa"/>
          <w:bottom w:w="28" w:type="dxa"/>
          <w:right w:w="28" w:type="dxa"/>
        </w:tblCellMar>
      </w:tblPr>
      <w:tblGrid>
        <w:gridCol w:w="769"/>
        <w:gridCol w:w="676"/>
        <w:gridCol w:w="684"/>
        <w:gridCol w:w="109"/>
        <w:gridCol w:w="109"/>
        <w:gridCol w:w="1083"/>
        <w:gridCol w:w="1083"/>
        <w:gridCol w:w="1088"/>
        <w:gridCol w:w="109"/>
        <w:gridCol w:w="109"/>
        <w:gridCol w:w="109"/>
        <w:gridCol w:w="109"/>
        <w:gridCol w:w="109"/>
        <w:gridCol w:w="1083"/>
        <w:gridCol w:w="1083"/>
        <w:gridCol w:w="1088"/>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$5.98 - $11.40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 - 5.24%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105.68% - 176.11%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92.59%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687,491 and 492,361 shares of common stock were available for issuance under the 2021 ESPP, respectively. The Company had an outstanding liability of $50,000 and $0.1 million as of June 30, 2023, and December 31, 2022, respectively, which will be recognized over six months. For the six months ended June 30, 2023 and December 31, 2022, 49,220 and 27,202 shares were issued under the 2021 ESPP,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recorde</w:t>
      </w:r>
      <w:r>
        <w:rPr>
          <w:rFonts w:ascii="Times New Roman;sans-serif" w:hAnsi="Times New Roman;sans-serif"/>
          <w:b w:val="false"/>
          <w:color w:val="000000"/>
          <w:sz w:val="20"/>
        </w:rPr>
        <w:t xml:space="preserve">d no </w:t>
      </w:r>
      <w:r>
        <w:rPr>
          <w:rFonts w:ascii="Times New Roman;sans-serif" w:hAnsi="Times New Roman;sans-serif"/>
          <w:b w:val="false"/>
          <w:color w:val="000000"/>
          <w:sz w:val="20"/>
          <w:shd w:fill="FFFFFF" w:val="clear"/>
        </w:rPr>
        <w:t xml:space="preserve">income tax expense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 xml:space="preserve">June 30, 2023 and $9,000 for the three and six months ended June 30, 2022. The Company continues to maintain a full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w:t>
      </w:r>
    </w:p>
    <w:p>
      <w:pPr>
        <w:pStyle w:val="TextBody"/>
        <w:bidi w:val="0"/>
        <w:spacing w:lineRule="auto" w:line="288" w:before="120" w:after="120"/>
        <w:jc w:val="both"/>
        <w:rPr/>
      </w:pPr>
      <w:r>
        <w:rPr>
          <w:rFonts w:ascii="Times New Roman;sans-serif" w:hAnsi="Times New Roman;sans-serif"/>
          <w:b w:val="false"/>
          <w:color w:val="000000"/>
          <w:sz w:val="20"/>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information to EOC.</w:t>
      </w:r>
      <w:r>
        <w:rPr>
          <w:color w:val="000000"/>
        </w:rPr>
        <w:t xml:space="preserve"> </w:t>
      </w:r>
      <w:r>
        <w:rPr>
          <w:rFonts w:ascii="Times New Roman;sans-serif" w:hAnsi="Times New Roman;sans-serif"/>
          <w:b w:val="false"/>
          <w:color w:val="000000"/>
          <w:sz w:val="20"/>
        </w:rPr>
        <w:t xml:space="preserve">As a result, EOC is seeking monetary damages. The arbitration process is ongoing. The Company intends to defend itself vigorously in this matter and pursue all relief to which the Company is entitled. The Company is unable to estimate the possible loss or range of loss, therefore no amounts have been accrued as of June 30, 2023. See Note 8 for more information about the EOC License Agreement and its termination.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ongoing contracts with vendors for clinical trials and contract manufacturing. These contracts are generally cancellable, with notice, at the Company’s option. The Company recorded accrued expenses of $2.2 million and $2.8 million for expenditures incurred by clinical and contract manufacturing vendors as of June 30, 2023, and December 31, 2022,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was party to a Negotiated Purchase Order Terms and Conditions for Clinical and Commercial Product, as amended effective as of August 1, 2022 (the "Fresenius Agreement"), with Fresenius Kabi that contains specific activities including non-cancellable commitments, minimum purchase commitments, and binding annual forecasts. As of June 30, 2023, there were non-cancellable purchase commitments under the Fresenius Agreement related to the purchase of inventory for $2.1 million to be paid in 2023.</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Mirati Collaboration</w:t>
      </w:r>
    </w:p>
    <w:p>
      <w:pPr>
        <w:pStyle w:val="TextBody"/>
        <w:bidi w:val="0"/>
        <w:spacing w:lineRule="auto" w:line="288" w:before="120" w:after="120"/>
        <w:jc w:val="both"/>
        <w:rPr/>
      </w:pPr>
      <w:r>
        <w:rPr>
          <w:rFonts w:ascii="Times New Roman;sans-serif" w:hAnsi="Times New Roman;sans-serif"/>
          <w:b w:val="false"/>
          <w:color w:val="000000"/>
          <w:sz w:val="20"/>
        </w:rPr>
        <w:t>In October 2022, the Company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Under the terms of the agreement, Mirati will be responsible for sponsoring and operating the Phase 1/2 study and the Company will supply study drug and jointly share the cost of the study. </w:t>
      </w:r>
    </w:p>
    <w:p>
      <w:pPr>
        <w:pStyle w:val="TextBody"/>
        <w:bidi w:val="0"/>
        <w:spacing w:lineRule="auto" w:line="288" w:before="120" w:after="120"/>
        <w:jc w:val="both"/>
        <w:rPr/>
      </w:pPr>
      <w:r>
        <w:rPr>
          <w:rFonts w:ascii="Times New Roman;sans-serif" w:hAnsi="Times New Roman;sans-serif"/>
          <w:b w:val="false"/>
          <w:color w:val="000000"/>
          <w:sz w:val="20"/>
        </w:rPr>
        <w:t>The primary objective of this multi-center, single-arm, open-label Phase 1/2 trial is to determine the optimal dose and recommended Phase 2 dose for the combination of adagrasib and FYARRO in patients with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solid tumors. In addition, the study will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inhibitor. The trial will build on preclinical data showing enhanced anti-tumor efficacy with the combination of adagrasib and FYARRO relative to either agent alone.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Company incurred $0.2 million and $0.5 million in expenses related to the Mirati collaboration.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maintain regulatory approval for FYARRO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advanced malignant perivascular epithelioid cell tumors (“PEComa”), or to obtain and maintain regulatory approval for FYARRO in additional indications, or any other product candidates we may develop in the future, and any related restrictions, limitations or warnings in the label of an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and potential for success relating to commercializing FYARRO, or any other product candidate that we may develop,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related to the further development and manufacturing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scope or likelihood of regulatory filings and approvals for FYARRO for advanced malignant PEComa in foreign jurisdictions and any additional indications we may pursue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pricing and reimbursement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rate and degree of market acceptance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progress and results of preclinical studies and clinical trials for our programs and product candidates, including the impact of the COVID-19 pandemic,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recruit and enroll suitable patients in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expectations regarding the beneficial characteristics, safety, efficacy and therapeutic effects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develop and advance product candidates into, and successfully complete, clinical studies;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implementation of our business model and our strategic plans for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establish or maintain collaborations or strategic relationships or obtain additional funding;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contract with and rely on third parties to assist in conducting our clinical trials and manufacturing FYARRO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size and growth potential of the markets for FYARRO and any other product candidates we may develop in the future, if approved, and our ability to serve those markets, either alone or in partnership with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period over which we anticipate our existing cash and cash equivalents will be sufficient to fund our operating expenses and capital expenditure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for our business development efforts to maximize the potential value of our portfolio;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compete with other companies currently marketing or engaged in the development of treatments for the indications that we are pursuing for FYARRO and any other product candidates we may develop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expectations regarding our ability to obtain and maintain intellectual property protection for our product candidates;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legal proceedings related to the termination of the EOC License Agreement;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retain the continued service of our key professionals and to identify, hire and retain additional qualified professionals;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2022 filed with the SEC on March 29, 2023.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 xml:space="preserve">References in the following discussion to </w:t>
      </w:r>
      <w:r>
        <w:rPr>
          <w:color w:val="000000"/>
        </w:rPr>
        <w:t>“</w:t>
      </w:r>
      <w:r>
        <w:rPr>
          <w:rFonts w:ascii="Times New Roman;sans-serif" w:hAnsi="Times New Roman;sans-serif"/>
          <w:b w:val="false"/>
          <w:i/>
          <w:color w:val="000000"/>
          <w:sz w:val="20"/>
          <w:shd w:fill="FFFFFF" w:val="clear"/>
        </w:rPr>
        <w:t>we,</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our,</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us,</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 xml:space="preserve">or </w:t>
      </w:r>
      <w:r>
        <w:rPr>
          <w:color w:val="000000"/>
        </w:rPr>
        <w:t>“</w:t>
      </w:r>
      <w:r>
        <w:rPr>
          <w:rFonts w:ascii="Times New Roman;sans-serif" w:hAnsi="Times New Roman;sans-serif"/>
          <w:b w:val="false"/>
          <w:i/>
          <w:color w:val="000000"/>
          <w:sz w:val="20"/>
          <w:shd w:fill="FFFFFF" w:val="clear"/>
        </w:rPr>
        <w:t>Aadi</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refer to Aadi Bioscience, Inc. and its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 Myers Squibb Company and collaboration agreement with Mirati Therapeutics, Inc., all further discussed throughout this document.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We are a biopharmaceutical company focused on developing and commercializing precision therapies for genetically defined cancers with alterations in mTOR pathway genes. Our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a form of sirolimus bound to albumin. Sirolimus is a potent inhibitor of the mTOR biological pathway, the activation of which pathway can promote tumor growth. We believe our approach to utilizing albumin bound sirolimus has the potential to produce transformational therapies to cancer patients with mTOR pathway driver alterations where other mTOR inhibitors have not or cannot be effectively exploited due to problems of pharmacology, effective drug delivery, safety, or effective targeting to the disease site.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U.S. Food and Drug Administration (the “FDA”) approved FYARRO sirolimus protein-bound particles for injectable suspension (albumin-bound) for the treatment of adult patients with locally advanced unresectable or metastatic malignant perivascular epithelioid cell tumor (“PEComa”). On February 22, 2022, we launched FYARRO in the United States for treatment of advanced malignant PEComa and recognized net product sales of $6.2 million and $12.1 million for the three and six months ended June 30, 2023, respectively. See “Results of Consolidated Operations” for further discussion of our results. </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to advanced malignant PEComa, based on exploratory data from our completed Phase 2 registrational study, Advanced Malignant PEComa Trial (“AMPECT”), and our expanded access program for FYARRO, we have initiated a registration-directed tumor-agnostic Phase 2 study (“PRECISION1”) of FYARRO in patients with </w:t>
      </w:r>
      <w:r>
        <w:rPr>
          <w:rFonts w:ascii="Times New Roman;sans-serif" w:hAnsi="Times New Roman;sans-serif"/>
          <w:b w:val="false"/>
          <w:color w:val="008080"/>
          <w:sz w:val="20"/>
        </w:rPr>
        <w:t xml:space="preserve">malignant solid tumors with alterations of the </w:t>
      </w:r>
      <w:r>
        <w:rPr>
          <w:rFonts w:ascii="Times New Roman;sans-serif" w:hAnsi="Times New Roman;sans-serif"/>
          <w:b w:val="false"/>
          <w:color w:val="000000"/>
          <w:sz w:val="20"/>
        </w:rPr>
        <w:t>Tuberous Sclerosis Complex 1 and 2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&amp; </w:t>
      </w:r>
      <w:r>
        <w:rPr>
          <w:rFonts w:ascii="Times New Roman;sans-serif" w:hAnsi="Times New Roman;sans-serif"/>
          <w:b w:val="false"/>
          <w:i/>
          <w:color w:val="000000"/>
          <w:sz w:val="20"/>
        </w:rPr>
        <w:t>TSC2”</w:t>
      </w:r>
      <w:r>
        <w:rPr>
          <w:rFonts w:ascii="Times New Roman;sans-serif" w:hAnsi="Times New Roman;sans-serif"/>
          <w:b w:val="false"/>
          <w:color w:val="000000"/>
          <w:sz w:val="20"/>
        </w:rPr>
        <w:t>) genes. We have completed a Type B meeting with the FDA in which we discussed the trial design and the PRECISION1 trial was opened for enrollment in the United States during the first quarter of 2022, with dosing of our first patient in March 202</w:t>
      </w:r>
      <w:r>
        <w:rPr>
          <w:rFonts w:ascii="Times New Roman;sans-serif" w:hAnsi="Times New Roman;sans-serif"/>
          <w:b w:val="false"/>
          <w:color w:val="000000"/>
          <w:sz w:val="20"/>
          <w:shd w:fill="FFFFFF" w:val="clear"/>
        </w:rPr>
        <w:t xml:space="preserve">2. Based on initial information from the PRECISION1 trial, enrollment is well-balanced, the trial is accruing relatively evenly between the </w:t>
      </w:r>
      <w:r>
        <w:rPr>
          <w:rFonts w:ascii="Times New Roman;sans-serif" w:hAnsi="Times New Roman;sans-serif"/>
          <w:b w:val="false"/>
          <w:i/>
          <w:color w:val="000000"/>
          <w:sz w:val="20"/>
          <w:shd w:fill="FFFFFF" w:val="clear"/>
        </w:rPr>
        <w:t>TSC1</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i/>
          <w:color w:val="000000"/>
          <w:sz w:val="20"/>
          <w:shd w:fill="FFFFFF" w:val="clear"/>
        </w:rPr>
        <w:t>TSC2</w:t>
      </w:r>
      <w:r>
        <w:rPr>
          <w:color w:val="000000"/>
          <w:shd w:fill="FFFFFF" w:val="clear"/>
        </w:rPr>
        <w:t xml:space="preserve"> </w:t>
      </w:r>
      <w:r>
        <w:rPr>
          <w:rFonts w:ascii="Times New Roman;sans-serif" w:hAnsi="Times New Roman;sans-serif"/>
          <w:b w:val="false"/>
          <w:color w:val="000000"/>
          <w:sz w:val="20"/>
          <w:shd w:fill="FFFFFF" w:val="clear"/>
        </w:rPr>
        <w:t>arms, and more than 15 discrete tumor types have been enroll</w:t>
      </w:r>
      <w:r>
        <w:rPr>
          <w:rFonts w:ascii="Times New Roman;sans-serif" w:hAnsi="Times New Roman;sans-serif"/>
          <w:b w:val="false"/>
          <w:color w:val="000000"/>
          <w:sz w:val="20"/>
        </w:rPr>
        <w:t>ed. A pre-planned interim analysis on 40 patients with appropriate follow-up is expected before the end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New Clinical Indications</w:t>
      </w:r>
      <w:r>
        <w:rPr>
          <w:rFonts w:ascii="Times New Roman;sans-serif" w:hAnsi="Times New Roman;sans-serif"/>
          <w:b w:val="false"/>
          <w:color w:val="000000"/>
          <w:sz w:val="20"/>
          <w:shd w:fill="FFFFFF" w:val="clear"/>
        </w:rPr>
        <w:t xml:space="preserve">. On August 9, 2023, we announced the expansion of our FYARRO pipeline through the further investigation of mTOR pathway inhibition in endometrial </w:t>
      </w:r>
      <w:r>
        <w:rPr>
          <w:rFonts w:ascii="Times New Roman;sans-serif" w:hAnsi="Times New Roman;sans-serif"/>
          <w:b w:val="false"/>
          <w:color w:val="000000"/>
          <w:sz w:val="20"/>
        </w:rPr>
        <w:t xml:space="preserve">cancer and neuroendocrine tumors (NETs). As part of our continued evaluation of potential new clinical programs for FYARRO, either as a single agent or in combination with other targeted therapies, we selected these new clinical indications based on preclinical data supporting these programs, which we believe are promising, and the prospect of providing enhanced therapeutic benefit in these indications with meaningful patient populations and high unmet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expect to initiate a Phase 2 open-label, multi-institutional study to evaluate the efficacy and safety of the combination of FYARRO with letrozole for the treatment of advanced or recurrent endometrioid-type endometrial cancer (EEC) and a Phase 2 multicenter, open-label, single-arm trial to evaluate adult patients with functional or non-functional, well-differentiated, locally advanced unresectable or metastatic NETs of the GI tract, lung, or pancreas who have received no more than two prior lines of therapy.</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shd w:fill="FFFFFF" w:val="clear"/>
        </w:rPr>
        <w:t>First Patient Dosing Under Mi</w:t>
      </w:r>
      <w:r>
        <w:rPr>
          <w:rFonts w:ascii="Times New Roman;sans-serif" w:hAnsi="Times New Roman;sans-serif"/>
          <w:b w:val="false"/>
          <w:i/>
          <w:color w:val="000000"/>
          <w:sz w:val="20"/>
        </w:rPr>
        <w:t>rati Collaboration</w:t>
      </w:r>
      <w:r>
        <w:rPr>
          <w:rFonts w:ascii="Times New Roman;sans-serif" w:hAnsi="Times New Roman;sans-serif"/>
          <w:b w:val="false"/>
          <w:color w:val="000000"/>
          <w:sz w:val="20"/>
        </w:rPr>
        <w:t>. In October 2022, we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other solid tumors. In August 2023, we announced that the first patient dosing occurred in the Phase 1/2 trial. See "Mirati Collaboration" below for more information about the Mirati Collaboration.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Bristol Myers Squibb Company ("BMS"). Under the BMS License Agreement, BMS is entitled to receive certain development milestone payments, royalties on net sales from licensed products under the agreement and any sublicense fees. During the three months ended June 30, 2023 and 2022, royalties on net product sales were $0.5 million and $0.2 million, respectively under the terms of this agreement. During the six months ended June 30, 2023 and 2022, royalties on net product sales were $0.9 million and $0.4 million, respectively under the terms of this agreement. No development payments related to milestones under this agreement were paid during the three and six months ended June 30, 2023. See Note 8 to the condensed consolidated financial statements for more information about the 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August 2021 amendment to the BMS License Agreement,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amendment, the remaining portion of the previously outstanding payment obligation ($5.8 million), which is recorded on our condensed consolidated balance sheets as due to licensor, is due on the third anniversary of the effective time of such 2021 PIPE Financing (i.e., August 26, 2024), plus any accrued and unpaid interest due thereon.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EOC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entered into the EOC License Agreement with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We intend to defend ourselves vigorously in this matter and pursue all relief to which we are entitled. We are unable to estimate the possible loss or range of loss, therefore no amounts have been accrued as of June 30, 2023. See Notes 8 and 13 to the condensed consolidated financial statements for more information about the EOC License Agreement, its termination and pending arbitration.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Mirati Collaboration</w:t>
      </w:r>
    </w:p>
    <w:p>
      <w:pPr>
        <w:pStyle w:val="TextBody"/>
        <w:bidi w:val="0"/>
        <w:spacing w:lineRule="auto" w:line="288" w:before="120" w:after="120"/>
        <w:jc w:val="both"/>
        <w:rPr/>
      </w:pPr>
      <w:r>
        <w:rPr>
          <w:rFonts w:ascii="Times New Roman;sans-serif" w:hAnsi="Times New Roman;sans-serif"/>
          <w:b w:val="false"/>
          <w:color w:val="000000"/>
          <w:sz w:val="20"/>
        </w:rPr>
        <w:t>In October 2022, we entered into a collaboration and supply agreement with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non-small cell lung cancer (NSCLC)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solid tumors. Under the terms of the agreement, Mirati will be responsible for sponsoring and operating the Phase 1/2 study and we will supply study drug and jointly share the cost of the study. </w:t>
      </w:r>
    </w:p>
    <w:p>
      <w:pPr>
        <w:pStyle w:val="TextBody"/>
        <w:bidi w:val="0"/>
        <w:spacing w:lineRule="auto" w:line="288" w:before="120" w:after="120"/>
        <w:jc w:val="both"/>
        <w:rPr/>
      </w:pPr>
      <w:r>
        <w:rPr>
          <w:rFonts w:ascii="Times New Roman;sans-serif" w:hAnsi="Times New Roman;sans-serif"/>
          <w:b w:val="false"/>
          <w:color w:val="000000"/>
          <w:sz w:val="20"/>
        </w:rPr>
        <w:t>The primary objective of this multi-center, single-arm, open-label Phase 1/2 trial is to determine the optimal dose and recommended Phase 2 dose for the combination of adagrasib and FYARRO in patients with KRAS</w:t>
      </w:r>
      <w:r>
        <w:rPr>
          <w:rFonts w:ascii="Times New Roman;sans-serif" w:hAnsi="Times New Roman;sans-serif"/>
          <w:b w:val="false"/>
          <w:color w:val="000000"/>
          <w:sz w:val="13"/>
        </w:rPr>
        <w:t>G12C-</w:t>
      </w:r>
      <w:r>
        <w:rPr>
          <w:rFonts w:ascii="Times New Roman;sans-serif" w:hAnsi="Times New Roman;sans-serif"/>
          <w:b w:val="false"/>
          <w:color w:val="000000"/>
          <w:sz w:val="20"/>
        </w:rPr>
        <w:t>mutant solid tumors. In addition, the study will investigate the safety, tolerability and efficacy of adagrasib and FYARRO in combination in patients both with and without prior exposure to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inhibitor. The trial will build on preclinical data showing enhanced anti-tumor efficacy with the combination of adagrasib and FYARRO relative to either agent alone. In August 2023, we announced that the first patient dosing occurred in the Phase 1/2 trial.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Negative Global or National Events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Eastern Europe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have been, and may continue to be, affected by the closure of offices, lack of resources or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the remainder of fiscal year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Key Trends and Factors Affecting Comparability Between Periods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Commercial sale of FYARRO was launched on February 22, 2022, for the treatment of patients with advanced malignant PEComa. We recorded net product sales of $6.2 million and $12.1 million during the three and six months ended June 30, 2023, respectively.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including personnel expenses, sales support, and marketing are included in selling, general and administrative expenses for the three and six months ended June 30, 2023. We expect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expenses will continue to increase, as compared to prior periods, with the ongoing commercialization of FYARRO and preparation for potential future launches.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continue to build out our research and development team and we expect our research and development costs will increase in 2023, as compared to 2022, as a result of significant expenses related to the PRECISION1 trial which was open to enrollment during the year ended December 31, 2022, with the first patient dosed in </w:t>
      </w:r>
      <w:r>
        <w:rPr>
          <w:rFonts w:ascii="Times New Roman;sans-serif" w:hAnsi="Times New Roman;sans-serif"/>
          <w:b w:val="false"/>
          <w:color w:val="000000"/>
          <w:sz w:val="20"/>
          <w:shd w:fill="FFFFFF" w:val="clear"/>
        </w:rPr>
        <w:t>March 202</w:t>
      </w:r>
      <w:r>
        <w:rPr>
          <w:rFonts w:ascii="Times New Roman;sans-serif" w:hAnsi="Times New Roman;sans-serif"/>
          <w:b w:val="false"/>
          <w:color w:val="000000"/>
          <w:sz w:val="20"/>
        </w:rPr>
        <w:t>2. We also expect our research and development costs to increase in 2023 and in future periods, as compared to 2022, based on anticipated expenses related to the two new clinical programs for FYARRO described under "Recent Developments - New Clinical Indications" above.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As a public company our expenses have increased from when we were a privately held company, including (i) costs to comply with the rules and regulations of the SEC and those of the Nasdaq Capital Market (“Nasdaq”), (ii) legal, accounting and other professional services, (iii) insurance, (iv) investor relations activities, and (v) other administrative and professional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and Capital Resources </w:t>
      </w:r>
    </w:p>
    <w:p>
      <w:pPr>
        <w:pStyle w:val="TextBody"/>
        <w:bidi w:val="0"/>
        <w:spacing w:lineRule="auto" w:line="288" w:before="120" w:after="120"/>
        <w:jc w:val="both"/>
        <w:rPr/>
      </w:pPr>
      <w:r>
        <w:rPr>
          <w:rFonts w:ascii="Times New Roman;sans-serif" w:hAnsi="Times New Roman;sans-serif"/>
          <w:b w:val="false"/>
          <w:color w:val="000000"/>
          <w:sz w:val="20"/>
        </w:rPr>
        <w:t>As of June 30, 2023, we had $134.9 million of cash, cash equivalents and short-term investments. Based on our current plans, we believe our existing cash, cash equivalents and short-term investments will enable us to conduct our planned operations into 2025. We have incurred net losses in each year since inception and as of June 30, 2023, we had an accumulated deficit of $236.4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commercial launch of FYARRO</w:t>
      </w:r>
      <w:r>
        <w:rPr>
          <w:rFonts w:ascii="Times New Roman;sans-serif" w:hAnsi="Times New Roman;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Components of Condensed Consolidated Statements of Operations and Comprehensive Loss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future chargebacks vary from these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We offer co-payment assistance to commercially insured patients meeting certain eligibility requirements.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Expenses</w:t>
      </w:r>
    </w:p>
    <w:p>
      <w:pPr>
        <w:pStyle w:val="TextBody"/>
        <w:bidi w:val="0"/>
        <w:spacing w:lineRule="auto" w:line="288" w:before="120" w:after="120"/>
        <w:jc w:val="both"/>
        <w:rPr/>
      </w:pPr>
      <w:r>
        <w:rPr>
          <w:rFonts w:ascii="Times New Roman;sans-serif" w:hAnsi="Times New Roman;sans-serif"/>
          <w:b w:val="false"/>
          <w:color w:val="000000"/>
          <w:sz w:val="20"/>
        </w:rPr>
        <w:t xml:space="preserve">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 We expect that selling, general and administrative expenses will increase in the future as we expand our operating activities. </w:t>
      </w:r>
      <w:r>
        <w:rPr>
          <w:rFonts w:ascii="Times New Roman;sans-serif" w:hAnsi="Times New Roman;sans-serif"/>
          <w:b w:val="false"/>
          <w:color w:val="000000"/>
          <w:sz w:val="20"/>
          <w:shd w:fill="FFFFFF" w:val="clear"/>
        </w:rPr>
        <w:t>Additionally, we have incurred, and expect to continue to incur, significant additional expenses associated with being a public company that we did not incur as a privately held company, including (i) costs to comply with the rules and regulations of the SEC and those of Nasdaq, (ii) legal, accounting and other professional services, (iii) insurance, (iv) investor relations activities and (v) other administrative and professional services.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substantially in the foreseeable future as we continue to invest in research and development activities, pursue clinical development of FYARRO in additional indications and any other product candidates we may develop in the future and expand our product candidate pipeline.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 primarily of royalties paid to BMS, costs incurred on sales of FYARRO and costs to manufacture and prepare the product for sales subsequent to the FDA approval in November 2021. Costs incurred prior to the FDA approval were expensed when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Acquired Contract Intangible Asset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Impairment of acquired contract intangible asset relates to a write down of the acquired contract intangible asset to fair value. </w:t>
      </w:r>
      <w:r>
        <w:rPr>
          <w:rFonts w:ascii="Times New Roman;sans-serif" w:hAnsi="Times New Roman;sans-serif"/>
          <w:b w:val="false"/>
          <w:color w:val="000000"/>
          <w:sz w:val="20"/>
        </w:rPr>
        <w:t>During the three and six months ended June 30, 2022, we recognized an impairment of $3.7 million to fully impair the contract intangible asset based on Gossamer's termination of the license agreement, dated June 24, 2018, with Gossamer Bio, Inc. (“Gossamer”), as amended (the “Gossamer License Agreement”) as a result of Gossamer not meeting its primary or secondary endpoint in the UC-SHIFT clinical trial.</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consists of the change in fair value of convertible promissory notes and interest expense related to such notes. These expenses are partially offset by interest income earned on cash, cash equivalents and short-term investments, and gain on extinguishment of debt.</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we recognized no income tax expense on the condensed consolidated statements of operations and comprehensive loss. For the three and six months ended June 30, 2022, we recognized $9,000 of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for the periods indicated (in thousands):</w:t>
      </w:r>
    </w:p>
    <w:tbl>
      <w:tblPr>
        <w:tblW w:w="9525" w:type="dxa"/>
        <w:jc w:val="left"/>
        <w:tblInd w:w="0" w:type="dxa"/>
        <w:tblLayout w:type="fixed"/>
        <w:tblCellMar>
          <w:top w:w="28" w:type="dxa"/>
          <w:left w:w="28" w:type="dxa"/>
          <w:bottom w:w="28" w:type="dxa"/>
          <w:right w:w="28" w:type="dxa"/>
        </w:tblCellMar>
      </w:tblPr>
      <w:tblGrid>
        <w:gridCol w:w="1459"/>
        <w:gridCol w:w="1285"/>
        <w:gridCol w:w="129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5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acquired contract intangible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(32,173)</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(32,117)</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(32,126)</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sales, net consist of sales of FYARRO since its launch in the United States on February 22, 2022. Product sales, net for the three and six months ended June 30, 2023 were $6.2 million and $12.1 million, respectively. For the three and six months ended June 30, 2022, product sales, net were $3.4 million and $5.7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Selling, General and Administrative Expenses</w:t>
      </w:r>
      <w:r>
        <w:rPr>
          <w:color w:val="000000"/>
        </w:rPr>
        <w:t xml:space="preserve"> </w:t>
      </w:r>
    </w:p>
    <w:p>
      <w:pPr>
        <w:pStyle w:val="TextBody"/>
        <w:bidi w:val="0"/>
        <w:spacing w:lineRule="auto" w:line="276" w:before="0" w:after="0"/>
        <w:jc w:val="both"/>
        <w:rPr/>
      </w:pPr>
      <w:r>
        <w:rPr>
          <w:rFonts w:ascii="Times New Roman;sans-serif" w:hAnsi="Times New Roman;sans-serif"/>
          <w:b w:val="false"/>
          <w:color w:val="000000"/>
          <w:sz w:val="20"/>
        </w:rPr>
        <w:t>Selling, general and administrative expenses for the three months ended June 30, 2023 and 2022 were $11.8 million and $10.0 million, respectively. The $1.8 million increase was primarily driven by $0.4 million of personnel expenses related to increased headcount, incentive bonuses and share-based compensation, $0.5 million of marketing expense, and $1.6 million of legal and other related expenses, offset by a decrease of $0.7 million of consulting expenses and insurance</w:t>
      </w:r>
      <w:r>
        <w:rPr>
          <w:rFonts w:ascii="Times New Roman;sans-serif" w:hAnsi="Times New Roman;sans-serif"/>
          <w:b w:val="false"/>
          <w:color w:val="000000"/>
          <w:sz w:val="24"/>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six months ended June 30, 2023 and 2022 were $23.0 million and $19.2 million, respectively. The $3.8 million increase was driven by $2.0 million of personnel expenses related to increased headcount, incentive bonuses and share-based compensation, $0.8 million of marketing expense, and $2.3 million of legal, marketing, and other related expenses, offset by a decrease of $1.3 million of consulting expenses and insurance.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research and development expenses for the periods indicated (in thousands):</w:t>
      </w:r>
    </w:p>
    <w:tbl>
      <w:tblPr>
        <w:tblW w:w="8580" w:type="dxa"/>
        <w:jc w:val="left"/>
        <w:tblInd w:w="0" w:type="dxa"/>
        <w:tblLayout w:type="fixed"/>
        <w:tblCellMar>
          <w:top w:w="28" w:type="dxa"/>
          <w:left w:w="28" w:type="dxa"/>
          <w:bottom w:w="28" w:type="dxa"/>
          <w:right w:w="28" w:type="dxa"/>
        </w:tblCellMar>
      </w:tblPr>
      <w:tblGrid>
        <w:gridCol w:w="1267"/>
        <w:gridCol w:w="1110"/>
        <w:gridCol w:w="111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clinical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drug product 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June 30, 2023 and 2022 were $13.3 million and $7.7 million, respectively. The $5.6 million increase was primarily driven by a $1.7 million increase in headcount, consultants, and other expenses, $2.4 million of clinical development expenses related to the PRECISION1 trial, and $1.5 million in clinical drug product manufacturing.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six months ended June 30, 2023 and 2022 were $24.3 million and $14.5 million, respectively. The $9.8 million increase was primarily driven by a $4.4 million increase in headcount, consultants, and other expenses, $3.4 million of clinical development expenses related to the PRECISION1 trial, and $2.0 million in clinical drug product manufacturing.</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Cost of goods sold for the three months ended June 30, 2023 and 2022 was </w:t>
      </w:r>
      <w:r>
        <w:rPr>
          <w:rFonts w:ascii="Times New Roman;sans-serif" w:hAnsi="Times New Roman;sans-serif"/>
          <w:b w:val="false"/>
          <w:color w:val="000000"/>
          <w:sz w:val="20"/>
        </w:rPr>
        <w:t>$0.7 million and $0.3 million, respectively. Cost of goods sold for the six months ended June 30, 2023 and 2022 was $1.2 million</w:t>
      </w:r>
      <w:r>
        <w:rPr>
          <w:color w:val="000000"/>
          <w:shd w:fill="FFFFFF" w:val="clear"/>
        </w:rPr>
        <w:t xml:space="preserve"> </w:t>
      </w:r>
      <w:r>
        <w:rPr>
          <w:rFonts w:ascii="Times New Roman;sans-serif" w:hAnsi="Times New Roman;sans-serif"/>
          <w:b w:val="false"/>
          <w:color w:val="000000"/>
          <w:sz w:val="20"/>
          <w:shd w:fill="FFFFFF" w:val="clear"/>
        </w:rPr>
        <w:t>and $0.5 million, respectively. The increase of cost goods sold is</w:t>
      </w:r>
      <w:r>
        <w:rPr>
          <w:color w:val="000000"/>
        </w:rPr>
        <w:t xml:space="preserve"> </w:t>
      </w:r>
      <w:r>
        <w:rPr>
          <w:rFonts w:ascii="Times New Roman;sans-serif" w:hAnsi="Times New Roman;sans-serif"/>
          <w:b w:val="false"/>
          <w:color w:val="000000"/>
          <w:sz w:val="20"/>
          <w:shd w:fill="FFFFFF" w:val="clear"/>
        </w:rPr>
        <w:t>primarily driven by royalties incurred on product sold.</w:t>
      </w:r>
      <w:r>
        <w:rPr>
          <w:color w:val="000000"/>
        </w:rPr>
        <w:t xml:space="preserve"> </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Impairment of Acquired Contract Intangible Asset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2022, we recorded a $3.7 million impairment charge to reduce the carrying value of the intangible asset to its fair value of zero, based on a formal notice of termination we received on April 25, 2022 (the “Notice of Termination”) from Gossamer for the Gossamer License Agreement. The Gossamer License Agreement terminated effective July 24,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Notice of Termination, we fully impaired the intangible asset during the three and six months ended June 30, 2022, as the Gossamer License Agreement is the sole underlying asset. In connection with the termination of the Gossamer License Agreement, the CVR Agreement, pursuant to which the CVRs were issued to legacy holders of common stock of Aerpio immediately prior to the Merger (as defined in Note 1 to the condensed consolidated financial statements), automatically terminated in accordance with its terms and the CVRs were automatically cancelled and forfeited without any consideration or payment, in each case effective July 24, 2022.</w:t>
      </w:r>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 (Expense), Net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Other income, net for the </w:t>
      </w:r>
      <w:r>
        <w:rPr>
          <w:rFonts w:ascii="Times New Roman;sans-serif" w:hAnsi="Times New Roman;sans-serif"/>
          <w:b w:val="false"/>
          <w:color w:val="000000"/>
          <w:sz w:val="20"/>
        </w:rPr>
        <w:t>three months ended June 30, 2023</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rPr>
        <w:t>$1.6 million</w:t>
      </w:r>
      <w:r>
        <w:rPr>
          <w:rFonts w:ascii="Times New Roman;sans-serif" w:hAnsi="Times New Roman;sans-serif"/>
          <w:b w:val="false"/>
          <w:color w:val="000000"/>
          <w:sz w:val="20"/>
          <w:shd w:fill="FFFFFF" w:val="clear"/>
        </w:rPr>
        <w:t xml:space="preserve">, compared to other income, net of $0.1 million for the </w:t>
      </w:r>
      <w:r>
        <w:rPr>
          <w:rFonts w:ascii="Times New Roman;sans-serif" w:hAnsi="Times New Roman;sans-serif"/>
          <w:b w:val="false"/>
          <w:color w:val="000000"/>
          <w:sz w:val="20"/>
        </w:rPr>
        <w:t>three months ended June 30, 2022</w:t>
      </w:r>
      <w:r>
        <w:rPr>
          <w:rFonts w:ascii="Times New Roman;sans-serif" w:hAnsi="Times New Roman;sans-serif"/>
          <w:b w:val="false"/>
          <w:color w:val="000000"/>
          <w:sz w:val="20"/>
          <w:shd w:fill="FFFFFF" w:val="clear"/>
        </w:rPr>
        <w:t xml:space="preserve">. The change was primarily driven by higher interest rates on short-term investments held during the three months ended </w:t>
      </w:r>
      <w:r>
        <w:rPr>
          <w:rFonts w:ascii="Times New Roman;sans-serif" w:hAnsi="Times New Roman;sans-serif"/>
          <w:b w:val="false"/>
          <w:color w:val="000000"/>
          <w:sz w:val="20"/>
        </w:rPr>
        <w:t>June 30, 2023, compared to</w:t>
      </w:r>
      <w:r>
        <w:rPr>
          <w:color w:val="000000"/>
          <w:shd w:fill="FFFFFF" w:val="clear"/>
        </w:rPr>
        <w:t xml:space="preserve"> </w:t>
      </w:r>
      <w:r>
        <w:rPr>
          <w:rFonts w:ascii="Times New Roman;sans-serif" w:hAnsi="Times New Roman;sans-serif"/>
          <w:b w:val="false"/>
          <w:color w:val="000000"/>
          <w:sz w:val="20"/>
          <w:shd w:fill="FFFFFF" w:val="clear"/>
        </w:rPr>
        <w:t xml:space="preserve">the three months ended </w:t>
      </w:r>
      <w:r>
        <w:rPr>
          <w:rFonts w:ascii="Times New Roman;sans-serif" w:hAnsi="Times New Roman;sans-serif"/>
          <w:b w:val="false"/>
          <w:color w:val="000000"/>
          <w:sz w:val="20"/>
        </w:rPr>
        <w:t>June 30, 2022</w:t>
      </w:r>
      <w:r>
        <w:rPr>
          <w:rFonts w:ascii="Times New Roman;sans-serif" w:hAnsi="Times New Roman;sans-serif"/>
          <w:b w:val="false"/>
          <w:color w:val="000000"/>
          <w:sz w:val="20"/>
          <w:shd w:fill="FFFFFF" w:val="clear"/>
        </w:rPr>
        <w: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Other income, net for the six</w:t>
      </w:r>
      <w:r>
        <w:rPr>
          <w:color w:val="000000"/>
        </w:rPr>
        <w:t xml:space="preserve"> </w:t>
      </w:r>
      <w:r>
        <w:rPr>
          <w:rFonts w:ascii="Times New Roman;sans-serif" w:hAnsi="Times New Roman;sans-serif"/>
          <w:b w:val="false"/>
          <w:color w:val="000000"/>
          <w:sz w:val="20"/>
        </w:rPr>
        <w:t>months ended June 30, 2023</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$3.2 million</w:t>
      </w:r>
      <w:r>
        <w:rPr>
          <w:rFonts w:ascii="Times New Roman;sans-serif" w:hAnsi="Times New Roman;sans-serif"/>
          <w:b w:val="false"/>
          <w:color w:val="000000"/>
          <w:sz w:val="20"/>
          <w:shd w:fill="FFFFFF" w:val="clear"/>
        </w:rPr>
        <w:t>, compared to other income, net of $0.1 million for the six</w:t>
      </w:r>
      <w:r>
        <w:rPr>
          <w:color w:val="000000"/>
        </w:rPr>
        <w:t xml:space="preserve"> </w:t>
      </w:r>
      <w:r>
        <w:rPr>
          <w:rFonts w:ascii="Times New Roman;sans-serif" w:hAnsi="Times New Roman;sans-serif"/>
          <w:b w:val="false"/>
          <w:color w:val="000000"/>
          <w:sz w:val="20"/>
        </w:rPr>
        <w:t>months ended June 30, 2022</w:t>
      </w:r>
      <w:r>
        <w:rPr>
          <w:rFonts w:ascii="Times New Roman;sans-serif" w:hAnsi="Times New Roman;sans-serif"/>
          <w:b w:val="false"/>
          <w:color w:val="000000"/>
          <w:sz w:val="20"/>
          <w:shd w:fill="FFFFFF" w:val="clear"/>
        </w:rPr>
        <w:t xml:space="preserve">. The change was primarily driven by higher interest rates on short-term investments held during the six months ended </w:t>
      </w:r>
      <w:r>
        <w:rPr>
          <w:rFonts w:ascii="Times New Roman;sans-serif" w:hAnsi="Times New Roman;sans-serif"/>
          <w:b w:val="false"/>
          <w:color w:val="000000"/>
          <w:sz w:val="20"/>
        </w:rPr>
        <w:t>June 30, 2023, compared to</w:t>
      </w:r>
      <w:r>
        <w:rPr>
          <w:color w:val="000000"/>
          <w:shd w:fill="FFFFFF" w:val="clear"/>
        </w:rPr>
        <w:t xml:space="preserve"> </w:t>
      </w:r>
      <w:r>
        <w:rPr>
          <w:rFonts w:ascii="Times New Roman;sans-serif" w:hAnsi="Times New Roman;sans-serif"/>
          <w:b w:val="false"/>
          <w:color w:val="000000"/>
          <w:sz w:val="20"/>
          <w:shd w:fill="FFFFFF" w:val="clear"/>
        </w:rPr>
        <w:t xml:space="preserve">the six months ended </w:t>
      </w:r>
      <w:r>
        <w:rPr>
          <w:rFonts w:ascii="Times New Roman;sans-serif" w:hAnsi="Times New Roman;sans-serif"/>
          <w:b w:val="false"/>
          <w:color w:val="000000"/>
          <w:sz w:val="20"/>
        </w:rPr>
        <w:t>June 30, 2022</w:t>
      </w:r>
      <w:r>
        <w:rPr>
          <w:rFonts w:ascii="Times New Roman;sans-serif" w:hAnsi="Times New Roman;sans-serif"/>
          <w:b w:val="false"/>
          <w:color w:val="000000"/>
          <w:sz w:val="20"/>
          <w:shd w:fill="FFFFFF" w:val="clear"/>
        </w:rPr>
        <w:t>.</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$134.9 million of cash, cash equivalents and short-term investments. Based on our current plans, we believe our existing cash, cash equivalents and short-term investments will enable us to conduct our planned operations into 2025.</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inception and as of June 30, 2023, we had an accumulated deficit of $236.4 million. Our net losses were $18.0 million and $18.3 million for the three months ended June 30, 2023 and 2022, respectively, and $33.2 million and $32.1 million for the six months ended June 30, 2023 and 2022,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commercial launch of FYARRO. We expect our expenses, and the potential for losses, to increase substantially as we conduct clinical trials of FYARRO in additional indications and seek to expand our pipeline.</w:t>
      </w:r>
    </w:p>
    <w:p>
      <w:pPr>
        <w:pStyle w:val="TextBody"/>
        <w:bidi w:val="0"/>
        <w:spacing w:lineRule="auto" w:line="288" w:before="120" w:after="120"/>
        <w:jc w:val="both"/>
        <w:rPr/>
      </w:pPr>
      <w:r>
        <w:rPr>
          <w:rFonts w:ascii="Times New Roman;sans-serif" w:hAnsi="Times New Roman;sans-serif"/>
          <w:b w:val="false"/>
          <w:color w:val="000000"/>
          <w:sz w:val="20"/>
        </w:rPr>
        <w:t>From inception through June 30, 2023, we received funding of $25.4 million from our initial seed financing and the sale of Series A convertible preferred stock, $9.1 million from the issuance of convertible promissory notes, $145.4 million, net from the 2021 PIPE Financing in connection with the Merger, $29.7 million of cash assumed in the Merger, and $72.2 million, net from a</w:t>
      </w:r>
      <w:r>
        <w:rPr>
          <w:color w:val="000000"/>
          <w:shd w:fill="FFFFFF" w:val="clear"/>
        </w:rPr>
        <w:t xml:space="preserve"> </w:t>
      </w:r>
      <w:r>
        <w:rPr>
          <w:rFonts w:ascii="Times New Roman;sans-serif" w:hAnsi="Times New Roman;sans-serif"/>
          <w:b w:val="false"/>
          <w:color w:val="000000"/>
          <w:sz w:val="20"/>
          <w:shd w:fill="FFFFFF" w:val="clear"/>
        </w:rPr>
        <w:t>private investment in public equity financing (the “2022 PIPE Financing”) with certain investors (the “2022 PIPE Investors”)</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June 30, 2023, no shares of common stock had been sold under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our common stock to be offered and sold under the Sales Agreement will be issued and sold pursuant to our shelf registration statement on the Form S-3 (File No. 333-255129), which was filed with the SEC on April 8, 2021, and which became effective on April 15, 2021. We filed a prospectus supplement with the SEC on March 21, 2022 in connection with the offer and sale of the shares pursuant to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Aggregated net proceeds, after deducting certain expenses incurred of $0.3 million related to the issuance of the shares were $72.2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 (in thousands):</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rPr>
        <w:t>months ended June 30, 2023</w:t>
      </w:r>
      <w:r>
        <w:rPr>
          <w:rFonts w:ascii="Times New Roman;sans-serif" w:hAnsi="Times New Roman;sans-serif"/>
          <w:b w:val="false"/>
          <w:color w:val="000000"/>
          <w:sz w:val="20"/>
          <w:shd w:fill="FFFFFF" w:val="clear"/>
        </w:rPr>
        <w:t xml:space="preserve">, cash used in operating activities was $38.1 million and resulted from (i) our net loss of $33.2 million, and (ii)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million net </w:t>
      </w:r>
      <w:r>
        <w:rPr>
          <w:rFonts w:ascii="Times New Roman;sans-serif" w:hAnsi="Times New Roman;sans-serif"/>
          <w:b w:val="false"/>
          <w:color w:val="000000"/>
          <w:sz w:val="20"/>
        </w:rPr>
        <w:t>decrease</w:t>
      </w:r>
      <w:r>
        <w:rPr>
          <w:color w:val="000000"/>
          <w:shd w:fill="FFFFFF" w:val="clear"/>
        </w:rPr>
        <w:t xml:space="preserve"> </w:t>
      </w:r>
      <w:r>
        <w:rPr>
          <w:rFonts w:ascii="Times New Roman;sans-serif" w:hAnsi="Times New Roman;sans-serif"/>
          <w:b w:val="false"/>
          <w:color w:val="000000"/>
          <w:sz w:val="20"/>
          <w:shd w:fill="FFFFFF" w:val="clear"/>
        </w:rPr>
        <w:t xml:space="preserve">in our working capital accounts, primarily driven by an increase in accounts receivable, prepaid expenses, inventory, accounts payable and accrued expenses, and decrease in other non-current assets; offset by net non-cash adjustments totaling </w:t>
      </w:r>
      <w:r>
        <w:rPr>
          <w:rFonts w:ascii="Times New Roman;sans-serif" w:hAnsi="Times New Roman;sans-serif"/>
          <w:b w:val="false"/>
          <w:color w:val="000000"/>
          <w:sz w:val="20"/>
        </w:rPr>
        <w:t xml:space="preserve">$4.1 </w:t>
      </w:r>
      <w:r>
        <w:rPr>
          <w:rFonts w:ascii="Times New Roman;sans-serif" w:hAnsi="Times New Roman;sans-serif"/>
          <w:b w:val="false"/>
          <w:color w:val="000000"/>
          <w:sz w:val="20"/>
          <w:shd w:fill="FFFFFF" w:val="clear"/>
        </w:rPr>
        <w:t>million, which was primarily related share based compensation, discount amortization on short-term investments, lease expense, depreciation and amortization.</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six months ended June 30, 2022, cash used in operating activities was $30.1 million and resulted from (i) our net loss of $32.1 million, and (ii) $6.1 million net decrease in our working capital accounts, primarily driven by an increase in accounts receivable and inventory related to the commercial launch of FYARRO in February 2022 and a decrease in accounts payable and accrued expenses; offset by non-cash adjustments totaling $8.1 million primarily related to the impairment of the contract intangible asset, share based compensation, depreciation and amortization.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120"/>
        <w:jc w:val="both"/>
        <w:rPr/>
      </w:pPr>
      <w:r>
        <w:rPr>
          <w:rFonts w:ascii="Times New Roman;sans-serif" w:hAnsi="Times New Roman;sans-serif"/>
          <w:b w:val="false"/>
          <w:color w:val="000000"/>
          <w:sz w:val="20"/>
        </w:rPr>
        <w:t>Cash provided by investing activities for the six</w:t>
      </w:r>
      <w:r>
        <w:rPr>
          <w:color w:val="000000"/>
          <w:shd w:fill="FFFFFF" w:val="clear"/>
        </w:rPr>
        <w:t xml:space="preserve"> </w:t>
      </w:r>
      <w:r>
        <w:rPr>
          <w:rFonts w:ascii="Times New Roman;sans-serif" w:hAnsi="Times New Roman;sans-serif"/>
          <w:b w:val="false"/>
          <w:color w:val="000000"/>
          <w:sz w:val="20"/>
        </w:rPr>
        <w:t>months ended June 30, 2023 was $66.9 million and related to purchases of fixed assets of $2.1 million and short-term investments of $23.1 million, offset by maturities of short-term investments of $92.0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for the six months ended June 30, 2022 was $0.3 million and related to purchases of fixed assets.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120"/>
        <w:jc w:val="both"/>
        <w:rPr/>
      </w:pPr>
      <w:r>
        <w:rPr>
          <w:rFonts w:ascii="Times New Roman;sans-serif" w:hAnsi="Times New Roman;sans-serif"/>
          <w:b w:val="false"/>
          <w:color w:val="000000"/>
          <w:sz w:val="20"/>
        </w:rPr>
        <w:t>Cash provided by financing activities for the six</w:t>
      </w:r>
      <w:r>
        <w:rPr>
          <w:color w:val="000000"/>
          <w:shd w:fill="FFFFFF" w:val="clear"/>
        </w:rPr>
        <w:t xml:space="preserve"> </w:t>
      </w:r>
      <w:r>
        <w:rPr>
          <w:rFonts w:ascii="Times New Roman;sans-serif" w:hAnsi="Times New Roman;sans-serif"/>
          <w:b w:val="false"/>
          <w:color w:val="000000"/>
          <w:sz w:val="20"/>
        </w:rPr>
        <w:t xml:space="preserve">months ended June 30, 2023 was $0.3 million and related to the purchase of common stock under the employee purchases plan and exercise of stock options offset by financing costs related to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for the six months ended June 30, 2022 was $0.2 million and related to the exercise of stock options and warrants offset by financing costs related to the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lease for 10,615 square feet of office space in Morristown, New Jersey. The term of the lease is seventy-three months unless terminated sooner.</w:t>
      </w:r>
    </w:p>
    <w:p>
      <w:pPr>
        <w:pStyle w:val="TextBody"/>
        <w:bidi w:val="0"/>
        <w:spacing w:lineRule="auto" w:line="288" w:before="120" w:after="120"/>
        <w:jc w:val="both"/>
        <w:rPr/>
      </w:pPr>
      <w:r>
        <w:rPr>
          <w:rFonts w:ascii="Times New Roman;sans-serif" w:hAnsi="Times New Roman;sans-serif"/>
          <w:b w:val="false"/>
          <w:color w:val="000000"/>
          <w:sz w:val="20"/>
        </w:rPr>
        <w:t>In August 2021, we entered into an amendment to extend the lease of our 2,760 square feet of office space in Pacific Palisades, California. We</w:t>
      </w:r>
      <w:r>
        <w:rPr>
          <w:color w:val="231F20"/>
        </w:rPr>
        <w:t xml:space="preserve"> </w:t>
      </w:r>
      <w:r>
        <w:rPr>
          <w:rFonts w:ascii="Times New Roman;sans-serif" w:hAnsi="Times New Roman;sans-serif"/>
          <w:b w:val="false"/>
          <w:color w:val="231F20"/>
          <w:sz w:val="20"/>
        </w:rPr>
        <w:t xml:space="preserve">exercised an option, under our prior lease agreement, to extend the term of the lease for an additional three-year period. Included in the renewal were nine months of rent abatement and a rent escalation clause. </w:t>
      </w:r>
    </w:p>
    <w:p>
      <w:pPr>
        <w:pStyle w:val="TextBody"/>
        <w:bidi w:val="0"/>
        <w:spacing w:lineRule="auto" w:line="288" w:before="120" w:after="120"/>
        <w:jc w:val="both"/>
        <w:rPr/>
      </w:pPr>
      <w:r>
        <w:rPr>
          <w:rFonts w:ascii="Times New Roman;sans-serif" w:hAnsi="Times New Roman;sans-serif"/>
          <w:b w:val="false"/>
          <w:color w:val="231F20"/>
          <w:sz w:val="20"/>
        </w:rPr>
        <w:t>Rent expense is being recorded on a straight-line basis. Rent expense related to the Pacific Palisades and Morristown leases was $0.1 million for each of the three months ended June 30, 2023 and 2022, $0.2 million for each of the three and six</w:t>
      </w:r>
      <w:r>
        <w:rPr>
          <w:color w:val="000000"/>
        </w:rPr>
        <w:t xml:space="preserve"> </w:t>
      </w:r>
      <w:r>
        <w:rPr>
          <w:rFonts w:ascii="Times New Roman;sans-serif" w:hAnsi="Times New Roman;sans-serif"/>
          <w:b w:val="false"/>
          <w:color w:val="000000"/>
          <w:sz w:val="20"/>
        </w:rPr>
        <w:t>months ended June 30, 2023 and 2022. See Note 7 to the condensed consolidated financial statements for details related to future lease payments.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entered into a Negotiated Purchase Order Terms and Conditions for Clinical and Commercial Product, as amended effective as of August 1, 2022 (the “Fresenius Agreement”) with Fresenius Kabi, LLC (“Fresenius Kabi”), pursuant to which Fresenius Kabi will manufacture FYARRO for us and we will purchase FYARRO as a finished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from Fresenius Kabi, on a purchase order basis. The Fresenius Agreement contains specific activities such as non-cancellable commitments, minimum purchase commitments, or binding annual forecasts. Under the Fresenius Agreement, which is effective through March 31, 2024 (or such later date as may be agreed between the parties in writing), we may purchase FYARRO for either clinical or commercial purposes for use in the United States and Canada.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120" w:after="120"/>
        <w:jc w:val="both"/>
        <w:rPr/>
      </w:pPr>
      <w:r>
        <w:rPr>
          <w:rFonts w:ascii="Times New Roman;sans-serif" w:hAnsi="Times New Roman;sans-serif"/>
          <w:b w:val="false"/>
          <w:color w:val="000000"/>
          <w:sz w:val="20"/>
        </w:rPr>
        <w:t xml:space="preserve">For a discussion of our critical accounting estimates, please read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our Annual Report on Form 10-K for the year ended December 31, 2022 filed with the SEC on March 29, 2023. There have been no material changes to the critical accounting estimates previously disclosed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left"/>
        <w:rPr>
          <w:rFonts w:ascii="Times New Roman;sans-serif" w:hAnsi="Times New Roman;sans-serif"/>
          <w:b/>
          <w:i/>
          <w:color w:val="222222"/>
          <w:sz w:val="20"/>
          <w:shd w:fill="FFFFFF" w:val="clear"/>
        </w:rPr>
      </w:pPr>
      <w:r>
        <w:rPr>
          <w:rFonts w:ascii="Times New Roman;sans-serif" w:hAnsi="Times New Roman;sans-serif"/>
          <w:b/>
          <w:i/>
          <w:color w:val="222222"/>
          <w:sz w:val="20"/>
          <w:shd w:fill="FFFFFF" w:val="clear"/>
        </w:rPr>
        <w:t>Management’s Evaluation of our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June 30, 2023,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management concluded that our disclosure controls and procedures were effective at the reasonable assurance level as of June 30, 2023.</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during the quarter ended June 30, 2023 that have materially affected, or are reasonably likely to materially affect, our internal control over financial reporting.</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legal proceedings, see Item 1 of Part 1, “Condensed Consolidated Financial Statements - Note 13”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incurred significant net losses since our inception, and we expect to continue to incur significant net losses for the foreseeable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generate revenue and achieve profitability depends significantly on our ability to achieve several objectives relating to the discovery, development and commercialization of FYARRO and any future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our business will be substantially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Even following approval and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substantially dependent on the success of our lead product candidate, FYARRO. If we are unable to successfully commercialize FYARRO for the advanced malignant PEComa indication or complete development of, obtain approval for and commercialize FYARRO for one or more other indications in a timely manner, our business will be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r>
        <w:rPr>
          <w:rFonts w:ascii="Times New Roman;sans-serif" w:hAnsi="Times New Roman;sans-serif"/>
          <w:b w:val="false"/>
          <w:color w:val="000000"/>
          <w:sz w:val="20"/>
        </w:rPr>
        <w:t xml:space="preserv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success depends on our ability to protect and strengthen our intellectual property and our proprietary technologies, including our ability to obtain patent term extension for our product or any future product candidates.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rely, and expect to continue to rely, on third parties to conduct our preclinical studies and clinical trials and those third parties may not perform satisfactorily.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Litigation and legal proceedings, including the EOC dispute, may substantially increase our costs and harm our business, irrespective of outcome.</w:t>
      </w:r>
    </w:p>
    <w:p>
      <w:pPr>
        <w:pStyle w:val="TextBody"/>
        <w:bidi w:val="0"/>
        <w:spacing w:lineRule="auto" w:line="288" w:before="120" w:after="120"/>
        <w:ind w:left="0" w:right="0" w:hanging="720"/>
        <w:jc w:val="left"/>
        <w:rPr>
          <w:rFonts w:ascii="Times New Roman;sans-serif" w:hAnsi="Times New Roman;sans-serif"/>
          <w:b/>
          <w:color w:val="231F20"/>
          <w:sz w:val="20"/>
        </w:rPr>
      </w:pPr>
      <w:r>
        <w:rPr>
          <w:rFonts w:ascii="Times New Roman;sans-serif" w:hAnsi="Times New Roman;sans-serif"/>
          <w:b/>
          <w:color w:val="231F20"/>
          <w:sz w:val="20"/>
        </w:rPr>
        <w:t>Risks Related to Our Business, Financial Condition and Capital Requirements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jc w:val="both"/>
        <w:rPr/>
      </w:pPr>
      <w:r>
        <w:rPr>
          <w:rFonts w:ascii="Times New Roman;sans-serif" w:hAnsi="Times New Roman;sans-serif"/>
          <w:b w:val="false"/>
          <w:color w:val="231F20"/>
          <w:sz w:val="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sans-serif" w:hAnsi="Times New Roman;sans-serif"/>
          <w:b w:val="false"/>
          <w:color w:val="000000"/>
          <w:sz w:val="20"/>
        </w:rPr>
        <w:t xml:space="preserve">for treatment of </w:t>
      </w:r>
      <w:r>
        <w:rPr>
          <w:rFonts w:ascii="Times New Roman;sans-serif" w:hAnsi="Times New Roman;sans-serif"/>
          <w:b w:val="false"/>
          <w:color w:val="231F20"/>
          <w:sz w:val="20"/>
        </w:rPr>
        <w:t>advanced malignant perivascular epithelioid cell tumor (“PEComa”)</w:t>
      </w:r>
      <w:r>
        <w:rPr>
          <w:color w:val="000000"/>
        </w:rPr>
        <w:t xml:space="preserve"> </w:t>
      </w:r>
      <w:r>
        <w:rPr>
          <w:rFonts w:ascii="Times New Roman;sans-serif" w:hAnsi="Times New Roman;sans-serif"/>
          <w:b w:val="false"/>
          <w:color w:val="231F20"/>
          <w:sz w:val="20"/>
        </w:rPr>
        <w:t xml:space="preserve">in February 2022. We generated net product sales for FYARRO of $6.2 million and $12.1 million for the </w:t>
      </w:r>
      <w:r>
        <w:rPr>
          <w:rFonts w:ascii="Times New Roman;sans-serif" w:hAnsi="Times New Roman;sans-serif"/>
          <w:b w:val="false"/>
          <w:color w:val="000000"/>
          <w:sz w:val="20"/>
        </w:rPr>
        <w:t>three and six months ended</w:t>
      </w:r>
      <w:r>
        <w:rPr>
          <w:color w:val="231F20"/>
        </w:rPr>
        <w:t xml:space="preserve"> </w:t>
      </w:r>
      <w:r>
        <w:rPr>
          <w:rFonts w:ascii="Times New Roman;sans-serif" w:hAnsi="Times New Roman;sans-serif"/>
          <w:b w:val="false"/>
          <w:color w:val="231F20"/>
          <w:sz w:val="20"/>
        </w:rPr>
        <w:t xml:space="preserve">June 30, 2023,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 </w:t>
      </w:r>
    </w:p>
    <w:p>
      <w:pPr>
        <w:pStyle w:val="TextBody"/>
        <w:bidi w:val="0"/>
        <w:spacing w:lineRule="auto" w:line="288" w:before="120" w:after="120"/>
        <w:jc w:val="both"/>
        <w:rPr/>
      </w:pPr>
      <w:r>
        <w:rPr>
          <w:rFonts w:ascii="Times New Roman;sans-serif" w:hAnsi="Times New Roman;sans-serif"/>
          <w:b w:val="false"/>
          <w:color w:val="231F20"/>
          <w:sz w:val="20"/>
        </w:rPr>
        <w:t xml:space="preserve">To date, we have devoted substantially all of our resources to research and development activities, business planning, establishing and maintaining our intellectual property portfolio, preparing for commercialization of FYARRO, hiring personnel, raising capital and providing general and administrative support for these operations. We conducted a Phase 2 registrational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(the “AMPECT" trial) for PEComa and completed a rolling New Drug Application (an “NDA”) submission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May 2021. The U.S. Food and Drug Administration (the “FDA”) accepted our NDA in July 2021 and approved FYARRO for the treatment of advanced malignant PEComa in November 2021. </w:t>
      </w:r>
    </w:p>
    <w:p>
      <w:pPr>
        <w:pStyle w:val="TextBody"/>
        <w:bidi w:val="0"/>
        <w:spacing w:lineRule="auto" w:line="288" w:before="120" w:after="120"/>
        <w:jc w:val="both"/>
        <w:rPr/>
      </w:pPr>
      <w:r>
        <w:rPr>
          <w:rFonts w:ascii="Times New Roman;sans-serif" w:hAnsi="Times New Roman;sans-serif"/>
          <w:b w:val="false"/>
          <w:color w:val="231F20"/>
          <w:sz w:val="20"/>
        </w:rPr>
        <w:t>Based on the AMPECT trial and emerging data</w:t>
      </w:r>
      <w:r>
        <w:rPr>
          <w:color w:val="000000"/>
        </w:rPr>
        <w:t xml:space="preserve"> </w:t>
      </w:r>
      <w:r>
        <w:rPr>
          <w:rFonts w:ascii="Times New Roman;sans-serif" w:hAnsi="Times New Roman;sans-serif"/>
          <w:b w:val="false"/>
          <w:color w:val="231F20"/>
          <w:sz w:val="20"/>
        </w:rPr>
        <w:t xml:space="preserve">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other solid tumors with truncating Tuberous Sclerosis Complex 1 and 2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i/>
          <w:color w:val="231F20"/>
          <w:sz w:val="20"/>
        </w:rPr>
        <w:t xml:space="preserve">&amp; TSC2”) </w:t>
      </w:r>
      <w:r>
        <w:rPr>
          <w:rFonts w:ascii="Times New Roman;sans-serif" w:hAnsi="Times New Roman;sans-serif"/>
          <w:b w:val="false"/>
          <w:color w:val="231F20"/>
          <w:sz w:val="20"/>
        </w:rPr>
        <w:t xml:space="preserve">alterations, and following discussions with the FDA, we opened enrollment for our registration-directed tumor-agnostic Phase 2 trial (“PRECISION1”) in malignant solid tumors harboring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i/>
          <w:color w:val="231F20"/>
          <w:sz w:val="20"/>
        </w:rPr>
        <w:t>&amp;</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inactivating alterations in the first quarter of 2022. In addition, in October 2022, we entered into a collaboration and supply agreement with Mirati Therapeutics, Inc. (“Mirati”) to evaluate the combination of Mirati’s adagrasib (KRAZATI™), a KRAS</w:t>
      </w:r>
      <w:r>
        <w:rPr>
          <w:rFonts w:ascii="Times New Roman;sans-serif" w:hAnsi="Times New Roman;sans-serif"/>
          <w:b w:val="false"/>
          <w:color w:val="231F20"/>
          <w:sz w:val="13"/>
        </w:rPr>
        <w:t>G12C</w:t>
      </w:r>
      <w:r>
        <w:rPr>
          <w:color w:val="231F20"/>
        </w:rPr>
        <w:t xml:space="preserve"> </w:t>
      </w:r>
      <w:r>
        <w:rPr>
          <w:rFonts w:ascii="Times New Roman;sans-serif" w:hAnsi="Times New Roman;sans-serif"/>
          <w:b w:val="false"/>
          <w:color w:val="231F20"/>
          <w:sz w:val="20"/>
        </w:rPr>
        <w:t>selective inhibitor, and FYARRO in KRAS</w:t>
      </w:r>
      <w:r>
        <w:rPr>
          <w:rFonts w:ascii="Times New Roman;sans-serif" w:hAnsi="Times New Roman;sans-serif"/>
          <w:b w:val="false"/>
          <w:color w:val="231F20"/>
          <w:sz w:val="13"/>
        </w:rPr>
        <w:t>G12C</w:t>
      </w:r>
      <w:r>
        <w:rPr>
          <w:color w:val="231F20"/>
        </w:rPr>
        <w:t xml:space="preserve"> </w:t>
      </w:r>
      <w:r>
        <w:rPr>
          <w:rFonts w:ascii="Times New Roman;sans-serif" w:hAnsi="Times New Roman;sans-serif"/>
          <w:b w:val="false"/>
          <w:color w:val="231F20"/>
          <w:sz w:val="20"/>
        </w:rPr>
        <w:t xml:space="preserve">mutant non-small cell lung cancer (NSCLC) and other solid tumors. Under the terms of the agreement, Mirati will be responsible for sponsoring and operating the Phase 1/2 study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we will supply study drug and jointly share the cost of the study. </w:t>
      </w:r>
      <w:r>
        <w:rPr>
          <w:rFonts w:ascii="Times New Roman;sans-serif" w:hAnsi="Times New Roman;sans-serif"/>
          <w:b w:val="false"/>
          <w:color w:val="000000"/>
          <w:sz w:val="20"/>
        </w:rPr>
        <w:t>In August 2023, we announced that we expect to initiate in the fourth quarter of 2023 a (i) Phase 2 open-label, multi-institutional study to evaluate the efficacy and safety of the combination of FYARRO with letrozole for the treatment of advanced or recurrent endometrioid-type endometrial cancer (EEC) and (ii) a Phase 2 multicenter, open-label, single-arm trial to evaluate adult patients with functional or non-functional, well-differentiated, locally advanced unresectable or metastatic neuroendocrine tumors (NETs) of the GI tract, lung, or pancreas who have received no more than two prior lines of therapy.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incurred significant net losses since our inception, and we expect to continue to incur significant net losses for the foreseeable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$18.0 million and $18.3 million for the three months ended June 30, 2023 and 2022, respectively. We had an accumulated deficit of $236.4 million as of June 30, 2023, and $203.2 million as of December 31, 2022.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$6.2 million and $12.1 million for the three and six months ended June 30, 2023, respectively,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pStyle w:val="TextBody"/>
        <w:bidi w:val="0"/>
        <w:spacing w:lineRule="auto" w:line="288" w:before="120" w:after="120"/>
        <w:jc w:val="both"/>
        <w:rPr/>
      </w:pPr>
      <w:r>
        <w:rPr>
          <w:rFonts w:ascii="Times New Roman;sans-serif" w:hAnsi="Times New Roman;sans-serif"/>
          <w:b w:val="false"/>
          <w:color w:val="231F20"/>
          <w:sz w:val="20"/>
        </w:rPr>
        <w:t xml:space="preserve">Even if we succeed in commercializing FYARRO for its approved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commercialization of FYARRO, the development of FYARRO for additional indications and any future product candidates, our ability to achieve and maintain profitability and the performance of our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generate revenue and achieve profitability depends significantly on our ability to achieve several objectives relating to the discovery, development and commercialization of our product candidates.</w:t>
      </w:r>
    </w:p>
    <w:p>
      <w:pPr>
        <w:pStyle w:val="TextBody"/>
        <w:bidi w:val="0"/>
        <w:spacing w:lineRule="auto" w:line="288" w:before="120" w:after="120"/>
        <w:jc w:val="both"/>
        <w:rPr/>
      </w:pPr>
      <w:r>
        <w:rPr>
          <w:rFonts w:ascii="Times New Roman;sans-serif" w:hAnsi="Times New Roman;sans-serif"/>
          <w:b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Times New Roman;sans-serif" w:hAnsi="Times New Roman;sans-serif"/>
          <w:b w:val="false"/>
          <w:color w:val="000000"/>
          <w:sz w:val="20"/>
        </w:rPr>
        <w:t xml:space="preserve">on of additional indications (such as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 xml:space="preserve">&amp; </w:t>
      </w:r>
      <w:r>
        <w:rPr>
          <w:rFonts w:ascii="Times New Roman;sans-serif" w:hAnsi="Times New Roman;sans-serif"/>
          <w:b w:val="false"/>
          <w:i/>
          <w:color w:val="000000"/>
          <w:sz w:val="20"/>
        </w:rPr>
        <w:t>TSC2</w:t>
      </w:r>
      <w:r>
        <w:rPr>
          <w:rFonts w:ascii="Times New Roman;sans-serif" w:hAnsi="Times New Roman;sans-serif"/>
          <w:b w:val="false"/>
          <w:color w:val="000000"/>
          <w:sz w:val="20"/>
        </w:rPr>
        <w:t xml:space="preserve">), commercialize FYARRO in foreign jurisdictions or any </w:t>
      </w:r>
      <w:r>
        <w:rPr>
          <w:rFonts w:ascii="Times New Roman;sans-serif" w:hAnsi="Times New Roman;sans-serif"/>
          <w:b w:val="false"/>
          <w:color w:val="231F20"/>
          <w:sz w:val="20"/>
        </w:rPr>
        <w:t>future product candidates.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demonstrating the safety and efficacy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satisfaction of the FDA and obtaining regulatory approval for </w:t>
      </w:r>
      <w:r>
        <w:rPr>
          <w:rFonts w:ascii="Times New Roman;sans-serif" w:hAnsi="Times New Roman;sans-serif"/>
          <w:b w:val="false"/>
          <w:color w:val="000000"/>
          <w:sz w:val="20"/>
        </w:rPr>
        <w:t>FYARRO for other indications</w:t>
      </w:r>
      <w:r>
        <w:rPr>
          <w:color w:val="231F20"/>
        </w:rPr>
        <w:t xml:space="preserve"> </w:t>
      </w:r>
      <w:r>
        <w:rPr>
          <w:rFonts w:ascii="Times New Roman;sans-serif" w:hAnsi="Times New Roman;sans-serif"/>
          <w:b w:val="false"/>
          <w:color w:val="231F20"/>
          <w:sz w:val="20"/>
        </w:rPr>
        <w:t>and for any future product candidates, if any, for which there is a commercial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launching and successfully commercializing FYARRO or any product candidates following any regulatory approval, including the development of a commercial infrastructure, whether in-house or with one or more collaborators;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maintaining commercially viable supply and manufacturing relationships with third parties that can provide adequate, in both amount and quality, products and services to support clinical development and meet the market demand for FYARRO or any other product candidates we may develop,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completing development activities, including clinical trials for </w:t>
      </w:r>
      <w:r>
        <w:rPr>
          <w:rFonts w:ascii="Times New Roman;sans-serif" w:hAnsi="Times New Roman;sans-serif"/>
          <w:b w:val="false"/>
          <w:color w:val="000000"/>
          <w:sz w:val="20"/>
        </w:rPr>
        <w:t xml:space="preserve">FYARRO for </w:t>
      </w:r>
      <w:r>
        <w:rPr>
          <w:rFonts w:ascii="Times New Roman;sans-serif" w:hAnsi="Times New Roman;sans-serif"/>
          <w:b w:val="false"/>
          <w:i/>
          <w:color w:val="000000"/>
          <w:sz w:val="20"/>
        </w:rPr>
        <w:t>TSC1 &amp; TSC2</w:t>
      </w:r>
      <w:r>
        <w:rPr>
          <w:rFonts w:ascii="Times New Roman;sans-serif" w:hAnsi="Times New Roman;sans-serif"/>
          <w:b w:val="false"/>
          <w:color w:val="231F20"/>
          <w:sz w:val="20"/>
        </w:rPr>
        <w:t>, successfully and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additional regulatory and marketing approvals for FYARRO for additional indications;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future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establishing and maintaining relationships with contract research organizations (“CROs”) and clinical sites for the clinical development of </w:t>
      </w:r>
      <w:r>
        <w:rPr>
          <w:rFonts w:ascii="Times New Roman;sans-serif" w:hAnsi="Times New Roman;sans-serif"/>
          <w:b w:val="false"/>
          <w:color w:val="000000"/>
          <w:sz w:val="20"/>
        </w:rPr>
        <w:t>FYARRO in other indications</w:t>
      </w:r>
      <w:r>
        <w:rPr>
          <w:color w:val="231F20"/>
        </w:rPr>
        <w:t xml:space="preserve"> </w:t>
      </w:r>
      <w:r>
        <w:rPr>
          <w:rFonts w:ascii="Times New Roman;sans-serif" w:hAnsi="Times New Roman;sans-serif"/>
          <w:b w:val="false"/>
          <w:color w:val="231F20"/>
          <w:sz w:val="20"/>
        </w:rPr>
        <w:t>and any other future product candidates that we may develop;</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timely receipt of regulatory approvals from applicable regulatory authorities for any product candidates for which we successfully complete clinical development;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developing or contracting for an efficient and scalable manufacturing process for future product candidates, including obtaining finished products that are appropriately packaged for sale;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negotiating and maintaining an adequate price for our product or any future product candidates, both in the United States and in foreign countries where our products are commercialized;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continued acceptable safety profile following any regulatory approval of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commercial acceptance of product candidates by patients, the medical community and third-party payors;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obtaining coverage and adequate reimbursement by third-party payors for product candidates;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satisfying any required post-regulatory approval commitments to applicable regulatory authorities;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identifying, assessing and developing new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maintaining and expanding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protecting our rights in our intellectual property portfolio;</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defending against third-party interference or infringement claims, if any;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entering into and maintaining, on favorable terms, any collaboration, licensing or other arrangements that may be necessary or desirable to develop, manufacture or commercialize our product and any future product candidates;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addressing any competing therapies and technological and market developments and attracting, hiring and retaining qualified personnel.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jc w:val="both"/>
        <w:rPr/>
      </w:pPr>
      <w:r>
        <w:rPr>
          <w:rFonts w:ascii="Times New Roman;sans-serif" w:hAnsi="Times New Roman;sans-serif"/>
          <w:b w:val="false"/>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additional regulatory approval of FYARRO for additional indications, and the commercialization of </w:t>
      </w:r>
      <w:r>
        <w:rPr>
          <w:rFonts w:ascii="Times New Roman;sans-serif" w:hAnsi="Times New Roman;sans-serif"/>
          <w:b w:val="false"/>
          <w:color w:val="000000"/>
          <w:sz w:val="20"/>
        </w:rPr>
        <w:t>FYARRO for its approved indication (PEComa)</w:t>
      </w:r>
      <w:r>
        <w:rPr>
          <w:rFonts w:ascii="Times New Roman;sans-serif" w:hAnsi="Times New Roman;sans-serif"/>
          <w:b w:val="false"/>
          <w:color w:val="231F20"/>
          <w:sz w:val="20"/>
        </w:rPr>
        <w:t xml:space="preserve">. Our expenses could increase beyond our current expectations if we are required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any of other product candidates, including additional indications for </w:t>
      </w:r>
      <w:r>
        <w:rPr>
          <w:rFonts w:ascii="Times New Roman;sans-serif" w:hAnsi="Times New Roman;sans-serif"/>
          <w:b w:val="false"/>
          <w:color w:val="000000"/>
          <w:sz w:val="20"/>
        </w:rPr>
        <w:t>FYARRO</w:t>
      </w:r>
      <w:r>
        <w:rPr>
          <w:rFonts w:ascii="Times New Roman;sans-serif" w:hAnsi="Times New Roman;sans-serif"/>
          <w:b w:val="false"/>
          <w:color w:val="231F20"/>
          <w:sz w:val="20"/>
        </w:rPr>
        <w:t xml:space="preserve">, we expect to incur significant commercialization expenses related to sales, marketing, manufacturing and distribution activities and ongoing compliance activities. We cannot reasonably estimate the actual amount of resources and funding that will be necessary to successfully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or complete the development and, if approved, commercialize FYARRO for any other additional indications, or any other product candidates or other indications we may develop. Upon receiving regulatory approval for FYARRO from the FDA in November 2021, we are only permitted to market or promote </w:t>
      </w:r>
      <w:r>
        <w:rPr>
          <w:rFonts w:ascii="Times New Roman;sans-serif" w:hAnsi="Times New Roman;sans-serif"/>
          <w:b w:val="false"/>
          <w:color w:val="000000"/>
          <w:sz w:val="20"/>
        </w:rPr>
        <w:t>FYARRO for the advanced malignant PEComa indication</w:t>
      </w:r>
      <w:r>
        <w:rPr>
          <w:rFonts w:ascii="Times New Roman;sans-serif" w:hAnsi="Times New Roman;sans-serif"/>
          <w:b w:val="false"/>
          <w:color w:val="231F20"/>
          <w:sz w:val="20"/>
        </w:rPr>
        <w:t>, and not for any other indication, or any other product candidate, in the United States. In addition, we will incur additional costs associated with operating as a public company. Accordingly, we will need to obtain substantial additional funding in order to continue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June 30, 2023, we had $134.9 million in cash, cash equivalents and short-term investments. Based on our current operating plan, we believe that our cash, cash equivalents and short-term investments will enable us to fund our planned operating expenses and capital expenditures into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120" w:after="120"/>
        <w:jc w:val="both"/>
        <w:rPr/>
      </w:pPr>
      <w:r>
        <w:rPr>
          <w:rFonts w:ascii="Times New Roman;sans-serif" w:hAnsi="Times New Roman;sans-serif"/>
          <w:b w:val="false"/>
          <w:color w:val="231F20"/>
          <w:sz w:val="20"/>
        </w:rPr>
        <w:t xml:space="preserve">We plan to use our cash, cash equivalents and short-term investments to fund the commercialization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ongoing and planned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other indications such as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indications, for manufacturing operations and to fund our other research for other product candidates and development activities, as well as for working capital and other general corporate purposes. Advancing the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sans-serif" w:hAnsi="Times New Roman;sans-serif"/>
          <w:b w:val="false"/>
          <w:color w:val="000000"/>
          <w:sz w:val="20"/>
        </w:rPr>
        <w:t>FYARRO and any future product candidates</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the COVID</w:t>
        <w:noBreakHyphen/>
        <w:t>19 pandemic, the conflicts in Eastern Europe, and otherwise.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120" w:after="120"/>
        <w:jc w:val="both"/>
        <w:rPr/>
      </w:pPr>
      <w:r>
        <w:rPr>
          <w:rFonts w:ascii="Times New Roman;sans-serif" w:hAnsi="Times New Roman;sans-serif"/>
          <w:b w:val="false"/>
          <w:color w:val="231F20"/>
          <w:sz w:val="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r>
        <w:rPr>
          <w:rFonts w:ascii="Times New Roman;sans-serif" w:hAnsi="Times New Roman;sans-serif"/>
          <w:b w:val="false"/>
          <w:color w:val="231F20"/>
          <w:sz w:val="24"/>
        </w:rPr>
        <w:t>.</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the Discovery, Development and Commercialization of Our Product Candidates</w:t>
      </w:r>
    </w:p>
    <w:p>
      <w:pPr>
        <w:pStyle w:val="TextBody"/>
        <w:bidi w:val="0"/>
        <w:spacing w:lineRule="auto" w:line="288" w:before="120" w:after="120"/>
        <w:jc w:val="both"/>
        <w:rPr/>
      </w:pPr>
      <w:r>
        <w:rPr>
          <w:rFonts w:ascii="Times New Roman;sans-serif" w:hAnsi="Times New Roman;sans-serif"/>
          <w:b/>
          <w:i/>
          <w:color w:val="231F20"/>
          <w:sz w:val="20"/>
        </w:rPr>
        <w:t xml:space="preserve">We have only one product, FYARRO, which has completed development and obtained regulatory approval by the FDA for a single indication. We are substantially dependent on the success of </w:t>
      </w:r>
      <w:r>
        <w:rPr>
          <w:rFonts w:ascii="Times New Roman;sans-serif" w:hAnsi="Times New Roman;sans-serif"/>
          <w:b/>
          <w:i/>
          <w:color w:val="000000"/>
          <w:sz w:val="20"/>
        </w:rPr>
        <w:t>FYARRO</w:t>
      </w:r>
      <w:r>
        <w:rPr>
          <w:rFonts w:ascii="Times New Roman;sans-serif" w:hAnsi="Times New Roman;sans-serif"/>
          <w:b/>
          <w:i/>
          <w:color w:val="231F20"/>
          <w:sz w:val="20"/>
        </w:rPr>
        <w:t xml:space="preserve">. If we are unable to successfully commercialize </w:t>
      </w:r>
      <w:r>
        <w:rPr>
          <w:rFonts w:ascii="Times New Roman;sans-serif" w:hAnsi="Times New Roman;sans-serif"/>
          <w:b/>
          <w:i/>
          <w:color w:val="000000"/>
          <w:sz w:val="20"/>
        </w:rPr>
        <w:t>FYARRO for the advanced malignant PEComa indication or complete development of, obtain approval for and commercialize FYARRO</w:t>
      </w:r>
      <w:r>
        <w:rPr>
          <w:color w:val="231F20"/>
        </w:rPr>
        <w:t xml:space="preserve"> </w:t>
      </w:r>
      <w:r>
        <w:rPr>
          <w:rFonts w:ascii="Times New Roman;sans-serif" w:hAnsi="Times New Roman;sans-serif"/>
          <w:b/>
          <w:i/>
          <w:color w:val="231F20"/>
          <w:sz w:val="20"/>
        </w:rPr>
        <w:t>for one or more other indications in a timely manner, our business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We have only one commercial product that has launched, completed development and been approved by the FDA, FYARRO, our lead product. Our future success is dependent on our ability to successfully commercialize FYARRO, and to timely and successfully obtain regulatory approval for additional indications for FYARRO. We are investing the majority of our efforts and financial resources to commercialize FYARRO for the </w:t>
      </w:r>
      <w:r>
        <w:rPr>
          <w:rFonts w:ascii="Times New Roman;sans-serif" w:hAnsi="Times New Roman;sans-serif"/>
          <w:b w:val="false"/>
          <w:color w:val="000000"/>
          <w:sz w:val="20"/>
        </w:rPr>
        <w:t>advanced malignant</w:t>
      </w:r>
      <w:r>
        <w:rPr>
          <w:color w:val="231F20"/>
        </w:rPr>
        <w:t xml:space="preserve"> </w:t>
      </w:r>
      <w:r>
        <w:rPr>
          <w:rFonts w:ascii="Times New Roman;sans-serif" w:hAnsi="Times New Roman;sans-serif"/>
          <w:b w:val="false"/>
          <w:color w:val="231F20"/>
          <w:sz w:val="20"/>
        </w:rPr>
        <w:t xml:space="preserve">PEComa indication and in the research and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multiple additional indications.</w:t>
      </w:r>
    </w:p>
    <w:p>
      <w:pPr>
        <w:pStyle w:val="TextBody"/>
        <w:bidi w:val="0"/>
        <w:spacing w:lineRule="auto" w:line="288" w:before="120" w:after="120"/>
        <w:jc w:val="both"/>
        <w:rPr/>
      </w:pPr>
      <w:r>
        <w:rPr>
          <w:rFonts w:ascii="Times New Roman;sans-serif" w:hAnsi="Times New Roman;sans-serif"/>
          <w:b w:val="false"/>
          <w:color w:val="231F20"/>
          <w:sz w:val="20"/>
        </w:rPr>
        <w:t xml:space="preserve">In May 2021, we completed the filing of a rolling NDA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FDA for approval to treat patients with advanced malignant PEComa, and the FDA accepted our NDA in July 2021 and approved FYARRO for advanced malignant PEComa in November 2021. Our NDA was based on results from our AMPECT trial, involving patients for whom there were no approved therapies in the United States.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will require additional clinical development, expansion of manufacturing capabilities, regulatory approval from foreign regulatory authorities in jurisdictions outside of the United States where we plan to market </w:t>
      </w:r>
      <w:r>
        <w:rPr>
          <w:rFonts w:ascii="Times New Roman;sans-serif" w:hAnsi="Times New Roman;sans-serif"/>
          <w:b w:val="false"/>
          <w:color w:val="000000"/>
          <w:sz w:val="20"/>
        </w:rPr>
        <w:t>FYARRO for advanced malignant PEComa and potentially in additional indications</w:t>
      </w:r>
      <w:r>
        <w:rPr>
          <w:rFonts w:ascii="Times New Roman;sans-serif" w:hAnsi="Times New Roman;sans-serif"/>
          <w:b w:val="false"/>
          <w:color w:val="231F20"/>
          <w:sz w:val="20"/>
        </w:rPr>
        <w:t xml:space="preserve">, if approved, substantial investment and significant marketing efforts before we can generate any revenues from product sales. We are not permitted to market or promote </w:t>
      </w:r>
      <w:r>
        <w:rPr>
          <w:rFonts w:ascii="Times New Roman;sans-serif" w:hAnsi="Times New Roman;sans-serif"/>
          <w:b w:val="false"/>
          <w:color w:val="000000"/>
          <w:sz w:val="20"/>
        </w:rPr>
        <w:t>FYARRO for non-PEComa indications</w:t>
      </w:r>
      <w:r>
        <w:rPr>
          <w:rFonts w:ascii="Times New Roman;sans-serif" w:hAnsi="Times New Roman;sans-serif"/>
          <w:b w:val="false"/>
          <w:color w:val="231F20"/>
          <w:sz w:val="20"/>
        </w:rPr>
        <w:t>, before we receive regulatory approval from the FDA and comparable foreign regulatory authorities, and we may never receive such regulatory approvals.</w:t>
      </w:r>
    </w:p>
    <w:p>
      <w:pPr>
        <w:pStyle w:val="TextBody"/>
        <w:bidi w:val="0"/>
        <w:spacing w:lineRule="auto" w:line="288" w:before="120" w:after="120"/>
        <w:jc w:val="both"/>
        <w:rPr/>
      </w:pPr>
      <w:r>
        <w:rPr>
          <w:rFonts w:ascii="Times New Roman;sans-serif" w:hAnsi="Times New Roman;sans-serif"/>
          <w:b w:val="false"/>
          <w:color w:val="231F20"/>
          <w:sz w:val="20"/>
        </w:rPr>
        <w:t xml:space="preserve">The success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will depend on several factors,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efficacy and safety of FYARRO in a larger number of patients in a non-clinical trial setting that those demonstrated in our clinical trials;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effectiveness of our sales, marketing and distribution efforts;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maintenance of existing or the establishment of new supply arrangements with third-party drug product suppliers and manufacturers for sufficient commercial supplies and additional clinical development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success of our commercial sales, including the ongoing development of a commercial infrastructure, whether in-house or with one or more collaborators;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timely receipt of regulatory approval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from applicable foreign regulatory authorities for advanced malignant PEComa;</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successful </w:t>
      </w:r>
      <w:r>
        <w:rPr>
          <w:rFonts w:ascii="Times New Roman;sans-serif" w:hAnsi="Times New Roman;sans-serif"/>
          <w:b w:val="false"/>
          <w:color w:val="231F20"/>
          <w:sz w:val="20"/>
        </w:rPr>
        <w:t>completion of any clinical trials, regulatory approval and commercialization of FYARRO for one or more label expansion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extent of any required post-regulatory approval commitments to applicable regulatory authorities;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medical professionals to prescribe and patients to use FYARRO and continue to use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coverage and adequate reimbursement and pricing by private and government payors;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prevalence and severity of adverse side effects;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convenience of prescribing, administrating and initiating patients on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potential and perceived value and relative cost of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successful and timely completion of the required preclinical studies and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current and future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INDs going into effect with the FDA for our planned and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initiation and successful patient enrollment and completion of additional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on a timely basis, including our PRECISION1 trial, a registration-directed tumor-agnostic Phase 2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truncating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maintaining and establishing relationships with CROs and clinical sites for the development of FYARRO both in the United States and internationally;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type, frequency and severity of adverse events in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continued acceptable safety profile following our current and future regulatory approval;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compete with other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In addition to advanced malignant PEComa, based on exploratory data from the completed AMPECT and our Expanded Access Program for FYARRO, we have initiated a registration-directed tumor-agnostic Phase 2 study, PRECISION1,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We completed a Type B meeting with the FDA in which we discussed the trial design. The PRECISION1 trial is now open for enrollment in the United States and the first patient in the trial was dosed in March 2022. Our product development costs could increase if we experience delays. Significant trial delays also could shorten any periods during which we may have the exclusive right to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or allow our competitors to bring products to market before we do, which would impair our ability to successfully capitalize on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and may harm our business, results of operations and prospects. Events that may result in a delay or unsuccessful completion of additional clinical development of FYARRO include, among other things: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unexpectedly high rate of patients withdrawing consent or being lost to follow-up;</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feedback from the FDA and foreign regulatory authorities, institutional review boards (“IRBs”), or a data safety monitoring board, or results from clinical trials that might require modification to a clinical trial protocol;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deviations from the trial protocol by clinical trial sites and investigators or failure to conduct the trial in accordance with regulatory requirements;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of third parties, such as CROs, to satisfy their contractual duties or meet expected deadlines;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in the testing, validation, manufacturing and delivery of FYARRO to customers or the clinical trial sites;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caused by patients dropping out of a trial due to side effects, disease progression or other reasons;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unacceptable risk-benefit profile or unforeseen safety issues or adverse drug reactions;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to demonstrate the efficacy of FYARRO in this clinical trial;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changes in government regulations or administrative actions or lack of adequate funding to continue the trials; or</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business interruptions resulting from geo-political actions, including war and terrorism, such as the Russia-Ukraine conflict, or natural disasters and public health epidemics, such as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FYARRO for multiple indications, which would materially harm our business. If we do not receive regulatory approvals for FYARRO in additional indications or for other product candidates, we may not be able to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addition to FYARRO, our prospects depend in part upon discovering, developing and commercializing additional product candidates, which may fail in development or suffer delays that adversely affect their commercial viability.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future operating results are dependent on our ability to successfully discover, develop, obtain regulatory approval for and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success of other product candidates we may develop will depend on many factors, including the following: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preclinical data to support the initiation of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regulatory permission to initiate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contracting with the necessary parties to conduct preclinical studies and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successful enrollment of patients in, and the completion of, clinical trials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timely manufacture of sufficient quantities of a product candidate for use in clinical trials;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safety and efficacy data to warrant continued development and which are satisfactory to the FDA or any other regulatory authority for marketing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clinical indications for which a product candidate is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availability of coverage and adequate reimbursement by third-party payors, including government authorities or the willingness of patients to pay out-of-pocket in the absence of third-party payor coverage;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an approved product candidate for use as a combination therapy;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prevalence and severity of any adverse effects associated with any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any restrictions on the use of our product candidates together with other medications;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unfavorable publicity relating to our product candidates;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approval of other new therapies for the same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significant market share for any approved product, if the potential target populations are small, we may never achieve profitability without obtaining regulatory approval for additional indications.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Any product candidates we develop may become subject to unfavorable third-party coverage and reimbursement practices, as well as pricing regulations.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such as FYARRO.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Moreover, FYARRO or any other product candidate we may develop in the future may not be considered medically necessary or cost effective. We cannot be sure that coverage and reimbursement will be available for FYARRO or any other product that we may commercialize and, if reimbursement is available, what the level of reimbursement will be.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“American Rescue Plan”),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once we begin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Coverage policies and third-party payor reimbursement rates may change at any time. It is unclear what effect these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less favorable coverage policies and reimbursement rates may be implemented in the future.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FDA approval of any future NDA for FYARRO or any other product candidates we may develop in the future.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recent approval of our NDA for FYARRO for advanced malignant PEComa, we had not submitted an application for approval or obtained FDA approval for any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Failure to obtain marketing approval in international jurisdictions would prevent FYARRO and any other product candidates we may develop in the future from being marketed abroad.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FYARRO and any other product candidates we may develop in the future internationally could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differing regulatory requirements in foreign countries;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unexpected changes in tariffs, trade barriers, price and exchange controls and other regulatory requirements;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economic weakness, including inflation, or political instability in particular foreign economies and markets;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compliance with tax, employment, immigration and labor laws for employees living or traveling abroad;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taxes, including withholding of payroll taxes;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difficulties staffing and managing foreign operations;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workforce uncertainty in countries where labor unrest is more common than in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potential liability under the United States Foreign Corrupt Practices Act (“FCPA”) or comparable foreign regulations;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conflict between Russia and Ukraine has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compromise our ability to achieve or maintain profitability.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Before obtaining regulatory approval from the EMA or other foreign regulatory authorities for the sale of FYARRO for advanced malignant PEComa or any additional indications that we may seek approval for, or other product candidates when approved, we, among other requirements, must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receipt of feedback from regulatory authorities that require us to modify the design of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negative or inconclusive clinical trial results that may require us to conduct additional clinical trials or abandon certain drug development programs;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clinical trial sites or our CRO failing to comply with regulatory requirements or meet their contractual obligations to us in a timely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the suspension or termination of our clinical trials for various reasons, including non-compliance with regulatory requirements or a finding that our product candidates have undesirable side effects or other unexpected characteristics;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cost of clinical trials of our product candidates being greater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supply or quality of our product candidates or other materials necessary to conduct clinical trials of</w:t>
      </w:r>
      <w:r>
        <w:rPr>
          <w:color w:val="000000"/>
        </w:rPr>
        <w:t xml:space="preserve"> </w:t>
      </w:r>
      <w:r>
        <w:rPr>
          <w:rFonts w:ascii="Times New Roman;sans-serif" w:hAnsi="Times New Roman;sans-serif"/>
          <w:b w:val="false"/>
          <w:color w:val="231F20"/>
          <w:sz w:val="20"/>
        </w:rPr>
        <w:t>our product candidates being insufficient or inadequate;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delays due to health epidemics, such as the COVID-19 pandemic, including starting any clinical trials for other indications or programs.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our product beyond those that we currently contemplate, if we are unable to successfully complete clinical trials of our product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after obtaining regulatory approval. Even if regulatory approval is secured for any of our product candidates, the terms of such approval may limit the scope and use of our product candidates, which may also limit their commercial potential.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product(s) and significantly impact our ability to successfully commercialize our product(s)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Patients in our completed and planned clinical trials may in the future suffer other significant adverse events or other side effects not observed or anticipated based on our preclinical studies or previous clinical trials. FYARRO or other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120" w:after="120"/>
        <w:jc w:val="both"/>
        <w:rPr/>
      </w:pPr>
      <w:r>
        <w:rPr>
          <w:rFonts w:ascii="Times New Roman;sans-serif" w:hAnsi="Times New Roman;sans-serif"/>
          <w:b w:val="false"/>
          <w:color w:val="000000"/>
          <w:sz w:val="20"/>
        </w:rPr>
        <w:t xml:space="preserve">Further, for FYARRO for advanced malignant PEComa, or if FYARRO receives regulatory approval for any other indication, or if any other product candidate that we may develop in the future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sans-serif" w:hAnsi="Times New Roman;sans-serif"/>
          <w:b w:val="false"/>
          <w:color w:val="231F20"/>
          <w:sz w:val="20"/>
        </w:rPr>
        <w:t>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our product candidates will cause toxicities in humans that would preclude or lead to the revocation of regulatory approval based on preclinical studies or early-stage clinical trials.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Results from early preclinical studies and clinical trials of FYARRO or other product candidates that we may develop in the future are not necessarily predictive of the results of later preclinical studies and clinical trials of FYARRO 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open-label clinical trials.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may publicly disclose preliminary, interim or topline data from our clinical trials.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Adverse results of clinical trials conducted by third parties investigating the same product candidates as us in different territories could adversely affect our development of such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further development of FYARRO.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jc w:val="both"/>
        <w:rPr/>
      </w:pPr>
      <w:r>
        <w:rPr>
          <w:rFonts w:ascii="Times New Roman;sans-serif" w:hAnsi="Times New Roman;sans-serif"/>
          <w:b w:val="false"/>
          <w:color w:val="231F20"/>
          <w:sz w:val="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study are screened using genomic information to identify alterations in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size and nature of the patient population;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severity of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availability and efficacy of approved drugs for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eligibility criteria for the trial in question as defined in the protocol or as mandated by regulatory agencies;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perceived risks and benefits of the product candidate under study;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recruit clinical study investigators with the appropriate competencies and experience;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willingness to screen their patients for biomarkers to indicate which patients may be eligible for enrollment in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referral practices of physicians;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obtain and maintain patient consents;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monitor patients adequately during and after treatment;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proximity and availability of clinical trial sites for prospective patients;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factors we may not be able to control, such as current or potential pandemics that may limit patients, principal investigators or staff or clinical site availability (e.g.,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expect to develop FYARRO and potentially other product candidates in combination with other therapies, which exposes us to additional risks.</w:t>
      </w:r>
    </w:p>
    <w:p>
      <w:pPr>
        <w:pStyle w:val="TextBody"/>
        <w:bidi w:val="0"/>
        <w:spacing w:lineRule="auto" w:line="288" w:before="120" w:after="120"/>
        <w:jc w:val="both"/>
        <w:rPr/>
      </w:pPr>
      <w:r>
        <w:rPr>
          <w:rFonts w:ascii="Times New Roman;sans-serif" w:hAnsi="Times New Roman;sans-serif"/>
          <w:b w:val="false"/>
          <w:color w:val="231F20"/>
          <w:sz w:val="20"/>
        </w:rPr>
        <w:t>We intend to develop FYARRO and potentially othe</w:t>
      </w:r>
      <w:r>
        <w:rPr>
          <w:rFonts w:ascii="Times New Roman;sans-serif" w:hAnsi="Times New Roman;sans-serif"/>
          <w:b w:val="false"/>
          <w:color w:val="000000"/>
          <w:sz w:val="20"/>
        </w:rPr>
        <w:t>r product candidates, in combination with one or more currently approved or unapproved therapies to treat cancer or other diseases. For example, in October 2022 we entered into a collaboration and supply agreement with Mirati to evaluate the combination of Mirati’s adagrasib (KRAZATI™),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non-small cell lung cancer (NSCLC) and other solid tumors. Patients may not be able to tolerate FYARRO or any of our future product candidates in combination with other therapies or dosing of FYARRO in combination with other therapies may have unexpected consequences. Even though FYARRO has received FDA approval for advanced malignant PEComa, and even if FYARRO receives regulatory approval for additional indications,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 candidates, or safety, efficacy, manufacturing or supply issues could arise with these e</w:t>
      </w:r>
      <w:r>
        <w:rPr>
          <w:rFonts w:ascii="Times New Roman;sans-serif" w:hAnsi="Times New Roman;sans-serif"/>
          <w:b w:val="false"/>
          <w:color w:val="231F20"/>
          <w:sz w:val="20"/>
        </w:rPr>
        <w:t>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evaluate future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any one or all of the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currently focusing our resources and efforts on developing and commercializing FYARRO for particular indications. As a result, because we have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120" w:after="120"/>
        <w:jc w:val="both"/>
        <w:rPr/>
      </w:pPr>
      <w:r>
        <w:rPr>
          <w:rFonts w:ascii="Times New Roman;sans-serif" w:hAnsi="Times New Roman;sans-serif"/>
          <w:b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Following FDA approval, FYARRO was added to the NCCN guidelines as the only preferred regimen for treatment of malignant PEComa. For truncating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inactivating alterations, there are no existing FDA or EMA approved products indicated for such use. If FYARRO receives additional regulatory approval for these </w:t>
      </w:r>
      <w:r>
        <w:rPr>
          <w:rFonts w:ascii="Times New Roman;sans-serif" w:hAnsi="Times New Roman;sans-serif"/>
          <w:b w:val="false"/>
          <w:i/>
          <w:color w:val="231F20"/>
          <w:sz w:val="20"/>
        </w:rPr>
        <w:t xml:space="preserve">TSC1 &amp; TSC2 </w:t>
      </w:r>
      <w:r>
        <w:rPr>
          <w:rFonts w:ascii="Times New Roman;sans-serif" w:hAnsi="Times New Roman;sans-serif"/>
          <w:b w:val="false"/>
          <w:color w:val="231F20"/>
          <w:sz w:val="20"/>
        </w:rPr>
        <w:t>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commercial opportunity could be reduced or eliminated if our competitors develop and commercialize products that are safer, more effective, have fewer or less severe side effects, are more convenient, have a broader label, are marketed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growing our product pipeline through acquisitions and in-licenses.</w:t>
      </w:r>
    </w:p>
    <w:p>
      <w:pPr>
        <w:pStyle w:val="TextBody"/>
        <w:bidi w:val="0"/>
        <w:spacing w:lineRule="auto" w:line="288" w:before="120" w:after="120"/>
        <w:jc w:val="both"/>
        <w:rPr/>
      </w:pPr>
      <w:r>
        <w:rPr>
          <w:rFonts w:ascii="Times New Roman;sans-serif" w:hAnsi="Times New Roman;sans-serif"/>
          <w:b w:val="false"/>
          <w:color w:val="231F20"/>
          <w:sz w:val="20"/>
        </w:rPr>
        <w:t>We believe that accessing external innovation and expertise is important to our success; and while we plan to leverage our leadership team’s prior business development experience as we evaluate potential</w:t>
      </w:r>
      <w:r>
        <w:rPr>
          <w:color w:val="000000"/>
        </w:rPr>
        <w:t xml:space="preserve"> </w:t>
      </w:r>
      <w:r>
        <w:rPr>
          <w:rFonts w:ascii="Times New Roman;sans-serif" w:hAnsi="Times New Roman;sans-serif"/>
          <w:b w:val="false"/>
          <w:color w:val="231F20"/>
          <w:sz w:val="20"/>
        </w:rPr>
        <w:t>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entails a significant risk of product liability and if we are unable to obtain sufficient insurance coverage such inability could have a material adverse effect on our business and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recent global COVID-19 outbreak has affected and is expected to continue to affect our business and operations.</w:t>
      </w:r>
    </w:p>
    <w:p>
      <w:pPr>
        <w:pStyle w:val="TextBody"/>
        <w:bidi w:val="0"/>
        <w:spacing w:lineRule="auto" w:line="288" w:before="120" w:after="120"/>
        <w:jc w:val="both"/>
        <w:rPr/>
      </w:pPr>
      <w:r>
        <w:rPr>
          <w:rFonts w:ascii="Times New Roman;sans-serif" w:hAnsi="Times New Roman;sans-serif"/>
          <w:b w:val="false"/>
          <w:color w:val="231F20"/>
          <w:sz w:val="20"/>
        </w:rPr>
        <w:t>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For example, we have experienced, and continue to experience, some clinical development disruptions due to the pandemic, including closures at certain lab facilities, which have led, and continue to lead, to longer than anticipated clinical development times.</w:t>
      </w:r>
      <w:r>
        <w:rPr>
          <w:color w:val="000000"/>
        </w:rPr>
        <w:t xml:space="preserve"> </w:t>
      </w:r>
      <w:r>
        <w:rPr>
          <w:rFonts w:ascii="Times New Roman;sans-serif" w:hAnsi="Times New Roman;sans-serif"/>
          <w:b w:val="false"/>
          <w:color w:val="000000"/>
          <w:sz w:val="20"/>
        </w:rPr>
        <w:t xml:space="preserve">In addition, our clinical trials have been, and may continue to be, affected by the closure of offices, or country borders. Constraints surrounding hospital resources, infrastructure, staff and other resources, can also make it more difficult to enroll new patients in ongoing or planned clinical trials.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evolving COVID-19 pandemic, we have experienced and expect to continue to experience disruptions that could severely impact our business, preclinical studies and clinical trials, including:</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continued delays or difficulties in enrolling and retaining and adequate number of patients in our clinical trials;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continued delays or difficulties in clinical site initiation, including difficulties in recruiting clinical site investigators and clinical site staff;</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delays in receiving authorizations from regulatory authorities to initiate our planned clinical trials;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risk that participants enrolled in our clinical trials will contract COVID-19 while the clinical trial is ongoing, which could impact the results of the clinical trial, including by increasing the number of observed adverse events;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or delays in the operations of the FDA or other regulatory authorities, which may impact review and approval timelines;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interruptions in preclinical studies due to restricted or limited operations at our laboratory facility;</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changes in local regulations as part of a response to the COVID-19 pandemic, which may require changes in the ways in which our clinical trials are conducted, which may result in unexpected costs, or to discontinue such clinical trials altogether;</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interruption or delays to our sourced discovery and clinical activities; and</w:t>
      </w:r>
    </w:p>
    <w:p>
      <w:pPr>
        <w:pStyle w:val="TextBody"/>
        <w:bidi w:val="0"/>
        <w:spacing w:lineRule="auto" w:line="288" w:before="120" w:after="120"/>
        <w:ind w:left="0" w:right="0" w:hanging="270"/>
        <w:jc w:val="both"/>
        <w:rPr/>
      </w:pPr>
      <w:r>
        <w:rPr>
          <w:color w:val="000000"/>
        </w:rPr>
        <w:t>•</w:t>
      </w:r>
      <w:r>
        <w:rPr>
          <w:rFonts w:ascii="Times New Roman;sans-serif" w:hAnsi="Times New Roman;sans-serif"/>
          <w:b w:val="false"/>
          <w:color w:val="000000"/>
          <w:sz w:val="20"/>
        </w:rPr>
        <w:t xml:space="preserve">refusal of the FDA to accept data from clinical </w:t>
      </w:r>
      <w:r>
        <w:rPr>
          <w:rFonts w:ascii="Times New Roman;sans-serif" w:hAnsi="Times New Roman;sans-serif"/>
          <w:b w:val="false"/>
          <w:color w:val="231F20"/>
          <w:sz w:val="20"/>
        </w:rPr>
        <w:t>trials in affected geographies outside the United States.</w:t>
      </w:r>
    </w:p>
    <w:p>
      <w:pPr>
        <w:pStyle w:val="TextBody"/>
        <w:bidi w:val="0"/>
        <w:spacing w:lineRule="auto" w:line="288" w:before="120" w:after="120"/>
        <w:jc w:val="both"/>
        <w:rPr/>
      </w:pPr>
      <w:r>
        <w:rPr>
          <w:rFonts w:ascii="Times New Roman;sans-serif" w:hAnsi="Times New Roman;sans-serif"/>
          <w:b w:val="false"/>
          <w:color w:val="231F20"/>
          <w:sz w:val="20"/>
        </w:rPr>
        <w:t>The extent of the impact of the COVID-19 pandemic on our future liquidity and operational performance will depend on certain developments, including the duration and spread of further outbreaks, the availability, acceptance and effectiveness of vaccines, the impact on our clinical trials, patients, and collaboration partners, and the effect on</w:t>
      </w:r>
      <w:r>
        <w:rPr>
          <w:color w:val="000000"/>
        </w:rPr>
        <w:t xml:space="preserve"> </w:t>
      </w:r>
      <w:r>
        <w:rPr>
          <w:rFonts w:ascii="Times New Roman;sans-serif" w:hAnsi="Times New Roman;sans-serif"/>
          <w:b w:val="false"/>
          <w:color w:val="231F20"/>
          <w:sz w:val="20"/>
        </w:rPr>
        <w:t xml:space="preserve">our suppliers. On May 11, 2023, the federal government ended the COVID-19 public health emergency, which ended a number of temporary changes made to federally funded programs while some continue to be in effect. The full impact of this termination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national emergency and the wind-down of the public health emergency on FDA and other regulatory policies and operations are unclear.</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Regulatory Approval and Other Legal Compliance Matters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required and due to the COVID-19 pandemic and travel restrictions the FDA is unable to complete such required inspections during the review period.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pStyle w:val="TextBody"/>
        <w:bidi w:val="0"/>
        <w:spacing w:lineRule="auto" w:line="268" w:before="0" w:after="0"/>
        <w:jc w:val="both"/>
        <w:rPr/>
      </w:pPr>
      <w:r>
        <w:rPr>
          <w:rFonts w:ascii="Times New Roman;sans-serif" w:hAnsi="Times New Roman;sans-serif"/>
          <w:b w:val="false"/>
          <w:color w:val="231F20"/>
          <w:sz w:val="20"/>
        </w:rPr>
        <w:t xml:space="preserve">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w:t>
      </w:r>
      <w:r>
        <w:rPr>
          <w:rFonts w:ascii="Times New Roman;sans-serif" w:hAnsi="Times New Roman;sans-serif"/>
          <w:b w:val="false"/>
          <w:color w:val="008080"/>
          <w:sz w:val="20"/>
        </w:rPr>
        <w:t>for the treatment of advanced malignant PEComa</w:t>
      </w:r>
      <w:r>
        <w:rPr>
          <w:rFonts w:ascii="Times New Roman;sans-serif" w:hAnsi="Times New Roman;sans-serif"/>
          <w:b w:val="false"/>
          <w:color w:val="231F20"/>
          <w:sz w:val="20"/>
        </w:rPr>
        <w:t>,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additional product candidates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Applications for any future product candidates could fail to receive regulatory approval for many reasons,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the design, implementation or results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population studied in the clinical trial may not be sufficiently broad or representative to assure efficacy and safety in the full population for which we seek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our interpretation of data from preclinical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be unable to demonstrate to the FDA, EMA or other comparable foreign regulatory authorities that our product candidate’s risk-benefit ratio for our proposed indication is acceptable;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regulatory authorities may fail to approve companion diagnostic tests for our product candidates, if required;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EMA and other comparable foreign regulatory authorities may not accept data from trials conducted in locations outside of their jurisdiction.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clinical trials have been and may in the future be undertaken in the United States. We may choose to conduct additional clinical trials internationally as well. For example, we are currently conducting our PRECISION1 trial of FYARRO in the United States, but 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regulatory uncertainty in foreign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bidi w:val="0"/>
        <w:spacing w:lineRule="auto" w:line="288" w:before="120" w:after="120"/>
        <w:jc w:val="both"/>
        <w:rPr/>
      </w:pPr>
      <w:r>
        <w:rPr>
          <w:rFonts w:ascii="Times New Roman;sans-serif" w:hAnsi="Times New Roman;sans-serif"/>
          <w:b w:val="false"/>
          <w:color w:val="231F2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w:t>
      </w:r>
      <w:r>
        <w:rPr>
          <w:color w:val="000000"/>
        </w:rPr>
        <w:t xml:space="preserve"> </w:t>
      </w:r>
      <w:r>
        <w:rPr>
          <w:rFonts w:ascii="Times New Roman;sans-serif" w:hAnsi="Times New Roman;sans-serif"/>
          <w:b w:val="false"/>
          <w:color w:val="231F20"/>
          <w:sz w:val="20"/>
        </w:rPr>
        <w:t>applicable in the European Union, albeit that the processes for applications will be separate. Longer term, the United Kingdom is likely to develop its own legislation that diverges from that in the European Union.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necessary or desirable for the successful commercialization of that product candidate, which could limit sales of the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adverse inspection findings;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 warnings or otherwise restrict the product’s indicated use, label, or marketing;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FYARRO products, distribution, manufacturers or manufacturing processes;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issuance of warning letters, safety alerts, dear-healthcare-provider letters, press releases or other communications containing warnings regarding the product that would result in adverse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voluntary or mandatory product recalls and publicity requirements or withdrawal of FYARRO from the market;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suspension or withdrawal of marketing or regulatory approvals or other permits or voluntary;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 seizures, detentions or import bans;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total or partial suspension of production;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restrictions on operations, including costly new manufacturing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establish or modify a REMS;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conduct post-marketing studies or surveillance;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drug distribution or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requirements to conduct post-marketing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to approve pending applications or supplements to approved applications that we submit and other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or the rejection of approvals of additional indications for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ability to conduct clinical trials, including full or partial clinical holds on, or the suspension or termination of, ongoing or planned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fines, restitution or disgorgement of profits or revenue;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reputational harm;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of government contracts or future orders under existing contracts, exclusion from participation in federal health care programs;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injunctions or the imposition of civil or criminal penalties, including False Claims Act liability.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holder of an approved NDA or comparable regulatory approval must submit new or supplemental applications and obtain approval for certain changes to the approved product, product labeling, or manufacturing process and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comparable foreign regulatory authority may refuse to approve pending applications or supplements to approved applications filed by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and other regulatory agencies actively enforce the laws and regulations prohibiting the promotion of off-label uses.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manufactures can provide to the FDA the diagnostic test performance information used to enroll patients into clinical trials for drug approval. Based on assessment of the performance information, FDA will publish the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We will continue to evaluate the impact of FDA guidance and other developments in the diagnostic space.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pStyle w:val="TextBody"/>
        <w:bidi w:val="0"/>
        <w:spacing w:lineRule="auto" w:line="288" w:before="120" w:after="120"/>
        <w:jc w:val="both"/>
        <w:rPr/>
      </w:pPr>
      <w:r>
        <w:rPr>
          <w:rFonts w:ascii="Times New Roman;sans-serif" w:hAnsi="Times New Roman;sans-serif"/>
          <w:b w:val="false"/>
          <w:color w:val="231F20"/>
          <w:sz w:val="20"/>
        </w:rPr>
        <w:t xml:space="preserve">In March 2022 and October 2018, we announced that the FDA granted Fast Track designation for FYARRO for the investigation of the treatment of adult and adolescent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bidi w:val="0"/>
        <w:spacing w:lineRule="auto" w:line="288" w:before="120" w:after="120"/>
        <w:jc w:val="both"/>
        <w:rPr/>
      </w:pPr>
      <w:r>
        <w:rPr>
          <w:rFonts w:ascii="Times New Roman;sans-serif" w:hAnsi="Times New Roman;sans-serif"/>
          <w:b w:val="false"/>
          <w:color w:val="231F20"/>
          <w:sz w:val="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Times New Roman;sans-serif" w:hAnsi="Times New Roman;sans-serif"/>
          <w:b w:val="false"/>
          <w:i/>
          <w:color w:val="231F20"/>
          <w:sz w:val="20"/>
        </w:rPr>
        <w:t>TSC1 &amp; TSC2</w:t>
      </w:r>
      <w:r>
        <w:rPr>
          <w:color w:val="231F20"/>
        </w:rPr>
        <w:t xml:space="preserve"> </w:t>
      </w:r>
      <w:r>
        <w:rPr>
          <w:rFonts w:ascii="Times New Roman;sans-serif" w:hAnsi="Times New Roman;sans-serif"/>
          <w:b w:val="false"/>
          <w:color w:val="231F20"/>
          <w:sz w:val="20"/>
        </w:rPr>
        <w:t xml:space="preserve">alterations, or FYARRO for any other indication or any other product candidates that we may develop in the future that receives Fast Track designation,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FYARRO will receive regulatory approval in the United States in other indications.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lineRule="auto" w:line="288" w:before="120" w:after="283"/>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Catalyst Pharms., Inc. v. Becerra</w:t>
      </w:r>
      <w:r>
        <w:rPr>
          <w:rFonts w:ascii="Times New Roman;sans-serif" w:hAnsi="Times New Roman;sans-serif"/>
          <w:b w:val="false"/>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ans-serif" w:hAnsi="Times New Roman;sans-serif"/>
          <w:b w:val="false"/>
          <w:i/>
          <w:color w:val="000000"/>
          <w:sz w:val="20"/>
        </w:rPr>
        <w:t>Catalyst</w:t>
      </w:r>
      <w:r>
        <w:rPr>
          <w:rFonts w:ascii="Times New Roman;sans-serif" w:hAnsi="Times New Roman;sans-serif"/>
          <w:b w:val="false"/>
          <w:color w:val="000000"/>
          <w:sz w:val="20"/>
        </w:rPr>
        <w:t xml:space="preserve">, the FDA intends to continue to apply its longstanding interpretation of the regulations to matters outside of the scope of the </w:t>
      </w:r>
      <w:r>
        <w:rPr>
          <w:rFonts w:ascii="Times New Roman;sans-serif" w:hAnsi="Times New Roman;sans-serif"/>
          <w:b w:val="false"/>
          <w:i/>
          <w:color w:val="000000"/>
          <w:sz w:val="20"/>
        </w:rPr>
        <w:t>Catalyst</w:t>
      </w:r>
      <w:r>
        <w:rPr>
          <w:color w:val="000000"/>
        </w:rPr>
        <w:t xml:space="preserve"> </w:t>
      </w:r>
      <w:r>
        <w:rPr>
          <w:rFonts w:ascii="Times New Roman;sans-serif" w:hAnsi="Times New Roman;sans-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designated disease or condition that have not yet been approved. It is unclear how future litigation, legislation, agency decisions, and administrative actions will impact the scope of the orphan drug exclusivity.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orphan patient populations may change in size;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changes in the treatment options for patients that may provide alternative treatments to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development costs may be greater than projected revenue of drug sales for the orphan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regulatory agencies may disagree with the design or implementation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difficulties in enrolling patients for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prove to be efficacious in the respective orphan patient populations;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trial results may not meet the level of statistical significance required by the regulatory agencies;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have a favorable risk/benefit assessment in the respective orphan indication.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confirm the drug’s clinical benefit, the FDA may withdraw its approval of the drug. In addition, the FDA currently requires as a condition for accelerated approval pre-ap</w:t>
      </w:r>
      <w:r>
        <w:rPr>
          <w:rFonts w:ascii="Times New Roman;sans-serif" w:hAnsi="Times New Roman;sans-serif"/>
          <w:b w:val="false"/>
          <w:color w:val="000000"/>
          <w:sz w:val="20"/>
        </w:rPr>
        <w:t>proval of promotional materials, which could adversely impact the timing of the commercial launch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r>
        <w:rPr>
          <w:color w:val="000000"/>
        </w:rPr>
        <w:t xml:space="preserve"> </w:t>
      </w:r>
      <w:r>
        <w:rPr>
          <w:rFonts w:ascii="Times New Roman;sans-serif" w:hAnsi="Times New Roman;sans-serif"/>
          <w:b w:val="false"/>
          <w:color w:val="000000"/>
          <w:sz w:val="20"/>
        </w:rPr>
        <w:t>In March 2023,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face difficulties from changes to current regulations and future legislation.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Existing regulatory policies may change, and additional government regulations may be enacted that could prevent, limit or delay regulatory approval of FYARRO for advanced malignant PEComa outside the United States and for any additional 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impact of these legislative,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the Consolidated Appropriations Act, 2023, the 2% Medicare sequester is extended for the first six months of FY 2032 and revises the sequester percentages up to 2% for FY 2030 and 2031.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with the GDPR. This may be onerous and if our efforts to comply with GDPR or other applicable European Union laws and regulations are not successful, it could adversely affect our business in the European Union.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pStyle w:val="TextBody"/>
        <w:bidi w:val="0"/>
        <w:spacing w:lineRule="auto" w:line="288" w:before="120" w:after="120"/>
        <w:jc w:val="both"/>
        <w:rPr/>
      </w:pPr>
      <w:r>
        <w:rPr>
          <w:rFonts w:ascii="Times New Roman;sans-serif" w:hAnsi="Times New Roman;sans-serif"/>
          <w:b/>
          <w:i/>
          <w:color w:val="231F20"/>
          <w:sz w:val="20"/>
        </w:rPr>
        <w:t>Inadequate funding for the FDA, the Securities and Exchange Commission (</w:t>
      </w:r>
      <w:r>
        <w:rPr>
          <w:color w:val="231F20"/>
        </w:rPr>
        <w:t>“</w:t>
      </w:r>
      <w:r>
        <w:rPr>
          <w:rFonts w:ascii="Times New Roman;sans-serif" w:hAnsi="Times New Roman;sans-serif"/>
          <w:b/>
          <w:i/>
          <w:color w:val="231F20"/>
          <w:sz w:val="20"/>
        </w:rPr>
        <w:t>SEC</w:t>
      </w:r>
      <w:r>
        <w:rPr>
          <w:color w:val="231F20"/>
        </w:rPr>
        <w:t>”</w:t>
      </w:r>
      <w:r>
        <w:rPr>
          <w:rFonts w:ascii="Times New Roman;sans-serif" w:hAnsi="Times New Roman;sans-serif"/>
          <w:b/>
          <w:i/>
          <w:color w:val="231F20"/>
          <w:sz w:val="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including delays or disruptions due to the COVID-19 pandemic, travel restrictions, and staffing shortages,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since March 2020 when foreign and domestic inspections of facilities were largely placed on hold, the FDA has been working to resume routine surveillance, bioresearch monitoring and pre-approval inspections on a prioritized basis. While the FDA has largely caught up with domestic preapproval inspections, it continues to work through its backlog of foreign inspections.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federal criminal laws that prohibit executing a scheme to defraud any healthcare benefit program or making, or causing to be made, false statements relating to healthcare matters;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FCPA, the U.K. Bribery Act of 2010, and other local anti-corruption laws that apply to our international activities;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additionally, we are subject to state and foreign equivalents of each of the healthcare laws and regulations described above, among others, some of which may be broader in scope and may apply regardless of the payor.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between Russia and Ukraine.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Reliance on Third Parties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jc w:val="both"/>
        <w:rPr/>
      </w:pPr>
      <w:r>
        <w:rPr>
          <w:rFonts w:ascii="Times New Roman;sans-serif" w:hAnsi="Times New Roman;sans-serif"/>
          <w:b w:val="false"/>
          <w:color w:val="231F20"/>
          <w:sz w:val="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Times New Roman;sans-serif" w:hAnsi="Times New Roman;sans-serif"/>
          <w:b w:val="false"/>
          <w:color w:val="000000"/>
          <w:sz w:val="20"/>
        </w:rPr>
        <w:t xml:space="preserve">o alternative manufacturer in place. On January 13, 2022, we entered into a Negotiated Purchase Order Terms and Conditions for Clinical and Commercial Product, as amended effective as of August 1, 2022 (the “Fresenius Agreement”), with Fresenius Kabi pursuant to which Fresenius Kabi will manufacture FYARRO for intravenous use for us, and we will purchase FYARRO as a finished drug product from Fresenius Kabi, on a purchase-order basis. The Fresenius Agreement, as amended in January 2023, will be effective through March 31, 2024 (or such later date as may be agreed between the parties in writing), and we may purchase FYARRO for either clinical or commercial purposes for use in the United States and Canada. The price of FYARRO will be fixed, subject to the ability of Fresenius Kabi to increase pricing under specified circumstances. </w:t>
      </w:r>
      <w:r>
        <w:rPr>
          <w:rFonts w:ascii="Times New Roman;sans-serif" w:hAnsi="Times New Roman;sans-serif"/>
          <w:b w:val="false"/>
          <w:color w:val="231F20"/>
          <w:sz w:val="20"/>
        </w:rPr>
        <w:t xml:space="preserve">We also have an obligation to purchase certain minimum quantities of FYARRO and any failure to purchase those minimum quantities will result in an additional payment from us to Fresenius Kabi.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pStyle w:val="TextBody"/>
        <w:bidi w:val="0"/>
        <w:spacing w:lineRule="auto" w:line="288" w:before="120" w:after="120"/>
        <w:jc w:val="both"/>
        <w:rPr/>
      </w:pPr>
      <w:r>
        <w:rPr>
          <w:rFonts w:ascii="Times New Roman;sans-serif" w:hAnsi="Times New Roman;sans-serif"/>
          <w:b w:val="false"/>
          <w:color w:val="231F20"/>
          <w:sz w:val="20"/>
        </w:rPr>
        <w:t>We may be unable to ma</w:t>
      </w:r>
      <w:r>
        <w:rPr>
          <w:rFonts w:ascii="Times New Roman;sans-serif" w:hAnsi="Times New Roman;sans-serif"/>
          <w:b w:val="false"/>
          <w:color w:val="000000"/>
          <w:sz w:val="20"/>
        </w:rPr>
        <w:t xml:space="preserve">intain or establish required agreements with third-party manufacturers or to do so on acceptable terms. Further, any delay in identifying and qualifying a manufacturer for commercial production could negatively impact the </w:t>
      </w:r>
      <w:r>
        <w:rPr>
          <w:rFonts w:ascii="Times New Roman;sans-serif" w:hAnsi="Times New Roman;sans-serif"/>
          <w:b w:val="false"/>
          <w:color w:val="231F20"/>
          <w:sz w:val="20"/>
        </w:rPr>
        <w:t>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termination or nonrenewal of arrangements or agreements by our third-party contractors at a time that is costly or inconvenient for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breach by the third-party contractors of our agreements with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third-party contractors to comply with applicable regulatory requirements, including manufacturing drug supply pursuant to strictly enforced cGMPs;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third-party contractor to manufacture FYARRO or any of our other product candidates that we may develop in the future according to our specifications;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mislabeling of clinical supplies, potentially resulting in the wrong dose amounts being supplied or active drug or placebo not being properly identified;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misappropriation of our proprietary information, including our trade secrets and know-how.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dependent on a single-source supplier for the drug product FYARRO, and the loss of such supplier could harm our business.</w:t>
      </w:r>
    </w:p>
    <w:p>
      <w:pPr>
        <w:pStyle w:val="TextBody"/>
        <w:bidi w:val="0"/>
        <w:spacing w:lineRule="auto" w:line="288" w:before="120" w:after="120"/>
        <w:jc w:val="both"/>
        <w:rPr/>
      </w:pPr>
      <w:r>
        <w:rPr>
          <w:rFonts w:ascii="Times New Roman;sans-serif" w:hAnsi="Times New Roman;sans-serif"/>
          <w:b w:val="false"/>
          <w:color w:val="231F20"/>
          <w:sz w:val="20"/>
        </w:rPr>
        <w:t>We rely on a single-source supplier, Fresenius K</w:t>
      </w:r>
      <w:r>
        <w:rPr>
          <w:rFonts w:ascii="Times New Roman;sans-serif" w:hAnsi="Times New Roman;sans-serif"/>
          <w:b w:val="false"/>
          <w:color w:val="000000"/>
          <w:sz w:val="20"/>
        </w:rPr>
        <w:t xml:space="preserve">abi, for our drug product FYARRO. In January 2022, we entered into the Fresenius Agreement, which we amended in January 2023 to, among other things, extend the term of the Fresenius Agreement to March 31, 2024 (or such later date as may be agreed upon between the parties), and amend certain terms related to pricing and the Company’s obligation to purchase certain minimum quantities of FYARRO from Fresenius Kabi. We also have supply agreements in place for key raw materials used in the manufacture </w:t>
      </w:r>
      <w:r>
        <w:rPr>
          <w:rFonts w:ascii="Times New Roman;sans-serif" w:hAnsi="Times New Roman;sans-serif"/>
          <w:b w:val="false"/>
          <w:color w:val="231F20"/>
          <w:sz w:val="20"/>
        </w:rPr>
        <w:t>of FYARRO such as for the drug substance sirolimus and for human albumin, which are key ingredients in the drug product. Our suppliers could discontinue the manufacturing or supply of FYARRO at any time. We do not carry a significant inventory of FYARRO or our key raw materials used in the manufacture of FYARRO.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We currently rely on a single company for such manufacturing for FYARRO.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We are dependent on patents, know-how and proprietary technology, </w:t>
      </w:r>
      <w:r>
        <w:rPr>
          <w:rFonts w:ascii="Times New Roman;sans-serif" w:hAnsi="Times New Roman;sans-serif"/>
          <w:b w:val="false"/>
          <w:color w:val="000000"/>
          <w:sz w:val="20"/>
        </w:rPr>
        <w:t>both our own and licensed from others. We entered into a license agreement with Abraxis BioScience, LLC, a wholly owned subsidiary of Celgene Corporation, which is a wholly owned subsidiary of Bristol Myers Squibb Company (“BMS”) pursuant to which we have licensed exclusive global rights to intellectual property and know-how related to FYARRO. We are required t</w:t>
      </w:r>
      <w:r>
        <w:rPr>
          <w:rFonts w:ascii="Times New Roman;sans-serif" w:hAnsi="Times New Roman;sans-serif"/>
          <w:b w:val="false"/>
          <w:color w:val="231F20"/>
          <w:sz w:val="20"/>
        </w:rPr>
        <w: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We may form or seek strategic alliances or collaborations in the future. Such alliances and collaborations may inhibit future opportunities, or we may not realize the benefits of such collaborations or alliances.</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t>
      </w:r>
      <w:r>
        <w:rPr>
          <w:rFonts w:ascii="Times New Roman;sans-serif" w:hAnsi="Times New Roman;sans-serif"/>
          <w:b w:val="false"/>
          <w:color w:val="231F20"/>
          <w:sz w:val="20"/>
        </w:rPr>
        <w:t>We are at risk that any such future collaborations may not be successful. Factors that may affect the success of our collaborations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collaboration partners may incur financial and cash flow difficulties that force them to limit or reduce their efforts under their collaboration agreement with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be pursuing alternative technologies or developing alternative products that are competitive to our technology and products, either on their own or in partnership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terminate their collaboration with us, which could make it difficult for us to attract new partners or adversely affect perception of us in the business and financial communities;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pursue higher priority programs or change the focus of their development programs, which could affect their commitment to us.</w:t>
      </w:r>
    </w:p>
    <w:p>
      <w:pPr>
        <w:pStyle w:val="TextBody"/>
        <w:bidi w:val="0"/>
        <w:spacing w:lineRule="auto" w:line="288" w:before="120" w:after="120"/>
        <w:jc w:val="both"/>
        <w:rPr/>
      </w:pPr>
      <w:r>
        <w:rPr>
          <w:rFonts w:ascii="Times New Roman;sans-serif" w:hAnsi="Times New Roman;sans-serif"/>
          <w:b w:val="false"/>
          <w:color w:val="231F20"/>
          <w:sz w:val="20"/>
        </w:rPr>
        <w:t>In addition, any future collaboration agreements we may enter into, are generally subject to termination by the counterparty on short notice upon</w:t>
      </w:r>
      <w:r>
        <w:rPr>
          <w:color w:val="231F20"/>
          <w:shd w:fill="FFFFFF" w:val="clear"/>
        </w:rPr>
        <w:t xml:space="preserve"> </w:t>
      </w:r>
      <w:r>
        <w:rPr>
          <w:rFonts w:ascii="Times New Roman;sans-serif" w:hAnsi="Times New Roman;sans-serif"/>
          <w:b w:val="false"/>
          <w:color w:val="231F20"/>
          <w:sz w:val="20"/>
          <w:shd w:fill="FFFFFF" w:val="clear"/>
        </w:rPr>
        <w:t>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w:t>
      </w:r>
      <w:r>
        <w:rPr>
          <w:rFonts w:ascii="Times New Roman;sans-serif" w:hAnsi="Times New Roman;sans-serif"/>
          <w:b w:val="false"/>
          <w:color w:val="000000"/>
          <w:sz w:val="20"/>
          <w:shd w:fill="FFFFFF" w:val="clear"/>
        </w:rPr>
        <w:t xml:space="preserve">-based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w:t>
      </w:r>
      <w:r>
        <w:rPr>
          <w:color w:val="000000"/>
        </w:rPr>
        <w:t>“</w:t>
      </w:r>
      <w:r>
        <w:rPr>
          <w:rFonts w:ascii="Times New Roman;sans-serif" w:hAnsi="Times New Roman;sans-serif"/>
          <w:b w:val="false"/>
          <w:color w:val="000000"/>
          <w:sz w:val="20"/>
          <w:shd w:fill="FFFFFF" w:val="clear"/>
        </w:rPr>
        <w:t>EOC Territory</w:t>
      </w:r>
      <w:r>
        <w:rPr>
          <w:color w:val="00000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EOC License Agreement was terminated effective June 27, 2022, and EOC initiated a Request for Arbitration with the International Chamber of Commerce's International Court of Arbitration against us on the same date. </w:t>
      </w:r>
      <w:r>
        <w:rPr>
          <w:rFonts w:ascii="Times New Roman;sans-serif" w:hAnsi="Times New Roman;sans-serif"/>
          <w:b w:val="false"/>
          <w:color w:val="000000"/>
          <w:sz w:val="20"/>
          <w:shd w:fill="FFFFFF" w:val="clear"/>
        </w:rPr>
        <w:t xml:space="preserve">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w:t>
      </w:r>
      <w:r>
        <w:rPr>
          <w:rFonts w:ascii="Times New Roman;sans-serif" w:hAnsi="Times New Roman;sans-serif"/>
          <w:b w:val="false"/>
          <w:color w:val="000000"/>
          <w:sz w:val="20"/>
        </w:rPr>
        <w:t>See Notes 8 and 13 to the condensed and consolidated financial statements for more information about the EOC License Agreement, its termination and resulting arbitration.</w:t>
      </w:r>
    </w:p>
    <w:p>
      <w:pPr>
        <w:pStyle w:val="TextBody"/>
        <w:bidi w:val="0"/>
        <w:spacing w:lineRule="auto" w:line="288" w:before="120" w:after="120"/>
        <w:jc w:val="both"/>
        <w:rPr/>
      </w:pPr>
      <w:r>
        <w:rPr>
          <w:rFonts w:ascii="Times New Roman;sans-serif" w:hAnsi="Times New Roman;sans-serif"/>
          <w:b w:val="false"/>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Times New Roman;sans-serif" w:hAnsi="Times New Roman;sans-serif"/>
          <w:b w:val="false"/>
          <w:color w:val="231F20"/>
          <w:sz w:val="20"/>
        </w:rPr>
        <w:t>s and company culture. We cannot be certain that, following a strategic transaction or license, we will achieve the revenues or specific net income that justifies such transaction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maintain successful collaborations, our business, financial condition, and operating results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increased operating expenses and cash requirements;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assumption of additional indebtedness or contingent liabilities;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issuance of our equity securities;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assimilation of operations, intellectual property, and products of an acquired company, including difficulties associated with integrating new personnel;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diversion of our management’s attention from our existing programs and initiatives in pursuing such a strategic transaction;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regulatory approvals;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decide to establish collaborations but are not able to establish those collaborations on commercially reasonable terms, we may have to alter our development and commercialization plans.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enter into collaborations with third parties for the development and commercialization of product candidates. If those collaborations are not successful, we may not be able to capitalize on the market potential of these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grant exclusive rights to our collaborators that would prevent us from collaborating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 agreements may not lead to development or commercialization of product candidates in the most efficient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collaborator’s sales and marketing activities or other operations may not be in compliance with applicable laws, resulting in civil or criminal proceedings.</w:t>
      </w:r>
    </w:p>
    <w:p>
      <w:pPr>
        <w:pStyle w:val="TextBody"/>
        <w:bidi w:val="0"/>
        <w:spacing w:lineRule="auto" w:line="288" w:before="120" w:after="120"/>
        <w:jc w:val="both"/>
        <w:rPr/>
      </w:pPr>
      <w:r>
        <w:rPr>
          <w:rFonts w:ascii="Times New Roman;sans-serif" w:hAnsi="Times New Roman;sans-serif"/>
          <w:b w:val="false"/>
          <w:color w:val="231F20"/>
          <w:sz w:val="20"/>
        </w:rPr>
        <w:t xml:space="preserve">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the matter is currently in arbitration. </w:t>
      </w:r>
      <w:r>
        <w:rPr>
          <w:rFonts w:ascii="Times New Roman;sans-serif" w:hAnsi="Times New Roman;sans-serif"/>
          <w:b w:val="false"/>
          <w:color w:val="000000"/>
          <w:sz w:val="20"/>
        </w:rPr>
        <w:t>See Notes 8 and 13 to the condensed and consolidated financial statements for more information about the EOC License Agreement, its termination and resulting arbitration</w:t>
      </w:r>
      <w:r>
        <w:rPr>
          <w:rFonts w:ascii="Times New Roman;sans-serif" w:hAnsi="Times New Roman;sans-serif"/>
          <w:b w:val="false"/>
          <w:color w:val="231F20"/>
          <w:sz w:val="20"/>
        </w:rPr>
        <w:t>.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the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Employee Matters, Managing Our Growth and Other Risks Related to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is highly dependent on our ability to attract and retain highly skilled executive officers, key scientific personnel and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our operating r</w:t>
      </w:r>
      <w:r>
        <w:rPr>
          <w:rFonts w:ascii="Times New Roman;sans-serif" w:hAnsi="Times New Roman;sans-serif"/>
          <w:b w:val="false"/>
          <w:color w:val="000000"/>
          <w:sz w:val="20"/>
        </w:rPr>
        <w:t>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In addition, on March 3, 2023, we announced Mr. Delaney’s resignation as President and CEO, effective March 14, 2023, and the appointment of Scott Giacobello, our Chief Financial Officer to Interim CEO and President, effective March 15, 2023, while our Board conducts an executive search for a successor CEO.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bidi w:val="0"/>
        <w:spacing w:lineRule="auto" w:line="288" w:before="120" w:after="120"/>
        <w:jc w:val="both"/>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Times New Roman;sans-serif" w:hAnsi="Times New Roman;sans-serif"/>
          <w:b w:val="false"/>
          <w:color w:val="231F20"/>
          <w:sz w:val="20"/>
        </w:rPr>
        <w:t>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when approved, we may not be able to successfully sell or market our product candidates that obtain regulatory approval.</w:t>
      </w:r>
    </w:p>
    <w:p>
      <w:pPr>
        <w:pStyle w:val="TextBody"/>
        <w:bidi w:val="0"/>
        <w:spacing w:lineRule="auto" w:line="288" w:before="120" w:after="120"/>
        <w:jc w:val="both"/>
        <w:rPr/>
      </w:pPr>
      <w:r>
        <w:rPr>
          <w:rFonts w:ascii="Times New Roman;sans-serif" w:hAnsi="Times New Roman;sans-serif"/>
          <w:b w:val="false"/>
          <w:color w:val="231F20"/>
          <w:sz w:val="20"/>
        </w:rPr>
        <w:t>In order to commercialize FYARRO</w:t>
      </w:r>
      <w:r>
        <w:rPr>
          <w:color w:val="231F20"/>
        </w:rPr>
        <w:t xml:space="preserve"> </w:t>
      </w:r>
      <w:r>
        <w:rPr>
          <w:rFonts w:ascii="Times New Roman;sans-serif" w:hAnsi="Times New Roman;sans-serif"/>
          <w:b w:val="false"/>
          <w:color w:val="231F20"/>
          <w:sz w:val="20"/>
        </w:rPr>
        <w:t>for advanced malignant PEComa or any additional indications that we may seek approval for, or any other product candidate that we may develop in the future, if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commercialize our approved product candidates, either on our own or through collaborations with one or more third parties, our future product sales will suffer, and we may incur significant additional losses.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order to successfully implement our plans and strategies, we will need to grow the size of our organization, and we may experience difficulties in managing this growth.</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June 30, 2023, we had 89 full-time employees, including 56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identifying, recruiting, integrating, maintaining and motivating additional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managing our internal development efforts effectively, including the clinical, FDA, EMA and other comparable foreign regulatory agencies’ review process for FYARRO and any other product candidates, while complying with any contractual obligations to contractors and other third parties we may have;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improving our operational, financial and management controls, reporting systems and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insurance policies may not be adequate to compensate us for the potential losses arising from any 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or the third parties upon whom we depend, may be adversely affected by earthquakes, wildfires and other natural disasters, and our business continuity and disaster recovery plans may not adequately protect us from a serious disaster.</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unplanned event, such as flood, fire, explosion, earthquake, extreme weather condition, medical epidemics, such as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utilize our net operating loss (“NOL”) carryforwards and certain other tax attributes to offset future taxable income may be limited.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It is uncertain if and to what extent various states will conform to the federal legislation. As of December 31, 2022, after consideration of the NOLs that have been estimated to expire unused under Section 382 of the Internal Revenue Code of 1986, as amended (the “Code”), we had federal NOL carryforwards of approximately $167.5 million, $44.1 million of which will begin to expire in 2030 and the remaining $123.4 million do not expire. We also have state NOL carryforwards of approximately $72.0 million available as of December 31, 2022, which begin to expire in 2037.</w:t>
      </w:r>
    </w:p>
    <w:p>
      <w:pPr>
        <w:pStyle w:val="TextBody"/>
        <w:bidi w:val="0"/>
        <w:spacing w:lineRule="auto" w:line="288" w:before="120" w:after="120"/>
        <w:jc w:val="both"/>
        <w:rPr/>
      </w:pPr>
      <w:r>
        <w:rPr>
          <w:rFonts w:ascii="Times New Roman;sans-serif" w:hAnsi="Times New Roman;sans-serif"/>
          <w:b w:val="false"/>
          <w:color w:val="231F20"/>
          <w:sz w:val="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Times New Roman;sans-serif" w:hAnsi="Times New Roman;sans-serif"/>
          <w:b w:val="false"/>
          <w:color w:val="000000"/>
          <w:sz w:val="20"/>
          <w:shd w:fill="FFFFFF" w:val="clear"/>
        </w:rPr>
        <w:t xml:space="preserve">To the extent such limitations will cause NOL and research and development credit carryforwards to expire unused, these tax attributes have been removed from our deferred tax asset. </w:t>
      </w:r>
      <w:r>
        <w:rPr>
          <w:rFonts w:ascii="Times New Roman;sans-serif" w:hAnsi="Times New Roman;sans-serif"/>
          <w:b w:val="false"/>
          <w:color w:val="231F20"/>
          <w:sz w:val="20"/>
        </w:rPr>
        <w:t>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United States federal income tax reform could materially adversely affect our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the United States must be capitalized and amortized over a 15-year period. Unless Congress promulgates legislation that would repeal or defer this capitalization and amortization requirement, this provision will not be repealed or otherwise modified. Further, the United States recently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variety of risks associated with marketing FYARRO or any product candidates that we may develop in the future, if approved, internationally could materially adversely affect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seek regulatory approval of FYARRO or any of our product candidates that we may develop in the future outside of the United States and, accordingly, we expect that we will be subject to additional risks related to operating in foreign countries if we obtain the necessary approvals,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differing regulatory requirements and reimbursement regimes in foreign countries;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unexpected changes in tariffs, trade barriers, price and exchange controls and other regulatory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economic weakness, including inflation, or political instability in particular foreign economies and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compliance with tax, employment, immigration and labor laws for employees living or traveling abroad;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foreign taxes, including withholding of payroll taxes;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foreign currency fluctuations, which could result in increased operating expenses and reduced revenue, and other obligations incident to doing business in another country;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difficulties staffing and managing foreign operations;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workforce uncertainty in countries where labor unrest is more common than in the United States;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potential liability under the FCPA or comparable foreign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materially adversely affect our ability to attain or maintain profitable operations.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 applications may not result in any patents being issued;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clinical trials encounter delays, the period of time during which we could market our current or future product candidates under patent protection would be reduced;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patents may be challenged, invalidated, modified, narrowed, revoked, circumvented, found to be unenforceable, found to be not infringed or otherwise may not provide any competitive advantage;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revocation, reexamination, post-grant review (“PGR”) and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competitive advantage.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be able to develop products that are similar to FYARRO or any future product candidates but that are not covered by the claims of the patents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make the inventions covered by the issued patents or patent application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file patent applications covering certain of our inventions;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it is possible that the pending patent applications we own or license will not lead to issued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issued patents that we own or license may be held invalid or unenforceable, as a result of legal challenges by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it could significantly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result in costly litigation that may cause negative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divert the time and attention of our technical personnel and management;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cause development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prevent us from commercializing any of our product candidates until the asserted patent expires or is held finally invalid or not infringed in a court of law;</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develop non-infringing technology, which may not be possible on a cost-effective basis;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subject us to significant liability to third parties;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no third party has asserted a claim of patent infringement against us as of the date of this Quarterly Report, others may hold proprietary rights that could prevent FYARRO or our product candidates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one of our products or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obtaining or maintaining necessary rights to our product or product candidates that we may develop in the future through acquisitions and in-licenses.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a defendant were to prevail on a legal assertion of invalidity and/or unenforceability, we may lose at least part, and perhaps all, of the patent protection on such product or product candidate. In addition, if the breadth or strength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litigation may lead to unfavorable publicity that harms our reputation and causes the market price of our common shares to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United States patent law, or laws in other countries, could diminish the value of patents in general, thereby impairing our ability to protect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challenging the inventorship or ownership of our patents and other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terms may be inadequate to protect our competitive position on our product or product candidates that we may develop in the future for an adequate amount of time.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do not obtain patent term extension for our product or product candidates that we may develop in the future, our business may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January 2022, we filed an application for patent term extension based on the approval of FYARRO.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w:t>
      </w:r>
    </w:p>
    <w:p>
      <w:pPr>
        <w:pStyle w:val="TextBody"/>
        <w:bidi w:val="0"/>
        <w:spacing w:lineRule="auto" w:line="288" w:before="120" w:after="120"/>
        <w:jc w:val="both"/>
        <w:rPr/>
      </w:pPr>
      <w:r>
        <w:rPr>
          <w:rFonts w:ascii="Times New Roman;sans-serif" w:hAnsi="Times New Roman;sans-serif"/>
          <w:b w:val="false"/>
          <w:color w:val="231F20"/>
          <w:sz w:val="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Times New Roman;sans-serif" w:hAnsi="Times New Roman;sans-serif"/>
          <w:b w:val="false"/>
          <w:color w:val="000000"/>
          <w:sz w:val="20"/>
        </w:rPr>
        <w:t>atent applications and we may not timely file foreign patent applications.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protect the confidentiality of our trade secrets, our business and competitive position would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sans-serif" w:hAnsi="Times New Roman;sans-serif"/>
          <w:b w:val="false"/>
          <w:color w:val="000000"/>
          <w:sz w:val="20"/>
        </w:rPr>
        <w:t>a</w:t>
      </w:r>
      <w:r>
        <w:rPr>
          <w:rFonts w:ascii="Times New Roman;sans-serif" w:hAnsi="Times New Roman;sans-serif"/>
          <w:b w:val="false"/>
          <w:color w:val="231F20"/>
          <w:sz w:val="20"/>
        </w:rPr>
        <w:t xml:space="preserve">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or advisors have wrongfully used or disclosed alleged confidential information or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common in the pharmaceutical industry, in addition to our employees, we engage the services of consultants to assist us in the development of our product or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rights to develop and commercialize our technology, product and product candidates that we may develop in the future may be subject, in part, to the terms and conditions of licenses granted to us by others.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competing products and technology.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our licensors regarding intellectual property subject to a license agreement,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scope of rights granted under the license agreement and other interpretation-related issues;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licensing agreement;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sublicense patents and other rights to third parties;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diligence obligations under the license agreement and what activities satisfy those diligence obligations;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transfer or assign the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inventorship and ownership of inventions and know-how resulting from the joint creation or use of intellectual property by us and our licensors and partners;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priority of invention of patented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lineRule="auto" w:line="26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patent protection and patent prosecution for our product and product candidates that we may develop in the future may be dependent on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While we normally seek to obtain the right to control prosecution, maintenance and enforcement of the patents relating to our product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General Risks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Litigation and legal proceedings, including the EOC dispute, may substantially increase our costs and harm our business.</w:t>
      </w:r>
    </w:p>
    <w:p>
      <w:pPr>
        <w:pStyle w:val="TextBody"/>
        <w:bidi w:val="0"/>
        <w:spacing w:lineRule="auto" w:line="288" w:before="120" w:after="120"/>
        <w:jc w:val="both"/>
        <w:rPr/>
      </w:pPr>
      <w:r>
        <w:rPr>
          <w:rFonts w:ascii="Times New Roman;sans-serif" w:hAnsi="Times New Roman;sans-serif"/>
          <w:b w:val="false"/>
          <w:color w:val="000000"/>
          <w:sz w:val="20"/>
        </w:rPr>
        <w:t xml:space="preserve">As described in Note 13 (Commitments and contingencies) to the </w:t>
      </w:r>
      <w:r>
        <w:rPr>
          <w:rFonts w:ascii="Times New Roman;sans-serif" w:hAnsi="Times New Roman;sans-serif"/>
          <w:b w:val="false"/>
          <w:color w:val="000000"/>
          <w:sz w:val="20"/>
          <w:shd w:fill="FFFFFF" w:val="clear"/>
        </w:rPr>
        <w:t>condensed consolidated financial statements</w:t>
      </w:r>
      <w:r>
        <w:rPr>
          <w:color w:val="000000"/>
        </w:rPr>
        <w:t xml:space="preserve"> </w:t>
      </w:r>
      <w:r>
        <w:rPr>
          <w:rFonts w:ascii="Times New Roman;sans-serif" w:hAnsi="Times New Roman;sans-serif"/>
          <w:b w:val="false"/>
          <w:color w:val="000000"/>
          <w:sz w:val="20"/>
        </w:rPr>
        <w:t>in Part I, Item 1 of this Quarterly Report on Form 10-Q, w</w:t>
      </w:r>
      <w:r>
        <w:rPr>
          <w:rFonts w:ascii="Times New Roman;sans-serif" w:hAnsi="Times New Roman;sans-serif"/>
          <w:b w:val="false"/>
          <w:color w:val="231F20"/>
          <w:sz w:val="20"/>
        </w:rPr>
        <w:t>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w:t>
      </w:r>
      <w:r>
        <w:rPr>
          <w:color w:val="231F20"/>
        </w:rPr>
        <w:t xml:space="preserve"> </w:t>
      </w:r>
      <w:r>
        <w:rPr>
          <w:rFonts w:ascii="Times New Roman;sans-serif" w:hAnsi="Times New Roman;sans-serif"/>
          <w:b w:val="false"/>
          <w:color w:val="231F20"/>
          <w:sz w:val="20"/>
        </w:rPr>
        <w:t xml:space="preserve">As a result, EOC is seeking monetary damages. The arbitration process is ongoing.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stock price is volatile.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market price of our common stock could be subject to significant fluctuations. From the completion of the Merger on August 26, 2021 through July 31, 2023, the closing price for our common stock ranged from a low of $5.33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obtain regulatory approvals for FYARRO in other indications or for any other product candidates that we may develop in the future, and delays or failures to obtain such approvals;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results of current, and any future, nonclinical or clinical trials of FYARRO or any of our product candidates that we may develop in the future;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failure of FYARRO or any product candidates that we may develop in the future, if approved for marketing and commercialization, to achieve commercial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any inability to obtain adequate supply of FYARRO or any of our product candidates that we may develop in the future or the inability to do so at acceptable prices;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entry into, or termination of, key agreements, including key licensing, supply or collaboration agreements;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authority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laws or regulations applicable to FYARRO or any of our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financial and development projections we may provide to the public;</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the financial and development projections of the investment community;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perception of the pharmaceutical industry by the public, legislatures, regulators and the investment community;</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231F20"/>
          <w:sz w:val="20"/>
        </w:rPr>
        <w:t>general market conditions and other factors unrelated to our operating performance or the operating performance of our competitors, including turmoil in the global banking system, deteriorating market conditions due to investor concerns regarding inflation and hostilities between Russia and Ukraine;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publicity relating to our markets, including with respect to other products and potential products in such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introduction of technological innovations or new therapies competing with our products and potential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of significant acquisitions, strategic collaborations, joint ventures or capital commitments by us or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loss of key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significant lawsuits, including patent or stockholder litigation;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market valuations of similar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general and industry-specific economic conditions potentially affecting our research and development expenditures;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sales of our common stock by us or our stockholders in the future, or the anticipation thereof;</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structure of health care payment systems;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period-to-period fluctuations in our financial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bidi w:val="0"/>
        <w:spacing w:lineRule="auto" w:line="288" w:before="120" w:after="120"/>
        <w:jc w:val="both"/>
        <w:rPr/>
      </w:pPr>
      <w:r>
        <w:rPr>
          <w:rFonts w:ascii="Times New Roman;sans-serif" w:hAnsi="Times New Roman;sans-serif"/>
          <w:b w:val="false"/>
          <w:color w:val="231F20"/>
          <w:sz w:val="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sans-serif" w:hAnsi="Times New Roman;sans-serif"/>
          <w:b w:val="false"/>
          <w:color w:val="000000"/>
          <w:sz w:val="20"/>
        </w:rPr>
        <w:t>We rely heavily on 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management makes judgments and assumptions regarding our product sales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pPr>
      <w:r>
        <w:rPr>
          <w:rFonts w:ascii="Times New Roman;sans-serif" w:hAnsi="Times New Roman;sans-serif"/>
          <w:b/>
          <w:i/>
          <w:color w:val="231F20"/>
          <w:sz w:val="20"/>
        </w:rPr>
        <w:t xml:space="preserve">We will continue to </w:t>
      </w:r>
      <w:r>
        <w:rPr>
          <w:rFonts w:ascii="Times New Roman;sans-serif" w:hAnsi="Times New Roman;sans-serif"/>
          <w:b/>
          <w:i/>
          <w:color w:val="000000"/>
          <w:sz w:val="20"/>
        </w:rPr>
        <w:t xml:space="preserve">incur significant increased costs and management resources as a result of operating as a public company. </w:t>
      </w:r>
    </w:p>
    <w:p>
      <w:pPr>
        <w:pStyle w:val="TextBody"/>
        <w:bidi w:val="0"/>
        <w:spacing w:lineRule="auto" w:line="288" w:before="120" w:after="120"/>
        <w:jc w:val="both"/>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w:t>
      </w:r>
      <w:r>
        <w:rPr>
          <w:rFonts w:ascii="Times New Roman;sans-serif" w:hAnsi="Times New Roman;sans-serif"/>
          <w:b w:val="false"/>
          <w:color w:val="231F20"/>
          <w:sz w:val="20"/>
        </w:rPr>
        <w:t xml:space="preserve">ult for us to attract and retain qualified members for our board of directors, particularly to serve on our audit committee and compensation committee, and qualified executive officers.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There can be no assurance that we will be able to comply with the continued listing standards of Nasdaq.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 limited availability of market quotations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reduced liquidity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limited amount of new and analyst coverage;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TextBody"/>
        <w:bidi w:val="0"/>
        <w:spacing w:lineRule="auto" w:line="288" w:before="120" w:after="120"/>
        <w:jc w:val="both"/>
        <w:rPr/>
      </w:pPr>
      <w:r>
        <w:rPr>
          <w:rFonts w:ascii="Times New Roman;sans-serif" w:hAnsi="Times New Roman;sans-serif"/>
          <w:b/>
          <w:i/>
          <w:color w:val="231F20"/>
          <w:sz w:val="20"/>
        </w:rPr>
        <w:t>Sales of a sub</w:t>
      </w:r>
      <w:r>
        <w:rPr>
          <w:rFonts w:ascii="Times New Roman;sans-serif" w:hAnsi="Times New Roman;sans-serif"/>
          <w:b/>
          <w:i/>
          <w:color w:val="000000"/>
          <w:sz w:val="20"/>
        </w:rPr>
        <w:t>stantial number of shares of our common stock in the public market, including by our existing stockholders, could cause our stock price to fall.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2021, we filed a universal shelf registration statement on Form S-3 (the “Shelf Registration Statement”) to offer up to $150 million of our securities, which expires on April 15, 2024.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 </w:t>
      </w:r>
    </w:p>
    <w:p>
      <w:pPr>
        <w:pStyle w:val="TextBody"/>
        <w:bidi w:val="0"/>
        <w:spacing w:lineRule="auto" w:line="288" w:before="120" w:after="120"/>
        <w:jc w:val="both"/>
        <w:rPr/>
      </w:pPr>
      <w:r>
        <w:rPr>
          <w:rFonts w:ascii="Times New Roman;sans-serif" w:hAnsi="Times New Roman;sans-serif"/>
          <w:b w:val="false"/>
          <w:color w:val="000000"/>
          <w:sz w:val="20"/>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Times New Roman;sans-serif" w:hAnsi="Times New Roman;sans-serif"/>
          <w:b w:val="false"/>
          <w:color w:val="231F20"/>
          <w:sz w:val="20"/>
        </w:rPr>
        <w:t>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principal stockholders and management own a significant percentage of our common stock and will be able to exert significant control over matters subject to stockholder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executive officers, directors, holders of 5% or more of our capital stock and their respective affiliates beneficially own a significant portion of our outstanding voting stock. </w:t>
      </w:r>
    </w:p>
    <w:p>
      <w:pPr>
        <w:pStyle w:val="TextBody"/>
        <w:bidi w:val="0"/>
        <w:spacing w:lineRule="auto" w:line="288" w:before="120" w:after="120"/>
        <w:jc w:val="both"/>
        <w:rPr/>
      </w:pPr>
      <w:r>
        <w:rPr>
          <w:rFonts w:ascii="Times New Roman;sans-serif" w:hAnsi="Times New Roman;sans-serif"/>
          <w:b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Times New Roman;sans-serif" w:hAnsi="Times New Roman;sans-serif"/>
          <w:b w:val="false"/>
          <w:color w:val="000000"/>
          <w:sz w:val="20"/>
        </w:rPr>
        <w:t>that you may feel are in your best interest as one of our stockholders. The interests of this group of stockholders may not a</w:t>
      </w:r>
      <w:r>
        <w:rPr>
          <w:rFonts w:ascii="Times New Roman;sans-serif" w:hAnsi="Times New Roman;sans-serif"/>
          <w:b w:val="false"/>
          <w:color w:val="231F20"/>
          <w:sz w:val="20"/>
        </w:rPr>
        <w:t xml:space="preserve">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Unfavorable market and global economic conditions as a result of multiple global events, such as the COVID-19 pandemic, adverse developments affecting the financial services industry, the conflict in Eastern Europe, increasing interest rates and general economic downturns, could adversely affect our business, financial condition or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multiple adverse global circumstances, such as the COVID-19 pandemic, conflicts in Eastern Europe,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will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may be affected by political or civil unrest or military action, including the current conflict between Russia and Ukraine,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2023, we had cash, cash equivalents and short-term investments of $134.9 million, consisting of U.S government treasury bills, commercial paper, corporate debt securities, and government agency bonds. Any default by the U.S. government or credit downgrade of the securities we hold could impact the liquidity or valuation of our investments.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do not anticipate that we will pay any cash dividends in the foreseeable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Anti-takeover provisions in our charter documents and under Delaware law could make an acquisition of us more difficult and may prevent attempts our stockholders to replace or remove our management.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immediately preceding such exhibits, which is incorporated herein by reference,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280"/>
        <w:gridCol w:w="247"/>
        <w:gridCol w:w="249"/>
        <w:gridCol w:w="109"/>
        <w:gridCol w:w="109"/>
        <w:gridCol w:w="109"/>
        <w:gridCol w:w="2721"/>
        <w:gridCol w:w="2628"/>
        <w:gridCol w:w="3753"/>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ans-serif" w:hAnsi="Times New Roman;sans-serif"/>
                  <w:b w:val="false"/>
                  <w:color w:val="0000FF"/>
                  <w:sz w:val="20"/>
                  <w:u w:val="single"/>
                </w:rPr>
                <w:t xml:space="preserve">Amended and Restated Certificate of Incorporation of the Company (incorporated by reference to Exhibit 3.1 to the Registrant’s Current Report on Form 8-K filed with the SEC on August 27, 2021). </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Amended and Restated Bylaws of the Company (incorporated by reference to Exhibit 3.1 to the Registrant’s Current Report on Form 8-K (File No. 001-38560) filed with the SEC on December 7, 2022).</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30630xex31.htm">
              <w:r>
                <w:rPr>
                  <w:rStyle w:val="InternetLink"/>
                  <w:rFonts w:ascii="Times New Roman;sans-serif" w:hAnsi="Times New Roman;sans-serif"/>
                  <w:b w:val="false"/>
                  <w:color w:val="0000FF"/>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30630xex32.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68" w:before="0" w:after="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 attached as Exhibit 32 that accompanies this Quarterly Report on Form 10-Q is deemed furnished and not filed with the Securities and Exchange Commission and is not to be incorporated by reference into any filing of Aadi Bioscience,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120" w:after="12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240" w:after="283"/>
        <w:jc w:val="left"/>
        <w:rPr/>
      </w:pPr>
      <w:hyperlink w:anchor="i49aea1a2b61f49c5b1b553ac9f0741a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320" w:type="dxa"/>
        <w:jc w:val="left"/>
        <w:tblInd w:w="0" w:type="dxa"/>
        <w:tblLayout w:type="fixed"/>
        <w:tblCellMar>
          <w:top w:w="28" w:type="dxa"/>
          <w:left w:w="28" w:type="dxa"/>
          <w:bottom w:w="28" w:type="dxa"/>
          <w:right w:w="28" w:type="dxa"/>
        </w:tblCellMar>
      </w:tblPr>
      <w:tblGrid>
        <w:gridCol w:w="667"/>
        <w:gridCol w:w="587"/>
        <w:gridCol w:w="590"/>
        <w:gridCol w:w="352"/>
        <w:gridCol w:w="352"/>
        <w:gridCol w:w="352"/>
        <w:gridCol w:w="1874"/>
        <w:gridCol w:w="1874"/>
        <w:gridCol w:w="26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AADI BIOSCIENCE,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i/>
                <w:color w:val="000000"/>
                <w:sz w:val="20"/>
              </w:rPr>
              <w:t xml:space="preserve">/s/ </w:t>
            </w:r>
            <w:r>
              <w:rPr>
                <w:rFonts w:ascii="Times New Roman;sans-serif" w:hAnsi="Times New Roman;sans-serif"/>
                <w:b w:val="false"/>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Giacobello,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86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874"/>
        <w:gridCol w:w="1874"/>
        <w:gridCol w:w="26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br/>
              <w:t xml:space="preserve">(Principal Executive Officer and </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June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86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879"/>
        <w:gridCol w:w="1879"/>
        <w:gridCol w:w="266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420"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Executive Officer and President, and Chief Financial Officer</w:t>
              <w:br/>
              <w:t xml:space="preserve">(Principal Executive Officer and </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2142/000119312521257910/d119681dex31.htm" TargetMode="External"/><Relationship Id="rId3" Type="http://schemas.openxmlformats.org/officeDocument/2006/relationships/hyperlink" Target="http://www.sec.gov/Archives/edgar/data/1422142/000119312521257910/d119681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77734</Words>
  <Characters>436166</Characters>
  <CharactersWithSpaces>512150</CharactersWithSpaces>
  <Paragraphs>2681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