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456565</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471805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1878965</wp:posOffset>
            </wp:positionH>
            <wp:positionV relativeFrom="paragraph">
              <wp:posOffset>38735</wp:posOffset>
            </wp:positionV>
            <wp:extent cx="2957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7195" cy="7620"/>
                    </a:xfrm>
                    <a:prstGeom prst="rect">
                      <a:avLst/>
                    </a:prstGeom>
                    <a:noFill/>
                  </pic:spPr>
                </pic:pic>
              </a:graphicData>
            </a:graphic>
          </wp:anchor>
        </w:drawing>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1878965</wp:posOffset>
            </wp:positionH>
            <wp:positionV relativeFrom="paragraph">
              <wp:posOffset>65405</wp:posOffset>
            </wp:positionV>
            <wp:extent cx="29571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7195" cy="7620"/>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65" w:lineRule="exact"/>
        <w:rPr>
          <w:sz w:val="24"/>
          <w:szCs w:val="24"/>
          <w:color w:val="auto"/>
        </w:rPr>
      </w:pPr>
    </w:p>
    <w:p>
      <w:pPr>
        <w:ind w:left="3580" w:right="2120" w:hanging="3538"/>
        <w:spacing w:after="0" w:line="297" w:lineRule="auto"/>
        <w:tabs>
          <w:tab w:leader="none" w:pos="489" w:val="left"/>
        </w:tabs>
        <w:numPr>
          <w:ilvl w:val="0"/>
          <w:numId w:val="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6" w:lineRule="exact"/>
        <w:rPr>
          <w:sz w:val="24"/>
          <w:szCs w:val="24"/>
          <w:color w:val="auto"/>
        </w:rPr>
      </w:pPr>
    </w:p>
    <w:p>
      <w:pPr>
        <w:ind w:left="3060" w:right="2140" w:hanging="3018"/>
        <w:spacing w:after="0" w:line="297" w:lineRule="auto"/>
        <w:tabs>
          <w:tab w:leader="none" w:pos="485" w:val="left"/>
        </w:tabs>
        <w:numPr>
          <w:ilvl w:val="0"/>
          <w:numId w:val="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 to ______________</w:t>
      </w:r>
    </w:p>
    <w:p>
      <w:pPr>
        <w:ind w:left="4060"/>
        <w:spacing w:after="0"/>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1878965</wp:posOffset>
            </wp:positionH>
            <wp:positionV relativeFrom="paragraph">
              <wp:posOffset>45085</wp:posOffset>
            </wp:positionV>
            <wp:extent cx="29571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7195" cy="7620"/>
                    </a:xfrm>
                    <a:prstGeom prst="rect">
                      <a:avLst/>
                    </a:prstGeom>
                    <a:noFill/>
                  </pic:spPr>
                </pic:pic>
              </a:graphicData>
            </a:graphic>
          </wp:anchor>
        </w:drawing>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WHITEHAWK THERAPEUTICS, INC.</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1878965</wp:posOffset>
            </wp:positionH>
            <wp:positionV relativeFrom="paragraph">
              <wp:posOffset>40640</wp:posOffset>
            </wp:positionV>
            <wp:extent cx="29571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7620"/>
                    </a:xfrm>
                    <a:prstGeom prst="rect">
                      <a:avLst/>
                    </a:prstGeom>
                    <a:noFill/>
                  </pic:spPr>
                </pic:pic>
              </a:graphicData>
            </a:graphic>
          </wp:anchor>
        </w:drawing>
      </w:r>
    </w:p>
    <w:p>
      <w:pPr>
        <w:spacing w:after="0" w:line="161" w:lineRule="exact"/>
        <w:rPr>
          <w:sz w:val="24"/>
          <w:szCs w:val="24"/>
          <w:color w:val="auto"/>
        </w:rPr>
      </w:pPr>
    </w:p>
    <w:tbl>
      <w:tblPr>
        <w:tblLayout w:type="fixed"/>
        <w:tblInd w:w="10" w:type="dxa"/>
        <w:tblCellMar>
          <w:top w:w="0" w:type="dxa"/>
          <w:left w:w="0" w:type="dxa"/>
          <w:bottom w:w="0" w:type="dxa"/>
          <w:right w:w="0" w:type="dxa"/>
        </w:tblCellMar>
      </w:tblPr>
      <w:tr>
        <w:trPr>
          <w:trHeight w:val="205"/>
        </w:trPr>
        <w:tc>
          <w:tcPr>
            <w:tcW w:w="4040" w:type="dxa"/>
            <w:vAlign w:val="bottom"/>
            <w:gridSpan w:val="2"/>
          </w:tcPr>
          <w:p>
            <w:pPr>
              <w:jc w:val="center"/>
              <w:ind w:left="117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80" w:type="dxa"/>
            <w:vAlign w:val="bottom"/>
            <w:gridSpan w:val="2"/>
          </w:tcPr>
          <w:p>
            <w:pPr>
              <w:jc w:val="right"/>
              <w:ind w:right="2226"/>
              <w:spacing w:after="0"/>
              <w:rPr>
                <w:sz w:val="20"/>
                <w:szCs w:val="20"/>
                <w:color w:val="auto"/>
              </w:rPr>
            </w:pPr>
            <w:r>
              <w:rPr>
                <w:rFonts w:ascii="Times New Roman" w:cs="Times New Roman" w:eastAsia="Times New Roman" w:hAnsi="Times New Roman"/>
                <w:sz w:val="16"/>
                <w:szCs w:val="16"/>
                <w:b w:val="1"/>
                <w:bCs w:val="1"/>
                <w:color w:val="auto"/>
              </w:rPr>
              <w:t>61-1547850</w:t>
            </w:r>
          </w:p>
        </w:tc>
      </w:tr>
      <w:tr>
        <w:trPr>
          <w:trHeight w:val="146"/>
        </w:trPr>
        <w:tc>
          <w:tcPr>
            <w:tcW w:w="4040" w:type="dxa"/>
            <w:vAlign w:val="bottom"/>
            <w:gridSpan w:val="2"/>
          </w:tcPr>
          <w:p>
            <w:pPr>
              <w:jc w:val="center"/>
              <w:ind w:left="1192"/>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80" w:type="dxa"/>
            <w:vAlign w:val="bottom"/>
            <w:gridSpan w:val="2"/>
          </w:tcPr>
          <w:p>
            <w:pPr>
              <w:jc w:val="center"/>
              <w:ind w:right="1866"/>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4040" w:type="dxa"/>
            <w:vAlign w:val="bottom"/>
            <w:gridSpan w:val="2"/>
          </w:tcPr>
          <w:p>
            <w:pPr>
              <w:jc w:val="center"/>
              <w:ind w:left="1192"/>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80" w:type="dxa"/>
            <w:vAlign w:val="bottom"/>
            <w:gridSpan w:val="2"/>
          </w:tcPr>
          <w:p>
            <w:pPr>
              <w:jc w:val="center"/>
              <w:ind w:right="1866"/>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182"/>
        </w:trPr>
        <w:tc>
          <w:tcPr>
            <w:tcW w:w="7200" w:type="dxa"/>
            <w:vAlign w:val="bottom"/>
            <w:gridSpan w:val="5"/>
          </w:tcPr>
          <w:p>
            <w:pPr>
              <w:jc w:val="center"/>
              <w:ind w:right="1900"/>
              <w:spacing w:after="0" w:line="182" w:lineRule="exact"/>
              <w:rPr>
                <w:sz w:val="20"/>
                <w:szCs w:val="20"/>
                <w:color w:val="auto"/>
              </w:rPr>
            </w:pPr>
            <w:r>
              <w:rPr>
                <w:rFonts w:ascii="Times New Roman" w:cs="Times New Roman" w:eastAsia="Times New Roman" w:hAnsi="Times New Roman"/>
                <w:sz w:val="16"/>
                <w:szCs w:val="16"/>
                <w:b w:val="1"/>
                <w:bCs w:val="1"/>
                <w:color w:val="auto"/>
                <w:w w:val="97"/>
              </w:rPr>
              <w:t>2 Headquarters Plaza, East Building, 11th Floor</w:t>
            </w:r>
          </w:p>
        </w:tc>
        <w:tc>
          <w:tcPr>
            <w:tcW w:w="42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214"/>
        </w:trPr>
        <w:tc>
          <w:tcPr>
            <w:tcW w:w="4040" w:type="dxa"/>
            <w:vAlign w:val="bottom"/>
            <w:gridSpan w:val="2"/>
          </w:tcPr>
          <w:p>
            <w:pPr>
              <w:jc w:val="center"/>
              <w:ind w:left="1192"/>
              <w:spacing w:after="0"/>
              <w:rPr>
                <w:sz w:val="20"/>
                <w:szCs w:val="20"/>
                <w:color w:val="auto"/>
              </w:rPr>
            </w:pPr>
            <w:r>
              <w:rPr>
                <w:rFonts w:ascii="Times New Roman" w:cs="Times New Roman" w:eastAsia="Times New Roman" w:hAnsi="Times New Roman"/>
                <w:sz w:val="16"/>
                <w:szCs w:val="16"/>
                <w:b w:val="1"/>
                <w:bCs w:val="1"/>
                <w:color w:val="auto"/>
                <w:w w:val="96"/>
              </w:rPr>
              <w:t>Morristown, NJ</w:t>
            </w: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80" w:type="dxa"/>
            <w:vAlign w:val="bottom"/>
            <w:gridSpan w:val="2"/>
          </w:tcPr>
          <w:p>
            <w:pPr>
              <w:jc w:val="right"/>
              <w:ind w:right="2406"/>
              <w:spacing w:after="0"/>
              <w:rPr>
                <w:sz w:val="20"/>
                <w:szCs w:val="20"/>
                <w:color w:val="auto"/>
              </w:rPr>
            </w:pPr>
            <w:r>
              <w:rPr>
                <w:rFonts w:ascii="Times New Roman" w:cs="Times New Roman" w:eastAsia="Times New Roman" w:hAnsi="Times New Roman"/>
                <w:sz w:val="16"/>
                <w:szCs w:val="16"/>
                <w:b w:val="1"/>
                <w:bCs w:val="1"/>
                <w:color w:val="auto"/>
              </w:rPr>
              <w:t>07960</w:t>
            </w:r>
          </w:p>
        </w:tc>
      </w:tr>
      <w:tr>
        <w:trPr>
          <w:trHeight w:val="154"/>
        </w:trPr>
        <w:tc>
          <w:tcPr>
            <w:tcW w:w="4040" w:type="dxa"/>
            <w:vAlign w:val="bottom"/>
            <w:gridSpan w:val="2"/>
          </w:tcPr>
          <w:p>
            <w:pPr>
              <w:jc w:val="center"/>
              <w:ind w:left="1192"/>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1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60" w:type="dxa"/>
            <w:vAlign w:val="bottom"/>
          </w:tcPr>
          <w:p>
            <w:pPr>
              <w:jc w:val="center"/>
              <w:ind w:right="2286"/>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194"/>
        </w:trPr>
        <w:tc>
          <w:tcPr>
            <w:tcW w:w="2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0" w:type="dxa"/>
            <w:vAlign w:val="bottom"/>
            <w:gridSpan w:val="2"/>
          </w:tcPr>
          <w:p>
            <w:pPr>
              <w:jc w:val="center"/>
              <w:ind w:left="20"/>
              <w:spacing w:after="0"/>
              <w:rPr>
                <w:sz w:val="20"/>
                <w:szCs w:val="20"/>
                <w:color w:val="auto"/>
              </w:rPr>
            </w:pPr>
            <w:r>
              <w:rPr>
                <w:rFonts w:ascii="Times New Roman" w:cs="Times New Roman" w:eastAsia="Times New Roman" w:hAnsi="Times New Roman"/>
                <w:sz w:val="13"/>
                <w:szCs w:val="13"/>
                <w:b w:val="1"/>
                <w:bCs w:val="1"/>
                <w:color w:val="auto"/>
              </w:rPr>
              <w:t>(551) 321-2234</w:t>
            </w: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32"/>
        </w:trPr>
        <w:tc>
          <w:tcPr>
            <w:tcW w:w="2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160" w:type="dxa"/>
            <w:vAlign w:val="bottom"/>
            <w:gridSpan w:val="3"/>
          </w:tcPr>
          <w:p>
            <w:pPr>
              <w:jc w:val="center"/>
              <w:ind w:right="660"/>
              <w:spacing w:after="0"/>
              <w:rPr>
                <w:sz w:val="20"/>
                <w:szCs w:val="20"/>
                <w:color w:val="auto"/>
              </w:rPr>
            </w:pPr>
            <w:r>
              <w:rPr>
                <w:rFonts w:ascii="Times New Roman" w:cs="Times New Roman" w:eastAsia="Times New Roman" w:hAnsi="Times New Roman"/>
                <w:sz w:val="11"/>
                <w:szCs w:val="11"/>
                <w:b w:val="1"/>
                <w:bCs w:val="1"/>
                <w:color w:val="auto"/>
                <w:w w:val="98"/>
              </w:rPr>
              <w:t>(Registrant’s telephone number, including area code)</w:t>
            </w:r>
          </w:p>
        </w:tc>
        <w:tc>
          <w:tcPr>
            <w:tcW w:w="42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142"/>
        </w:trPr>
        <w:tc>
          <w:tcPr>
            <w:tcW w:w="2960" w:type="dxa"/>
            <w:vAlign w:val="bottom"/>
          </w:tcPr>
          <w:p>
            <w:pPr>
              <w:spacing w:after="0"/>
              <w:rPr>
                <w:sz w:val="12"/>
                <w:szCs w:val="12"/>
                <w:color w:val="auto"/>
              </w:rPr>
            </w:pPr>
          </w:p>
        </w:tc>
        <w:tc>
          <w:tcPr>
            <w:tcW w:w="4240" w:type="dxa"/>
            <w:vAlign w:val="bottom"/>
            <w:gridSpan w:val="4"/>
          </w:tcPr>
          <w:p>
            <w:pPr>
              <w:jc w:val="center"/>
              <w:ind w:left="346"/>
              <w:spacing w:after="0"/>
              <w:rPr>
                <w:sz w:val="20"/>
                <w:szCs w:val="20"/>
                <w:color w:val="auto"/>
              </w:rPr>
            </w:pPr>
            <w:r>
              <w:rPr>
                <w:rFonts w:ascii="Times New Roman" w:cs="Times New Roman" w:eastAsia="Times New Roman" w:hAnsi="Times New Roman"/>
                <w:sz w:val="11"/>
                <w:szCs w:val="11"/>
                <w:b w:val="1"/>
                <w:bCs w:val="1"/>
                <w:color w:val="auto"/>
                <w:w w:val="97"/>
              </w:rPr>
              <w:t>(Former name, former address and former fiscal year, if changed since last report)</w:t>
            </w:r>
          </w:p>
        </w:tc>
        <w:tc>
          <w:tcPr>
            <w:tcW w:w="42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52"/>
        </w:trPr>
        <w:tc>
          <w:tcPr>
            <w:tcW w:w="296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960" w:type="dxa"/>
            <w:vAlign w:val="bottom"/>
          </w:tcPr>
          <w:p>
            <w:pPr>
              <w:spacing w:after="0"/>
              <w:rPr>
                <w:sz w:val="4"/>
                <w:szCs w:val="4"/>
                <w:color w:val="auto"/>
              </w:rPr>
            </w:pPr>
          </w:p>
        </w:tc>
      </w:tr>
      <w:tr>
        <w:trPr>
          <w:trHeight w:val="228"/>
        </w:trPr>
        <w:tc>
          <w:tcPr>
            <w:tcW w:w="4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64"/>
        </w:trPr>
        <w:tc>
          <w:tcPr>
            <w:tcW w:w="404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380" w:type="dxa"/>
            <w:vAlign w:val="bottom"/>
            <w:tcBorders>
              <w:bottom w:val="single" w:sz="8" w:color="auto"/>
            </w:tcBorders>
            <w:gridSpan w:val="2"/>
          </w:tcPr>
          <w:p>
            <w:pPr>
              <w:spacing w:after="0"/>
              <w:rPr>
                <w:sz w:val="5"/>
                <w:szCs w:val="5"/>
                <w:color w:val="auto"/>
              </w:rPr>
            </w:pPr>
          </w:p>
        </w:tc>
      </w:tr>
      <w:tr>
        <w:trPr>
          <w:trHeight w:val="136"/>
        </w:trPr>
        <w:tc>
          <w:tcPr>
            <w:tcW w:w="4040" w:type="dxa"/>
            <w:vAlign w:val="bottom"/>
            <w:tcBorders>
              <w:left w:val="single" w:sz="8" w:color="auto"/>
              <w:bottom w:val="single" w:sz="8" w:color="auto"/>
            </w:tcBorders>
            <w:gridSpan w:val="2"/>
          </w:tcPr>
          <w:p>
            <w:pPr>
              <w:jc w:val="center"/>
              <w:ind w:left="92"/>
              <w:spacing w:after="0" w:line="136" w:lineRule="exact"/>
              <w:rPr>
                <w:sz w:val="20"/>
                <w:szCs w:val="20"/>
                <w:color w:val="auto"/>
              </w:rPr>
            </w:pPr>
            <w:r>
              <w:rPr>
                <w:rFonts w:ascii="Times New Roman" w:cs="Times New Roman" w:eastAsia="Times New Roman" w:hAnsi="Times New Roman"/>
                <w:sz w:val="14"/>
                <w:szCs w:val="14"/>
                <w:color w:val="auto"/>
              </w:rPr>
              <w:t>Title of each class</w:t>
            </w:r>
          </w:p>
        </w:tc>
        <w:tc>
          <w:tcPr>
            <w:tcW w:w="16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Trading Symbol(s)</w:t>
            </w:r>
          </w:p>
        </w:tc>
        <w:tc>
          <w:tcPr>
            <w:tcW w:w="760" w:type="dxa"/>
            <w:vAlign w:val="bottom"/>
            <w:tcBorders>
              <w:bottom w:val="single" w:sz="8" w:color="auto"/>
            </w:tcBorders>
          </w:tcPr>
          <w:p>
            <w:pPr>
              <w:spacing w:after="0"/>
              <w:rPr>
                <w:sz w:val="11"/>
                <w:szCs w:val="11"/>
                <w:color w:val="auto"/>
              </w:rPr>
            </w:pPr>
          </w:p>
        </w:tc>
        <w:tc>
          <w:tcPr>
            <w:tcW w:w="3380" w:type="dxa"/>
            <w:vAlign w:val="bottom"/>
            <w:tcBorders>
              <w:bottom w:val="single" w:sz="8" w:color="auto"/>
              <w:right w:val="single" w:sz="8" w:color="auto"/>
            </w:tcBorders>
            <w:gridSpan w:val="2"/>
          </w:tcPr>
          <w:p>
            <w:pPr>
              <w:jc w:val="center"/>
              <w:ind w:right="746"/>
              <w:spacing w:after="0" w:line="136" w:lineRule="exact"/>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36"/>
        </w:trPr>
        <w:tc>
          <w:tcPr>
            <w:tcW w:w="4040" w:type="dxa"/>
            <w:vAlign w:val="bottom"/>
            <w:tcBorders>
              <w:left w:val="single" w:sz="8" w:color="auto"/>
              <w:bottom w:val="single" w:sz="8" w:color="auto"/>
            </w:tcBorders>
            <w:gridSpan w:val="2"/>
          </w:tcPr>
          <w:p>
            <w:pPr>
              <w:jc w:val="center"/>
              <w:ind w:left="72"/>
              <w:spacing w:after="0" w:line="136" w:lineRule="exact"/>
              <w:rPr>
                <w:sz w:val="20"/>
                <w:szCs w:val="20"/>
                <w:color w:val="auto"/>
              </w:rPr>
            </w:pPr>
            <w:r>
              <w:rPr>
                <w:rFonts w:ascii="Times New Roman" w:cs="Times New Roman" w:eastAsia="Times New Roman" w:hAnsi="Times New Roman"/>
                <w:sz w:val="14"/>
                <w:szCs w:val="14"/>
                <w:color w:val="auto"/>
              </w:rPr>
              <w:t>Common stock, $0.0001 par value per share</w:t>
            </w:r>
          </w:p>
        </w:tc>
        <w:tc>
          <w:tcPr>
            <w:tcW w:w="16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color w:val="auto"/>
              </w:rPr>
              <w:t>WHWK</w:t>
            </w:r>
          </w:p>
        </w:tc>
        <w:tc>
          <w:tcPr>
            <w:tcW w:w="760" w:type="dxa"/>
            <w:vAlign w:val="bottom"/>
            <w:tcBorders>
              <w:bottom w:val="single" w:sz="8" w:color="auto"/>
            </w:tcBorders>
          </w:tcPr>
          <w:p>
            <w:pPr>
              <w:spacing w:after="0"/>
              <w:rPr>
                <w:sz w:val="11"/>
                <w:szCs w:val="11"/>
                <w:color w:val="auto"/>
              </w:rPr>
            </w:pPr>
          </w:p>
        </w:tc>
        <w:tc>
          <w:tcPr>
            <w:tcW w:w="3380" w:type="dxa"/>
            <w:vAlign w:val="bottom"/>
            <w:tcBorders>
              <w:bottom w:val="single" w:sz="8" w:color="auto"/>
              <w:right w:val="single" w:sz="8" w:color="auto"/>
            </w:tcBorders>
            <w:gridSpan w:val="2"/>
          </w:tcPr>
          <w:p>
            <w:pPr>
              <w:jc w:val="center"/>
              <w:ind w:right="746"/>
              <w:spacing w:after="0" w:line="136" w:lineRule="exact"/>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48" w:lineRule="exact"/>
        <w:rPr>
          <w:sz w:val="24"/>
          <w:szCs w:val="24"/>
          <w:color w:val="auto"/>
        </w:rPr>
      </w:pPr>
    </w:p>
    <w:p>
      <w:pPr>
        <w:ind w:right="60" w:firstLine="348"/>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40" w:firstLine="348"/>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20" w:firstLine="348"/>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560"/>
          </w:cols>
          <w:pgMar w:left="660" w:top="555" w:right="680" w:bottom="1440" w:gutter="0" w:footer="0" w:header="0"/>
        </w:sectPr>
      </w:pPr>
    </w:p>
    <w:p>
      <w:pPr>
        <w:spacing w:after="0" w:line="1" w:lineRule="exact"/>
        <w:rPr>
          <w:sz w:val="24"/>
          <w:szCs w:val="24"/>
          <w:color w:val="auto"/>
        </w:rPr>
      </w:pPr>
    </w:p>
    <w:p>
      <w:pPr>
        <w:ind w:left="40"/>
        <w:spacing w:after="0" w:line="161" w:lineRule="exact"/>
        <w:tabs>
          <w:tab w:leader="none" w:pos="2800" w:val="left"/>
          <w:tab w:leader="none" w:pos="53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81" w:lineRule="exact"/>
        <w:rPr>
          <w:sz w:val="24"/>
          <w:szCs w:val="24"/>
          <w:color w:val="auto"/>
        </w:rPr>
      </w:pPr>
    </w:p>
    <w:p>
      <w:pPr>
        <w:ind w:left="40"/>
        <w:spacing w:after="0" w:line="161" w:lineRule="exact"/>
        <w:tabs>
          <w:tab w:leader="none" w:pos="2800" w:val="left"/>
          <w:tab w:leader="none" w:pos="53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37"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2660"/>
        <w:spacing w:after="0" w:line="20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4, 2025, the registrant had 47,128,362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630555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102235</wp:posOffset>
            </wp:positionV>
            <wp:extent cx="67075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117475</wp:posOffset>
            </wp:positionV>
            <wp:extent cx="67075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2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40" w:orient="portrait"/>
          <w:cols w:equalWidth="0" w:num="2">
            <w:col w:w="10000" w:space="400"/>
            <w:col w:w="160"/>
          </w:cols>
          <w:pgMar w:left="660" w:top="555" w:right="680" w:bottom="1440" w:gutter="0" w:footer="0" w:header="0"/>
          <w:type w:val="continuous"/>
        </w:sectPr>
      </w:pPr>
    </w:p>
    <w:bookmarkStart w:id="1" w:name="page2"/>
    <w:bookmarkEnd w:id="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14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Table of Contents</w:t>
            </w:r>
          </w:p>
        </w:tc>
      </w:tr>
      <w:tr>
        <w:trPr>
          <w:trHeight w:val="602"/>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8520" w:type="dxa"/>
            <w:vAlign w:val="bottom"/>
            <w:gridSpan w:val="17"/>
          </w:tcPr>
          <w:p>
            <w:pPr>
              <w:spacing w:after="0"/>
              <w:rPr>
                <w:rFonts w:ascii="Times New Roman" w:cs="Times New Roman" w:eastAsia="Times New Roman" w:hAnsi="Times New Roman"/>
                <w:sz w:val="16"/>
                <w:szCs w:val="16"/>
                <w:b w:val="1"/>
                <w:bCs w:val="1"/>
                <w:color w:val="0000FF"/>
              </w:rPr>
            </w:pPr>
            <w:hyperlink w:anchor="page3">
              <w:r>
                <w:rPr>
                  <w:rFonts w:ascii="Times New Roman" w:cs="Times New Roman" w:eastAsia="Times New Roman" w:hAnsi="Times New Roman"/>
                  <w:sz w:val="16"/>
                  <w:szCs w:val="16"/>
                  <w:b w:val="1"/>
                  <w:bCs w:val="1"/>
                  <w:color w:val="0000FF"/>
                </w:rPr>
                <w:t>FINANCIAL INFORMATION</w:t>
              </w:r>
            </w:hyperlink>
          </w:p>
        </w:tc>
      </w:tr>
      <w:tr>
        <w:trPr>
          <w:trHeight w:val="220"/>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1.</w:t>
            </w:r>
          </w:p>
        </w:tc>
        <w:tc>
          <w:tcPr>
            <w:tcW w:w="20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6"/>
                <w:szCs w:val="16"/>
                <w:color w:val="0000FF"/>
                <w:w w:val="96"/>
              </w:rPr>
            </w:pPr>
            <w:hyperlink w:anchor="page3">
              <w:r>
                <w:rPr>
                  <w:rFonts w:ascii="Times New Roman" w:cs="Times New Roman" w:eastAsia="Times New Roman" w:hAnsi="Times New Roman"/>
                  <w:sz w:val="16"/>
                  <w:szCs w:val="16"/>
                  <w:color w:val="0000FF"/>
                  <w:w w:val="96"/>
                </w:rPr>
                <w:t>Condensed Financial Statements</w:t>
              </w:r>
            </w:hyperlink>
          </w:p>
        </w:tc>
        <w:tc>
          <w:tcPr>
            <w:tcW w:w="20" w:type="dxa"/>
            <w:vAlign w:val="bottom"/>
            <w:tcBorders>
              <w:top w:val="single" w:sz="8" w:color="0000EE"/>
            </w:tcBorders>
          </w:tcPr>
          <w:p>
            <w:pPr>
              <w:spacing w:after="0"/>
              <w:rPr>
                <w:sz w:val="19"/>
                <w:szCs w:val="19"/>
                <w:color w:val="auto"/>
              </w:rPr>
            </w:pPr>
          </w:p>
        </w:tc>
        <w:tc>
          <w:tcPr>
            <w:tcW w:w="6460" w:type="dxa"/>
            <w:vAlign w:val="bottom"/>
            <w:gridSpan w:val="8"/>
          </w:tcPr>
          <w:p>
            <w:pPr>
              <w:spacing w:after="0"/>
              <w:rPr>
                <w:sz w:val="19"/>
                <w:szCs w:val="19"/>
                <w:color w:val="auto"/>
              </w:rPr>
            </w:pPr>
          </w:p>
        </w:tc>
      </w:tr>
      <w:tr>
        <w:trPr>
          <w:trHeight w:val="232"/>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tcBorders>
              <w:bottom w:val="single" w:sz="8" w:color="0000EE"/>
            </w:tcBorders>
            <w:gridSpan w:val="13"/>
          </w:tcPr>
          <w:p>
            <w:pPr>
              <w:spacing w:after="0"/>
              <w:rPr>
                <w:rFonts w:ascii="Times New Roman" w:cs="Times New Roman" w:eastAsia="Times New Roman" w:hAnsi="Times New Roman"/>
                <w:sz w:val="16"/>
                <w:szCs w:val="16"/>
                <w:color w:val="0000FF"/>
                <w:w w:val="96"/>
              </w:rPr>
            </w:pPr>
            <w:hyperlink w:anchor="page3">
              <w:r>
                <w:rPr>
                  <w:rFonts w:ascii="Times New Roman" w:cs="Times New Roman" w:eastAsia="Times New Roman" w:hAnsi="Times New Roman"/>
                  <w:sz w:val="16"/>
                  <w:szCs w:val="16"/>
                  <w:color w:val="0000FF"/>
                  <w:w w:val="96"/>
                </w:rPr>
                <w:t>Condensed Balance Sheets – September 30, 2025 and December 31, 2024 (Unaudited)</w:t>
              </w:r>
            </w:hyperlink>
          </w:p>
        </w:tc>
        <w:tc>
          <w:tcPr>
            <w:tcW w:w="3120" w:type="dxa"/>
            <w:vAlign w:val="bottom"/>
            <w:gridSpan w:val="4"/>
          </w:tcPr>
          <w:p>
            <w:pPr>
              <w:spacing w:after="0"/>
              <w:rPr>
                <w:sz w:val="20"/>
                <w:szCs w:val="20"/>
                <w:color w:val="auto"/>
              </w:rPr>
            </w:pPr>
          </w:p>
        </w:tc>
      </w:tr>
      <w:tr>
        <w:trPr>
          <w:trHeight w:val="208"/>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20" w:type="dxa"/>
            <w:vAlign w:val="bottom"/>
            <w:tcBorders>
              <w:bottom w:val="single" w:sz="8" w:color="0000EE"/>
            </w:tcBorders>
            <w:gridSpan w:val="17"/>
          </w:tcPr>
          <w:p>
            <w:pPr>
              <w:spacing w:after="0"/>
              <w:rPr>
                <w:rFonts w:ascii="Times New Roman" w:cs="Times New Roman" w:eastAsia="Times New Roman" w:hAnsi="Times New Roman"/>
                <w:sz w:val="16"/>
                <w:szCs w:val="16"/>
                <w:color w:val="0000FF"/>
                <w:w w:val="97"/>
              </w:rPr>
            </w:pPr>
            <w:hyperlink w:anchor="page4">
              <w:r>
                <w:rPr>
                  <w:rFonts w:ascii="Times New Roman" w:cs="Times New Roman" w:eastAsia="Times New Roman" w:hAnsi="Times New Roman"/>
                  <w:sz w:val="16"/>
                  <w:szCs w:val="16"/>
                  <w:color w:val="0000FF"/>
                  <w:w w:val="97"/>
                </w:rPr>
                <w:t>Condensed Statements of Operations and Comprehensive (Loss) Income –Three and Nine Months Ended September 30, 2025 and 2024</w:t>
              </w:r>
            </w:hyperlink>
          </w:p>
        </w:tc>
      </w:tr>
      <w:tr>
        <w:trPr>
          <w:trHeight w:val="172"/>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520" w:type="dxa"/>
            <w:vAlign w:val="bottom"/>
            <w:gridSpan w:val="17"/>
          </w:tcPr>
          <w:p>
            <w:pPr>
              <w:spacing w:after="0" w:line="172" w:lineRule="exact"/>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(Unaudited)</w:t>
              </w:r>
            </w:hyperlink>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20" w:type="dxa"/>
            <w:vAlign w:val="bottom"/>
            <w:gridSpan w:val="17"/>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Condensed Statements of Stockholders’ Equity – Three and Nine Months Ended September 30, 2025 and 2024 (Unaudited)</w:t>
              </w:r>
            </w:hyperlink>
          </w:p>
        </w:tc>
      </w:tr>
      <w:tr>
        <w:trPr>
          <w:trHeight w:val="232"/>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6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6"/>
                <w:szCs w:val="16"/>
                <w:color w:val="0000FF"/>
                <w:w w:val="97"/>
              </w:rPr>
            </w:pPr>
            <w:hyperlink w:anchor="page7">
              <w:r>
                <w:rPr>
                  <w:rFonts w:ascii="Times New Roman" w:cs="Times New Roman" w:eastAsia="Times New Roman" w:hAnsi="Times New Roman"/>
                  <w:sz w:val="16"/>
                  <w:szCs w:val="16"/>
                  <w:color w:val="0000FF"/>
                  <w:w w:val="97"/>
                </w:rPr>
                <w:t>Condensed Statements of Cash Flows – Nine Months Ended September 30, 2025 and 2024 (Unaudited)</w:t>
              </w:r>
            </w:hyperlink>
          </w:p>
        </w:tc>
        <w:tc>
          <w:tcPr>
            <w:tcW w:w="1240" w:type="dxa"/>
            <w:vAlign w:val="bottom"/>
            <w:tcBorders>
              <w:top w:val="single" w:sz="8" w:color="0000EE"/>
            </w:tcBorders>
          </w:tcPr>
          <w:p>
            <w:pPr>
              <w:spacing w:after="0"/>
              <w:rPr>
                <w:sz w:val="20"/>
                <w:szCs w:val="20"/>
                <w:color w:val="auto"/>
              </w:rPr>
            </w:pPr>
          </w:p>
        </w:tc>
        <w:tc>
          <w:tcPr>
            <w:tcW w:w="820" w:type="dxa"/>
            <w:vAlign w:val="bottom"/>
          </w:tcPr>
          <w:p>
            <w:pPr>
              <w:spacing w:after="0"/>
              <w:rPr>
                <w:sz w:val="20"/>
                <w:szCs w:val="20"/>
                <w:color w:val="auto"/>
              </w:rPr>
            </w:pPr>
          </w:p>
        </w:tc>
      </w:tr>
      <w:tr>
        <w:trPr>
          <w:trHeight w:val="232"/>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520" w:type="dxa"/>
            <w:vAlign w:val="bottom"/>
            <w:gridSpan w:val="17"/>
          </w:tcPr>
          <w:p>
            <w:pPr>
              <w:spacing w:after="0"/>
              <w:rPr>
                <w:rFonts w:ascii="Times New Roman" w:cs="Times New Roman" w:eastAsia="Times New Roman" w:hAnsi="Times New Roman"/>
                <w:sz w:val="16"/>
                <w:szCs w:val="16"/>
                <w:color w:val="0000FF"/>
              </w:rPr>
            </w:pPr>
            <w:hyperlink w:anchor="page8">
              <w:r>
                <w:rPr>
                  <w:rFonts w:ascii="Times New Roman" w:cs="Times New Roman" w:eastAsia="Times New Roman" w:hAnsi="Times New Roman"/>
                  <w:sz w:val="16"/>
                  <w:szCs w:val="16"/>
                  <w:color w:val="0000FF"/>
                </w:rPr>
                <w:t>Notes to Condensed Financial Statements (Unaudited)</w:t>
              </w:r>
            </w:hyperlink>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r>
      <w:tr>
        <w:trPr>
          <w:trHeight w:val="232"/>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2.</w:t>
            </w:r>
          </w:p>
        </w:tc>
        <w:tc>
          <w:tcPr>
            <w:tcW w:w="5600" w:type="dxa"/>
            <w:vAlign w:val="bottom"/>
            <w:tcBorders>
              <w:bottom w:val="single" w:sz="8" w:color="0000EE"/>
            </w:tcBorders>
            <w:gridSpan w:val="14"/>
          </w:tcPr>
          <w:p>
            <w:pPr>
              <w:spacing w:after="0"/>
              <w:rPr>
                <w:rFonts w:ascii="Times New Roman" w:cs="Times New Roman" w:eastAsia="Times New Roman" w:hAnsi="Times New Roman"/>
                <w:sz w:val="16"/>
                <w:szCs w:val="16"/>
                <w:color w:val="0000FF"/>
                <w:w w:val="97"/>
              </w:rPr>
            </w:pPr>
            <w:hyperlink w:anchor="page32">
              <w:r>
                <w:rPr>
                  <w:rFonts w:ascii="Times New Roman" w:cs="Times New Roman" w:eastAsia="Times New Roman" w:hAnsi="Times New Roman"/>
                  <w:sz w:val="16"/>
                  <w:szCs w:val="16"/>
                  <w:color w:val="0000FF"/>
                  <w:w w:val="97"/>
                </w:rPr>
                <w:t>Management’s Discussion and Analysis of Financial Condition and Results of Operations</w:t>
              </w:r>
            </w:hyperlink>
          </w:p>
        </w:tc>
        <w:tc>
          <w:tcPr>
            <w:tcW w:w="2920" w:type="dxa"/>
            <w:vAlign w:val="bottom"/>
            <w:gridSpan w:val="3"/>
          </w:tcPr>
          <w:p>
            <w:pPr>
              <w:spacing w:after="0"/>
              <w:rPr>
                <w:sz w:val="20"/>
                <w:szCs w:val="20"/>
                <w:color w:val="auto"/>
              </w:rPr>
            </w:pPr>
          </w:p>
        </w:tc>
      </w:tr>
      <w:tr>
        <w:trPr>
          <w:trHeight w:val="232"/>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3.</w:t>
            </w:r>
          </w:p>
        </w:tc>
        <w:tc>
          <w:tcPr>
            <w:tcW w:w="3780" w:type="dxa"/>
            <w:vAlign w:val="bottom"/>
            <w:tcBorders>
              <w:bottom w:val="single" w:sz="8" w:color="0000EE"/>
            </w:tcBorders>
            <w:gridSpan w:val="12"/>
          </w:tcPr>
          <w:p>
            <w:pPr>
              <w:spacing w:after="0"/>
              <w:rPr>
                <w:rFonts w:ascii="Times New Roman" w:cs="Times New Roman" w:eastAsia="Times New Roman" w:hAnsi="Times New Roman"/>
                <w:sz w:val="16"/>
                <w:szCs w:val="16"/>
                <w:color w:val="0000FF"/>
                <w:w w:val="97"/>
              </w:rPr>
            </w:pPr>
            <w:hyperlink w:anchor="page43">
              <w:r>
                <w:rPr>
                  <w:rFonts w:ascii="Times New Roman" w:cs="Times New Roman" w:eastAsia="Times New Roman" w:hAnsi="Times New Roman"/>
                  <w:sz w:val="16"/>
                  <w:szCs w:val="16"/>
                  <w:color w:val="0000FF"/>
                  <w:w w:val="97"/>
                </w:rPr>
                <w:t>Quantitative and Qualitative Disclosures About Market Risk</w:t>
              </w:r>
            </w:hyperlink>
          </w:p>
        </w:tc>
        <w:tc>
          <w:tcPr>
            <w:tcW w:w="4740" w:type="dxa"/>
            <w:vAlign w:val="bottom"/>
            <w:gridSpan w:val="5"/>
          </w:tcPr>
          <w:p>
            <w:pPr>
              <w:spacing w:after="0"/>
              <w:rPr>
                <w:sz w:val="20"/>
                <w:szCs w:val="20"/>
                <w:color w:val="auto"/>
              </w:rPr>
            </w:pPr>
          </w:p>
        </w:tc>
      </w:tr>
      <w:tr>
        <w:trPr>
          <w:trHeight w:val="256"/>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4.</w:t>
            </w:r>
          </w:p>
        </w:tc>
        <w:tc>
          <w:tcPr>
            <w:tcW w:w="8520" w:type="dxa"/>
            <w:vAlign w:val="bottom"/>
            <w:gridSpan w:val="17"/>
          </w:tcPr>
          <w:p>
            <w:pPr>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Controls and Procedures</w:t>
              </w:r>
            </w:hyperlink>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r>
      <w:tr>
        <w:trPr>
          <w:trHeight w:val="208"/>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760" w:type="dxa"/>
            <w:vAlign w:val="bottom"/>
            <w:tcBorders>
              <w:bottom w:val="single" w:sz="8" w:color="0000EE"/>
            </w:tcBorders>
            <w:gridSpan w:val="6"/>
          </w:tcPr>
          <w:p>
            <w:pPr>
              <w:spacing w:after="0"/>
              <w:rPr>
                <w:rFonts w:ascii="Times New Roman" w:cs="Times New Roman" w:eastAsia="Times New Roman" w:hAnsi="Times New Roman"/>
                <w:sz w:val="16"/>
                <w:szCs w:val="16"/>
                <w:b w:val="1"/>
                <w:bCs w:val="1"/>
                <w:color w:val="0000FF"/>
                <w:w w:val="96"/>
              </w:rPr>
            </w:pPr>
            <w:hyperlink w:anchor="page44">
              <w:r>
                <w:rPr>
                  <w:rFonts w:ascii="Times New Roman" w:cs="Times New Roman" w:eastAsia="Times New Roman" w:hAnsi="Times New Roman"/>
                  <w:sz w:val="16"/>
                  <w:szCs w:val="16"/>
                  <w:b w:val="1"/>
                  <w:bCs w:val="1"/>
                  <w:color w:val="0000FF"/>
                  <w:w w:val="96"/>
                </w:rPr>
                <w:t>OTHER INFORMATION</w:t>
              </w:r>
            </w:hyperlink>
          </w:p>
        </w:tc>
        <w:tc>
          <w:tcPr>
            <w:tcW w:w="6760" w:type="dxa"/>
            <w:vAlign w:val="bottom"/>
            <w:gridSpan w:val="11"/>
          </w:tcPr>
          <w:p>
            <w:pPr>
              <w:spacing w:after="0"/>
              <w:rPr>
                <w:sz w:val="18"/>
                <w:szCs w:val="18"/>
                <w:color w:val="auto"/>
              </w:rPr>
            </w:pPr>
          </w:p>
        </w:tc>
      </w:tr>
      <w:tr>
        <w:trPr>
          <w:trHeight w:val="232"/>
        </w:trPr>
        <w:tc>
          <w:tcPr>
            <w:tcW w:w="1200" w:type="dxa"/>
            <w:vAlign w:val="bottom"/>
            <w:gridSpan w:val="3"/>
          </w:tcPr>
          <w:p>
            <w:pPr>
              <w:spacing w:after="0"/>
              <w:rPr>
                <w:rFonts w:ascii="Times New Roman" w:cs="Times New Roman" w:eastAsia="Times New Roman" w:hAnsi="Times New Roman"/>
                <w:sz w:val="16"/>
                <w:szCs w:val="16"/>
                <w:color w:val="auto"/>
              </w:rPr>
            </w:pPr>
            <w:hyperlink w:anchor="page44">
              <w:r>
                <w:rPr>
                  <w:rFonts w:ascii="Times New Roman" w:cs="Times New Roman" w:eastAsia="Times New Roman" w:hAnsi="Times New Roman"/>
                  <w:sz w:val="16"/>
                  <w:szCs w:val="16"/>
                  <w:color w:val="auto"/>
                </w:rPr>
                <w:t>Item 1.</w:t>
              </w:r>
            </w:hyperlink>
          </w:p>
        </w:tc>
        <w:tc>
          <w:tcPr>
            <w:tcW w:w="8520" w:type="dxa"/>
            <w:vAlign w:val="bottom"/>
            <w:gridSpan w:val="17"/>
          </w:tcPr>
          <w:p>
            <w:pPr>
              <w:spacing w:after="0"/>
              <w:rPr>
                <w:rFonts w:ascii="Times New Roman" w:cs="Times New Roman" w:eastAsia="Times New Roman" w:hAnsi="Times New Roman"/>
                <w:sz w:val="16"/>
                <w:szCs w:val="16"/>
                <w:color w:val="0000FF"/>
              </w:rPr>
            </w:pPr>
            <w:hyperlink w:anchor="page44">
              <w:r>
                <w:rPr>
                  <w:rFonts w:ascii="Times New Roman" w:cs="Times New Roman" w:eastAsia="Times New Roman" w:hAnsi="Times New Roman"/>
                  <w:sz w:val="16"/>
                  <w:szCs w:val="16"/>
                  <w:color w:val="0000FF"/>
                </w:rPr>
                <w:t>Legal Proceedings</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r>
      <w:tr>
        <w:trPr>
          <w:trHeight w:val="232"/>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1A.</w:t>
            </w:r>
          </w:p>
        </w:tc>
        <w:tc>
          <w:tcPr>
            <w:tcW w:w="780" w:type="dxa"/>
            <w:vAlign w:val="bottom"/>
            <w:tcBorders>
              <w:bottom w:val="single" w:sz="8" w:color="0000EE"/>
            </w:tcBorders>
            <w:gridSpan w:val="3"/>
          </w:tcPr>
          <w:p>
            <w:pPr>
              <w:spacing w:after="0"/>
              <w:rPr>
                <w:rFonts w:ascii="Times New Roman" w:cs="Times New Roman" w:eastAsia="Times New Roman" w:hAnsi="Times New Roman"/>
                <w:sz w:val="16"/>
                <w:szCs w:val="16"/>
                <w:color w:val="0000FF"/>
                <w:w w:val="94"/>
              </w:rPr>
            </w:pPr>
            <w:hyperlink w:anchor="page44">
              <w:r>
                <w:rPr>
                  <w:rFonts w:ascii="Times New Roman" w:cs="Times New Roman" w:eastAsia="Times New Roman" w:hAnsi="Times New Roman"/>
                  <w:sz w:val="16"/>
                  <w:szCs w:val="16"/>
                  <w:color w:val="0000FF"/>
                  <w:w w:val="94"/>
                </w:rPr>
                <w:t>Risk Factors</w:t>
              </w:r>
            </w:hyperlink>
          </w:p>
        </w:tc>
        <w:tc>
          <w:tcPr>
            <w:tcW w:w="7740" w:type="dxa"/>
            <w:vAlign w:val="bottom"/>
            <w:gridSpan w:val="14"/>
          </w:tcPr>
          <w:p>
            <w:pPr>
              <w:spacing w:after="0"/>
              <w:rPr>
                <w:sz w:val="20"/>
                <w:szCs w:val="20"/>
                <w:color w:val="auto"/>
              </w:rPr>
            </w:pPr>
          </w:p>
        </w:tc>
      </w:tr>
      <w:tr>
        <w:trPr>
          <w:trHeight w:val="232"/>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2.</w:t>
            </w:r>
          </w:p>
        </w:tc>
        <w:tc>
          <w:tcPr>
            <w:tcW w:w="3760" w:type="dxa"/>
            <w:vAlign w:val="bottom"/>
            <w:tcBorders>
              <w:bottom w:val="single" w:sz="8" w:color="0000EE"/>
            </w:tcBorders>
            <w:gridSpan w:val="11"/>
          </w:tcPr>
          <w:p>
            <w:pPr>
              <w:spacing w:after="0"/>
              <w:rPr>
                <w:rFonts w:ascii="Times New Roman" w:cs="Times New Roman" w:eastAsia="Times New Roman" w:hAnsi="Times New Roman"/>
                <w:sz w:val="16"/>
                <w:szCs w:val="16"/>
                <w:color w:val="0000FF"/>
                <w:w w:val="96"/>
              </w:rPr>
            </w:pPr>
            <w:hyperlink w:anchor="page118">
              <w:r>
                <w:rPr>
                  <w:rFonts w:ascii="Times New Roman" w:cs="Times New Roman" w:eastAsia="Times New Roman" w:hAnsi="Times New Roman"/>
                  <w:sz w:val="16"/>
                  <w:szCs w:val="16"/>
                  <w:color w:val="0000FF"/>
                  <w:w w:val="96"/>
                </w:rPr>
                <w:t>Unregistered Sales of Equity Securities and Use of Proceeds</w:t>
              </w:r>
            </w:hyperlink>
          </w:p>
        </w:tc>
        <w:tc>
          <w:tcPr>
            <w:tcW w:w="4760" w:type="dxa"/>
            <w:vAlign w:val="bottom"/>
            <w:gridSpan w:val="6"/>
          </w:tcPr>
          <w:p>
            <w:pPr>
              <w:spacing w:after="0"/>
              <w:rPr>
                <w:sz w:val="20"/>
                <w:szCs w:val="20"/>
                <w:color w:val="auto"/>
              </w:rPr>
            </w:pPr>
          </w:p>
        </w:tc>
      </w:tr>
      <w:tr>
        <w:trPr>
          <w:trHeight w:val="232"/>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3.</w:t>
            </w:r>
          </w:p>
        </w:tc>
        <w:tc>
          <w:tcPr>
            <w:tcW w:w="8520" w:type="dxa"/>
            <w:vAlign w:val="bottom"/>
            <w:gridSpan w:val="17"/>
          </w:tcPr>
          <w:p>
            <w:pPr>
              <w:spacing w:after="0"/>
              <w:rPr>
                <w:rFonts w:ascii="Times New Roman" w:cs="Times New Roman" w:eastAsia="Times New Roman" w:hAnsi="Times New Roman"/>
                <w:sz w:val="16"/>
                <w:szCs w:val="16"/>
                <w:color w:val="0000FF"/>
              </w:rPr>
            </w:pPr>
            <w:hyperlink w:anchor="page118">
              <w:r>
                <w:rPr>
                  <w:rFonts w:ascii="Times New Roman" w:cs="Times New Roman" w:eastAsia="Times New Roman" w:hAnsi="Times New Roman"/>
                  <w:sz w:val="16"/>
                  <w:szCs w:val="16"/>
                  <w:color w:val="0000FF"/>
                </w:rPr>
                <w:t>Defaults Upon Senior Securities</w:t>
              </w:r>
            </w:hyperlink>
          </w:p>
        </w:tc>
      </w:tr>
      <w:tr>
        <w:trPr>
          <w:trHeight w:val="232"/>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4.</w:t>
            </w:r>
          </w:p>
        </w:tc>
        <w:tc>
          <w:tcPr>
            <w:tcW w:w="2000" w:type="dxa"/>
            <w:vAlign w:val="bottom"/>
            <w:tcBorders>
              <w:top w:val="single" w:sz="8" w:color="0000EE"/>
            </w:tcBorders>
            <w:gridSpan w:val="7"/>
          </w:tcPr>
          <w:p>
            <w:pPr>
              <w:spacing w:after="0"/>
              <w:rPr>
                <w:rFonts w:ascii="Times New Roman" w:cs="Times New Roman" w:eastAsia="Times New Roman" w:hAnsi="Times New Roman"/>
                <w:sz w:val="16"/>
                <w:szCs w:val="16"/>
                <w:color w:val="0000FF"/>
              </w:rPr>
            </w:pPr>
            <w:hyperlink w:anchor="page118">
              <w:r>
                <w:rPr>
                  <w:rFonts w:ascii="Times New Roman" w:cs="Times New Roman" w:eastAsia="Times New Roman" w:hAnsi="Times New Roman"/>
                  <w:sz w:val="16"/>
                  <w:szCs w:val="16"/>
                  <w:color w:val="0000FF"/>
                </w:rPr>
                <w:t>Mine Safety Disclosures</w:t>
              </w:r>
            </w:hyperlink>
          </w:p>
        </w:tc>
        <w:tc>
          <w:tcPr>
            <w:tcW w:w="6520" w:type="dxa"/>
            <w:vAlign w:val="bottom"/>
            <w:gridSpan w:val="10"/>
          </w:tcPr>
          <w:p>
            <w:pPr>
              <w:spacing w:after="0"/>
              <w:rPr>
                <w:sz w:val="20"/>
                <w:szCs w:val="20"/>
                <w:color w:val="auto"/>
              </w:rPr>
            </w:pPr>
          </w:p>
        </w:tc>
      </w:tr>
      <w:tr>
        <w:trPr>
          <w:trHeight w:val="232"/>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5.</w:t>
            </w:r>
          </w:p>
        </w:tc>
        <w:tc>
          <w:tcPr>
            <w:tcW w:w="11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color w:val="0000FF"/>
                <w:w w:val="95"/>
              </w:rPr>
            </w:pPr>
            <w:hyperlink w:anchor="page118">
              <w:r>
                <w:rPr>
                  <w:rFonts w:ascii="Times New Roman" w:cs="Times New Roman" w:eastAsia="Times New Roman" w:hAnsi="Times New Roman"/>
                  <w:sz w:val="16"/>
                  <w:szCs w:val="16"/>
                  <w:color w:val="0000FF"/>
                  <w:w w:val="95"/>
                </w:rPr>
                <w:t>Other Information</w:t>
              </w:r>
            </w:hyperlink>
          </w:p>
        </w:tc>
        <w:tc>
          <w:tcPr>
            <w:tcW w:w="360" w:type="dxa"/>
            <w:vAlign w:val="bottom"/>
            <w:tcBorders>
              <w:top w:val="single" w:sz="8" w:color="0000EE"/>
            </w:tcBorders>
          </w:tcPr>
          <w:p>
            <w:pPr>
              <w:spacing w:after="0"/>
              <w:rPr>
                <w:sz w:val="20"/>
                <w:szCs w:val="20"/>
                <w:color w:val="auto"/>
              </w:rPr>
            </w:pPr>
          </w:p>
        </w:tc>
        <w:tc>
          <w:tcPr>
            <w:tcW w:w="7000" w:type="dxa"/>
            <w:vAlign w:val="bottom"/>
            <w:gridSpan w:val="12"/>
          </w:tcPr>
          <w:p>
            <w:pPr>
              <w:spacing w:after="0"/>
              <w:rPr>
                <w:sz w:val="20"/>
                <w:szCs w:val="20"/>
                <w:color w:val="auto"/>
              </w:rPr>
            </w:pPr>
          </w:p>
        </w:tc>
      </w:tr>
      <w:tr>
        <w:trPr>
          <w:trHeight w:val="232"/>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6.</w:t>
            </w:r>
          </w:p>
        </w:tc>
        <w:tc>
          <w:tcPr>
            <w:tcW w:w="8520" w:type="dxa"/>
            <w:vAlign w:val="bottom"/>
            <w:gridSpan w:val="17"/>
          </w:tcPr>
          <w:p>
            <w:pPr>
              <w:spacing w:after="0"/>
              <w:rPr>
                <w:rFonts w:ascii="Times New Roman" w:cs="Times New Roman" w:eastAsia="Times New Roman" w:hAnsi="Times New Roman"/>
                <w:sz w:val="16"/>
                <w:szCs w:val="16"/>
                <w:color w:val="0000FF"/>
              </w:rPr>
            </w:pPr>
            <w:hyperlink w:anchor="page119">
              <w:r>
                <w:rPr>
                  <w:rFonts w:ascii="Times New Roman" w:cs="Times New Roman" w:eastAsia="Times New Roman" w:hAnsi="Times New Roman"/>
                  <w:sz w:val="16"/>
                  <w:szCs w:val="16"/>
                  <w:color w:val="0000FF"/>
                </w:rPr>
                <w:t>Exhibits</w:t>
              </w:r>
            </w:hyperlink>
          </w:p>
        </w:tc>
      </w:tr>
      <w:tr>
        <w:trPr>
          <w:trHeight w:val="232"/>
        </w:trPr>
        <w:tc>
          <w:tcPr>
            <w:tcW w:w="660" w:type="dxa"/>
            <w:vAlign w:val="bottom"/>
            <w:tcBorders>
              <w:bottom w:val="single" w:sz="8" w:color="0000EE"/>
            </w:tcBorders>
            <w:gridSpan w:val="2"/>
          </w:tcPr>
          <w:p>
            <w:pPr>
              <w:spacing w:after="0"/>
              <w:rPr>
                <w:rFonts w:ascii="Times New Roman" w:cs="Times New Roman" w:eastAsia="Times New Roman" w:hAnsi="Times New Roman"/>
                <w:sz w:val="16"/>
                <w:szCs w:val="16"/>
                <w:color w:val="0000FF"/>
                <w:w w:val="94"/>
              </w:rPr>
            </w:pPr>
            <w:hyperlink w:anchor="page120">
              <w:r>
                <w:rPr>
                  <w:rFonts w:ascii="Times New Roman" w:cs="Times New Roman" w:eastAsia="Times New Roman" w:hAnsi="Times New Roman"/>
                  <w:sz w:val="16"/>
                  <w:szCs w:val="16"/>
                  <w:color w:val="0000FF"/>
                  <w:w w:val="94"/>
                </w:rPr>
                <w:t>Signatures</w:t>
              </w:r>
            </w:hyperlink>
          </w:p>
        </w:tc>
        <w:tc>
          <w:tcPr>
            <w:tcW w:w="540" w:type="dxa"/>
            <w:vAlign w:val="bottom"/>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20320</wp:posOffset>
            </wp:positionV>
            <wp:extent cx="4724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2440" cy="7620"/>
                    </a:xfrm>
                    <a:prstGeom prst="rect">
                      <a:avLst/>
                    </a:prstGeom>
                    <a:noFill/>
                  </pic:spPr>
                </pic:pic>
              </a:graphicData>
            </a:graphic>
          </wp:anchor>
        </w:drawing>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2</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2</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2</w:t>
      </w:r>
    </w:p>
    <w:p>
      <w:pPr>
        <w:spacing w:after="0" w:line="20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w:t>
      </w:r>
    </w:p>
    <w:p>
      <w:pPr>
        <w:spacing w:after="0" w:line="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w:t>
      </w:r>
    </w:p>
    <w:p>
      <w:pPr>
        <w:spacing w:after="0" w:line="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w:t>
      </w:r>
    </w:p>
    <w:p>
      <w:pPr>
        <w:spacing w:after="0" w:line="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31</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42</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42</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43</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43</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43</w:t>
      </w:r>
    </w:p>
    <w:p>
      <w:pPr>
        <w:spacing w:after="0" w:line="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117</w:t>
      </w:r>
    </w:p>
    <w:p>
      <w:pPr>
        <w:spacing w:after="0" w:line="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117</w:t>
      </w:r>
    </w:p>
    <w:p>
      <w:pPr>
        <w:spacing w:after="0" w:line="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117</w:t>
      </w:r>
    </w:p>
    <w:p>
      <w:pPr>
        <w:spacing w:after="0" w:line="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117</w:t>
      </w:r>
    </w:p>
    <w:p>
      <w:pPr>
        <w:spacing w:after="0" w:line="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118</w:t>
      </w:r>
    </w:p>
    <w:p>
      <w:pPr>
        <w:spacing w:after="0" w:line="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119</w:t>
      </w:r>
    </w:p>
    <w:p>
      <w:pPr>
        <w:sectPr>
          <w:pgSz w:w="11900" w:h="16840" w:orient="portrait"/>
          <w:cols w:equalWidth="0" w:num="2">
            <w:col w:w="9760" w:space="300"/>
            <w:col w:w="480"/>
          </w:cols>
          <w:pgMar w:left="660" w:top="555" w:right="700" w:bottom="1440" w:gutter="0" w:footer="0" w:header="0"/>
        </w:sectPr>
      </w:pPr>
    </w:p>
    <w:bookmarkStart w:id="2" w:name="page3"/>
    <w:bookmarkEnd w:id="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I—FINANCIAL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WHITEHAWK THERAPEUTICS, INC.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Balance Sheets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data and par value)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60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37,931</w:t>
            </w:r>
          </w:p>
        </w:tc>
        <w:tc>
          <w:tcPr>
            <w:tcW w:w="38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28,670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124,666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18,567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5,903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5,311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2,439</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2,836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165,036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61,287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6,846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1,977</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1,399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167,017</w:t>
            </w:r>
          </w:p>
        </w:tc>
        <w:tc>
          <w:tcPr>
            <w:tcW w:w="38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70,319</w:t>
            </w: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7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1,633</w:t>
            </w:r>
          </w:p>
        </w:tc>
        <w:tc>
          <w:tcPr>
            <w:tcW w:w="38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2,159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8,216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14,647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9,849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17,074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9,849</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17,841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Commitments and contingencies (Note 12)</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ind w:left="100"/>
              <w:spacing w:after="0" w:line="132"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 as of</w:t>
            </w:r>
          </w:p>
        </w:tc>
        <w:tc>
          <w:tcPr>
            <w:tcW w:w="200" w:type="dxa"/>
            <w:vAlign w:val="bottom"/>
          </w:tcPr>
          <w:p>
            <w:pPr>
              <w:spacing w:after="0"/>
              <w:rPr>
                <w:sz w:val="11"/>
                <w:szCs w:val="11"/>
                <w:color w:val="auto"/>
              </w:rPr>
            </w:pPr>
          </w:p>
        </w:tc>
        <w:tc>
          <w:tcPr>
            <w:tcW w:w="13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September 30, 2025 and December 31, 2024</w:t>
            </w:r>
          </w:p>
        </w:tc>
        <w:tc>
          <w:tcPr>
            <w:tcW w:w="2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shd w:val="clear" w:color="auto" w:fill="CFF0FC"/>
          </w:tcPr>
          <w:p>
            <w:pPr>
              <w:ind w:left="100"/>
              <w:spacing w:after="0" w:line="132" w:lineRule="exact"/>
              <w:rPr>
                <w:sz w:val="20"/>
                <w:szCs w:val="20"/>
                <w:color w:val="auto"/>
              </w:rPr>
            </w:pPr>
            <w:r>
              <w:rPr>
                <w:rFonts w:ascii="Times New Roman" w:cs="Times New Roman" w:eastAsia="Times New Roman" w:hAnsi="Times New Roman"/>
                <w:sz w:val="14"/>
                <w:szCs w:val="14"/>
                <w:color w:val="auto"/>
              </w:rPr>
              <w:t>Common stock, $0.0001 par value; 300,000,000 shares authorized; 47,128,362 and 24,680,708 shares issued</w:t>
            </w:r>
          </w:p>
        </w:tc>
        <w:tc>
          <w:tcPr>
            <w:tcW w:w="200" w:type="dxa"/>
            <w:vAlign w:val="bottom"/>
            <w:shd w:val="clear" w:color="auto" w:fill="CFF0FC"/>
          </w:tcPr>
          <w:p>
            <w:pPr>
              <w:spacing w:after="0"/>
              <w:rPr>
                <w:sz w:val="11"/>
                <w:szCs w:val="11"/>
                <w:color w:val="auto"/>
              </w:rPr>
            </w:pPr>
          </w:p>
        </w:tc>
        <w:tc>
          <w:tcPr>
            <w:tcW w:w="134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4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and outstanding as of September 30, 2025 and December 31, 2024, respectively.</w:t>
            </w:r>
          </w:p>
        </w:tc>
        <w:tc>
          <w:tcPr>
            <w:tcW w:w="200" w:type="dxa"/>
            <w:vAlign w:val="bottom"/>
            <w:shd w:val="clear" w:color="auto" w:fill="CFF0FC"/>
          </w:tcPr>
          <w:p>
            <w:pPr>
              <w:spacing w:after="0"/>
              <w:rPr>
                <w:sz w:val="15"/>
                <w:szCs w:val="15"/>
                <w:color w:val="auto"/>
              </w:rPr>
            </w:pPr>
          </w:p>
        </w:tc>
        <w:tc>
          <w:tcPr>
            <w:tcW w:w="134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3"/>
                <w:szCs w:val="13"/>
                <w:color w:val="auto"/>
              </w:rPr>
            </w:pP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487,024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385,114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139</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3"/>
                <w:szCs w:val="13"/>
                <w:color w:val="auto"/>
              </w:rPr>
            </w:pPr>
          </w:p>
        </w:tc>
        <w:tc>
          <w:tcPr>
            <w:tcW w:w="13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(329,999)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(332,654)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157,168</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52,478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167,017</w:t>
            </w:r>
          </w:p>
        </w:tc>
        <w:tc>
          <w:tcPr>
            <w:tcW w:w="38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70,319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financial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396875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 w:name="page4"/>
    <w:bookmarkEnd w:id="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WHITEHAWK THERAPEUTICS,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Statements of Operations and Comprehensive (Loss) Income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data and earnings per share amounts)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4"/>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4"/>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Product sales, net</w:t>
            </w: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7,212</w:t>
            </w:r>
          </w:p>
        </w:tc>
        <w:tc>
          <w:tcPr>
            <w:tcW w:w="2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7,145</w:t>
            </w:r>
          </w:p>
        </w:tc>
        <w:tc>
          <w:tcPr>
            <w:tcW w:w="340" w:type="dxa"/>
            <w:vAlign w:val="bottom"/>
            <w:gridSpan w:val="2"/>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18,744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revenue</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7,212</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7,145</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18,744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5,201</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7,186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23,956</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25,698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14,345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9,997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71,942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36,683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6"/>
                <w:szCs w:val="16"/>
                <w:color w:val="auto"/>
              </w:rPr>
              <w:t>Restructuring charges</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2,638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2,638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760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2,234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19,546</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20,625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96,658</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67,253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Loss from operations</w:t>
            </w:r>
          </w:p>
        </w:tc>
        <w:tc>
          <w:tcPr>
            <w:tcW w:w="12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(19,546)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(13,413)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(89,513)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(48,509)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Other income (expense)</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Gain on sale of business</w:t>
            </w:r>
          </w:p>
        </w:tc>
        <w:tc>
          <w:tcPr>
            <w:tcW w:w="12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87,266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6"/>
                <w:szCs w:val="16"/>
                <w:color w:val="auto"/>
              </w:rPr>
              <w:t>Foreign exchange loss</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1,850</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906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4,620</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3,249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other income (expense), net</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1,800</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867</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92,168</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3,091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Net (loss) income</w:t>
            </w: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(17,746)</w:t>
            </w:r>
          </w:p>
        </w:tc>
        <w:tc>
          <w:tcPr>
            <w:tcW w:w="340" w:type="dxa"/>
            <w:vAlign w:val="bottom"/>
            <w:gridSpan w:val="2"/>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(12,546)</w:t>
            </w:r>
          </w:p>
        </w:tc>
        <w:tc>
          <w:tcPr>
            <w:tcW w:w="2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2,655</w:t>
            </w:r>
          </w:p>
        </w:tc>
        <w:tc>
          <w:tcPr>
            <w:tcW w:w="340" w:type="dxa"/>
            <w:vAlign w:val="bottom"/>
            <w:gridSpan w:val="2"/>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(45,418)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Unrealized gain on investments, net of tax</w:t>
            </w:r>
          </w:p>
        </w:tc>
        <w:tc>
          <w:tcPr>
            <w:tcW w:w="12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Comprehensive (loss) income</w:t>
            </w: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(17,616)</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(12,480)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2,778</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(45,406)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Net (loss) income per share: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bottom w:val="single" w:sz="8" w:color="CFF0FC"/>
            </w:tcBorders>
            <w:shd w:val="clear" w:color="auto" w:fill="CFF0FC"/>
          </w:tcPr>
          <w:p>
            <w:pPr>
              <w:ind w:left="80"/>
              <w:spacing w:after="0" w:line="156" w:lineRule="exact"/>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(0.26)</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(0.46)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ind w:left="80"/>
              <w:spacing w:after="0" w:line="132"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(0.26)</w:t>
            </w:r>
          </w:p>
        </w:tc>
        <w:tc>
          <w:tcPr>
            <w:tcW w:w="340" w:type="dxa"/>
            <w:vAlign w:val="bottom"/>
            <w:gridSpan w:val="2"/>
          </w:tcPr>
          <w:p>
            <w:pPr>
              <w:jc w:val="right"/>
              <w:ind w:right="62"/>
              <w:spacing w:after="0" w:line="13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(0.46)</w:t>
            </w:r>
          </w:p>
        </w:tc>
        <w:tc>
          <w:tcPr>
            <w:tcW w:w="26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3"/>
              <w:spacing w:after="0" w:line="132" w:lineRule="exact"/>
              <w:rPr>
                <w:sz w:val="20"/>
                <w:szCs w:val="20"/>
                <w:color w:val="auto"/>
              </w:rPr>
            </w:pPr>
            <w:r>
              <w:rPr>
                <w:rFonts w:ascii="Times New Roman" w:cs="Times New Roman" w:eastAsia="Times New Roman" w:hAnsi="Times New Roman"/>
                <w:sz w:val="14"/>
                <w:szCs w:val="14"/>
                <w:color w:val="auto"/>
              </w:rPr>
              <w:t>0.04</w:t>
            </w:r>
          </w:p>
        </w:tc>
        <w:tc>
          <w:tcPr>
            <w:tcW w:w="340" w:type="dxa"/>
            <w:vAlign w:val="bottom"/>
            <w:gridSpan w:val="2"/>
          </w:tcPr>
          <w:p>
            <w:pPr>
              <w:jc w:val="right"/>
              <w:ind w:right="62"/>
              <w:spacing w:after="0" w:line="13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55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4"/>
                <w:szCs w:val="14"/>
                <w:color w:val="auto"/>
              </w:rPr>
              <w:t>Weighted average shares outstanding:</w:t>
            </w: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69,204,899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27,041,327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59,417,911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27,010,791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69,204,899</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27,041,327</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60,057,872</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27,010,791</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 w:name="page5"/>
    <w:bookmarkEnd w:id="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WHITEHAWK THERAPEUTICS, INC.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Statements of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including share amounts)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60" w:type="dxa"/>
            <w:vAlign w:val="bottom"/>
            <w:gridSpan w:val="10"/>
          </w:tcPr>
          <w:p>
            <w:pPr>
              <w:jc w:val="right"/>
              <w:ind w:right="843"/>
              <w:spacing w:after="0"/>
              <w:rPr>
                <w:sz w:val="20"/>
                <w:szCs w:val="20"/>
                <w:color w:val="auto"/>
              </w:rPr>
            </w:pPr>
            <w:r>
              <w:rPr>
                <w:rFonts w:ascii="Times New Roman" w:cs="Times New Roman" w:eastAsia="Times New Roman" w:hAnsi="Times New Roman"/>
                <w:sz w:val="13"/>
                <w:szCs w:val="13"/>
                <w:b w:val="1"/>
                <w:bCs w:val="1"/>
                <w:color w:val="auto"/>
              </w:rPr>
              <w:t>For the Three and Nine Months Ended September 30, 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gridSpan w:val="4"/>
          </w:tcPr>
          <w:p>
            <w:pPr>
              <w:jc w:val="right"/>
              <w:ind w:right="644"/>
              <w:spacing w:after="0" w:line="132"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144"/>
              <w:spacing w:after="0" w:line="13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2060" w:type="dxa"/>
            <w:vAlign w:val="bottom"/>
            <w:gridSpan w:val="3"/>
            <w:vMerge w:val="restart"/>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144"/>
              <w:spacing w:after="0" w:line="13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344"/>
              <w:spacing w:after="0" w:line="13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144"/>
              <w:spacing w:after="0" w:line="13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144"/>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18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24,681</w:t>
            </w:r>
          </w:p>
        </w:tc>
        <w:tc>
          <w:tcPr>
            <w:tcW w:w="880" w:type="dxa"/>
            <w:vAlign w:val="bottom"/>
            <w:gridSpan w:val="2"/>
            <w:shd w:val="clear" w:color="auto" w:fill="CFF0FC"/>
          </w:tcPr>
          <w:p>
            <w:pPr>
              <w:jc w:val="right"/>
              <w:ind w:right="654"/>
              <w:spacing w:after="0" w:line="156"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385,114</w:t>
            </w:r>
          </w:p>
        </w:tc>
        <w:tc>
          <w:tcPr>
            <w:tcW w:w="22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16</w:t>
            </w:r>
          </w:p>
        </w:tc>
        <w:tc>
          <w:tcPr>
            <w:tcW w:w="2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(332,654)</w:t>
            </w:r>
          </w:p>
        </w:tc>
        <w:tc>
          <w:tcPr>
            <w:tcW w:w="32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52,478</w:t>
            </w:r>
          </w:p>
        </w:tc>
        <w:tc>
          <w:tcPr>
            <w:tcW w:w="0" w:type="dxa"/>
            <w:vAlign w:val="bottom"/>
          </w:tcPr>
          <w:p>
            <w:pPr>
              <w:spacing w:after="0"/>
              <w:rPr>
                <w:sz w:val="1"/>
                <w:szCs w:val="1"/>
                <w:color w:val="auto"/>
              </w:rPr>
            </w:pPr>
          </w:p>
        </w:tc>
      </w:tr>
      <w:tr>
        <w:trPr>
          <w:trHeight w:val="156"/>
        </w:trPr>
        <w:tc>
          <w:tcPr>
            <w:tcW w:w="300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1,680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1,680</w:t>
            </w:r>
          </w:p>
        </w:tc>
        <w:tc>
          <w:tcPr>
            <w:tcW w:w="0" w:type="dxa"/>
            <w:vAlign w:val="bottom"/>
          </w:tcPr>
          <w:p>
            <w:pPr>
              <w:spacing w:after="0"/>
              <w:rPr>
                <w:sz w:val="1"/>
                <w:szCs w:val="1"/>
                <w:color w:val="auto"/>
              </w:rPr>
            </w:pPr>
          </w:p>
        </w:tc>
      </w:tr>
      <w:tr>
        <w:trPr>
          <w:trHeight w:val="132"/>
        </w:trPr>
        <w:tc>
          <w:tcPr>
            <w:tcW w:w="3000" w:type="dxa"/>
            <w:vAlign w:val="bottom"/>
            <w:shd w:val="clear" w:color="auto" w:fill="CFF0FC"/>
          </w:tcPr>
          <w:p>
            <w:pPr>
              <w:ind w:left="60"/>
              <w:spacing w:after="0" w:line="132"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1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426</w:t>
            </w: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warrants</w:t>
            </w:r>
          </w:p>
        </w:tc>
        <w:tc>
          <w:tcPr>
            <w:tcW w:w="118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000" w:type="dxa"/>
            <w:vAlign w:val="bottom"/>
          </w:tcPr>
          <w:p>
            <w:pPr>
              <w:ind w:left="60"/>
              <w:spacing w:after="0" w:line="132"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18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3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stock options</w:t>
            </w: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000" w:type="dxa"/>
            <w:vAlign w:val="bottom"/>
            <w:shd w:val="clear" w:color="auto" w:fill="CFF0FC"/>
          </w:tcPr>
          <w:p>
            <w:pPr>
              <w:ind w:left="60"/>
              <w:spacing w:after="0" w:line="132" w:lineRule="exact"/>
              <w:rPr>
                <w:sz w:val="20"/>
                <w:szCs w:val="20"/>
                <w:color w:val="auto"/>
              </w:rPr>
            </w:pPr>
            <w:r>
              <w:rPr>
                <w:rFonts w:ascii="Times New Roman" w:cs="Times New Roman" w:eastAsia="Times New Roman" w:hAnsi="Times New Roman"/>
                <w:sz w:val="14"/>
                <w:szCs w:val="14"/>
                <w:color w:val="auto"/>
              </w:rPr>
              <w:t>Issuance of common stock in conjunction</w:t>
            </w:r>
          </w:p>
        </w:tc>
        <w:tc>
          <w:tcPr>
            <w:tcW w:w="118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with vesting of restricted stock units</w:t>
            </w:r>
          </w:p>
        </w:tc>
        <w:tc>
          <w:tcPr>
            <w:tcW w:w="118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0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color w:val="auto"/>
              </w:rPr>
              <w:t>Private placement, net of transaction costs</w:t>
            </w:r>
          </w:p>
        </w:tc>
        <w:tc>
          <w:tcPr>
            <w:tcW w:w="11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21,592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94,546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94,548</w:t>
            </w:r>
          </w:p>
        </w:tc>
        <w:tc>
          <w:tcPr>
            <w:tcW w:w="0" w:type="dxa"/>
            <w:vAlign w:val="bottom"/>
          </w:tcPr>
          <w:p>
            <w:pPr>
              <w:spacing w:after="0"/>
              <w:rPr>
                <w:sz w:val="1"/>
                <w:szCs w:val="1"/>
                <w:color w:val="auto"/>
              </w:rPr>
            </w:pPr>
          </w:p>
        </w:tc>
      </w:tr>
      <w:tr>
        <w:trPr>
          <w:trHeight w:val="276"/>
        </w:trPr>
        <w:tc>
          <w:tcPr>
            <w:tcW w:w="3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Unrealized loss on investments, net of tax</w:t>
            </w:r>
          </w:p>
        </w:tc>
        <w:tc>
          <w:tcPr>
            <w:tcW w:w="11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line="275" w:lineRule="exact"/>
              <w:rPr>
                <w:sz w:val="20"/>
                <w:szCs w:val="20"/>
                <w:color w:val="auto"/>
              </w:rPr>
            </w:pPr>
            <w:r>
              <w:rPr>
                <w:rFonts w:ascii="Times New Roman" w:cs="Times New Roman" w:eastAsia="Times New Roman" w:hAnsi="Times New Roman"/>
                <w:sz w:val="16"/>
                <w:szCs w:val="16"/>
                <w:color w:val="auto"/>
              </w:rPr>
              <w:t>(15</w:t>
            </w:r>
            <w:r>
              <w:rPr>
                <w:rFonts w:ascii="Times New Roman" w:cs="Times New Roman" w:eastAsia="Times New Roman" w:hAnsi="Times New Roman"/>
                <w:sz w:val="31"/>
                <w:szCs w:val="31"/>
                <w:color w:val="auto"/>
                <w:vertAlign w:val="superscript"/>
              </w:rPr>
              <w:t>)</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line="275" w:lineRule="exact"/>
              <w:rPr>
                <w:sz w:val="20"/>
                <w:szCs w:val="20"/>
                <w:color w:val="auto"/>
              </w:rPr>
            </w:pPr>
            <w:r>
              <w:rPr>
                <w:rFonts w:ascii="Times New Roman" w:cs="Times New Roman" w:eastAsia="Times New Roman" w:hAnsi="Times New Roman"/>
                <w:sz w:val="16"/>
                <w:szCs w:val="16"/>
                <w:color w:val="auto"/>
              </w:rPr>
              <w:t>(15</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156"/>
        </w:trPr>
        <w:tc>
          <w:tcPr>
            <w:tcW w:w="300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73,016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73,016</w:t>
            </w:r>
          </w:p>
        </w:tc>
        <w:tc>
          <w:tcPr>
            <w:tcW w:w="0" w:type="dxa"/>
            <w:vAlign w:val="bottom"/>
          </w:tcPr>
          <w:p>
            <w:pPr>
              <w:spacing w:after="0"/>
              <w:rPr>
                <w:sz w:val="1"/>
                <w:szCs w:val="1"/>
                <w:color w:val="auto"/>
              </w:rPr>
            </w:pPr>
          </w:p>
        </w:tc>
      </w:tr>
      <w:tr>
        <w:trPr>
          <w:trHeight w:val="156"/>
        </w:trPr>
        <w:tc>
          <w:tcPr>
            <w:tcW w:w="3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Balance at March 31, 2025</w:t>
            </w:r>
          </w:p>
        </w:tc>
        <w:tc>
          <w:tcPr>
            <w:tcW w:w="118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46,784</w:t>
            </w:r>
          </w:p>
        </w:tc>
        <w:tc>
          <w:tcPr>
            <w:tcW w:w="880" w:type="dxa"/>
            <w:vAlign w:val="bottom"/>
            <w:gridSpan w:val="2"/>
            <w:shd w:val="clear" w:color="auto" w:fill="CFF0FC"/>
          </w:tcPr>
          <w:p>
            <w:pPr>
              <w:jc w:val="right"/>
              <w:ind w:right="654"/>
              <w:spacing w:after="0" w:line="156"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4</w:t>
            </w:r>
          </w:p>
        </w:tc>
        <w:tc>
          <w:tcPr>
            <w:tcW w:w="2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481,361</w:t>
            </w:r>
          </w:p>
        </w:tc>
        <w:tc>
          <w:tcPr>
            <w:tcW w:w="22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(259,638)</w:t>
            </w:r>
          </w:p>
        </w:tc>
        <w:tc>
          <w:tcPr>
            <w:tcW w:w="32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221,728</w:t>
            </w:r>
          </w:p>
        </w:tc>
        <w:tc>
          <w:tcPr>
            <w:tcW w:w="0" w:type="dxa"/>
            <w:vAlign w:val="bottom"/>
          </w:tcPr>
          <w:p>
            <w:pPr>
              <w:spacing w:after="0"/>
              <w:rPr>
                <w:sz w:val="1"/>
                <w:szCs w:val="1"/>
                <w:color w:val="auto"/>
              </w:rPr>
            </w:pPr>
          </w:p>
        </w:tc>
      </w:tr>
      <w:tr>
        <w:trPr>
          <w:trHeight w:val="156"/>
        </w:trPr>
        <w:tc>
          <w:tcPr>
            <w:tcW w:w="300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3,087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3,087</w:t>
            </w:r>
          </w:p>
        </w:tc>
        <w:tc>
          <w:tcPr>
            <w:tcW w:w="0" w:type="dxa"/>
            <w:vAlign w:val="bottom"/>
          </w:tcPr>
          <w:p>
            <w:pPr>
              <w:spacing w:after="0"/>
              <w:rPr>
                <w:sz w:val="1"/>
                <w:szCs w:val="1"/>
                <w:color w:val="auto"/>
              </w:rPr>
            </w:pPr>
          </w:p>
        </w:tc>
      </w:tr>
      <w:tr>
        <w:trPr>
          <w:trHeight w:val="132"/>
        </w:trPr>
        <w:tc>
          <w:tcPr>
            <w:tcW w:w="3000" w:type="dxa"/>
            <w:vAlign w:val="bottom"/>
            <w:shd w:val="clear" w:color="auto" w:fill="CFF0FC"/>
          </w:tcPr>
          <w:p>
            <w:pPr>
              <w:ind w:left="60"/>
              <w:spacing w:after="0" w:line="132"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1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0"/>
        </w:trPr>
        <w:tc>
          <w:tcPr>
            <w:tcW w:w="30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stock options</w:t>
            </w:r>
          </w:p>
        </w:tc>
        <w:tc>
          <w:tcPr>
            <w:tcW w:w="118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000" w:type="dxa"/>
            <w:vAlign w:val="bottom"/>
          </w:tcPr>
          <w:p>
            <w:pPr>
              <w:ind w:left="60"/>
              <w:spacing w:after="0" w:line="132" w:lineRule="exact"/>
              <w:rPr>
                <w:sz w:val="20"/>
                <w:szCs w:val="20"/>
                <w:color w:val="auto"/>
              </w:rPr>
            </w:pPr>
            <w:r>
              <w:rPr>
                <w:rFonts w:ascii="Times New Roman" w:cs="Times New Roman" w:eastAsia="Times New Roman" w:hAnsi="Times New Roman"/>
                <w:sz w:val="14"/>
                <w:szCs w:val="14"/>
                <w:color w:val="auto"/>
              </w:rPr>
              <w:t>Issuance of common stock under the</w:t>
            </w:r>
          </w:p>
        </w:tc>
        <w:tc>
          <w:tcPr>
            <w:tcW w:w="118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80"/>
        </w:trPr>
        <w:tc>
          <w:tcPr>
            <w:tcW w:w="3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employee stock purchase plan</w:t>
            </w: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000" w:type="dxa"/>
            <w:vAlign w:val="bottom"/>
            <w:shd w:val="clear" w:color="auto" w:fill="CFF0FC"/>
          </w:tcPr>
          <w:p>
            <w:pPr>
              <w:ind w:left="60"/>
              <w:spacing w:after="0" w:line="132" w:lineRule="exact"/>
              <w:rPr>
                <w:sz w:val="20"/>
                <w:szCs w:val="20"/>
                <w:color w:val="auto"/>
              </w:rPr>
            </w:pPr>
            <w:r>
              <w:rPr>
                <w:rFonts w:ascii="Times New Roman" w:cs="Times New Roman" w:eastAsia="Times New Roman" w:hAnsi="Times New Roman"/>
                <w:sz w:val="14"/>
                <w:szCs w:val="14"/>
                <w:color w:val="auto"/>
              </w:rPr>
              <w:t>Issuance of common stock in conjunction</w:t>
            </w:r>
          </w:p>
        </w:tc>
        <w:tc>
          <w:tcPr>
            <w:tcW w:w="11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with vesting of restricted stock units</w:t>
            </w:r>
          </w:p>
        </w:tc>
        <w:tc>
          <w:tcPr>
            <w:tcW w:w="118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0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color w:val="auto"/>
              </w:rPr>
              <w:t>Private placement transaction costs</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156"/>
        </w:trPr>
        <w:tc>
          <w:tcPr>
            <w:tcW w:w="300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6"/>
                <w:szCs w:val="16"/>
                <w:color w:val="auto"/>
              </w:rPr>
              <w:t>Unrealized gain on investments, net of tax</w:t>
            </w:r>
          </w:p>
        </w:tc>
        <w:tc>
          <w:tcPr>
            <w:tcW w:w="118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56"/>
        </w:trPr>
        <w:tc>
          <w:tcPr>
            <w:tcW w:w="300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color w:val="auto"/>
              </w:rPr>
              <w:t>Net loss</w:t>
            </w:r>
          </w:p>
        </w:tc>
        <w:tc>
          <w:tcPr>
            <w:tcW w:w="11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(52,615)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(52,615)</w:t>
            </w:r>
          </w:p>
        </w:tc>
        <w:tc>
          <w:tcPr>
            <w:tcW w:w="0" w:type="dxa"/>
            <w:vAlign w:val="bottom"/>
          </w:tcPr>
          <w:p>
            <w:pPr>
              <w:spacing w:after="0"/>
              <w:rPr>
                <w:sz w:val="1"/>
                <w:szCs w:val="1"/>
                <w:color w:val="auto"/>
              </w:rPr>
            </w:pPr>
          </w:p>
        </w:tc>
      </w:tr>
      <w:tr>
        <w:trPr>
          <w:trHeight w:val="156"/>
        </w:trPr>
        <w:tc>
          <w:tcPr>
            <w:tcW w:w="3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Balance at June 30, 2025</w:t>
            </w:r>
          </w:p>
        </w:tc>
        <w:tc>
          <w:tcPr>
            <w:tcW w:w="118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47,128</w:t>
            </w:r>
          </w:p>
        </w:tc>
        <w:tc>
          <w:tcPr>
            <w:tcW w:w="880" w:type="dxa"/>
            <w:vAlign w:val="bottom"/>
            <w:gridSpan w:val="2"/>
            <w:shd w:val="clear" w:color="auto" w:fill="CFF0FC"/>
          </w:tcPr>
          <w:p>
            <w:pPr>
              <w:jc w:val="right"/>
              <w:ind w:right="654"/>
              <w:spacing w:after="0" w:line="156"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4</w:t>
            </w:r>
          </w:p>
        </w:tc>
        <w:tc>
          <w:tcPr>
            <w:tcW w:w="2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484,306</w:t>
            </w:r>
          </w:p>
        </w:tc>
        <w:tc>
          <w:tcPr>
            <w:tcW w:w="22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9</w:t>
            </w:r>
          </w:p>
        </w:tc>
        <w:tc>
          <w:tcPr>
            <w:tcW w:w="2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(312,253)</w:t>
            </w:r>
          </w:p>
        </w:tc>
        <w:tc>
          <w:tcPr>
            <w:tcW w:w="32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172,066</w:t>
            </w:r>
          </w:p>
        </w:tc>
        <w:tc>
          <w:tcPr>
            <w:tcW w:w="0" w:type="dxa"/>
            <w:vAlign w:val="bottom"/>
          </w:tcPr>
          <w:p>
            <w:pPr>
              <w:spacing w:after="0"/>
              <w:rPr>
                <w:sz w:val="1"/>
                <w:szCs w:val="1"/>
                <w:color w:val="auto"/>
              </w:rPr>
            </w:pPr>
          </w:p>
        </w:tc>
      </w:tr>
      <w:tr>
        <w:trPr>
          <w:trHeight w:val="156"/>
        </w:trPr>
        <w:tc>
          <w:tcPr>
            <w:tcW w:w="300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2,718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2,718</w:t>
            </w:r>
          </w:p>
        </w:tc>
        <w:tc>
          <w:tcPr>
            <w:tcW w:w="0" w:type="dxa"/>
            <w:vAlign w:val="bottom"/>
          </w:tcPr>
          <w:p>
            <w:pPr>
              <w:spacing w:after="0"/>
              <w:rPr>
                <w:sz w:val="1"/>
                <w:szCs w:val="1"/>
                <w:color w:val="auto"/>
              </w:rPr>
            </w:pPr>
          </w:p>
        </w:tc>
      </w:tr>
      <w:tr>
        <w:trPr>
          <w:trHeight w:val="156"/>
        </w:trPr>
        <w:tc>
          <w:tcPr>
            <w:tcW w:w="300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6"/>
                <w:szCs w:val="16"/>
                <w:color w:val="auto"/>
              </w:rPr>
              <w:t>Unrealized gain on investments, net of tax</w:t>
            </w:r>
          </w:p>
        </w:tc>
        <w:tc>
          <w:tcPr>
            <w:tcW w:w="118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56"/>
        </w:trPr>
        <w:tc>
          <w:tcPr>
            <w:tcW w:w="300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color w:val="auto"/>
              </w:rPr>
              <w:t>Net loss</w:t>
            </w:r>
          </w:p>
        </w:tc>
        <w:tc>
          <w:tcPr>
            <w:tcW w:w="11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(17,746)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(17,746)</w:t>
            </w: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Balance at September 30, 2025</w:t>
            </w:r>
          </w:p>
        </w:tc>
        <w:tc>
          <w:tcPr>
            <w:tcW w:w="118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47,128</w:t>
            </w:r>
          </w:p>
        </w:tc>
        <w:tc>
          <w:tcPr>
            <w:tcW w:w="880" w:type="dxa"/>
            <w:vAlign w:val="bottom"/>
            <w:gridSpan w:val="2"/>
            <w:shd w:val="clear" w:color="auto" w:fill="CFF0FC"/>
          </w:tcPr>
          <w:p>
            <w:pPr>
              <w:jc w:val="right"/>
              <w:ind w:right="654"/>
              <w:spacing w:after="0" w:line="156"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4</w:t>
            </w:r>
          </w:p>
        </w:tc>
        <w:tc>
          <w:tcPr>
            <w:tcW w:w="2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487,024</w:t>
            </w:r>
          </w:p>
        </w:tc>
        <w:tc>
          <w:tcPr>
            <w:tcW w:w="22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139</w:t>
            </w:r>
          </w:p>
        </w:tc>
        <w:tc>
          <w:tcPr>
            <w:tcW w:w="2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(329,999)</w:t>
            </w:r>
          </w:p>
        </w:tc>
        <w:tc>
          <w:tcPr>
            <w:tcW w:w="32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157,168</w:t>
            </w:r>
          </w:p>
        </w:tc>
        <w:tc>
          <w:tcPr>
            <w:tcW w:w="0" w:type="dxa"/>
            <w:vAlign w:val="bottom"/>
          </w:tcPr>
          <w:p>
            <w:pPr>
              <w:spacing w:after="0"/>
              <w:rPr>
                <w:sz w:val="1"/>
                <w:szCs w:val="1"/>
                <w:color w:val="auto"/>
              </w:rPr>
            </w:pPr>
          </w:p>
        </w:tc>
      </w:tr>
      <w:tr>
        <w:trPr>
          <w:trHeight w:val="502"/>
        </w:trPr>
        <w:tc>
          <w:tcPr>
            <w:tcW w:w="300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300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 w:name="page6"/>
    <w:bookmarkEnd w:id="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60" w:type="dxa"/>
            <w:vAlign w:val="bottom"/>
            <w:gridSpan w:val="10"/>
          </w:tcPr>
          <w:p>
            <w:pPr>
              <w:jc w:val="right"/>
              <w:ind w:right="843"/>
              <w:spacing w:after="0"/>
              <w:rPr>
                <w:sz w:val="20"/>
                <w:szCs w:val="20"/>
                <w:color w:val="auto"/>
              </w:rPr>
            </w:pPr>
            <w:r>
              <w:rPr>
                <w:rFonts w:ascii="Times New Roman" w:cs="Times New Roman" w:eastAsia="Times New Roman" w:hAnsi="Times New Roman"/>
                <w:sz w:val="13"/>
                <w:szCs w:val="13"/>
                <w:b w:val="1"/>
                <w:bCs w:val="1"/>
                <w:color w:val="auto"/>
              </w:rPr>
              <w:t>For the Three and Nine Months Ended September 30, 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gridSpan w:val="4"/>
          </w:tcPr>
          <w:p>
            <w:pPr>
              <w:jc w:val="right"/>
              <w:ind w:right="645"/>
              <w:spacing w:after="0" w:line="132"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145"/>
              <w:spacing w:after="0" w:line="13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2060" w:type="dxa"/>
            <w:vAlign w:val="bottom"/>
            <w:gridSpan w:val="3"/>
            <w:vMerge w:val="restart"/>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145"/>
              <w:spacing w:after="0" w:line="13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345"/>
              <w:spacing w:after="0" w:line="13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145"/>
              <w:spacing w:after="0" w:line="13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145"/>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18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24,554</w:t>
            </w:r>
          </w:p>
        </w:tc>
        <w:tc>
          <w:tcPr>
            <w:tcW w:w="880" w:type="dxa"/>
            <w:vAlign w:val="bottom"/>
            <w:gridSpan w:val="2"/>
            <w:shd w:val="clear" w:color="auto" w:fill="CFF0FC"/>
          </w:tcPr>
          <w:p>
            <w:pPr>
              <w:jc w:val="right"/>
              <w:ind w:right="654"/>
              <w:spacing w:after="0" w:line="156"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5"/>
              <w:spacing w:after="0" w:line="156" w:lineRule="exact"/>
              <w:rPr>
                <w:sz w:val="20"/>
                <w:szCs w:val="20"/>
                <w:color w:val="auto"/>
              </w:rPr>
            </w:pPr>
            <w:r>
              <w:rPr>
                <w:rFonts w:ascii="Times New Roman" w:cs="Times New Roman" w:eastAsia="Times New Roman" w:hAnsi="Times New Roman"/>
                <w:sz w:val="16"/>
                <w:szCs w:val="16"/>
                <w:color w:val="auto"/>
              </w:rPr>
              <w:t>374,129</w:t>
            </w:r>
          </w:p>
        </w:tc>
        <w:tc>
          <w:tcPr>
            <w:tcW w:w="22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27</w:t>
            </w:r>
          </w:p>
        </w:tc>
        <w:tc>
          <w:tcPr>
            <w:tcW w:w="2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(268,963)</w:t>
            </w:r>
          </w:p>
        </w:tc>
        <w:tc>
          <w:tcPr>
            <w:tcW w:w="32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105,195</w:t>
            </w:r>
          </w:p>
        </w:tc>
        <w:tc>
          <w:tcPr>
            <w:tcW w:w="0" w:type="dxa"/>
            <w:vAlign w:val="bottom"/>
          </w:tcPr>
          <w:p>
            <w:pPr>
              <w:spacing w:after="0"/>
              <w:rPr>
                <w:sz w:val="1"/>
                <w:szCs w:val="1"/>
                <w:color w:val="auto"/>
              </w:rPr>
            </w:pPr>
          </w:p>
        </w:tc>
      </w:tr>
      <w:tr>
        <w:trPr>
          <w:trHeight w:val="156"/>
        </w:trPr>
        <w:tc>
          <w:tcPr>
            <w:tcW w:w="300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5"/>
              <w:spacing w:after="0" w:line="156" w:lineRule="exact"/>
              <w:rPr>
                <w:sz w:val="20"/>
                <w:szCs w:val="20"/>
                <w:color w:val="auto"/>
              </w:rPr>
            </w:pPr>
            <w:r>
              <w:rPr>
                <w:rFonts w:ascii="Times New Roman" w:cs="Times New Roman" w:eastAsia="Times New Roman" w:hAnsi="Times New Roman"/>
                <w:sz w:val="16"/>
                <w:szCs w:val="16"/>
                <w:color w:val="auto"/>
              </w:rPr>
              <w:t>3,589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3,589</w:t>
            </w:r>
          </w:p>
        </w:tc>
        <w:tc>
          <w:tcPr>
            <w:tcW w:w="0" w:type="dxa"/>
            <w:vAlign w:val="bottom"/>
          </w:tcPr>
          <w:p>
            <w:pPr>
              <w:spacing w:after="0"/>
              <w:rPr>
                <w:sz w:val="1"/>
                <w:szCs w:val="1"/>
                <w:color w:val="auto"/>
              </w:rPr>
            </w:pPr>
          </w:p>
        </w:tc>
      </w:tr>
      <w:tr>
        <w:trPr>
          <w:trHeight w:val="156"/>
        </w:trPr>
        <w:tc>
          <w:tcPr>
            <w:tcW w:w="300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6"/>
                <w:szCs w:val="16"/>
                <w:color w:val="auto"/>
              </w:rPr>
              <w:t>Unrealized loss on investments, net of tax</w:t>
            </w:r>
          </w:p>
        </w:tc>
        <w:tc>
          <w:tcPr>
            <w:tcW w:w="118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56"/>
        </w:trPr>
        <w:tc>
          <w:tcPr>
            <w:tcW w:w="300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color w:val="auto"/>
              </w:rPr>
              <w:t>Net loss</w:t>
            </w:r>
          </w:p>
        </w:tc>
        <w:tc>
          <w:tcPr>
            <w:tcW w:w="11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(18,289)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(18,289)</w:t>
            </w:r>
          </w:p>
        </w:tc>
        <w:tc>
          <w:tcPr>
            <w:tcW w:w="0" w:type="dxa"/>
            <w:vAlign w:val="bottom"/>
          </w:tcPr>
          <w:p>
            <w:pPr>
              <w:spacing w:after="0"/>
              <w:rPr>
                <w:sz w:val="1"/>
                <w:szCs w:val="1"/>
                <w:color w:val="auto"/>
              </w:rPr>
            </w:pPr>
          </w:p>
        </w:tc>
      </w:tr>
      <w:tr>
        <w:trPr>
          <w:trHeight w:val="156"/>
        </w:trPr>
        <w:tc>
          <w:tcPr>
            <w:tcW w:w="30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Balance at March 31, 2024</w:t>
            </w:r>
          </w:p>
        </w:tc>
        <w:tc>
          <w:tcPr>
            <w:tcW w:w="118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24,554</w:t>
            </w:r>
          </w:p>
        </w:tc>
        <w:tc>
          <w:tcPr>
            <w:tcW w:w="880" w:type="dxa"/>
            <w:vAlign w:val="bottom"/>
            <w:gridSpan w:val="2"/>
            <w:shd w:val="clear" w:color="auto" w:fill="CFF0FC"/>
          </w:tcPr>
          <w:p>
            <w:pPr>
              <w:jc w:val="right"/>
              <w:ind w:right="654"/>
              <w:spacing w:after="0" w:line="156"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5"/>
              <w:spacing w:after="0" w:line="156" w:lineRule="exact"/>
              <w:rPr>
                <w:sz w:val="20"/>
                <w:szCs w:val="20"/>
                <w:color w:val="auto"/>
              </w:rPr>
            </w:pPr>
            <w:r>
              <w:rPr>
                <w:rFonts w:ascii="Times New Roman" w:cs="Times New Roman" w:eastAsia="Times New Roman" w:hAnsi="Times New Roman"/>
                <w:sz w:val="16"/>
                <w:szCs w:val="16"/>
                <w:color w:val="auto"/>
              </w:rPr>
              <w:t>377,718</w:t>
            </w:r>
          </w:p>
        </w:tc>
        <w:tc>
          <w:tcPr>
            <w:tcW w:w="22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(8)</w:t>
            </w:r>
          </w:p>
        </w:tc>
        <w:tc>
          <w:tcPr>
            <w:tcW w:w="2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(287,252)</w:t>
            </w:r>
          </w:p>
        </w:tc>
        <w:tc>
          <w:tcPr>
            <w:tcW w:w="32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90,460</w:t>
            </w:r>
          </w:p>
        </w:tc>
        <w:tc>
          <w:tcPr>
            <w:tcW w:w="0" w:type="dxa"/>
            <w:vAlign w:val="bottom"/>
          </w:tcPr>
          <w:p>
            <w:pPr>
              <w:spacing w:after="0"/>
              <w:rPr>
                <w:sz w:val="1"/>
                <w:szCs w:val="1"/>
                <w:color w:val="auto"/>
              </w:rPr>
            </w:pPr>
          </w:p>
        </w:tc>
      </w:tr>
      <w:tr>
        <w:trPr>
          <w:trHeight w:val="203"/>
        </w:trPr>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2,839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restart"/>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2,839</w:t>
            </w:r>
          </w:p>
        </w:tc>
        <w:tc>
          <w:tcPr>
            <w:tcW w:w="0" w:type="dxa"/>
            <w:vAlign w:val="bottom"/>
          </w:tcPr>
          <w:p>
            <w:pPr>
              <w:spacing w:after="0"/>
              <w:rPr>
                <w:sz w:val="1"/>
                <w:szCs w:val="1"/>
                <w:color w:val="auto"/>
              </w:rPr>
            </w:pPr>
          </w:p>
        </w:tc>
      </w:tr>
      <w:tr>
        <w:trPr>
          <w:trHeight w:val="61"/>
        </w:trPr>
        <w:tc>
          <w:tcPr>
            <w:tcW w:w="30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3000" w:type="dxa"/>
            <w:vAlign w:val="bottom"/>
            <w:shd w:val="clear" w:color="auto" w:fill="CFF0FC"/>
          </w:tcPr>
          <w:p>
            <w:pPr>
              <w:ind w:left="60"/>
              <w:spacing w:after="0" w:line="132" w:lineRule="exact"/>
              <w:rPr>
                <w:sz w:val="20"/>
                <w:szCs w:val="20"/>
                <w:color w:val="auto"/>
              </w:rPr>
            </w:pPr>
            <w:r>
              <w:rPr>
                <w:rFonts w:ascii="Times New Roman" w:cs="Times New Roman" w:eastAsia="Times New Roman" w:hAnsi="Times New Roman"/>
                <w:sz w:val="14"/>
                <w:szCs w:val="14"/>
                <w:color w:val="auto"/>
              </w:rPr>
              <w:t>Issuance of shares under the employee stock</w:t>
            </w:r>
          </w:p>
        </w:tc>
        <w:tc>
          <w:tcPr>
            <w:tcW w:w="118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80"/>
        </w:trPr>
        <w:tc>
          <w:tcPr>
            <w:tcW w:w="30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purchase plan</w:t>
            </w:r>
          </w:p>
        </w:tc>
        <w:tc>
          <w:tcPr>
            <w:tcW w:w="118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Unrealized loss on investments, net of tax</w:t>
            </w:r>
          </w:p>
        </w:tc>
        <w:tc>
          <w:tcPr>
            <w:tcW w:w="11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0"/>
        </w:trPr>
        <w:tc>
          <w:tcPr>
            <w:tcW w:w="30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11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(14,583)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(14,583)</w:t>
            </w:r>
          </w:p>
        </w:tc>
        <w:tc>
          <w:tcPr>
            <w:tcW w:w="0" w:type="dxa"/>
            <w:vAlign w:val="bottom"/>
          </w:tcPr>
          <w:p>
            <w:pPr>
              <w:spacing w:after="0"/>
              <w:rPr>
                <w:sz w:val="1"/>
                <w:szCs w:val="1"/>
                <w:color w:val="auto"/>
              </w:rPr>
            </w:pPr>
          </w:p>
        </w:tc>
      </w:tr>
      <w:tr>
        <w:trPr>
          <w:trHeight w:val="156"/>
        </w:trPr>
        <w:tc>
          <w:tcPr>
            <w:tcW w:w="3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Balance at June 30, 2024</w:t>
            </w:r>
          </w:p>
        </w:tc>
        <w:tc>
          <w:tcPr>
            <w:tcW w:w="11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24,615</w:t>
            </w:r>
          </w:p>
        </w:tc>
        <w:tc>
          <w:tcPr>
            <w:tcW w:w="880" w:type="dxa"/>
            <w:vAlign w:val="bottom"/>
            <w:gridSpan w:val="2"/>
          </w:tcPr>
          <w:p>
            <w:pPr>
              <w:jc w:val="right"/>
              <w:ind w:right="654"/>
              <w:spacing w:after="0" w:line="156"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
              <w:spacing w:after="0" w:line="156" w:lineRule="exact"/>
              <w:rPr>
                <w:sz w:val="20"/>
                <w:szCs w:val="20"/>
                <w:color w:val="auto"/>
              </w:rPr>
            </w:pPr>
            <w:r>
              <w:rPr>
                <w:rFonts w:ascii="Times New Roman" w:cs="Times New Roman" w:eastAsia="Times New Roman" w:hAnsi="Times New Roman"/>
                <w:sz w:val="16"/>
                <w:szCs w:val="16"/>
                <w:color w:val="auto"/>
              </w:rPr>
              <w:t>380,651</w:t>
            </w:r>
          </w:p>
        </w:tc>
        <w:tc>
          <w:tcPr>
            <w:tcW w:w="2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(27)</w:t>
            </w:r>
          </w:p>
        </w:tc>
        <w:tc>
          <w:tcPr>
            <w:tcW w:w="2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(301,835)</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78,791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5"/>
              <w:spacing w:after="0" w:line="156" w:lineRule="exact"/>
              <w:rPr>
                <w:sz w:val="20"/>
                <w:szCs w:val="20"/>
                <w:color w:val="auto"/>
              </w:rPr>
            </w:pPr>
            <w:r>
              <w:rPr>
                <w:rFonts w:ascii="Times New Roman" w:cs="Times New Roman" w:eastAsia="Times New Roman" w:hAnsi="Times New Roman"/>
                <w:sz w:val="16"/>
                <w:szCs w:val="16"/>
                <w:color w:val="auto"/>
              </w:rPr>
              <w:t>2,557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2,557</w:t>
            </w:r>
          </w:p>
        </w:tc>
        <w:tc>
          <w:tcPr>
            <w:tcW w:w="0" w:type="dxa"/>
            <w:vAlign w:val="bottom"/>
          </w:tcPr>
          <w:p>
            <w:pPr>
              <w:spacing w:after="0"/>
              <w:rPr>
                <w:sz w:val="1"/>
                <w:szCs w:val="1"/>
                <w:color w:val="auto"/>
              </w:rPr>
            </w:pPr>
          </w:p>
        </w:tc>
      </w:tr>
      <w:tr>
        <w:trPr>
          <w:trHeight w:val="180"/>
        </w:trPr>
        <w:tc>
          <w:tcPr>
            <w:tcW w:w="3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Unrealized gain on investments, net of tax</w:t>
            </w:r>
          </w:p>
        </w:tc>
        <w:tc>
          <w:tcPr>
            <w:tcW w:w="11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80"/>
        </w:trPr>
        <w:tc>
          <w:tcPr>
            <w:tcW w:w="30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11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(12,546)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(12,546)</w:t>
            </w:r>
          </w:p>
        </w:tc>
        <w:tc>
          <w:tcPr>
            <w:tcW w:w="0" w:type="dxa"/>
            <w:vAlign w:val="bottom"/>
          </w:tcPr>
          <w:p>
            <w:pPr>
              <w:spacing w:after="0"/>
              <w:rPr>
                <w:sz w:val="1"/>
                <w:szCs w:val="1"/>
                <w:color w:val="auto"/>
              </w:rPr>
            </w:pPr>
          </w:p>
        </w:tc>
      </w:tr>
      <w:tr>
        <w:trPr>
          <w:trHeight w:val="156"/>
        </w:trPr>
        <w:tc>
          <w:tcPr>
            <w:tcW w:w="3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Balance at September 30, 2024</w:t>
            </w:r>
          </w:p>
        </w:tc>
        <w:tc>
          <w:tcPr>
            <w:tcW w:w="118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24,615</w:t>
            </w:r>
          </w:p>
        </w:tc>
        <w:tc>
          <w:tcPr>
            <w:tcW w:w="880" w:type="dxa"/>
            <w:vAlign w:val="bottom"/>
            <w:gridSpan w:val="2"/>
          </w:tcPr>
          <w:p>
            <w:pPr>
              <w:jc w:val="right"/>
              <w:ind w:right="654"/>
              <w:spacing w:after="0" w:line="156"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43"/>
              <w:spacing w:after="0" w:line="156"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
              <w:spacing w:after="0" w:line="156" w:lineRule="exact"/>
              <w:rPr>
                <w:sz w:val="20"/>
                <w:szCs w:val="20"/>
                <w:color w:val="auto"/>
              </w:rPr>
            </w:pPr>
            <w:r>
              <w:rPr>
                <w:rFonts w:ascii="Times New Roman" w:cs="Times New Roman" w:eastAsia="Times New Roman" w:hAnsi="Times New Roman"/>
                <w:sz w:val="16"/>
                <w:szCs w:val="16"/>
                <w:color w:val="auto"/>
              </w:rPr>
              <w:t>383,208</w:t>
            </w:r>
          </w:p>
        </w:tc>
        <w:tc>
          <w:tcPr>
            <w:tcW w:w="2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39</w:t>
            </w:r>
          </w:p>
        </w:tc>
        <w:tc>
          <w:tcPr>
            <w:tcW w:w="2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(314,381)</w:t>
            </w:r>
          </w:p>
        </w:tc>
        <w:tc>
          <w:tcPr>
            <w:tcW w:w="3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68,868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 w:name="page7"/>
    <w:bookmarkEnd w:id="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WHITEHAWK THERAPEUTICS, INC.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Statements of Cash Flows</w:t>
      </w:r>
    </w:p>
    <w:p>
      <w:pPr>
        <w:spacing w:after="0" w:line="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4"/>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602"/>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Net income (loss)</w:t>
            </w:r>
          </w:p>
        </w:tc>
        <w:tc>
          <w:tcPr>
            <w:tcW w:w="134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2,655</w:t>
            </w:r>
          </w:p>
        </w:tc>
        <w:tc>
          <w:tcPr>
            <w:tcW w:w="50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(45,418)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240"/>
              <w:spacing w:after="0" w:line="156" w:lineRule="exact"/>
              <w:rPr>
                <w:sz w:val="20"/>
                <w:szCs w:val="20"/>
                <w:color w:val="auto"/>
              </w:rPr>
            </w:pPr>
            <w:r>
              <w:rPr>
                <w:rFonts w:ascii="Times New Roman" w:cs="Times New Roman" w:eastAsia="Times New Roman" w:hAnsi="Times New Roman"/>
                <w:sz w:val="16"/>
                <w:szCs w:val="16"/>
                <w:color w:val="auto"/>
              </w:rPr>
              <w:t>Share-based compensation expense</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7,485</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8,985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6"/>
                <w:szCs w:val="16"/>
                <w:color w:val="auto"/>
              </w:rPr>
              <w:t>Gain on sale of business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(87,266)</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240"/>
              <w:spacing w:after="0" w:line="156" w:lineRule="exact"/>
              <w:rPr>
                <w:sz w:val="20"/>
                <w:szCs w:val="20"/>
                <w:color w:val="auto"/>
              </w:rPr>
            </w:pPr>
            <w:r>
              <w:rPr>
                <w:rFonts w:ascii="Times New Roman" w:cs="Times New Roman" w:eastAsia="Times New Roman" w:hAnsi="Times New Roman"/>
                <w:sz w:val="16"/>
                <w:szCs w:val="16"/>
                <w:color w:val="auto"/>
              </w:rPr>
              <w:t>Discount amortization on short-term investments</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(696)</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6"/>
                <w:szCs w:val="16"/>
                <w:color w:val="auto"/>
              </w:rPr>
              <w:t>Non-cash interest expense</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240"/>
              <w:spacing w:after="0" w:line="156" w:lineRule="exact"/>
              <w:rPr>
                <w:sz w:val="20"/>
                <w:szCs w:val="20"/>
                <w:color w:val="auto"/>
              </w:rPr>
            </w:pPr>
            <w:r>
              <w:rPr>
                <w:rFonts w:ascii="Times New Roman" w:cs="Times New Roman" w:eastAsia="Times New Roman" w:hAnsi="Times New Roman"/>
                <w:sz w:val="16"/>
                <w:szCs w:val="16"/>
                <w:color w:val="auto"/>
              </w:rPr>
              <w:t>Non-cash lease expense</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6"/>
                <w:szCs w:val="16"/>
                <w:color w:val="auto"/>
              </w:rPr>
              <w:t>Depreciation expense</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78</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6"/>
                <w:szCs w:val="16"/>
                <w:color w:val="auto"/>
              </w:rPr>
              <w:t>Accounts receivable</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(1,052)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240"/>
              <w:spacing w:after="0" w:line="156" w:lineRule="exact"/>
              <w:rPr>
                <w:sz w:val="20"/>
                <w:szCs w:val="20"/>
                <w:color w:val="auto"/>
              </w:rPr>
            </w:pPr>
            <w:r>
              <w:rPr>
                <w:rFonts w:ascii="Times New Roman" w:cs="Times New Roman" w:eastAsia="Times New Roman" w:hAnsi="Times New Roman"/>
                <w:sz w:val="16"/>
                <w:szCs w:val="16"/>
                <w:color w:val="auto"/>
              </w:rPr>
              <w:t>Inventory</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170</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(59)</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2,606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240"/>
              <w:spacing w:after="0" w:line="156" w:lineRule="exact"/>
              <w:rPr>
                <w:sz w:val="20"/>
                <w:szCs w:val="20"/>
                <w:color w:val="auto"/>
              </w:rPr>
            </w:pPr>
            <w:r>
              <w:rPr>
                <w:rFonts w:ascii="Times New Roman" w:cs="Times New Roman" w:eastAsia="Times New Roman" w:hAnsi="Times New Roman"/>
                <w:sz w:val="16"/>
                <w:szCs w:val="16"/>
                <w:color w:val="auto"/>
              </w:rPr>
              <w:t>Other non -current assets</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(601)</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(89)</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240"/>
              <w:spacing w:after="0" w:line="156" w:lineRule="exact"/>
              <w:rPr>
                <w:sz w:val="20"/>
                <w:szCs w:val="20"/>
                <w:color w:val="auto"/>
              </w:rPr>
            </w:pPr>
            <w:r>
              <w:rPr>
                <w:rFonts w:ascii="Times New Roman" w:cs="Times New Roman" w:eastAsia="Times New Roman" w:hAnsi="Times New Roman"/>
                <w:sz w:val="16"/>
                <w:szCs w:val="16"/>
                <w:color w:val="auto"/>
              </w:rPr>
              <w:t>Accounts payable and accrued liabilities</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(748)</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(10,365)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6"/>
                <w:szCs w:val="16"/>
                <w:color w:val="auto"/>
              </w:rPr>
              <w:t>Other liabilities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(202)</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(80,199)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(44,497)</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240"/>
              <w:spacing w:after="0" w:line="156" w:lineRule="exact"/>
              <w:rPr>
                <w:sz w:val="20"/>
                <w:szCs w:val="20"/>
                <w:color w:val="auto"/>
              </w:rPr>
            </w:pPr>
            <w:r>
              <w:rPr>
                <w:rFonts w:ascii="Times New Roman" w:cs="Times New Roman" w:eastAsia="Times New Roman" w:hAnsi="Times New Roman"/>
                <w:sz w:val="16"/>
                <w:szCs w:val="16"/>
                <w:color w:val="auto"/>
              </w:rPr>
              <w:t>Proceeds from sale of business, net cash, cash equivalents, and restricted cash</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101,286</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6"/>
                <w:szCs w:val="16"/>
                <w:color w:val="auto"/>
              </w:rPr>
              <w:t>Purchases of property and equipment</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(552)</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240"/>
              <w:spacing w:after="0" w:line="156" w:lineRule="exact"/>
              <w:rPr>
                <w:sz w:val="20"/>
                <w:szCs w:val="20"/>
                <w:color w:val="auto"/>
              </w:rPr>
            </w:pPr>
            <w:r>
              <w:rPr>
                <w:rFonts w:ascii="Times New Roman" w:cs="Times New Roman" w:eastAsia="Times New Roman" w:hAnsi="Times New Roman"/>
                <w:sz w:val="16"/>
                <w:szCs w:val="16"/>
                <w:color w:val="auto"/>
              </w:rPr>
              <w:t>Purchase of short-term investments</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(125,770)</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(36,483)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6"/>
                <w:szCs w:val="16"/>
                <w:color w:val="auto"/>
              </w:rPr>
              <w:t>Maturity of short-term investments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20,081</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50,020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(4,955)</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12,069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240"/>
              <w:spacing w:after="0" w:line="156" w:lineRule="exact"/>
              <w:rPr>
                <w:sz w:val="20"/>
                <w:szCs w:val="20"/>
                <w:color w:val="auto"/>
              </w:rPr>
            </w:pPr>
            <w:r>
              <w:rPr>
                <w:rFonts w:ascii="Times New Roman" w:cs="Times New Roman" w:eastAsia="Times New Roman" w:hAnsi="Times New Roman"/>
                <w:sz w:val="16"/>
                <w:szCs w:val="16"/>
                <w:color w:val="auto"/>
              </w:rPr>
              <w:t>Proceeds from sale of common stock and prefunded warrants in PIPE financing</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100,002</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24</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240"/>
              <w:spacing w:after="0" w:line="156" w:lineRule="exact"/>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6"/>
                <w:szCs w:val="16"/>
                <w:color w:val="auto"/>
              </w:rPr>
              <w:t>Payment of PIPE financing related transaction costs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(5,625)</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ind w:left="240"/>
              <w:spacing w:after="0" w:line="156" w:lineRule="exact"/>
              <w:rPr>
                <w:sz w:val="20"/>
                <w:szCs w:val="20"/>
                <w:color w:val="auto"/>
              </w:rPr>
            </w:pPr>
            <w:r>
              <w:rPr>
                <w:rFonts w:ascii="Times New Roman" w:cs="Times New Roman" w:eastAsia="Times New Roman" w:hAnsi="Times New Roman"/>
                <w:sz w:val="16"/>
                <w:szCs w:val="16"/>
                <w:color w:val="auto"/>
              </w:rPr>
              <w:t>Deferred offering costs paid for financing</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94,351</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9,197</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(32,351)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28,734</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62,952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34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37,931</w:t>
            </w:r>
          </w:p>
        </w:tc>
        <w:tc>
          <w:tcPr>
            <w:tcW w:w="50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30,601</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6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2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Interest paid during the period</w:t>
            </w:r>
          </w:p>
        </w:tc>
        <w:tc>
          <w:tcPr>
            <w:tcW w:w="134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Accrued property and equipment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 w:name="page8"/>
    <w:bookmarkEnd w:id="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FINANCIAL STATEMENTS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Nature of Organization and Operations</w:t>
      </w:r>
    </w:p>
    <w:p>
      <w:pPr>
        <w:spacing w:after="0" w:line="178"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Whitehawk Therapeutics, Inc. (the "Company") is an oncology therapeutics company applying advanced technologies to established tumor biology that are intended to efficiently deliver improved cancer treatments. The Company has deep experience in chemistry, formulation, and drug delivery, as well as research, clinical, and commercial pharmaceutical development, and taking product candidates from the clinic to approval, launch, and commercialization.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Current ADC Business</w:t>
      </w:r>
    </w:p>
    <w:p>
      <w:pPr>
        <w:spacing w:after="0" w:line="180"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6"/>
          <w:szCs w:val="16"/>
          <w:color w:val="auto"/>
        </w:rPr>
        <w:t>On December 19, 2024, the Company entered into an intellectual property license agreement (the “WuXi License Agreement”) with WuXi Biologics (Shanghai FX) Co., Ltd. (“WuXi Biologics”) for the development and global commercialization of a portfolio of three next generation antibody drug conjugates (“ADCs”) targeting clinically validated, broadly overexpressed tumor antigens in high potential cancer indications with significant unmet need. Refer to Note 12 for further information on the WuXi Biologics License Agreement and its terms.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Legacy FYARRO Business</w:t>
      </w:r>
      <w:r>
        <w:rPr>
          <w:rFonts w:ascii="Times New Roman" w:cs="Times New Roman" w:eastAsia="Times New Roman" w:hAnsi="Times New Roman"/>
          <w:sz w:val="16"/>
          <w:szCs w:val="16"/>
          <w:b w:val="1"/>
          <w:bCs w:val="1"/>
          <w:color w:val="auto"/>
        </w:rPr>
        <w:t>.</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For the periods presented and through the FYARRO Divestiture (as defined below), the Company's lead drug product was FYARRO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(sirolimus protein-bound particles for injectable suspension (albumin-bound); nab-sirolimus), which combines two established technologies - nanoparticle albumin-bound (nab) technology and the anti-cancer agent, sirolimus. The Company exclusively licensed FYARRO, previously called ABI-009, nab-sirolimus, from Abraxis BioScience, LLC, a wholly owned subsidiary of Celgene Corporation, which is a wholly owned subsidiary of Bristol-Myers Squibb Company (“BMS”). The Company refers to the development, production and commercial sale of FYARRO herein as the “FYARRO Business”. On February 22, 2022, the Company launched FYARRO in the United States for treatment of advanced malignant perivascular epithelioid cell tumor ("PEComa").</w:t>
      </w:r>
    </w:p>
    <w:p>
      <w:pPr>
        <w:spacing w:after="0" w:line="14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6"/>
          <w:szCs w:val="16"/>
          <w:color w:val="auto"/>
        </w:rPr>
        <w:t>On December 19, 2024, the Company entered into a Stock Purchase Agreement (the “Divestiture Agreement”) with KAKEN INVESTMENTS INC., a Delaware corporation (“KAKEN”), KAKEN PHARMACEUTICAL CO., LTD, and Aadi Subsidiary, Inc., a Delaware corporation and the Company's former wholly owned subsidiary and the operating company for the FYARRO Business (“Aadi Subsidiary”). Under the Divestiture Agreement, KAKEN acquired 100% of the outstanding shares of capital stock of Aadi Subsidiary from the Company for a cash payment of $102.4 million (following applicable purchase price adjustments under the Divestiture Agreement) (the "FYARRO Divestiture"). The FYARRO Divestiture closed on March 25, 2025 and, as a result, the Company no longer operates the FYARRO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Name Change</w:t>
      </w:r>
      <w:r>
        <w:rPr>
          <w:rFonts w:ascii="Times New Roman" w:cs="Times New Roman" w:eastAsia="Times New Roman" w:hAnsi="Times New Roman"/>
          <w:sz w:val="16"/>
          <w:szCs w:val="16"/>
          <w:i w:val="1"/>
          <w:iCs w:val="1"/>
          <w:color w:val="auto"/>
        </w:rPr>
        <w:t>.</w:t>
      </w:r>
    </w:p>
    <w:p>
      <w:pPr>
        <w:spacing w:after="0" w:line="180"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6"/>
          <w:szCs w:val="16"/>
          <w:color w:val="auto"/>
        </w:rPr>
        <w:t>In connection with the FYARRO Divestiture, the Company changed its name from "Aadi Bioscience, Inc." to "Whitehawk Therapeutics, Inc." and the Company changed its ticker symbol on the Nasdaq Capital Market to "WHWK".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Merger with Aerpio Pharmaceuticals, Inc.</w:t>
      </w:r>
    </w:p>
    <w:p>
      <w:pPr>
        <w:spacing w:after="0" w:line="18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On August 26, 2021 (the “Closing Date”), the Company completed its business combination with Aadi Subsidiary (then a private company known as Aadi Bioscience, Inc.) (“Private Aadi”), in accordance with the terms of the Agreement and Plan of Merger and Reorganization, dated May 16, 2021, by and among the Company, Aspen Merger Subsidiary, Inc. (“Merger Sub”) and Private Aadi (the “Merger Agreement”), pursuant to which Merger Sub merged with and into Private Aadi, with Private Aadi surviving as a wholly owned subsidiary of the Company (the “Reverse Merger”) until the FYARRO Divestiture.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8" w:name="page9"/>
    <w:bookmarkEnd w:id="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Liquidity</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6"/>
          <w:szCs w:val="16"/>
          <w:color w:val="231F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Prior to the FYARRO Divestiture, the Company also realized revenues from the commercial sale of FYARRO.</w:t>
      </w:r>
    </w:p>
    <w:p>
      <w:pPr>
        <w:spacing w:after="0" w:line="129"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231F20"/>
        </w:rPr>
        <w:t>The Company has experienced net losses since its inception and expects to continue to incur net losses into the foreseeable future. The Company had an accumulated deficit of $330.0 million as of September 30, 2025 and net income of $2.7 million and net loss of $45.4 million for the nine months ended September 30, 2025 and 2024, respectively. The net income recorded for the nine months ended September 30, 2025 is primarily attributable to the gain on sale related to the FYARRO Divestiture. Prior to the FYARRO Divestiture, the Company's operating losses were funded primarily from outside sources of invested capital through the issuance of convertible promissory notes, grant funding, the sale of securities, and proceeds from license agreements.</w:t>
      </w:r>
    </w:p>
    <w:p>
      <w:pPr>
        <w:spacing w:after="0" w:line="13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color w:val="auto"/>
        </w:rPr>
        <w:t xml:space="preserve">The Company </w:t>
      </w:r>
      <w:r>
        <w:rPr>
          <w:rFonts w:ascii="Times New Roman" w:cs="Times New Roman" w:eastAsia="Times New Roman" w:hAnsi="Times New Roman"/>
          <w:sz w:val="16"/>
          <w:szCs w:val="16"/>
          <w:color w:val="231F20"/>
        </w:rPr>
        <w:t>had cash, cash equivalents and short-term investments of $162.6 million</w:t>
      </w:r>
      <w:r>
        <w:rPr>
          <w:rFonts w:ascii="Times New Roman" w:cs="Times New Roman" w:eastAsia="Times New Roman" w:hAnsi="Times New Roman"/>
          <w:sz w:val="16"/>
          <w:szCs w:val="16"/>
          <w:color w:val="auto"/>
        </w:rPr>
        <w:t xml:space="preserve"> at September 30, 2025. </w:t>
      </w:r>
      <w:r>
        <w:rPr>
          <w:rFonts w:ascii="Times New Roman" w:cs="Times New Roman" w:eastAsia="Times New Roman" w:hAnsi="Times New Roman"/>
          <w:sz w:val="16"/>
          <w:szCs w:val="16"/>
          <w:color w:val="231F20"/>
        </w:rPr>
        <w:t xml:space="preserve">The Company paid $38.0 million, the balance of the up-front license fee, plus a 6% VAT fee on April 16, 2025 to WuXi Biologics for the in-licensing of </w:t>
      </w:r>
      <w:r>
        <w:rPr>
          <w:rFonts w:ascii="Times New Roman" w:cs="Times New Roman" w:eastAsia="Times New Roman" w:hAnsi="Times New Roman"/>
          <w:sz w:val="16"/>
          <w:szCs w:val="16"/>
          <w:color w:val="000000"/>
        </w:rPr>
        <w:t>Mucin-16 (“MUC16”), Protein Tyrosine Kinase 7 (“PTK7”)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Seizure Related 6 Homolog (“SEZ6”) (each an “ADC Therapy,” and collectively, the “ADC Therapies”)</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000000"/>
        </w:rPr>
        <w:t xml:space="preserve"> Management believes the Company’s cash, cash equivalents and short-term investments will provide sufficient funds to enable the Company to meet its obligations for at least twelve months from the issuance of these financial statements. If the Company is unable to achieve and maintain profitability, it will need additional financing to support its continuing operations and pursue its strategic objectives. Additional financing may be achieved through a combination of equity offerings and debt financing. The Company may be unable to raise additional funds or enter into such other agreements when needed on favorable terms or at all.</w:t>
      </w:r>
    </w:p>
    <w:p>
      <w:pPr>
        <w:spacing w:after="0" w:line="13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 xml:space="preserve">On March 17, 2022, the Company entered into a Sales Agreement (the “Sales Agreement”) with Cowen and Company, LLC (“Cowen”), pursuant to which the Company may offer and sell, from time to time at the Company’s sole discretion, shares of its common stock having an aggregate offering price of up to $75.0 million through Cowen as its sales agent for an at-the-marketing-offering. Any sales under the Sales Agreement may result in dilution to existing shareholders. As of </w:t>
      </w:r>
      <w:r>
        <w:rPr>
          <w:rFonts w:ascii="Times New Roman" w:cs="Times New Roman" w:eastAsia="Times New Roman" w:hAnsi="Times New Roman"/>
          <w:sz w:val="16"/>
          <w:szCs w:val="16"/>
          <w:color w:val="231F20"/>
        </w:rPr>
        <w:t>September 30,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2025</w:t>
      </w:r>
      <w:r>
        <w:rPr>
          <w:rFonts w:ascii="Times New Roman" w:cs="Times New Roman" w:eastAsia="Times New Roman" w:hAnsi="Times New Roman"/>
          <w:sz w:val="16"/>
          <w:szCs w:val="16"/>
          <w:color w:val="000000"/>
        </w:rPr>
        <w:t>, no shares of common stock had been sold under this Sales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8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 unaudited condensed financial statements, and the related disclosures, have been prepared in accordance with accounting principles generally accepted in the United States ("GAAP") and U.S. Securities and Exchange 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w:t>
      </w:r>
    </w:p>
    <w:p>
      <w:pPr>
        <w:spacing w:after="0" w:line="134"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The financial statements noted above reflect the financial position and results of operations of the Company. The comparative periods are consolidated and include the financial position and results of operations of the Company and Aadi Subsidiary, prior to its sale on March 25, 2025. The transaction did not meet the criteria for discontinued operations under ASC 205-20, and therefore no reclassification has been made to prior period statements.</w:t>
      </w:r>
    </w:p>
    <w:p>
      <w:pPr>
        <w:spacing w:after="0" w:line="12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6"/>
          <w:szCs w:val="16"/>
          <w:color w:val="auto"/>
        </w:rPr>
        <w:t>The condensed balance sheet as of September 30, 2025 excludes the assets and liabilities of Aadi Subsidiary, which were divested as of the sale date. Comparative information as of December 31, 2024 includes balances related to the divested business, such as accounts receivable, inventory, and customer concentration disclosures. See Note 14 for additional information. The Company’s condensed financial statements are stated in U.S. dollars.</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9" w:name="page10"/>
    <w:bookmarkEnd w:id="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80"/>
        <w:spacing w:after="0" w:line="335" w:lineRule="auto"/>
        <w:rPr>
          <w:sz w:val="20"/>
          <w:szCs w:val="20"/>
          <w:color w:val="auto"/>
        </w:rPr>
      </w:pPr>
      <w:r>
        <w:rPr>
          <w:rFonts w:ascii="Times New Roman" w:cs="Times New Roman" w:eastAsia="Times New Roman" w:hAnsi="Times New Roman"/>
          <w:sz w:val="14"/>
          <w:szCs w:val="14"/>
          <w:color w:val="auto"/>
        </w:rPr>
        <w:t>Certain information and note disclosures normally included in annual financial statements prepared in accordance with GAAP have been condensed or omitted. Accordingly, the accompanying unaudited condensed interim financial statements should be read in conjunction with the audited financial statements and the related notes thereto for the year ended December 31, 2024, which are included in the Company’s Annual Report on Form 10-K filed with the SEC on March 28,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and Uncertainties</w:t>
      </w:r>
    </w:p>
    <w:p>
      <w:pPr>
        <w:spacing w:after="0" w:line="18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6"/>
          <w:szCs w:val="16"/>
          <w:color w:val="auto"/>
        </w:rPr>
        <w:t>Following the FYARRO Divestiture, the Company is a preclinical-stage biopharmaceutical company with a limited operating history and three preclinical products in development. The Company's ability to generate revenue and achieve profitability depends significantly on the ability to achieve several objectives relating to the discovery, development and commercialization of the ADC Therapies and any other product candidates that may be developed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Comprehensive (Loss) Income</w:t>
      </w:r>
    </w:p>
    <w:p>
      <w:pPr>
        <w:spacing w:after="0" w:line="18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Comprehensive (loss) income is defined as the change in equity during a period from transactions and other events and circumstances from non-owner sources, including unrealized gains and losses on short-term investments. Comprehensive (loss) income has been reflected in the condensed statements of operations and comprehensive (loss) income for all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8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impact the reported amounts of assets, liabilities, revenues and expenses, and the disclosure of contingent assets and liabilities in the Company’s condensed financial statements and accompanying notes. In the opinion of management, all adjustments that are considered necessary for fair presentation have been included. The most significant estimates in the Company’s condensed financial statements relate to gross-to-net accruals, share-based compensation expense and accrued research and development costs. Although these estimates are based on the Company’s knowledge of current events and actions it may undertake in the future, actual results may materially differ from these estimates and assumptions.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Restructuring Charges</w:t>
      </w:r>
    </w:p>
    <w:p>
      <w:pPr>
        <w:spacing w:after="0" w:line="18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Restructuring charges consist primarily of employee severance, contract termination costs and other costs. Liabilities for costs associated with a restructuring activity are recognized when the liability is incurred and are measured at fair value. For one-time employee terminations benefits, the Company recognizes the liability in full on the communication date when future services are not required or amortizes the liability ratably over the service period, if required. The fair value of termination benefits reflects the Company’s estimate of expected utilization of certain Company-funded post-employment benefits. One-time termination benefits include severance and continuation of health insurance coverage for certain employees.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Concentration of Credit Risk</w:t>
      </w:r>
    </w:p>
    <w:p>
      <w:pPr>
        <w:spacing w:after="0" w:line="180"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6"/>
          <w:szCs w:val="16"/>
          <w:color w:val="auto"/>
        </w:rPr>
        <w:t>Financial instruments, which potentially subject the Company to concentration of credit risk, consist primarily of cash and cash equivalents, and available-for-sale marketable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Customer Concentration</w:t>
      </w:r>
    </w:p>
    <w:p>
      <w:pPr>
        <w:spacing w:after="0" w:line="180" w:lineRule="exact"/>
        <w:rPr>
          <w:sz w:val="20"/>
          <w:szCs w:val="20"/>
          <w:color w:val="auto"/>
        </w:rPr>
      </w:pPr>
    </w:p>
    <w:p>
      <w:pPr>
        <w:ind w:right="700"/>
        <w:spacing w:after="0" w:line="291" w:lineRule="auto"/>
        <w:rPr>
          <w:sz w:val="20"/>
          <w:szCs w:val="20"/>
          <w:color w:val="auto"/>
        </w:rPr>
      </w:pPr>
      <w:r>
        <w:rPr>
          <w:rFonts w:ascii="Times New Roman" w:cs="Times New Roman" w:eastAsia="Times New Roman" w:hAnsi="Times New Roman"/>
          <w:sz w:val="16"/>
          <w:szCs w:val="16"/>
          <w:color w:val="auto"/>
        </w:rPr>
        <w:t>The Company did not have customer revenue for the three months ended September 30, 2025. For the nine months ended September 30, 2025, two customers represented 37% and 60% of the Company’s revenue.</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0" w:name="page11"/>
    <w:bookmarkEnd w:id="1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6"/>
          <w:szCs w:val="16"/>
          <w:color w:val="auto"/>
        </w:rPr>
        <w:t>For the three months ended September 30, 2024, two customers represented 54% and 44% of the Company’s revenue. For the nine months ended September 30, 2024, two customers represented 55% and 44% of the Company's revenue.</w:t>
      </w:r>
    </w:p>
    <w:p>
      <w:pPr>
        <w:spacing w:after="0" w:line="118"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6"/>
          <w:szCs w:val="16"/>
          <w:color w:val="auto"/>
        </w:rPr>
        <w:t>Additionally, two customers accounted for 42% and 56% of net accounts receivable as of December 31, 2024. The Company did not have accounts receivable as of September 30, 2025. See Note 14 for further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Cash Equivalents and Restricted Cash</w:t>
      </w:r>
    </w:p>
    <w:p>
      <w:pPr>
        <w:spacing w:after="0" w:line="18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The Company considers all highly liquid marketable securities purchased with original maturities of three months or less at the time of purchase date to be cash equivalents. Restricted cash consists of a letter of credit secured by restricted cash in connection with the Morristown, New Jersey office lease described in Note 6, and is included in other assets on the condensed balance sheets as of December 31, 2024. The Company did not have restricted cash as of September 30, 2025 as the Morristown Lease (as defined in Note 6) was assumed by KAKEN.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condensed balance sheet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56"/>
        </w:trPr>
        <w:tc>
          <w:tcPr>
            <w:tcW w:w="5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Cash and cash equivalents</w:t>
            </w:r>
          </w:p>
        </w:tc>
        <w:tc>
          <w:tcPr>
            <w:tcW w:w="23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37,931</w:t>
            </w:r>
          </w:p>
        </w:tc>
        <w:tc>
          <w:tcPr>
            <w:tcW w:w="3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28,670</w:t>
            </w:r>
          </w:p>
        </w:tc>
      </w:tr>
      <w:tr>
        <w:trPr>
          <w:trHeight w:val="156"/>
        </w:trPr>
        <w:tc>
          <w:tcPr>
            <w:tcW w:w="51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Restricted cash, non-current</w:t>
            </w: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5"/>
              <w:spacing w:after="0" w:line="156" w:lineRule="exact"/>
              <w:rPr>
                <w:sz w:val="20"/>
                <w:szCs w:val="20"/>
                <w:color w:val="auto"/>
              </w:rPr>
            </w:pPr>
            <w:r>
              <w:rPr>
                <w:rFonts w:ascii="Times New Roman" w:cs="Times New Roman" w:eastAsia="Times New Roman" w:hAnsi="Times New Roman"/>
                <w:sz w:val="16"/>
                <w:szCs w:val="16"/>
                <w:color w:val="auto"/>
              </w:rPr>
              <w:t>64</w:t>
            </w:r>
          </w:p>
        </w:tc>
      </w:tr>
      <w:tr>
        <w:trPr>
          <w:trHeight w:val="176"/>
        </w:trPr>
        <w:tc>
          <w:tcPr>
            <w:tcW w:w="5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3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37,931</w:t>
            </w:r>
          </w:p>
        </w:tc>
        <w:tc>
          <w:tcPr>
            <w:tcW w:w="3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28,734</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8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1: Observable inputs, such as quoted prices in active markets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2: Inputs, other than the quoted prices in active markets that are observable either directly or indirectly</w:t>
      </w:r>
    </w:p>
    <w:p>
      <w:pPr>
        <w:spacing w:after="0" w:line="176" w:lineRule="exact"/>
        <w:rPr>
          <w:sz w:val="20"/>
          <w:szCs w:val="20"/>
          <w:color w:val="auto"/>
        </w:rPr>
      </w:pPr>
    </w:p>
    <w:p>
      <w:pPr>
        <w:ind w:left="360" w:right="80"/>
        <w:spacing w:after="0" w:line="291" w:lineRule="auto"/>
        <w:rPr>
          <w:sz w:val="20"/>
          <w:szCs w:val="20"/>
          <w:color w:val="auto"/>
        </w:rPr>
      </w:pPr>
      <w:r>
        <w:rPr>
          <w:rFonts w:ascii="Times New Roman" w:cs="Times New Roman" w:eastAsia="Times New Roman" w:hAnsi="Times New Roman"/>
          <w:sz w:val="16"/>
          <w:szCs w:val="16"/>
          <w:color w:val="auto"/>
        </w:rPr>
        <w:t>Level 3: Unobservable inputs in which there is little or no market data, which require the reporting entity to develop its own assumptions which reflect those that a market participant would use</w:t>
      </w:r>
    </w:p>
    <w:p>
      <w:pPr>
        <w:spacing w:after="0" w:line="118"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12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spacing w:after="0" w:line="129"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6"/>
          <w:szCs w:val="16"/>
          <w:color w:val="auto"/>
        </w:rPr>
        <w:t>The carrying amounts of cash equivalents, accounts payable, and accrued liabilities are reasonable estimates of their fair value because of the short maturity of these items.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1" w:name="page12"/>
    <w:bookmarkEnd w:id="1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Short-Term Investments</w:t>
      </w:r>
    </w:p>
    <w:p>
      <w:pPr>
        <w:spacing w:after="0" w:line="18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6"/>
          <w:szCs w:val="16"/>
          <w:color w:val="auto"/>
        </w:rPr>
        <w:t>The Company invests in various types of securities, including United States government treasury bills, commercial paper, and corporate debt securities. The Company classifies its investments as available-for-sale and records them at fair value based upon market prices at period end. Unrealized gains and losses that are deemed temporary in nature are recorded in accumulated other comprehensive income as a separate component of stockholders' equity. Dividend and interest income are recognized when earned. The Company recognizes purchase premiums and discounts as interest income using the interest method over the terms of the securities. Realized gains and losses are included in earnings and are derived using the specific identification method for determining the cost of investments sold. The Company classifies short-term investments with remaining maturities greater than one year as current assets because such short-term investments are available to fund the Company’s current operations.</w:t>
      </w:r>
    </w:p>
    <w:p>
      <w:pPr>
        <w:spacing w:after="0" w:line="13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 See Note 4 for further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Accounts Receivable, Net</w:t>
      </w:r>
    </w:p>
    <w:p>
      <w:pPr>
        <w:spacing w:after="0" w:line="18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color w:val="auto"/>
        </w:rPr>
        <w:t>Accounts receivable are recorded net of customer allowances for chargebacks and allowance for credit losses. Allowance for chargebacks is based on contractual terms. The Company estimates the allowance for credit losses based on existing contractual payment terms, actual payment patterns of its customers, individual customer circumstances and credit loss. Receivables are recorded to an allowance for credit loss when it is probable that amounts will not be collected based on terms of the customer contracts. Accounts receivable are net of $0.1 million of customer allowances for chargebacks as of December 31, 2024. There were no allowances for credit losses and no receivables were written off for the periods ended September 30, 2025 and December 31, 2024. As of December 31, 2024, accounts receivable included balances associated with Aadi Subsidiary, which was sold on March 25, 2025. Accounts receivable related to Aadi Subsidiary was removed from the condensed balance sheet as of March 25, 2025. See Note 14 for more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Inventory</w:t>
      </w:r>
    </w:p>
    <w:p>
      <w:pPr>
        <w:spacing w:after="0" w:line="180" w:lineRule="exact"/>
        <w:rPr>
          <w:sz w:val="20"/>
          <w:szCs w:val="20"/>
          <w:color w:val="auto"/>
        </w:rPr>
      </w:pPr>
    </w:p>
    <w:p>
      <w:pPr>
        <w:jc w:val="both"/>
        <w:ind w:right="160"/>
        <w:spacing w:after="0" w:line="278" w:lineRule="auto"/>
        <w:rPr>
          <w:sz w:val="20"/>
          <w:szCs w:val="20"/>
          <w:color w:val="auto"/>
        </w:rPr>
      </w:pPr>
      <w:r>
        <w:rPr>
          <w:rFonts w:ascii="Times New Roman" w:cs="Times New Roman" w:eastAsia="Times New Roman" w:hAnsi="Times New Roman"/>
          <w:sz w:val="16"/>
          <w:szCs w:val="16"/>
          <w:color w:val="auto"/>
        </w:rPr>
        <w:t>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w:t>
      </w:r>
    </w:p>
    <w:p>
      <w:pPr>
        <w:spacing w:after="0" w:line="129"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6"/>
          <w:szCs w:val="16"/>
          <w:color w:val="auto"/>
        </w:rPr>
        <w:t>As of December 31, 2024, inventory included balances associated with Aadi Subsidiary, which was sold on March 25, 2025. Inventory related to Aadi Subsidiary was removed from the condensed balance sheet as of the sale date. See Note 14 for more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inventory are presented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1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56"/>
        </w:trPr>
        <w:tc>
          <w:tcPr>
            <w:tcW w:w="3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Raw materials</w:t>
            </w:r>
          </w:p>
        </w:tc>
        <w:tc>
          <w:tcPr>
            <w:tcW w:w="5460" w:type="dxa"/>
            <w:vAlign w:val="bottom"/>
            <w:gridSpan w:val="2"/>
            <w:shd w:val="clear" w:color="auto" w:fill="CFF0FC"/>
          </w:tcPr>
          <w:p>
            <w:pPr>
              <w:jc w:val="right"/>
              <w:ind w:right="1154"/>
              <w:spacing w:after="0" w:line="156"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3,533</w:t>
            </w:r>
          </w:p>
        </w:tc>
        <w:tc>
          <w:tcPr>
            <w:tcW w:w="0" w:type="dxa"/>
            <w:vAlign w:val="bottom"/>
          </w:tcPr>
          <w:p>
            <w:pPr>
              <w:spacing w:after="0"/>
              <w:rPr>
                <w:sz w:val="1"/>
                <w:szCs w:val="1"/>
                <w:color w:val="auto"/>
              </w:rPr>
            </w:pPr>
          </w:p>
        </w:tc>
      </w:tr>
      <w:tr>
        <w:trPr>
          <w:trHeight w:val="156"/>
        </w:trPr>
        <w:tc>
          <w:tcPr>
            <w:tcW w:w="31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Work in process</w:t>
            </w:r>
          </w:p>
        </w:tc>
        <w:tc>
          <w:tcPr>
            <w:tcW w:w="4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3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Finished goods</w:t>
            </w:r>
          </w:p>
        </w:tc>
        <w:tc>
          <w:tcPr>
            <w:tcW w:w="41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1,778</w:t>
            </w:r>
          </w:p>
        </w:tc>
        <w:tc>
          <w:tcPr>
            <w:tcW w:w="0" w:type="dxa"/>
            <w:vAlign w:val="bottom"/>
          </w:tcPr>
          <w:p>
            <w:pPr>
              <w:spacing w:after="0"/>
              <w:rPr>
                <w:sz w:val="1"/>
                <w:szCs w:val="1"/>
                <w:color w:val="auto"/>
              </w:rPr>
            </w:pPr>
          </w:p>
        </w:tc>
      </w:tr>
      <w:tr>
        <w:trPr>
          <w:trHeight w:val="156"/>
        </w:trPr>
        <w:tc>
          <w:tcPr>
            <w:tcW w:w="31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Total</w:t>
            </w:r>
          </w:p>
        </w:tc>
        <w:tc>
          <w:tcPr>
            <w:tcW w:w="5460" w:type="dxa"/>
            <w:vAlign w:val="bottom"/>
            <w:gridSpan w:val="2"/>
          </w:tcPr>
          <w:p>
            <w:pPr>
              <w:jc w:val="right"/>
              <w:ind w:right="1154"/>
              <w:spacing w:after="0" w:line="156"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5,311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180" w:type="dxa"/>
            <w:vAlign w:val="bottom"/>
            <w:vMerge w:val="restart"/>
          </w:tcPr>
          <w:p>
            <w:pPr>
              <w:jc w:val="right"/>
              <w:ind w:right="1862"/>
              <w:spacing w:after="0"/>
              <w:rPr>
                <w:sz w:val="20"/>
                <w:szCs w:val="20"/>
                <w:color w:val="auto"/>
              </w:rPr>
            </w:pPr>
            <w:r>
              <w:rPr>
                <w:rFonts w:ascii="Times New Roman" w:cs="Times New Roman" w:eastAsia="Times New Roman" w:hAnsi="Times New Roman"/>
                <w:sz w:val="16"/>
                <w:szCs w:val="16"/>
                <w:color w:val="auto"/>
              </w:rPr>
              <w:t>11</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312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3120" w:type="dxa"/>
            <w:vAlign w:val="bottom"/>
            <w:tcBorders>
              <w:bottom w:val="single" w:sz="8" w:color="EEEEEE"/>
            </w:tcBorders>
          </w:tcPr>
          <w:p>
            <w:pPr>
              <w:spacing w:after="0"/>
              <w:rPr>
                <w:sz w:val="24"/>
                <w:szCs w:val="24"/>
                <w:color w:val="auto"/>
              </w:rPr>
            </w:pPr>
          </w:p>
        </w:tc>
        <w:tc>
          <w:tcPr>
            <w:tcW w:w="418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12" w:name="page13"/>
    <w:bookmarkEnd w:id="1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180" w:lineRule="exact"/>
        <w:rPr>
          <w:sz w:val="20"/>
          <w:szCs w:val="20"/>
          <w:color w:val="auto"/>
        </w:rPr>
      </w:pPr>
    </w:p>
    <w:p>
      <w:pPr>
        <w:jc w:val="both"/>
        <w:ind w:right="80"/>
        <w:spacing w:after="0" w:line="278" w:lineRule="auto"/>
        <w:rPr>
          <w:sz w:val="20"/>
          <w:szCs w:val="20"/>
          <w:color w:val="auto"/>
        </w:rPr>
      </w:pPr>
      <w:r>
        <w:rPr>
          <w:rFonts w:ascii="Times New Roman" w:cs="Times New Roman" w:eastAsia="Times New Roman" w:hAnsi="Times New Roman"/>
          <w:sz w:val="16"/>
          <w:szCs w:val="16"/>
          <w:color w:val="auto"/>
        </w:rPr>
        <w:t>Property and equipment, consisting of computers and software, construction in process, furniture and fixtures, lab equipment,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property and equipment are presented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56"/>
        </w:trPr>
        <w:tc>
          <w:tcPr>
            <w:tcW w:w="73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Computers and Software</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341</w:t>
            </w:r>
          </w:p>
        </w:tc>
        <w:tc>
          <w:tcPr>
            <w:tcW w:w="3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470</w:t>
            </w:r>
          </w:p>
        </w:tc>
      </w:tr>
      <w:tr>
        <w:trPr>
          <w:trHeight w:val="156"/>
        </w:trPr>
        <w:tc>
          <w:tcPr>
            <w:tcW w:w="73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Construction in process</w:t>
            </w:r>
          </w:p>
        </w:tc>
        <w:tc>
          <w:tcPr>
            <w:tcW w:w="120" w:type="dxa"/>
            <w:vAlign w:val="bottom"/>
          </w:tcPr>
          <w:p>
            <w:pPr>
              <w:spacing w:after="0"/>
              <w:rPr>
                <w:sz w:val="13"/>
                <w:szCs w:val="13"/>
                <w:color w:val="auto"/>
              </w:rPr>
            </w:pPr>
          </w:p>
        </w:tc>
        <w:tc>
          <w:tcPr>
            <w:tcW w:w="14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6,590</w:t>
            </w:r>
          </w:p>
        </w:tc>
      </w:tr>
      <w:tr>
        <w:trPr>
          <w:trHeight w:val="156"/>
        </w:trPr>
        <w:tc>
          <w:tcPr>
            <w:tcW w:w="73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Furniture and fixtures</w:t>
            </w:r>
          </w:p>
        </w:tc>
        <w:tc>
          <w:tcPr>
            <w:tcW w:w="12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36</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65</w:t>
            </w:r>
          </w:p>
        </w:tc>
      </w:tr>
      <w:tr>
        <w:trPr>
          <w:trHeight w:val="156"/>
        </w:trPr>
        <w:tc>
          <w:tcPr>
            <w:tcW w:w="73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Lab equipment</w:t>
            </w:r>
          </w:p>
        </w:tc>
        <w:tc>
          <w:tcPr>
            <w:tcW w:w="120" w:type="dxa"/>
            <w:vAlign w:val="bottom"/>
          </w:tcPr>
          <w:p>
            <w:pPr>
              <w:spacing w:after="0"/>
              <w:rPr>
                <w:sz w:val="13"/>
                <w:szCs w:val="13"/>
                <w:color w:val="auto"/>
              </w:rPr>
            </w:pPr>
          </w:p>
        </w:tc>
        <w:tc>
          <w:tcPr>
            <w:tcW w:w="14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51</w:t>
            </w:r>
          </w:p>
        </w:tc>
      </w:tr>
      <w:tr>
        <w:trPr>
          <w:trHeight w:val="156"/>
        </w:trPr>
        <w:tc>
          <w:tcPr>
            <w:tcW w:w="73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133</w:t>
            </w:r>
          </w:p>
        </w:tc>
      </w:tr>
      <w:tr>
        <w:trPr>
          <w:trHeight w:val="156"/>
        </w:trPr>
        <w:tc>
          <w:tcPr>
            <w:tcW w:w="73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377</w:t>
            </w:r>
          </w:p>
        </w:tc>
        <w:tc>
          <w:tcPr>
            <w:tcW w:w="3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7,309</w:t>
            </w:r>
          </w:p>
        </w:tc>
      </w:tr>
      <w:tr>
        <w:trPr>
          <w:trHeight w:val="156"/>
        </w:trPr>
        <w:tc>
          <w:tcPr>
            <w:tcW w:w="73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Accumulated depreciation</w:t>
            </w:r>
          </w:p>
        </w:tc>
        <w:tc>
          <w:tcPr>
            <w:tcW w:w="12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(373)</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(463)</w:t>
            </w:r>
          </w:p>
        </w:tc>
      </w:tr>
      <w:tr>
        <w:trPr>
          <w:trHeight w:val="156"/>
        </w:trPr>
        <w:tc>
          <w:tcPr>
            <w:tcW w:w="73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4</w:t>
            </w:r>
          </w:p>
        </w:tc>
        <w:tc>
          <w:tcPr>
            <w:tcW w:w="3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color w:val="auto"/>
              </w:rPr>
              <w:t>6,846</w:t>
            </w:r>
          </w:p>
        </w:tc>
      </w:tr>
      <w:tr>
        <w:trPr>
          <w:trHeight w:val="20"/>
        </w:trPr>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right="180"/>
        <w:spacing w:after="0" w:line="366" w:lineRule="auto"/>
        <w:rPr>
          <w:sz w:val="20"/>
          <w:szCs w:val="20"/>
          <w:color w:val="auto"/>
        </w:rPr>
      </w:pPr>
      <w:r>
        <w:rPr>
          <w:rFonts w:ascii="Times New Roman" w:cs="Times New Roman" w:eastAsia="Times New Roman" w:hAnsi="Times New Roman"/>
          <w:sz w:val="14"/>
          <w:szCs w:val="14"/>
          <w:color w:val="auto"/>
        </w:rPr>
        <w:t>Depreciation expense on property, plant, and equipment amounted to $5.6 thousand and $46.7 thousand for the three months ended September 30, 2025 and 2024, respectively. Depreciation expense on property, plant, and equipment amounted to $0.1 million for the nine months ended September 30, 2025 and 2024,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8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spacing w:after="0" w:line="13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at the commencement date of the lease based on the present value of lease payments over the expected lease term.</w:t>
      </w:r>
    </w:p>
    <w:p>
      <w:pPr>
        <w:spacing w:after="0" w:line="139" w:lineRule="exact"/>
        <w:rPr>
          <w:sz w:val="20"/>
          <w:szCs w:val="20"/>
          <w:color w:val="auto"/>
        </w:rPr>
      </w:pPr>
    </w:p>
    <w:p>
      <w:pPr>
        <w:ind w:right="140"/>
        <w:spacing w:after="0" w:line="316" w:lineRule="auto"/>
        <w:rPr>
          <w:sz w:val="20"/>
          <w:szCs w:val="20"/>
          <w:color w:val="auto"/>
        </w:rPr>
      </w:pPr>
      <w:r>
        <w:rPr>
          <w:rFonts w:ascii="Times New Roman" w:cs="Times New Roman" w:eastAsia="Times New Roman" w:hAnsi="Times New Roman"/>
          <w:sz w:val="14"/>
          <w:szCs w:val="14"/>
          <w:color w:val="auto"/>
        </w:rPr>
        <w:t xml:space="preserve">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w:t>
      </w:r>
      <w:r>
        <w:rPr>
          <w:rFonts w:ascii="Times New Roman" w:cs="Times New Roman" w:eastAsia="Times New Roman" w:hAnsi="Times New Roman"/>
          <w:sz w:val="14"/>
          <w:szCs w:val="14"/>
          <w:color w:val="231F20"/>
        </w:rPr>
        <w:t>condensed statements of operations and comprehensive loss</w:t>
      </w:r>
      <w:r>
        <w:rPr>
          <w:rFonts w:ascii="Times New Roman" w:cs="Times New Roman" w:eastAsia="Times New Roman" w:hAnsi="Times New Roman"/>
          <w:sz w:val="14"/>
          <w:szCs w:val="14"/>
          <w:color w:val="auto"/>
        </w:rPr>
        <w:t>.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3" w:name="page14"/>
    <w:bookmarkEnd w:id="1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80"/>
        <w:spacing w:after="0" w:line="291" w:lineRule="auto"/>
        <w:rPr>
          <w:sz w:val="20"/>
          <w:szCs w:val="20"/>
          <w:color w:val="auto"/>
        </w:rPr>
      </w:pPr>
      <w:r>
        <w:rPr>
          <w:rFonts w:ascii="Times New Roman" w:cs="Times New Roman" w:eastAsia="Times New Roman" w:hAnsi="Times New Roman"/>
          <w:sz w:val="16"/>
          <w:szCs w:val="16"/>
          <w:color w:val="auto"/>
        </w:rPr>
        <w:t>other operating costs that are passed on from the lessor in proportion to the space leased by the Company. The Company has elected the practical expedient to not separate between lease and non-lease components.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Commitments and Contingencies</w:t>
      </w:r>
    </w:p>
    <w:p>
      <w:pPr>
        <w:spacing w:after="0" w:line="18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The Company recognizes a liability with regard to loss contingencies when it believes it is probable that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September 30, 2025 and December 31, 2024</w:t>
      </w:r>
      <w:r>
        <w:rPr>
          <w:rFonts w:ascii="Times New Roman" w:cs="Times New Roman" w:eastAsia="Times New Roman" w:hAnsi="Times New Roman"/>
          <w:sz w:val="16"/>
          <w:szCs w:val="16"/>
          <w:color w:val="231F20"/>
        </w:rPr>
        <w: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 and Related Allowances</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Product Net Sales</w:t>
      </w:r>
    </w:p>
    <w:p>
      <w:pPr>
        <w:spacing w:after="0" w:line="17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130"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6"/>
          <w:szCs w:val="16"/>
          <w:i w:val="1"/>
          <w:iCs w:val="1"/>
          <w:color w:val="auto"/>
        </w:rPr>
        <w:t>Distribution Fees</w:t>
      </w:r>
      <w:r>
        <w:rPr>
          <w:rFonts w:ascii="Times New Roman" w:cs="Times New Roman" w:eastAsia="Times New Roman" w:hAnsi="Times New Roman"/>
          <w:sz w:val="16"/>
          <w:szCs w:val="16"/>
          <w:color w:val="auto"/>
        </w:rPr>
        <w:t>: Distribution fees include distribution service fees paid to the SDs and SP based on a contractually fixed percentage of the wholesale acquisition cost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(“WAC”). Distribution fees are recorded as an offset to product sales based on contractual terms at the time revenue from the sale is recognized.</w:t>
      </w:r>
    </w:p>
    <w:p>
      <w:pPr>
        <w:spacing w:after="0" w:line="11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i w:val="1"/>
          <w:iCs w:val="1"/>
          <w:color w:val="auto"/>
        </w:rPr>
        <w:t>Rebates</w:t>
      </w:r>
      <w:r>
        <w:rPr>
          <w:rFonts w:ascii="Times New Roman" w:cs="Times New Roman" w:eastAsia="Times New Roman" w:hAnsi="Times New Roman"/>
          <w:sz w:val="16"/>
          <w:szCs w:val="16"/>
          <w:color w:val="auto"/>
        </w:rPr>
        <w:t>: Allowance for rebates includes mandated discounts under the Medicaid Drug Rebate Program and TRICARE program. Rebates are amounts owed after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w:t>
      </w:r>
    </w:p>
    <w:p>
      <w:pPr>
        <w:spacing w:after="0" w:line="13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Chargebacks: </w:t>
      </w:r>
      <w:r>
        <w:rPr>
          <w:rFonts w:ascii="Times New Roman" w:cs="Times New Roman" w:eastAsia="Times New Roman" w:hAnsi="Times New Roman"/>
          <w:sz w:val="16"/>
          <w:szCs w:val="16"/>
          <w:color w:val="auto"/>
        </w:rPr>
        <w:t>Chargebacks are discounts and fees that relate to contracts with government and other entities purchasing from the SDs and SP at a discounted price.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4" w:name="page15"/>
    <w:bookmarkEnd w:id="1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Co-Payment Assistance: </w:t>
      </w:r>
      <w:r>
        <w:rPr>
          <w:rFonts w:ascii="Times New Roman" w:cs="Times New Roman" w:eastAsia="Times New Roman" w:hAnsi="Times New Roman"/>
          <w:sz w:val="16"/>
          <w:szCs w:val="16"/>
          <w:color w:val="auto"/>
        </w:rPr>
        <w:t>The Company offers co-payment assistance to commercially insured patients meeting certain eligibility requirements. Co-payment assistance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accrued at the time of product sale to SDs and SP based on estimated 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12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Product Returns: </w:t>
      </w:r>
      <w:r>
        <w:rPr>
          <w:rFonts w:ascii="Times New Roman" w:cs="Times New Roman" w:eastAsia="Times New Roman" w:hAnsi="Times New Roman"/>
          <w:sz w:val="16"/>
          <w:szCs w:val="16"/>
          <w:color w:val="auto"/>
        </w:rPr>
        <w:t>Consistent with industry practice, the Company offers the SDs and SP limited product return rights for damages, shipment errors, and expiring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w:t>
      </w:r>
    </w:p>
    <w:p>
      <w:pPr>
        <w:spacing w:after="0" w:line="136" w:lineRule="exact"/>
        <w:rPr>
          <w:sz w:val="20"/>
          <w:szCs w:val="20"/>
          <w:color w:val="auto"/>
        </w:rPr>
      </w:pPr>
    </w:p>
    <w:p>
      <w:pPr>
        <w:ind w:right="80"/>
        <w:spacing w:after="0" w:line="335" w:lineRule="auto"/>
        <w:rPr>
          <w:sz w:val="20"/>
          <w:szCs w:val="20"/>
          <w:color w:val="auto"/>
        </w:rPr>
      </w:pPr>
      <w:r>
        <w:rPr>
          <w:rFonts w:ascii="Times New Roman" w:cs="Times New Roman" w:eastAsia="Times New Roman" w:hAnsi="Times New Roman"/>
          <w:sz w:val="14"/>
          <w:szCs w:val="14"/>
          <w:color w:val="auto"/>
        </w:rPr>
        <w:t>Revenue and allowances described above were recorded through the FYARRO Divestiture date of March 25, 2025. The total amount deducted from gross product sales for the allowances described above for the three months ended September 30, 2025, and 2024, was $0 and $1.7 million, respectively. The total amount deducted from gross product sales for the allowances described above for the nine months ended September 30, 2025 and 2024 was $2.1 million and $4.7 million,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changes in the accrued revenue allowances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2440" w:type="dxa"/>
            <w:vAlign w:val="bottom"/>
            <w:gridSpan w:val="5"/>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4"/>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56"/>
        </w:trPr>
        <w:tc>
          <w:tcPr>
            <w:tcW w:w="5520" w:type="dxa"/>
            <w:vAlign w:val="bottom"/>
          </w:tcPr>
          <w:p>
            <w:pPr>
              <w:spacing w:after="0"/>
              <w:rPr>
                <w:sz w:val="13"/>
                <w:szCs w:val="1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6"/>
        </w:trPr>
        <w:tc>
          <w:tcPr>
            <w:tcW w:w="55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780" w:type="dxa"/>
            <w:vAlign w:val="bottom"/>
            <w:shd w:val="clear" w:color="auto" w:fill="CFF0FC"/>
          </w:tcPr>
          <w:p>
            <w:pPr>
              <w:jc w:val="right"/>
              <w:ind w:right="628"/>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1,289</w:t>
            </w:r>
          </w:p>
        </w:tc>
        <w:tc>
          <w:tcPr>
            <w:tcW w:w="2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1,411</w:t>
            </w:r>
          </w:p>
        </w:tc>
        <w:tc>
          <w:tcPr>
            <w:tcW w:w="360" w:type="dxa"/>
            <w:vAlign w:val="bottom"/>
            <w:gridSpan w:val="2"/>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1,065</w:t>
            </w:r>
          </w:p>
        </w:tc>
      </w:tr>
      <w:tr>
        <w:trPr>
          <w:trHeight w:val="156"/>
        </w:trPr>
        <w:tc>
          <w:tcPr>
            <w:tcW w:w="55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Provision for current period sales</w:t>
            </w:r>
          </w:p>
        </w:tc>
        <w:tc>
          <w:tcPr>
            <w:tcW w:w="780" w:type="dxa"/>
            <w:vAlign w:val="bottom"/>
          </w:tcPr>
          <w:p>
            <w:pPr>
              <w:spacing w:after="0"/>
              <w:rPr>
                <w:sz w:val="13"/>
                <w:szCs w:val="13"/>
                <w:color w:val="auto"/>
              </w:rPr>
            </w:pPr>
          </w:p>
        </w:tc>
        <w:tc>
          <w:tcPr>
            <w:tcW w:w="380" w:type="dxa"/>
            <w:vAlign w:val="bottom"/>
          </w:tcPr>
          <w:p>
            <w:pPr>
              <w:ind w:lef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1,710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2,085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4,695</w:t>
            </w:r>
          </w:p>
        </w:tc>
      </w:tr>
      <w:tr>
        <w:trPr>
          <w:trHeight w:val="156"/>
        </w:trPr>
        <w:tc>
          <w:tcPr>
            <w:tcW w:w="55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Payments</w:t>
            </w:r>
          </w:p>
        </w:tc>
        <w:tc>
          <w:tcPr>
            <w:tcW w:w="780" w:type="dxa"/>
            <w:vAlign w:val="bottom"/>
            <w:shd w:val="clear" w:color="auto" w:fill="CFF0FC"/>
          </w:tcPr>
          <w:p>
            <w:pPr>
              <w:spacing w:after="0"/>
              <w:rPr>
                <w:sz w:val="13"/>
                <w:szCs w:val="13"/>
                <w:color w:val="auto"/>
              </w:rPr>
            </w:pPr>
          </w:p>
        </w:tc>
        <w:tc>
          <w:tcPr>
            <w:tcW w:w="380" w:type="dxa"/>
            <w:vAlign w:val="bottom"/>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(1,894)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(1,686)</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(4,655)</w:t>
            </w:r>
          </w:p>
        </w:tc>
      </w:tr>
      <w:tr>
        <w:trPr>
          <w:trHeight w:val="156"/>
        </w:trPr>
        <w:tc>
          <w:tcPr>
            <w:tcW w:w="55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Allowances transferred in sale of Aadi Subsidiary, Inc.</w:t>
            </w:r>
          </w:p>
        </w:tc>
        <w:tc>
          <w:tcPr>
            <w:tcW w:w="780" w:type="dxa"/>
            <w:vAlign w:val="bottom"/>
          </w:tcPr>
          <w:p>
            <w:pPr>
              <w:spacing w:after="0"/>
              <w:rPr>
                <w:sz w:val="13"/>
                <w:szCs w:val="13"/>
                <w:color w:val="auto"/>
              </w:rPr>
            </w:pPr>
          </w:p>
        </w:tc>
        <w:tc>
          <w:tcPr>
            <w:tcW w:w="380" w:type="dxa"/>
            <w:vAlign w:val="bottom"/>
          </w:tcPr>
          <w:p>
            <w:pPr>
              <w:ind w:lef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(1,810)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r>
      <w:tr>
        <w:trPr>
          <w:trHeight w:val="196"/>
        </w:trPr>
        <w:tc>
          <w:tcPr>
            <w:tcW w:w="552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Balance at end of period</w:t>
            </w:r>
          </w:p>
        </w:tc>
        <w:tc>
          <w:tcPr>
            <w:tcW w:w="780" w:type="dxa"/>
            <w:vAlign w:val="bottom"/>
            <w:tcBorders>
              <w:bottom w:val="single" w:sz="8" w:color="auto"/>
            </w:tcBorders>
            <w:shd w:val="clear" w:color="auto" w:fill="CFF0FC"/>
          </w:tcPr>
          <w:p>
            <w:pPr>
              <w:jc w:val="right"/>
              <w:ind w:right="628"/>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1,105</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1,105</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w:t>
      </w:r>
    </w:p>
    <w:p>
      <w:pPr>
        <w:spacing w:after="0" w:line="1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Cost of goods sold consist primarily of royalties paid to BMS, costs incurred on sales of FYARRO and costs to manufacture and prepare the product for sales subsequent to the FDA approval in November 2021. Costs incurred prior to the FDA approval were expensed when incurred</w:t>
      </w:r>
      <w:r>
        <w:rPr>
          <w:rFonts w:ascii="Times New Roman" w:cs="Times New Roman" w:eastAsia="Times New Roman" w:hAnsi="Times New Roman"/>
          <w:sz w:val="16"/>
          <w:szCs w:val="16"/>
          <w:i w:val="1"/>
          <w:iCs w:val="1"/>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8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condensed balance sheets and within research and development expenses in the condensed statements of operations and comprehensive loss. These expenses are a significant component of the Company’s 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5" w:name="page16"/>
    <w:bookmarkEnd w:id="1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Company determines the accounting classification of warrants it issues as either liability or equity classified by first assessing whether the warrants meet the liability classification in accordance with ASC 480-10, Accounting for Certain Financial Instruments with Characteristics of both Liabilities and Equity (“ASC 480”), then in accordance with ASC 815-40, Accounting for Derivative Financial Instruments Indexed to, and Potentially Settled in, a Company’s Own Stock (“ASC 815”). If warrants do not meet liability classification under ASC 480-10, the Company assesses the requirements under ASC 815-40. In order for a warrant to be classified in stockholders’ equity, the warrant must be (a) indexed to the Company’s equity and (b) meet the conditions for equity classification in ASC 815-40, Derivatives and Hedging - Contracts in an Entity’s Own Equity. If a warrant does not meet the conditions for equity classification, it is carried on the balance sheet as a warrant liability measured at fair value, with subsequent changes in the fair value of the warrant recorded in the statement of operations as change in fair value of warrants in other income (expense). If a warrant meets both conditions for equity classification, the warrant is initially recorded in additional paid-in capital on the balance sheets, and the amount initially recorded is not subsequently remeasured at fair value. The Company has classified its pre-funded warrants as equity.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Share-Based Compensation</w:t>
      </w:r>
    </w:p>
    <w:p>
      <w:pPr>
        <w:spacing w:after="0" w:line="180" w:lineRule="exact"/>
        <w:rPr>
          <w:sz w:val="20"/>
          <w:szCs w:val="20"/>
          <w:color w:val="auto"/>
        </w:rPr>
      </w:pPr>
    </w:p>
    <w:p>
      <w:pPr>
        <w:jc w:val="both"/>
        <w:ind w:right="140"/>
        <w:spacing w:after="0" w:line="325" w:lineRule="auto"/>
        <w:rPr>
          <w:sz w:val="20"/>
          <w:szCs w:val="20"/>
          <w:color w:val="auto"/>
        </w:rPr>
      </w:pPr>
      <w:r>
        <w:rPr>
          <w:rFonts w:ascii="Times New Roman" w:cs="Times New Roman" w:eastAsia="Times New Roman" w:hAnsi="Times New Roman"/>
          <w:sz w:val="14"/>
          <w:szCs w:val="14"/>
          <w:color w:val="auto"/>
        </w:rPr>
        <w:t xml:space="preserve">The Company recognizes all share-based payments to employees, including grants of employee stock options and restricted stock units in the statements of operations and comprehensive loss based on their fair values. All of the Company’s share-based awards, to employees, non-employees, officers, and directors, are subject only to service-based vesting conditions. Compensation expense for awards to employees is calculated on a straight-line basis by recognizing the fair value over the associated service period of the award, which is generally the vesting term. </w:t>
      </w:r>
      <w:r>
        <w:rPr>
          <w:rFonts w:ascii="Times New Roman" w:cs="Times New Roman" w:eastAsia="Times New Roman" w:hAnsi="Times New Roman"/>
          <w:sz w:val="14"/>
          <w:szCs w:val="14"/>
          <w:color w:val="231F20"/>
        </w:rPr>
        <w:t>Options granted during the year have a maximum contractual term of ten years.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w:t>
      </w:r>
    </w:p>
    <w:p>
      <w:pPr>
        <w:spacing w:after="0" w:line="180"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6"/>
          <w:szCs w:val="16"/>
          <w:color w:val="auto"/>
        </w:rPr>
        <w:t>Stock-based compensation expense for employee stock purchases under the Company’s 2021 Employee Stock Purchase Plan (the “2021 ESPP”) is recorded at the estimated fair value of the purchase as of the plan enrollment date and is recognized as an expense on a straight-line basis over the applicable six-month 2021 ESPP offering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w:t>
      </w:r>
    </w:p>
    <w:p>
      <w:pPr>
        <w:spacing w:after="0" w:line="18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6"/>
          <w:szCs w:val="16"/>
          <w:color w:val="auto"/>
        </w:rPr>
        <w:t>Other income consists primarily of interest income earned on cash, cash equivalents and short-term investments. During the three and nine months ended September 30, 2025, other income includes the gain on sale of a business, interest income earned on cash, cash equivalents and short-term investments, and income received for billable services not part of the Company's ordinary activities provided by its employees to KAKEN under a Transition Services Agreement, as amended ("TSA"). The TSA was entered into in connection with the FYARRO Divestiture on March 25, 2025 and expired on October 24,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8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6" w:name="page17"/>
    <w:bookmarkEnd w:id="1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00"/>
        <w:spacing w:after="0" w:line="335" w:lineRule="auto"/>
        <w:rPr>
          <w:sz w:val="20"/>
          <w:szCs w:val="20"/>
          <w:color w:val="auto"/>
        </w:rPr>
      </w:pPr>
      <w:r>
        <w:rPr>
          <w:rFonts w:ascii="Times New Roman" w:cs="Times New Roman" w:eastAsia="Times New Roman" w:hAnsi="Times New Roman"/>
          <w:sz w:val="14"/>
          <w:szCs w:val="14"/>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Income per Share</w:t>
      </w:r>
    </w:p>
    <w:p>
      <w:pPr>
        <w:spacing w:after="0" w:line="180"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14"/>
          <w:szCs w:val="14"/>
          <w:color w:val="auto"/>
        </w:rPr>
        <w:t>Basic net income (loss) per share is calculated by dividing the net loss attributable to common stockholders by the weighted-average number of common shares outstanding for the period. Basic and diluted weighted average shares of common stock outstanding for the three and nine months ended September 30, 2025, includes the weighted average effect of 20,076,500 and 2,000,037 Pre-Funded Warrants, which were issued in March 2025 and September 2022, respectively, for the purchase of shares of common stock, for which the remaining unfunded exercise price is $0.0001 per share. See Note 8 for more information on the Pre-Funded Warrants.</w:t>
      </w:r>
    </w:p>
    <w:p>
      <w:pPr>
        <w:spacing w:after="0" w:line="100"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6"/>
          <w:szCs w:val="16"/>
          <w:color w:val="auto"/>
        </w:rPr>
        <w:t>Diluted net loss per share is computed by dividing the net loss attributable to common stockholders by the weighted average number of common shares and common share equivalents outstanding for the period. Common stock equivalents are only included when their effect is dilutive.</w:t>
      </w:r>
    </w:p>
    <w:p>
      <w:pPr>
        <w:spacing w:after="0" w:line="118" w:lineRule="exact"/>
        <w:rPr>
          <w:sz w:val="20"/>
          <w:szCs w:val="20"/>
          <w:color w:val="auto"/>
        </w:rPr>
      </w:pPr>
    </w:p>
    <w:p>
      <w:pPr>
        <w:ind w:right="240"/>
        <w:spacing w:after="0" w:line="335" w:lineRule="auto"/>
        <w:rPr>
          <w:sz w:val="20"/>
          <w:szCs w:val="20"/>
          <w:color w:val="auto"/>
        </w:rPr>
      </w:pPr>
      <w:r>
        <w:rPr>
          <w:rFonts w:ascii="Times New Roman" w:cs="Times New Roman" w:eastAsia="Times New Roman" w:hAnsi="Times New Roman"/>
          <w:sz w:val="14"/>
          <w:szCs w:val="14"/>
          <w:color w:val="auto"/>
        </w:rPr>
        <w:t>The Company incurred net losses for the three months ended September 30, 2025 and 2024 and nine months ended September 30, 2024 and therefore did not include potentially dilutive common stock equivalents in the computation of diluted net loss per share. For the nine months ended September 30, 2025, options to purchase common stock totaling 3,805,985 shares, were excluded from the calculation of diluted net loss per share as their effect would have been anti-dilutive.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computations for basic and diluted EPS were as follows (in thousands, except shares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4"/>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60" w:type="dxa"/>
            <w:vAlign w:val="bottom"/>
            <w:gridSpan w:val="4"/>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Net income (loss) for basic and diluted EPS</w:t>
            </w:r>
          </w:p>
        </w:tc>
        <w:tc>
          <w:tcPr>
            <w:tcW w:w="220" w:type="dxa"/>
            <w:vAlign w:val="bottom"/>
            <w:shd w:val="clear" w:color="auto" w:fill="CFF0FC"/>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(17,746)</w:t>
            </w:r>
          </w:p>
        </w:tc>
        <w:tc>
          <w:tcPr>
            <w:tcW w:w="44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(12,546)</w:t>
            </w:r>
          </w:p>
        </w:tc>
        <w:tc>
          <w:tcPr>
            <w:tcW w:w="38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2,655</w:t>
            </w:r>
          </w:p>
        </w:tc>
        <w:tc>
          <w:tcPr>
            <w:tcW w:w="44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(45,418)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Weighted-average shares for basic EPS</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69,204,899</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27,041,327</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59,417,911</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27,010,791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Effect of dilutive stock options</w:t>
            </w:r>
          </w:p>
        </w:tc>
        <w:tc>
          <w:tcPr>
            <w:tcW w:w="220" w:type="dxa"/>
            <w:vAlign w:val="bottom"/>
          </w:tcPr>
          <w:p>
            <w:pPr>
              <w:spacing w:after="0"/>
              <w:rPr>
                <w:sz w:val="15"/>
                <w:szCs w:val="15"/>
                <w:color w:val="auto"/>
              </w:rPr>
            </w:pPr>
          </w:p>
        </w:tc>
        <w:tc>
          <w:tcPr>
            <w:tcW w:w="114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35,423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Effect of dilutive restricted stock units</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604,538</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Weighted-average shares for diluted EPS</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69,204,899</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27,041,327</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5"/>
              <w:spacing w:after="0" w:line="156" w:lineRule="exact"/>
              <w:rPr>
                <w:sz w:val="20"/>
                <w:szCs w:val="20"/>
                <w:color w:val="auto"/>
              </w:rPr>
            </w:pPr>
            <w:r>
              <w:rPr>
                <w:rFonts w:ascii="Times New Roman" w:cs="Times New Roman" w:eastAsia="Times New Roman" w:hAnsi="Times New Roman"/>
                <w:sz w:val="16"/>
                <w:szCs w:val="16"/>
                <w:color w:val="auto"/>
              </w:rPr>
              <w:t>60,057,872</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27,010,791</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 (loss) per share:</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Basic EPS</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(0.26)</w:t>
            </w:r>
          </w:p>
        </w:tc>
        <w:tc>
          <w:tcPr>
            <w:tcW w:w="4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0.04</w:t>
            </w:r>
          </w:p>
        </w:tc>
        <w:tc>
          <w:tcPr>
            <w:tcW w:w="4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Diluted EPS</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0.04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80" w:lineRule="exact"/>
        <w:rPr>
          <w:sz w:val="20"/>
          <w:szCs w:val="20"/>
          <w:color w:val="auto"/>
        </w:rPr>
      </w:pPr>
    </w:p>
    <w:p>
      <w:pPr>
        <w:ind w:right="140"/>
        <w:spacing w:after="0" w:line="335"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 Improvements to Income Tax Disclosures. The new standard requires a company to expand its existing income tax disclosures, specifically related to the rate reconciliation and income taxes paid. The standard is effective for the Company beginning in fiscal year 2025, with early adoption permitted. The Company is currently evaluating the impact of ASU 2023-09 on the financial statements and related disclosures.</w:t>
      </w:r>
    </w:p>
    <w:p>
      <w:pPr>
        <w:spacing w:after="0" w:line="9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Disclosures (Subtopic 220-40): Disaggregation of Income Statement Expenses. ASU 2024-03 requires additional disclosure of the nature of expenses included in the financial statements. ASU 2024-03 is effective for fiscal years beginning after December 15, 2026, and interim reporting periods beginning after December 15, 2027. Early adoption is permitted. The Company is currently evaluating the impact of ASU2024-03 on the financial statements and related disclosures.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7" w:name="page18"/>
    <w:bookmarkEnd w:id="1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3. Fair Value Measurement</w:t>
      </w:r>
    </w:p>
    <w:p>
      <w:pPr>
        <w:spacing w:after="0" w:line="178"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6"/>
          <w:szCs w:val="16"/>
          <w:color w:val="auto"/>
        </w:rPr>
        <w:t>The following table sets forth the recurring fair value of the Company’s financial assets and liabilities, allocated into the Level 1, Level 2 and Level 3 hierarchy that were measured at fair value on a recurring basis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00" w:type="dxa"/>
            <w:vAlign w:val="bottom"/>
            <w:gridSpan w:val="9"/>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Fair Value Measurements as of September 30, 2025</w:t>
            </w:r>
          </w:p>
        </w:tc>
        <w:tc>
          <w:tcPr>
            <w:tcW w:w="940" w:type="dxa"/>
            <w:vAlign w:val="bottom"/>
            <w:vMerge w:val="restart"/>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Money market funds (1)</w:t>
            </w:r>
          </w:p>
        </w:tc>
        <w:tc>
          <w:tcPr>
            <w:tcW w:w="200" w:type="dxa"/>
            <w:vAlign w:val="bottom"/>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31,193</w:t>
            </w:r>
          </w:p>
        </w:tc>
        <w:tc>
          <w:tcPr>
            <w:tcW w:w="320" w:type="dxa"/>
            <w:vAlign w:val="bottom"/>
            <w:gridSpan w:val="2"/>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7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31,193</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U.S. government treasury bills (2)</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58,967</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ind w:left="7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58,967</w:t>
            </w:r>
          </w:p>
        </w:tc>
        <w:tc>
          <w:tcPr>
            <w:tcW w:w="0" w:type="dxa"/>
            <w:vAlign w:val="bottom"/>
          </w:tcPr>
          <w:p>
            <w:pPr>
              <w:spacing w:after="0"/>
              <w:rPr>
                <w:sz w:val="1"/>
                <w:szCs w:val="1"/>
                <w:color w:val="auto"/>
              </w:rPr>
            </w:pPr>
          </w:p>
        </w:tc>
      </w:tr>
      <w:tr>
        <w:trPr>
          <w:trHeight w:val="156"/>
        </w:trPr>
        <w:tc>
          <w:tcPr>
            <w:tcW w:w="552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Pr>
          <w:p>
            <w:pPr>
              <w:spacing w:after="0"/>
              <w:rPr>
                <w:sz w:val="13"/>
                <w:szCs w:val="13"/>
                <w:color w:val="auto"/>
              </w:rPr>
            </w:pPr>
          </w:p>
        </w:tc>
        <w:tc>
          <w:tcPr>
            <w:tcW w:w="96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16,112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16,112</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56,075</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ind w:left="7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56,075</w:t>
            </w:r>
          </w:p>
        </w:tc>
        <w:tc>
          <w:tcPr>
            <w:tcW w:w="0" w:type="dxa"/>
            <w:vAlign w:val="bottom"/>
          </w:tcPr>
          <w:p>
            <w:pPr>
              <w:spacing w:after="0"/>
              <w:rPr>
                <w:sz w:val="1"/>
                <w:szCs w:val="1"/>
                <w:color w:val="auto"/>
              </w:rPr>
            </w:pPr>
          </w:p>
        </w:tc>
      </w:tr>
      <w:tr>
        <w:trPr>
          <w:trHeight w:val="156"/>
        </w:trPr>
        <w:tc>
          <w:tcPr>
            <w:tcW w:w="55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Total financial assets</w:t>
            </w:r>
          </w:p>
        </w:tc>
        <w:tc>
          <w:tcPr>
            <w:tcW w:w="200" w:type="dxa"/>
            <w:vAlign w:val="bottom"/>
            <w:tcBorders>
              <w:bottom w:val="single" w:sz="8" w:color="auto"/>
            </w:tcBorders>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90,160</w:t>
            </w:r>
          </w:p>
        </w:tc>
        <w:tc>
          <w:tcPr>
            <w:tcW w:w="120" w:type="dxa"/>
            <w:vAlign w:val="bottom"/>
          </w:tcPr>
          <w:p>
            <w:pPr>
              <w:spacing w:after="0"/>
              <w:rPr>
                <w:sz w:val="13"/>
                <w:szCs w:val="13"/>
                <w:color w:val="auto"/>
              </w:rPr>
            </w:pPr>
          </w:p>
        </w:tc>
        <w:tc>
          <w:tcPr>
            <w:tcW w:w="200" w:type="dxa"/>
            <w:vAlign w:val="bottom"/>
            <w:tcBorders>
              <w:bottom w:val="single" w:sz="8" w:color="auto"/>
            </w:tcBorders>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72,187</w:t>
            </w: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ind w:left="7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240" w:type="dxa"/>
            <w:vAlign w:val="bottom"/>
            <w:tcBorders>
              <w:bottom w:val="single" w:sz="8" w:color="auto"/>
            </w:tcBorders>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162,347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gridSpan w:val="9"/>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Fair Value Measurements as of December 31, 2024</w:t>
            </w:r>
          </w:p>
        </w:tc>
        <w:tc>
          <w:tcPr>
            <w:tcW w:w="940" w:type="dxa"/>
            <w:vAlign w:val="bottom"/>
            <w:vMerge w:val="restart"/>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Money market funds (1)</w:t>
            </w:r>
          </w:p>
        </w:tc>
        <w:tc>
          <w:tcPr>
            <w:tcW w:w="200" w:type="dxa"/>
            <w:vAlign w:val="bottom"/>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27,485</w:t>
            </w:r>
          </w:p>
        </w:tc>
        <w:tc>
          <w:tcPr>
            <w:tcW w:w="320" w:type="dxa"/>
            <w:vAlign w:val="bottom"/>
            <w:gridSpan w:val="2"/>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7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27,485</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U.S. government treasury bills</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12,562</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ind w:left="7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12,562</w:t>
            </w:r>
          </w:p>
        </w:tc>
        <w:tc>
          <w:tcPr>
            <w:tcW w:w="0" w:type="dxa"/>
            <w:vAlign w:val="bottom"/>
          </w:tcPr>
          <w:p>
            <w:pPr>
              <w:spacing w:after="0"/>
              <w:rPr>
                <w:sz w:val="1"/>
                <w:szCs w:val="1"/>
                <w:color w:val="auto"/>
              </w:rPr>
            </w:pPr>
          </w:p>
        </w:tc>
      </w:tr>
      <w:tr>
        <w:trPr>
          <w:trHeight w:val="156"/>
        </w:trPr>
        <w:tc>
          <w:tcPr>
            <w:tcW w:w="552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Pr>
          <w:p>
            <w:pPr>
              <w:spacing w:after="0"/>
              <w:rPr>
                <w:sz w:val="13"/>
                <w:szCs w:val="13"/>
                <w:color w:val="auto"/>
              </w:rPr>
            </w:pPr>
          </w:p>
        </w:tc>
        <w:tc>
          <w:tcPr>
            <w:tcW w:w="96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1,744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ind w:left="7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1,744</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4,261</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ind w:left="7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4,261</w:t>
            </w:r>
          </w:p>
        </w:tc>
        <w:tc>
          <w:tcPr>
            <w:tcW w:w="0" w:type="dxa"/>
            <w:vAlign w:val="bottom"/>
          </w:tcPr>
          <w:p>
            <w:pPr>
              <w:spacing w:after="0"/>
              <w:rPr>
                <w:sz w:val="1"/>
                <w:szCs w:val="1"/>
                <w:color w:val="auto"/>
              </w:rPr>
            </w:pPr>
          </w:p>
        </w:tc>
      </w:tr>
      <w:tr>
        <w:trPr>
          <w:trHeight w:val="156"/>
        </w:trPr>
        <w:tc>
          <w:tcPr>
            <w:tcW w:w="552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Total financial assets</w:t>
            </w:r>
          </w:p>
        </w:tc>
        <w:tc>
          <w:tcPr>
            <w:tcW w:w="200" w:type="dxa"/>
            <w:vAlign w:val="bottom"/>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40,047</w:t>
            </w:r>
          </w:p>
        </w:tc>
        <w:tc>
          <w:tcPr>
            <w:tcW w:w="320" w:type="dxa"/>
            <w:vAlign w:val="bottom"/>
            <w:gridSpan w:val="2"/>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6,005</w:t>
            </w:r>
          </w:p>
        </w:tc>
        <w:tc>
          <w:tcPr>
            <w:tcW w:w="340" w:type="dxa"/>
            <w:vAlign w:val="bottom"/>
            <w:gridSpan w:val="2"/>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7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46,052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(1)Included in cash and cash equivalents in the accompanying condensed balance sheets.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investments classified as cash and cash equivalents in the accompanying balance sheets.</w:t>
      </w:r>
    </w:p>
    <w:p>
      <w:pPr>
        <w:spacing w:after="0" w:line="176"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6"/>
          <w:szCs w:val="16"/>
          <w:color w:val="auto"/>
        </w:rPr>
        <w:t>As of September 30, 2025, corporate bonds had contractual maturities of greater than one year and less than two years. All other marketable securities had contractual maturities of less than one year.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4. Short-Term Investments and Cash Equivalents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short-term investments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2160" w:type="dxa"/>
            <w:vAlign w:val="bottom"/>
            <w:vMerge w:val="restart"/>
          </w:tcPr>
          <w:p>
            <w:pPr>
              <w:jc w:val="center"/>
              <w:ind w:left="1006"/>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7"/>
          </w:tcPr>
          <w:p>
            <w:pPr>
              <w:ind w:left="340"/>
              <w:spacing w:after="0"/>
              <w:rPr>
                <w:sz w:val="20"/>
                <w:szCs w:val="20"/>
                <w:color w:val="auto"/>
              </w:rPr>
            </w:pPr>
            <w:r>
              <w:rPr>
                <w:rFonts w:ascii="Times New Roman" w:cs="Times New Roman" w:eastAsia="Times New Roman" w:hAnsi="Times New Roman"/>
                <w:sz w:val="13"/>
                <w:szCs w:val="13"/>
                <w:b w:val="1"/>
                <w:bCs w:val="1"/>
                <w:color w:val="auto"/>
              </w:rPr>
              <w:t>As of September 30, 2025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120"/>
              <w:spacing w:after="0" w:line="132"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2160" w:type="dxa"/>
            <w:vAlign w:val="bottom"/>
          </w:tcPr>
          <w:p>
            <w:pPr>
              <w:jc w:val="center"/>
              <w:ind w:left="1026"/>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Money market funds</w:t>
            </w:r>
          </w:p>
        </w:tc>
        <w:tc>
          <w:tcPr>
            <w:tcW w:w="2160" w:type="dxa"/>
            <w:vAlign w:val="bottom"/>
            <w:shd w:val="clear" w:color="auto" w:fill="CFF0FC"/>
          </w:tcPr>
          <w:p>
            <w:pPr>
              <w:spacing w:after="0"/>
              <w:rPr>
                <w:sz w:val="13"/>
                <w:szCs w:val="13"/>
                <w:color w:val="auto"/>
              </w:rPr>
            </w:pPr>
          </w:p>
        </w:tc>
        <w:tc>
          <w:tcPr>
            <w:tcW w:w="400" w:type="dxa"/>
            <w:vAlign w:val="bottom"/>
            <w:gridSpan w:val="3"/>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center"/>
              <w:ind w:left="405"/>
              <w:spacing w:after="0" w:line="156" w:lineRule="exact"/>
              <w:rPr>
                <w:sz w:val="20"/>
                <w:szCs w:val="20"/>
                <w:color w:val="auto"/>
              </w:rPr>
            </w:pPr>
            <w:r>
              <w:rPr>
                <w:rFonts w:ascii="Times New Roman" w:cs="Times New Roman" w:eastAsia="Times New Roman" w:hAnsi="Times New Roman"/>
                <w:sz w:val="16"/>
                <w:szCs w:val="16"/>
                <w:color w:val="auto"/>
                <w:w w:val="99"/>
              </w:rPr>
              <w:t>31,193</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ind w:left="8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31,193</w:t>
            </w:r>
          </w:p>
        </w:tc>
        <w:tc>
          <w:tcPr>
            <w:tcW w:w="0" w:type="dxa"/>
            <w:vAlign w:val="bottom"/>
          </w:tcPr>
          <w:p>
            <w:pPr>
              <w:spacing w:after="0"/>
              <w:rPr>
                <w:sz w:val="1"/>
                <w:szCs w:val="1"/>
                <w:color w:val="auto"/>
              </w:rPr>
            </w:pPr>
          </w:p>
        </w:tc>
      </w:tr>
      <w:tr>
        <w:trPr>
          <w:trHeight w:val="156"/>
        </w:trPr>
        <w:tc>
          <w:tcPr>
            <w:tcW w:w="30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U.S. government treasury bills</w:t>
            </w:r>
          </w:p>
        </w:tc>
        <w:tc>
          <w:tcPr>
            <w:tcW w:w="2160" w:type="dxa"/>
            <w:vAlign w:val="bottom"/>
          </w:tcPr>
          <w:p>
            <w:pPr>
              <w:jc w:val="center"/>
              <w:ind w:left="1026"/>
              <w:spacing w:after="0" w:line="156" w:lineRule="exact"/>
              <w:rPr>
                <w:sz w:val="20"/>
                <w:szCs w:val="20"/>
                <w:color w:val="auto"/>
              </w:rPr>
            </w:pPr>
            <w:r>
              <w:rPr>
                <w:rFonts w:ascii="Times New Roman" w:cs="Times New Roman" w:eastAsia="Times New Roman" w:hAnsi="Times New Roman"/>
                <w:sz w:val="16"/>
                <w:szCs w:val="16"/>
                <w:color w:val="auto"/>
                <w:w w:val="95"/>
              </w:rPr>
              <w:t>Less than 1</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left="405"/>
              <w:spacing w:after="0" w:line="156" w:lineRule="exact"/>
              <w:rPr>
                <w:sz w:val="20"/>
                <w:szCs w:val="20"/>
                <w:color w:val="auto"/>
              </w:rPr>
            </w:pPr>
            <w:r>
              <w:rPr>
                <w:rFonts w:ascii="Times New Roman" w:cs="Times New Roman" w:eastAsia="Times New Roman" w:hAnsi="Times New Roman"/>
                <w:sz w:val="16"/>
                <w:szCs w:val="16"/>
                <w:color w:val="auto"/>
                <w:w w:val="99"/>
              </w:rPr>
              <w:t>58,943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8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58,967</w:t>
            </w:r>
          </w:p>
        </w:tc>
        <w:tc>
          <w:tcPr>
            <w:tcW w:w="0" w:type="dxa"/>
            <w:vAlign w:val="bottom"/>
          </w:tcPr>
          <w:p>
            <w:pPr>
              <w:spacing w:after="0"/>
              <w:rPr>
                <w:sz w:val="1"/>
                <w:szCs w:val="1"/>
                <w:color w:val="auto"/>
              </w:rPr>
            </w:pPr>
          </w:p>
        </w:tc>
      </w:tr>
      <w:tr>
        <w:trPr>
          <w:trHeight w:val="156"/>
        </w:trPr>
        <w:tc>
          <w:tcPr>
            <w:tcW w:w="3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Commercial paper</w:t>
            </w:r>
          </w:p>
        </w:tc>
        <w:tc>
          <w:tcPr>
            <w:tcW w:w="2160" w:type="dxa"/>
            <w:vAlign w:val="bottom"/>
            <w:shd w:val="clear" w:color="auto" w:fill="CFF0FC"/>
          </w:tcPr>
          <w:p>
            <w:pPr>
              <w:jc w:val="center"/>
              <w:ind w:left="1026"/>
              <w:spacing w:after="0" w:line="156" w:lineRule="exact"/>
              <w:rPr>
                <w:sz w:val="20"/>
                <w:szCs w:val="20"/>
                <w:color w:val="auto"/>
              </w:rPr>
            </w:pPr>
            <w:r>
              <w:rPr>
                <w:rFonts w:ascii="Times New Roman" w:cs="Times New Roman" w:eastAsia="Times New Roman" w:hAnsi="Times New Roman"/>
                <w:sz w:val="16"/>
                <w:szCs w:val="16"/>
                <w:color w:val="auto"/>
                <w:w w:val="95"/>
              </w:rPr>
              <w:t>Less than 1</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jc w:val="center"/>
              <w:ind w:left="405"/>
              <w:spacing w:after="0" w:line="156" w:lineRule="exact"/>
              <w:rPr>
                <w:sz w:val="20"/>
                <w:szCs w:val="20"/>
                <w:color w:val="auto"/>
              </w:rPr>
            </w:pPr>
            <w:r>
              <w:rPr>
                <w:rFonts w:ascii="Times New Roman" w:cs="Times New Roman" w:eastAsia="Times New Roman" w:hAnsi="Times New Roman"/>
                <w:sz w:val="16"/>
                <w:szCs w:val="16"/>
                <w:color w:val="auto"/>
                <w:w w:val="99"/>
              </w:rPr>
              <w:t>16,086</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8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16,112</w:t>
            </w:r>
          </w:p>
        </w:tc>
        <w:tc>
          <w:tcPr>
            <w:tcW w:w="0" w:type="dxa"/>
            <w:vAlign w:val="bottom"/>
          </w:tcPr>
          <w:p>
            <w:pPr>
              <w:spacing w:after="0"/>
              <w:rPr>
                <w:sz w:val="1"/>
                <w:szCs w:val="1"/>
                <w:color w:val="auto"/>
              </w:rPr>
            </w:pPr>
          </w:p>
        </w:tc>
      </w:tr>
      <w:tr>
        <w:trPr>
          <w:trHeight w:val="156"/>
        </w:trPr>
        <w:tc>
          <w:tcPr>
            <w:tcW w:w="30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Corporate bonds</w:t>
            </w:r>
          </w:p>
        </w:tc>
        <w:tc>
          <w:tcPr>
            <w:tcW w:w="2160" w:type="dxa"/>
            <w:vAlign w:val="bottom"/>
          </w:tcPr>
          <w:p>
            <w:pPr>
              <w:jc w:val="center"/>
              <w:ind w:left="1026"/>
              <w:spacing w:after="0" w:line="156" w:lineRule="exact"/>
              <w:rPr>
                <w:sz w:val="20"/>
                <w:szCs w:val="20"/>
                <w:color w:val="auto"/>
              </w:rPr>
            </w:pPr>
            <w:r>
              <w:rPr>
                <w:rFonts w:ascii="Times New Roman" w:cs="Times New Roman" w:eastAsia="Times New Roman" w:hAnsi="Times New Roman"/>
                <w:sz w:val="16"/>
                <w:szCs w:val="16"/>
                <w:color w:val="auto"/>
                <w:w w:val="95"/>
              </w:rPr>
              <w:t>Less than 1</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left="405"/>
              <w:spacing w:after="0" w:line="156" w:lineRule="exact"/>
              <w:rPr>
                <w:sz w:val="20"/>
                <w:szCs w:val="20"/>
                <w:color w:val="auto"/>
              </w:rPr>
            </w:pPr>
            <w:r>
              <w:rPr>
                <w:rFonts w:ascii="Times New Roman" w:cs="Times New Roman" w:eastAsia="Times New Roman" w:hAnsi="Times New Roman"/>
                <w:sz w:val="16"/>
                <w:szCs w:val="16"/>
                <w:color w:val="auto"/>
                <w:w w:val="99"/>
              </w:rPr>
              <w:t>44,486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8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44,553</w:t>
            </w:r>
          </w:p>
        </w:tc>
        <w:tc>
          <w:tcPr>
            <w:tcW w:w="0" w:type="dxa"/>
            <w:vAlign w:val="bottom"/>
          </w:tcPr>
          <w:p>
            <w:pPr>
              <w:spacing w:after="0"/>
              <w:rPr>
                <w:sz w:val="1"/>
                <w:szCs w:val="1"/>
                <w:color w:val="auto"/>
              </w:rPr>
            </w:pPr>
          </w:p>
        </w:tc>
      </w:tr>
      <w:tr>
        <w:trPr>
          <w:trHeight w:val="132"/>
        </w:trPr>
        <w:tc>
          <w:tcPr>
            <w:tcW w:w="30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4"/>
                <w:szCs w:val="14"/>
                <w:color w:val="auto"/>
              </w:rPr>
              <w:t>Corporate bonds</w:t>
            </w:r>
          </w:p>
        </w:tc>
        <w:tc>
          <w:tcPr>
            <w:tcW w:w="2160" w:type="dxa"/>
            <w:vAlign w:val="bottom"/>
            <w:shd w:val="clear" w:color="auto" w:fill="CFF0FC"/>
          </w:tcPr>
          <w:p>
            <w:pPr>
              <w:jc w:val="center"/>
              <w:ind w:left="1006"/>
              <w:spacing w:after="0" w:line="132" w:lineRule="exact"/>
              <w:rPr>
                <w:sz w:val="20"/>
                <w:szCs w:val="20"/>
                <w:color w:val="auto"/>
              </w:rPr>
            </w:pPr>
            <w:r>
              <w:rPr>
                <w:rFonts w:ascii="Times New Roman" w:cs="Times New Roman" w:eastAsia="Times New Roman" w:hAnsi="Times New Roman"/>
                <w:sz w:val="14"/>
                <w:szCs w:val="14"/>
                <w:color w:val="auto"/>
              </w:rPr>
              <w:t>More than 1 less</w:t>
            </w: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center"/>
              <w:ind w:left="405"/>
              <w:spacing w:after="0"/>
              <w:rPr>
                <w:sz w:val="20"/>
                <w:szCs w:val="20"/>
                <w:color w:val="auto"/>
              </w:rPr>
            </w:pPr>
            <w:r>
              <w:rPr>
                <w:rFonts w:ascii="Times New Roman" w:cs="Times New Roman" w:eastAsia="Times New Roman" w:hAnsi="Times New Roman"/>
                <w:sz w:val="16"/>
                <w:szCs w:val="16"/>
                <w:color w:val="auto"/>
                <w:w w:val="99"/>
              </w:rPr>
              <w:t>11,500</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vMerge w:val="restart"/>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11,522</w:t>
            </w: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spacing w:after="0"/>
              <w:rPr>
                <w:sz w:val="15"/>
                <w:szCs w:val="15"/>
                <w:color w:val="auto"/>
              </w:rPr>
            </w:pPr>
          </w:p>
        </w:tc>
        <w:tc>
          <w:tcPr>
            <w:tcW w:w="2160" w:type="dxa"/>
            <w:vAlign w:val="bottom"/>
            <w:shd w:val="clear" w:color="auto" w:fill="CFF0FC"/>
          </w:tcPr>
          <w:p>
            <w:pPr>
              <w:jc w:val="center"/>
              <w:ind w:left="1026"/>
              <w:spacing w:after="0" w:line="180" w:lineRule="exact"/>
              <w:rPr>
                <w:sz w:val="20"/>
                <w:szCs w:val="20"/>
                <w:color w:val="auto"/>
              </w:rPr>
            </w:pPr>
            <w:r>
              <w:rPr>
                <w:rFonts w:ascii="Times New Roman" w:cs="Times New Roman" w:eastAsia="Times New Roman" w:hAnsi="Times New Roman"/>
                <w:sz w:val="16"/>
                <w:szCs w:val="16"/>
                <w:color w:val="auto"/>
                <w:w w:val="95"/>
              </w:rPr>
              <w:t>than 2</w:t>
            </w: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Total</w:t>
            </w:r>
          </w:p>
        </w:tc>
        <w:tc>
          <w:tcPr>
            <w:tcW w:w="21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center"/>
              <w:ind w:left="345"/>
              <w:spacing w:after="0" w:line="156" w:lineRule="exact"/>
              <w:rPr>
                <w:sz w:val="20"/>
                <w:szCs w:val="20"/>
                <w:color w:val="auto"/>
              </w:rPr>
            </w:pPr>
            <w:r>
              <w:rPr>
                <w:rFonts w:ascii="Times New Roman" w:cs="Times New Roman" w:eastAsia="Times New Roman" w:hAnsi="Times New Roman"/>
                <w:sz w:val="16"/>
                <w:szCs w:val="16"/>
                <w:color w:val="auto"/>
                <w:w w:val="96"/>
              </w:rPr>
              <w:t>162,208</w:t>
            </w:r>
          </w:p>
        </w:tc>
        <w:tc>
          <w:tcPr>
            <w:tcW w:w="60" w:type="dxa"/>
            <w:vAlign w:val="bottom"/>
          </w:tcPr>
          <w:p>
            <w:pPr>
              <w:spacing w:after="0"/>
              <w:rPr>
                <w:sz w:val="13"/>
                <w:szCs w:val="13"/>
                <w:color w:val="auto"/>
              </w:rPr>
            </w:pPr>
          </w:p>
        </w:tc>
        <w:tc>
          <w:tcPr>
            <w:tcW w:w="260" w:type="dxa"/>
            <w:vAlign w:val="bottom"/>
            <w:gridSpan w:val="3"/>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3"/>
                <w:szCs w:val="13"/>
                <w:color w:val="auto"/>
              </w:rPr>
            </w:pPr>
          </w:p>
        </w:tc>
        <w:tc>
          <w:tcPr>
            <w:tcW w:w="240" w:type="dxa"/>
            <w:vAlign w:val="bottom"/>
            <w:gridSpan w:val="3"/>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8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162,347</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020" w:type="dxa"/>
            <w:vAlign w:val="bottom"/>
          </w:tcPr>
          <w:p>
            <w:pPr>
              <w:spacing w:after="0"/>
              <w:rPr>
                <w:sz w:val="24"/>
                <w:szCs w:val="24"/>
                <w:color w:val="auto"/>
              </w:rPr>
            </w:pPr>
          </w:p>
        </w:tc>
        <w:tc>
          <w:tcPr>
            <w:tcW w:w="2160" w:type="dxa"/>
            <w:vAlign w:val="bottom"/>
            <w:vMerge w:val="restart"/>
          </w:tcPr>
          <w:p>
            <w:pPr>
              <w:jc w:val="center"/>
              <w:ind w:left="1066"/>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7"/>
          </w:tcPr>
          <w:p>
            <w:pPr>
              <w:ind w:left="3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2160" w:type="dxa"/>
            <w:vAlign w:val="bottom"/>
          </w:tcPr>
          <w:p>
            <w:pPr>
              <w:jc w:val="center"/>
              <w:ind w:left="1066"/>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Money market funds</w:t>
            </w:r>
          </w:p>
        </w:tc>
        <w:tc>
          <w:tcPr>
            <w:tcW w:w="2160" w:type="dxa"/>
            <w:vAlign w:val="bottom"/>
            <w:shd w:val="clear" w:color="auto" w:fill="CFF0FC"/>
          </w:tcPr>
          <w:p>
            <w:pPr>
              <w:spacing w:after="0"/>
              <w:rPr>
                <w:sz w:val="13"/>
                <w:szCs w:val="13"/>
                <w:color w:val="auto"/>
              </w:rPr>
            </w:pPr>
          </w:p>
        </w:tc>
        <w:tc>
          <w:tcPr>
            <w:tcW w:w="400" w:type="dxa"/>
            <w:vAlign w:val="bottom"/>
            <w:gridSpan w:val="3"/>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center"/>
              <w:ind w:left="305"/>
              <w:spacing w:after="0" w:line="156" w:lineRule="exact"/>
              <w:rPr>
                <w:sz w:val="20"/>
                <w:szCs w:val="20"/>
                <w:color w:val="auto"/>
              </w:rPr>
            </w:pPr>
            <w:r>
              <w:rPr>
                <w:rFonts w:ascii="Times New Roman" w:cs="Times New Roman" w:eastAsia="Times New Roman" w:hAnsi="Times New Roman"/>
                <w:sz w:val="16"/>
                <w:szCs w:val="16"/>
                <w:color w:val="auto"/>
                <w:w w:val="95"/>
              </w:rPr>
              <w:t>27,485</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27,485</w:t>
            </w:r>
          </w:p>
        </w:tc>
        <w:tc>
          <w:tcPr>
            <w:tcW w:w="0" w:type="dxa"/>
            <w:vAlign w:val="bottom"/>
          </w:tcPr>
          <w:p>
            <w:pPr>
              <w:spacing w:after="0"/>
              <w:rPr>
                <w:sz w:val="1"/>
                <w:szCs w:val="1"/>
                <w:color w:val="auto"/>
              </w:rPr>
            </w:pPr>
          </w:p>
        </w:tc>
      </w:tr>
      <w:tr>
        <w:trPr>
          <w:trHeight w:val="156"/>
        </w:trPr>
        <w:tc>
          <w:tcPr>
            <w:tcW w:w="30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U.S. government treasury bills</w:t>
            </w:r>
          </w:p>
        </w:tc>
        <w:tc>
          <w:tcPr>
            <w:tcW w:w="2160" w:type="dxa"/>
            <w:vAlign w:val="bottom"/>
          </w:tcPr>
          <w:p>
            <w:pPr>
              <w:jc w:val="center"/>
              <w:ind w:left="1066"/>
              <w:spacing w:after="0" w:line="156" w:lineRule="exact"/>
              <w:rPr>
                <w:sz w:val="20"/>
                <w:szCs w:val="20"/>
                <w:color w:val="auto"/>
              </w:rPr>
            </w:pPr>
            <w:r>
              <w:rPr>
                <w:rFonts w:ascii="Times New Roman" w:cs="Times New Roman" w:eastAsia="Times New Roman" w:hAnsi="Times New Roman"/>
                <w:sz w:val="16"/>
                <w:szCs w:val="16"/>
                <w:color w:val="auto"/>
                <w:w w:val="95"/>
              </w:rPr>
              <w:t>Less than 1</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left="305"/>
              <w:spacing w:after="0" w:line="156" w:lineRule="exact"/>
              <w:rPr>
                <w:sz w:val="20"/>
                <w:szCs w:val="20"/>
                <w:color w:val="auto"/>
              </w:rPr>
            </w:pPr>
            <w:r>
              <w:rPr>
                <w:rFonts w:ascii="Times New Roman" w:cs="Times New Roman" w:eastAsia="Times New Roman" w:hAnsi="Times New Roman"/>
                <w:sz w:val="16"/>
                <w:szCs w:val="16"/>
                <w:color w:val="auto"/>
                <w:w w:val="95"/>
              </w:rPr>
              <w:t>12,553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7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12,562</w:t>
            </w:r>
          </w:p>
        </w:tc>
        <w:tc>
          <w:tcPr>
            <w:tcW w:w="0" w:type="dxa"/>
            <w:vAlign w:val="bottom"/>
          </w:tcPr>
          <w:p>
            <w:pPr>
              <w:spacing w:after="0"/>
              <w:rPr>
                <w:sz w:val="1"/>
                <w:szCs w:val="1"/>
                <w:color w:val="auto"/>
              </w:rPr>
            </w:pPr>
          </w:p>
        </w:tc>
      </w:tr>
      <w:tr>
        <w:trPr>
          <w:trHeight w:val="156"/>
        </w:trPr>
        <w:tc>
          <w:tcPr>
            <w:tcW w:w="3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Commercial paper</w:t>
            </w:r>
          </w:p>
        </w:tc>
        <w:tc>
          <w:tcPr>
            <w:tcW w:w="2160" w:type="dxa"/>
            <w:vAlign w:val="bottom"/>
            <w:shd w:val="clear" w:color="auto" w:fill="CFF0FC"/>
          </w:tcPr>
          <w:p>
            <w:pPr>
              <w:jc w:val="center"/>
              <w:ind w:left="1066"/>
              <w:spacing w:after="0" w:line="156" w:lineRule="exact"/>
              <w:rPr>
                <w:sz w:val="20"/>
                <w:szCs w:val="20"/>
                <w:color w:val="auto"/>
              </w:rPr>
            </w:pPr>
            <w:r>
              <w:rPr>
                <w:rFonts w:ascii="Times New Roman" w:cs="Times New Roman" w:eastAsia="Times New Roman" w:hAnsi="Times New Roman"/>
                <w:sz w:val="16"/>
                <w:szCs w:val="16"/>
                <w:color w:val="auto"/>
                <w:w w:val="95"/>
              </w:rPr>
              <w:t>Less than 1</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jc w:val="center"/>
              <w:ind w:left="405"/>
              <w:spacing w:after="0" w:line="156" w:lineRule="exact"/>
              <w:rPr>
                <w:sz w:val="20"/>
                <w:szCs w:val="20"/>
                <w:color w:val="auto"/>
              </w:rPr>
            </w:pPr>
            <w:r>
              <w:rPr>
                <w:rFonts w:ascii="Times New Roman" w:cs="Times New Roman" w:eastAsia="Times New Roman" w:hAnsi="Times New Roman"/>
                <w:sz w:val="16"/>
                <w:szCs w:val="16"/>
                <w:color w:val="auto"/>
                <w:w w:val="99"/>
              </w:rPr>
              <w:t>1,743</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1,744</w:t>
            </w:r>
          </w:p>
        </w:tc>
        <w:tc>
          <w:tcPr>
            <w:tcW w:w="0" w:type="dxa"/>
            <w:vAlign w:val="bottom"/>
          </w:tcPr>
          <w:p>
            <w:pPr>
              <w:spacing w:after="0"/>
              <w:rPr>
                <w:sz w:val="1"/>
                <w:szCs w:val="1"/>
                <w:color w:val="auto"/>
              </w:rPr>
            </w:pPr>
          </w:p>
        </w:tc>
      </w:tr>
      <w:tr>
        <w:trPr>
          <w:trHeight w:val="156"/>
        </w:trPr>
        <w:tc>
          <w:tcPr>
            <w:tcW w:w="30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Corporate bonds</w:t>
            </w:r>
          </w:p>
        </w:tc>
        <w:tc>
          <w:tcPr>
            <w:tcW w:w="2160" w:type="dxa"/>
            <w:vAlign w:val="bottom"/>
          </w:tcPr>
          <w:p>
            <w:pPr>
              <w:jc w:val="center"/>
              <w:ind w:left="1066"/>
              <w:spacing w:after="0" w:line="156" w:lineRule="exact"/>
              <w:rPr>
                <w:sz w:val="20"/>
                <w:szCs w:val="20"/>
                <w:color w:val="auto"/>
              </w:rPr>
            </w:pPr>
            <w:r>
              <w:rPr>
                <w:rFonts w:ascii="Times New Roman" w:cs="Times New Roman" w:eastAsia="Times New Roman" w:hAnsi="Times New Roman"/>
                <w:sz w:val="16"/>
                <w:szCs w:val="16"/>
                <w:color w:val="auto"/>
                <w:w w:val="95"/>
              </w:rPr>
              <w:t>Less than 1</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left="405"/>
              <w:spacing w:after="0" w:line="156" w:lineRule="exact"/>
              <w:rPr>
                <w:sz w:val="20"/>
                <w:szCs w:val="20"/>
                <w:color w:val="auto"/>
              </w:rPr>
            </w:pPr>
            <w:r>
              <w:rPr>
                <w:rFonts w:ascii="Times New Roman" w:cs="Times New Roman" w:eastAsia="Times New Roman" w:hAnsi="Times New Roman"/>
                <w:sz w:val="16"/>
                <w:szCs w:val="16"/>
                <w:color w:val="auto"/>
                <w:w w:val="99"/>
              </w:rPr>
              <w:t>4,256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7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4,261</w:t>
            </w:r>
          </w:p>
        </w:tc>
        <w:tc>
          <w:tcPr>
            <w:tcW w:w="0" w:type="dxa"/>
            <w:vAlign w:val="bottom"/>
          </w:tcPr>
          <w:p>
            <w:pPr>
              <w:spacing w:after="0"/>
              <w:rPr>
                <w:sz w:val="1"/>
                <w:szCs w:val="1"/>
                <w:color w:val="auto"/>
              </w:rPr>
            </w:pPr>
          </w:p>
        </w:tc>
      </w:tr>
      <w:tr>
        <w:trPr>
          <w:trHeight w:val="196"/>
        </w:trPr>
        <w:tc>
          <w:tcPr>
            <w:tcW w:w="3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Total</w:t>
            </w:r>
          </w:p>
        </w:tc>
        <w:tc>
          <w:tcPr>
            <w:tcW w:w="2160" w:type="dxa"/>
            <w:vAlign w:val="bottom"/>
            <w:shd w:val="clear" w:color="auto" w:fill="CFF0FC"/>
          </w:tcPr>
          <w:p>
            <w:pPr>
              <w:spacing w:after="0"/>
              <w:rPr>
                <w:sz w:val="17"/>
                <w:szCs w:val="17"/>
                <w:color w:val="auto"/>
              </w:rPr>
            </w:pPr>
          </w:p>
        </w:tc>
        <w:tc>
          <w:tcPr>
            <w:tcW w:w="400" w:type="dxa"/>
            <w:vAlign w:val="bottom"/>
            <w:gridSpan w:val="3"/>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center"/>
              <w:ind w:left="305"/>
              <w:spacing w:after="0" w:line="156" w:lineRule="exact"/>
              <w:rPr>
                <w:sz w:val="20"/>
                <w:szCs w:val="20"/>
                <w:color w:val="auto"/>
              </w:rPr>
            </w:pPr>
            <w:r>
              <w:rPr>
                <w:rFonts w:ascii="Times New Roman" w:cs="Times New Roman" w:eastAsia="Times New Roman" w:hAnsi="Times New Roman"/>
                <w:sz w:val="16"/>
                <w:szCs w:val="16"/>
                <w:color w:val="auto"/>
                <w:w w:val="95"/>
              </w:rPr>
              <w:t>46,037</w:t>
            </w:r>
          </w:p>
        </w:tc>
        <w:tc>
          <w:tcPr>
            <w:tcW w:w="60" w:type="dxa"/>
            <w:vAlign w:val="bottom"/>
            <w:shd w:val="clear" w:color="auto" w:fill="CFF0FC"/>
          </w:tcPr>
          <w:p>
            <w:pPr>
              <w:spacing w:after="0"/>
              <w:rPr>
                <w:sz w:val="17"/>
                <w:szCs w:val="17"/>
                <w:color w:val="auto"/>
              </w:rPr>
            </w:pPr>
          </w:p>
        </w:tc>
        <w:tc>
          <w:tcPr>
            <w:tcW w:w="260" w:type="dxa"/>
            <w:vAlign w:val="bottom"/>
            <w:gridSpan w:val="3"/>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ind w:left="7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46,052</w:t>
            </w:r>
          </w:p>
        </w:tc>
        <w:tc>
          <w:tcPr>
            <w:tcW w:w="0" w:type="dxa"/>
            <w:vAlign w:val="bottom"/>
          </w:tcPr>
          <w:p>
            <w:pPr>
              <w:spacing w:after="0"/>
              <w:rPr>
                <w:sz w:val="1"/>
                <w:szCs w:val="1"/>
                <w:color w:val="auto"/>
              </w:rPr>
            </w:pPr>
          </w:p>
        </w:tc>
      </w:tr>
      <w:tr>
        <w:trPr>
          <w:trHeight w:val="538"/>
        </w:trPr>
        <w:tc>
          <w:tcPr>
            <w:tcW w:w="3020" w:type="dxa"/>
            <w:vAlign w:val="bottom"/>
            <w:tcBorders>
              <w:top w:val="single" w:sz="8" w:color="CFF0FC"/>
            </w:tcBorders>
          </w:tcPr>
          <w:p>
            <w:pPr>
              <w:spacing w:after="0"/>
              <w:rPr>
                <w:sz w:val="24"/>
                <w:szCs w:val="24"/>
                <w:color w:val="auto"/>
              </w:rPr>
            </w:pPr>
          </w:p>
        </w:tc>
        <w:tc>
          <w:tcPr>
            <w:tcW w:w="21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99"/>
              </w:rPr>
              <w:t>17</w:t>
            </w: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3020" w:type="dxa"/>
            <w:vAlign w:val="bottom"/>
            <w:tcBorders>
              <w:bottom w:val="single" w:sz="8" w:color="EEEEEE"/>
            </w:tcBorders>
          </w:tcPr>
          <w:p>
            <w:pPr>
              <w:spacing w:after="0"/>
              <w:rPr>
                <w:sz w:val="24"/>
                <w:szCs w:val="24"/>
                <w:color w:val="auto"/>
              </w:rPr>
            </w:pPr>
          </w:p>
        </w:tc>
        <w:tc>
          <w:tcPr>
            <w:tcW w:w="21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8" w:name="page19"/>
    <w:bookmarkEnd w:id="1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Accrued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accrued liabilities are presented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4600" w:type="dxa"/>
            <w:vAlign w:val="bottom"/>
          </w:tcPr>
          <w:p>
            <w:pPr>
              <w:spacing w:after="0"/>
              <w:rPr>
                <w:sz w:val="13"/>
                <w:szCs w:val="13"/>
                <w:color w:val="auto"/>
              </w:rPr>
            </w:pPr>
          </w:p>
        </w:tc>
        <w:tc>
          <w:tcPr>
            <w:tcW w:w="3780" w:type="dxa"/>
            <w:vAlign w:val="bottom"/>
            <w:gridSpan w:val="2"/>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6"/>
        </w:trPr>
        <w:tc>
          <w:tcPr>
            <w:tcW w:w="46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Accrued professional fees</w:t>
            </w:r>
          </w:p>
        </w:tc>
        <w:tc>
          <w:tcPr>
            <w:tcW w:w="3780" w:type="dxa"/>
            <w:vAlign w:val="bottom"/>
            <w:gridSpan w:val="2"/>
            <w:shd w:val="clear" w:color="auto" w:fill="CFF0FC"/>
          </w:tcPr>
          <w:p>
            <w:pPr>
              <w:jc w:val="right"/>
              <w:ind w:right="1068"/>
              <w:spacing w:after="0" w:line="156"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rPr>
              <w:t>836</w:t>
            </w:r>
          </w:p>
        </w:tc>
        <w:tc>
          <w:tcPr>
            <w:tcW w:w="380" w:type="dxa"/>
            <w:vAlign w:val="bottom"/>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5,157</w:t>
            </w:r>
          </w:p>
        </w:tc>
      </w:tr>
      <w:tr>
        <w:trPr>
          <w:trHeight w:val="156"/>
        </w:trPr>
        <w:tc>
          <w:tcPr>
            <w:tcW w:w="46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Accrued salaries and payroll</w:t>
            </w:r>
          </w:p>
        </w:tc>
        <w:tc>
          <w:tcPr>
            <w:tcW w:w="2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rPr>
              <w:t>700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2,681</w:t>
            </w:r>
          </w:p>
        </w:tc>
      </w:tr>
      <w:tr>
        <w:trPr>
          <w:trHeight w:val="156"/>
        </w:trPr>
        <w:tc>
          <w:tcPr>
            <w:tcW w:w="46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Accrued restructuring charges</w:t>
            </w:r>
          </w:p>
        </w:tc>
        <w:tc>
          <w:tcPr>
            <w:tcW w:w="25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rPr>
              <w:t>373</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1,333</w:t>
            </w:r>
          </w:p>
        </w:tc>
      </w:tr>
      <w:tr>
        <w:trPr>
          <w:trHeight w:val="156"/>
        </w:trPr>
        <w:tc>
          <w:tcPr>
            <w:tcW w:w="46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Accrued bonus</w:t>
            </w:r>
          </w:p>
        </w:tc>
        <w:tc>
          <w:tcPr>
            <w:tcW w:w="2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w w:val="94"/>
              </w:rPr>
              <w:t>1,850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64</w:t>
            </w:r>
          </w:p>
        </w:tc>
      </w:tr>
      <w:tr>
        <w:trPr>
          <w:trHeight w:val="156"/>
        </w:trPr>
        <w:tc>
          <w:tcPr>
            <w:tcW w:w="46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Accrued clinical</w:t>
            </w:r>
          </w:p>
        </w:tc>
        <w:tc>
          <w:tcPr>
            <w:tcW w:w="25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w w:val="94"/>
              </w:rPr>
              <w:t>1,917</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977</w:t>
            </w:r>
          </w:p>
        </w:tc>
      </w:tr>
      <w:tr>
        <w:trPr>
          <w:trHeight w:val="156"/>
        </w:trPr>
        <w:tc>
          <w:tcPr>
            <w:tcW w:w="46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Accrued contract manufacturing</w:t>
            </w:r>
          </w:p>
        </w:tc>
        <w:tc>
          <w:tcPr>
            <w:tcW w:w="2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w w:val="94"/>
              </w:rPr>
              <w:t>2,435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2,597</w:t>
            </w:r>
          </w:p>
        </w:tc>
      </w:tr>
      <w:tr>
        <w:trPr>
          <w:trHeight w:val="156"/>
        </w:trPr>
        <w:tc>
          <w:tcPr>
            <w:tcW w:w="46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Accrued other - sales related</w:t>
            </w:r>
          </w:p>
        </w:tc>
        <w:tc>
          <w:tcPr>
            <w:tcW w:w="25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1,188</w:t>
            </w:r>
          </w:p>
        </w:tc>
      </w:tr>
      <w:tr>
        <w:trPr>
          <w:trHeight w:val="156"/>
        </w:trPr>
        <w:tc>
          <w:tcPr>
            <w:tcW w:w="46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Accrued other</w:t>
            </w:r>
          </w:p>
        </w:tc>
        <w:tc>
          <w:tcPr>
            <w:tcW w:w="2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rPr>
              <w:t>105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650</w:t>
            </w:r>
          </w:p>
        </w:tc>
      </w:tr>
      <w:tr>
        <w:trPr>
          <w:trHeight w:val="176"/>
        </w:trPr>
        <w:tc>
          <w:tcPr>
            <w:tcW w:w="46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Total accrued liabilities</w:t>
            </w:r>
          </w:p>
        </w:tc>
        <w:tc>
          <w:tcPr>
            <w:tcW w:w="256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1068"/>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w w:val="94"/>
              </w:rPr>
              <w:t>8,216</w:t>
            </w:r>
          </w:p>
        </w:tc>
        <w:tc>
          <w:tcPr>
            <w:tcW w:w="380" w:type="dxa"/>
            <w:vAlign w:val="bottom"/>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14,647</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Operating Leases</w:t>
      </w:r>
    </w:p>
    <w:p>
      <w:pPr>
        <w:spacing w:after="0" w:line="1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231F20"/>
        </w:rPr>
        <w:t xml:space="preserve">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Included in the Pacific Palisades Lease Amendment were nine months of rent abatement and a rent escalation clause. </w:t>
      </w:r>
      <w:r>
        <w:rPr>
          <w:rFonts w:ascii="Times New Roman" w:cs="Times New Roman" w:eastAsia="Times New Roman" w:hAnsi="Times New Roman"/>
          <w:sz w:val="16"/>
          <w:szCs w:val="16"/>
          <w:color w:val="000000"/>
        </w:rPr>
        <w:t>The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Pacific Palisades Lease expired on February 28, 2025.</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231F20"/>
        </w:rPr>
        <w:t xml:space="preserve">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 </w:t>
      </w:r>
      <w:r>
        <w:rPr>
          <w:rFonts w:ascii="Times New Roman" w:cs="Times New Roman" w:eastAsia="Times New Roman" w:hAnsi="Times New Roman"/>
          <w:sz w:val="16"/>
          <w:szCs w:val="16"/>
          <w:color w:val="000000"/>
        </w:rPr>
        <w:t>In connection with the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FYARRO Divestiture, KAKEN assumed the Morristown Lease. The Company entered into a short-term sublease with KAKEN and are currently in the process of extending the sublease arrangement upon the sublandlord's and landlord's consent. The Company is paying $13,000 per month to KAKEN and has elected the short-term lease exemption under ASC 842. As such, this lease is not recorded on the balance sheet. Lease payments made are recognized on a straight-line basis over the lease term in the income statement.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information related to the Company’s leases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3"/>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Assets:</w:t>
            </w:r>
          </w:p>
        </w:tc>
        <w:tc>
          <w:tcPr>
            <w:tcW w:w="17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1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3"/>
          </w:tcPr>
          <w:p>
            <w:pPr>
              <w:jc w:val="center"/>
              <w:ind w:right="294"/>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3"/>
                <w:szCs w:val="13"/>
                <w:color w:val="auto"/>
              </w:rPr>
            </w:pPr>
          </w:p>
        </w:tc>
        <w:tc>
          <w:tcPr>
            <w:tcW w:w="600" w:type="dxa"/>
            <w:vAlign w:val="bottom"/>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spacing w:after="0"/>
              <w:rPr>
                <w:sz w:val="13"/>
                <w:szCs w:val="13"/>
                <w:color w:val="auto"/>
              </w:rPr>
            </w:pPr>
          </w:p>
        </w:tc>
        <w:tc>
          <w:tcPr>
            <w:tcW w:w="9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8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7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Operating lease liabilities, current</w:t>
            </w:r>
          </w:p>
        </w:tc>
        <w:tc>
          <w:tcPr>
            <w:tcW w:w="1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3"/>
          </w:tcPr>
          <w:p>
            <w:pPr>
              <w:jc w:val="center"/>
              <w:ind w:right="294"/>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3"/>
                <w:szCs w:val="13"/>
                <w:color w:val="auto"/>
              </w:rPr>
            </w:pPr>
          </w:p>
        </w:tc>
        <w:tc>
          <w:tcPr>
            <w:tcW w:w="600" w:type="dxa"/>
            <w:vAlign w:val="bottom"/>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spacing w:after="0"/>
              <w:rPr>
                <w:sz w:val="13"/>
                <w:szCs w:val="13"/>
                <w:color w:val="auto"/>
              </w:rPr>
            </w:pPr>
          </w:p>
        </w:tc>
        <w:tc>
          <w:tcPr>
            <w:tcW w:w="9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Operating lease liabilities, non-current</w:t>
            </w:r>
          </w:p>
        </w:tc>
        <w:tc>
          <w:tcPr>
            <w:tcW w:w="17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rPr>
              <w:t>Total operating lease liabilities</w:t>
            </w:r>
          </w:p>
        </w:tc>
        <w:tc>
          <w:tcPr>
            <w:tcW w:w="1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3"/>
          </w:tcPr>
          <w:p>
            <w:pPr>
              <w:jc w:val="center"/>
              <w:ind w:right="294"/>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3"/>
                <w:szCs w:val="13"/>
                <w:color w:val="auto"/>
              </w:rPr>
            </w:pPr>
          </w:p>
        </w:tc>
        <w:tc>
          <w:tcPr>
            <w:tcW w:w="600" w:type="dxa"/>
            <w:vAlign w:val="bottom"/>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spacing w:after="0"/>
              <w:rPr>
                <w:sz w:val="13"/>
                <w:szCs w:val="13"/>
                <w:color w:val="auto"/>
              </w:rPr>
            </w:pPr>
          </w:p>
        </w:tc>
        <w:tc>
          <w:tcPr>
            <w:tcW w:w="9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0"/>
        </w:trPr>
        <w:tc>
          <w:tcPr>
            <w:tcW w:w="7300" w:type="dxa"/>
            <w:vAlign w:val="bottom"/>
            <w:gridSpan w:val="6"/>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8240" w:type="dxa"/>
            <w:vAlign w:val="bottom"/>
            <w:gridSpan w:val="9"/>
          </w:tcPr>
          <w:p>
            <w:pPr>
              <w:spacing w:after="0"/>
              <w:rPr>
                <w:sz w:val="20"/>
                <w:szCs w:val="20"/>
                <w:color w:val="auto"/>
              </w:rPr>
            </w:pPr>
            <w:r>
              <w:rPr>
                <w:rFonts w:ascii="Times New Roman" w:cs="Times New Roman" w:eastAsia="Times New Roman" w:hAnsi="Times New Roman"/>
                <w:sz w:val="16"/>
                <w:szCs w:val="16"/>
                <w:color w:val="231F20"/>
                <w:w w:val="97"/>
              </w:rPr>
              <w:t xml:space="preserve">Rent expense </w:t>
            </w:r>
            <w:r>
              <w:rPr>
                <w:rFonts w:ascii="Times New Roman" w:cs="Times New Roman" w:eastAsia="Times New Roman" w:hAnsi="Times New Roman"/>
                <w:sz w:val="16"/>
                <w:szCs w:val="16"/>
                <w:color w:val="000000"/>
                <w:w w:val="97"/>
              </w:rPr>
              <w:t>for the three and nine months ended September 30, 2025 and 2024 is presented on the following table (in thousands):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40" w:type="dxa"/>
            <w:vAlign w:val="bottom"/>
            <w:gridSpan w:val="5"/>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60" w:type="dxa"/>
            <w:vAlign w:val="bottom"/>
          </w:tcPr>
          <w:p>
            <w:pPr>
              <w:spacing w:after="0"/>
              <w:rPr>
                <w:sz w:val="24"/>
                <w:szCs w:val="24"/>
                <w:color w:val="auto"/>
              </w:rPr>
            </w:pPr>
          </w:p>
        </w:tc>
        <w:tc>
          <w:tcPr>
            <w:tcW w:w="2320" w:type="dxa"/>
            <w:vAlign w:val="bottom"/>
            <w:gridSpan w:val="5"/>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Pr>
          <w:p>
            <w:pPr>
              <w:spacing w:after="0"/>
              <w:rPr>
                <w:sz w:val="13"/>
                <w:szCs w:val="13"/>
                <w:color w:val="auto"/>
              </w:rPr>
            </w:pPr>
          </w:p>
        </w:tc>
        <w:tc>
          <w:tcPr>
            <w:tcW w:w="940" w:type="dxa"/>
            <w:vAlign w:val="bottom"/>
            <w:gridSpan w:val="3"/>
          </w:tcPr>
          <w:p>
            <w:pPr>
              <w:jc w:val="center"/>
              <w:ind w:right="29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rent expense</w:t>
            </w:r>
          </w:p>
        </w:tc>
        <w:tc>
          <w:tcPr>
            <w:tcW w:w="1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0"/>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3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142</w:t>
            </w:r>
          </w:p>
        </w:tc>
        <w:tc>
          <w:tcPr>
            <w:tcW w:w="440" w:type="dxa"/>
            <w:vAlign w:val="bottom"/>
            <w:shd w:val="clear" w:color="auto" w:fill="CFF0FC"/>
          </w:tcPr>
          <w:p>
            <w:pPr>
              <w:jc w:val="right"/>
              <w:ind w:right="88"/>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18</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3840" w:type="dxa"/>
            <w:vAlign w:val="bottom"/>
            <w:tcBorders>
              <w:bottom w:val="single" w:sz="8" w:color="EEEEEE"/>
            </w:tcBorders>
          </w:tcPr>
          <w:p>
            <w:pPr>
              <w:spacing w:after="0"/>
              <w:rPr>
                <w:sz w:val="24"/>
                <w:szCs w:val="24"/>
                <w:color w:val="auto"/>
              </w:rPr>
            </w:pPr>
          </w:p>
        </w:tc>
        <w:tc>
          <w:tcPr>
            <w:tcW w:w="178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9" w:name="page20"/>
    <w:bookmarkEnd w:id="1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paid for leases and included in operating cash flows for the nine months ended September 30, 2025 and 2024 is presented on the following table (in thousands):</w:t>
      </w:r>
    </w:p>
    <w:p>
      <w:pPr>
        <w:spacing w:after="0" w:line="245"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p>
      <w:pPr>
        <w:ind w:left="7880"/>
        <w:spacing w:after="0" w:line="216" w:lineRule="auto"/>
        <w:tabs>
          <w:tab w:leader="none" w:pos="9580" w:val="left"/>
        </w:tabs>
        <w:rPr>
          <w:sz w:val="20"/>
          <w:szCs w:val="20"/>
          <w:color w:val="auto"/>
        </w:rPr>
      </w:pPr>
      <w:r>
        <w:rPr>
          <w:rFonts w:ascii="Times New Roman" w:cs="Times New Roman" w:eastAsia="Times New Roman" w:hAnsi="Times New Roman"/>
          <w:sz w:val="13"/>
          <w:szCs w:val="13"/>
          <w:b w:val="1"/>
          <w:bCs w:val="1"/>
          <w:color w:val="auto"/>
        </w:rPr>
        <w:t>2025</w:t>
      </w:r>
      <w:r>
        <w:rPr>
          <w:sz w:val="20"/>
          <w:szCs w:val="20"/>
          <w:color w:val="auto"/>
        </w:rPr>
        <w:tab/>
      </w:r>
      <w:r>
        <w:rPr>
          <w:rFonts w:ascii="Times New Roman" w:cs="Times New Roman" w:eastAsia="Times New Roman" w:hAnsi="Times New Roman"/>
          <w:sz w:val="13"/>
          <w:szCs w:val="13"/>
          <w:b w:val="1"/>
          <w:bCs w:val="1"/>
          <w:color w:val="auto"/>
        </w:rPr>
        <w:t>2024</w:t>
      </w:r>
    </w:p>
    <w:p>
      <w:pPr>
        <w:spacing w:after="0"/>
        <w:tabs>
          <w:tab w:leader="none" w:pos="7280" w:val="left"/>
          <w:tab w:leader="none" w:pos="8560" w:val="left"/>
          <w:tab w:leader="none" w:pos="8980" w:val="left"/>
          <w:tab w:leader="none" w:pos="10220" w:val="left"/>
        </w:tabs>
        <w:rPr>
          <w:sz w:val="20"/>
          <w:szCs w:val="20"/>
          <w:color w:val="auto"/>
        </w:rPr>
      </w:pPr>
      <w:r>
        <w:rPr>
          <w:rFonts w:ascii="Times New Roman" w:cs="Times New Roman" w:eastAsia="Times New Roman" w:hAnsi="Times New Roman"/>
          <w:sz w:val="16"/>
          <w:szCs w:val="16"/>
          <w:color w:val="auto"/>
        </w:rPr>
        <w:t>Cash paid included in operating cash flows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99</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4"/>
          <w:szCs w:val="14"/>
          <w:color w:val="auto"/>
        </w:rPr>
        <w:t>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6707505" cy="99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7. L</w:t>
      </w:r>
      <w:r>
        <w:rPr>
          <w:rFonts w:ascii="Times New Roman" w:cs="Times New Roman" w:eastAsia="Times New Roman" w:hAnsi="Times New Roman"/>
          <w:sz w:val="16"/>
          <w:szCs w:val="16"/>
          <w:b w:val="1"/>
          <w:bCs w:val="1"/>
          <w:color w:val="000000"/>
        </w:rPr>
        <w:t>icense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Former Bristol-Myers Squibb Company License Agreement</w:t>
      </w:r>
    </w:p>
    <w:p>
      <w:pPr>
        <w:spacing w:after="0" w:line="178"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6"/>
          <w:szCs w:val="16"/>
          <w:color w:val="auto"/>
        </w:rPr>
        <w:t>On April 9, 2014, the Company entered into a license agreement (as amended the “BMS License Agreement”) with BMS for exclusive rights for certain patents and a non-exclusive license for certain technology and know-how pertaining to FYARRO.</w:t>
      </w:r>
    </w:p>
    <w:p>
      <w:pPr>
        <w:spacing w:after="0" w:line="118"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6"/>
          <w:szCs w:val="16"/>
          <w:color w:val="auto"/>
        </w:rPr>
        <w:t>The BMS License Agreement will remain in effect from the effective date of April 9, 2014 until expiration of all milestone and royalty payment obligations under the agreement, unless terminated by either of the parties pursuant to the terms of the BMS License Agreement, including providing advance notice as specified in the agreement. Under the terms of the BMS License Agreement, BMS agreed to supply the Company with licensed products of FYARRO necessary for clinical or non-clinical development.</w:t>
      </w:r>
    </w:p>
    <w:p>
      <w:pPr>
        <w:spacing w:after="0" w:line="13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6"/>
          <w:szCs w:val="16"/>
          <w:color w:val="auto"/>
        </w:rPr>
        <w:t>Under the terms of the BMS License Agreement, BMS is entitled to receive royalties on net sales from licensed products under the agreement and any sublicense fees. During the three months ended September 30, 2025 and 2024, royalties on net product sales were $0 and $0.5 million, respectively. During the nine months ended September 30, 2025 and 2024, royalties on net product sales were $0.5 million and $1.4 million, respectively. No payments related to sublicense fees were paid during the three and nine months ended September 30, 2025 and 2024.</w:t>
      </w:r>
    </w:p>
    <w:p>
      <w:pPr>
        <w:spacing w:after="0" w:line="1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On August 30, 2021, the Company and BMS entered into Amendment No. 1 (the “Amendment”) to the BMS License Agreement related to certain intellectual property rights of BMS pertaining to the compound known as FYARRO. Under the terms of the Amendment, the Company paid BMS $5.8 million representing 50% of the previously outstanding payment obligation under the terms of the BMS License Agreement, following the effective time of the 2021 private investment in public equity financing (the “2021 PIPE Financing”). Pursuant to the terms of the Amendment, the remaining previously outstanding payment obligation of $5.8 million became due on the third anniversary of the effective time of the 2021 PIPE Financing, or August 26, 2024 plus any accrued and unpaid interest due thereon (the “Balloon Payment”). The Balloon Payment accrued interest, beginning August 26, 2021 until paid in full, at a rate equal to 4.00% per annum based on the weighted average amount outstanding during the applicable calendar quarter. which was payable quarterly in arrears. In accordance with the terms of the Amendment, the Company paid the outstanding payment obligation of $5.8 million by the due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part of its purchase of the FYARRO Business, KAKEN acquired the Company's rights and responsibilities under the BMS License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Stockholders’ 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Preferred Stock</w:t>
      </w:r>
    </w:p>
    <w:p>
      <w:pPr>
        <w:spacing w:after="0" w:line="16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 xml:space="preserve">As of September 30, 2025 and </w:t>
      </w:r>
      <w:r>
        <w:rPr>
          <w:rFonts w:ascii="Times New Roman" w:cs="Times New Roman" w:eastAsia="Times New Roman" w:hAnsi="Times New Roman"/>
          <w:sz w:val="16"/>
          <w:szCs w:val="16"/>
          <w:color w:val="231F20"/>
        </w:rPr>
        <w:t>December 31, 2024</w:t>
      </w:r>
      <w:r>
        <w:rPr>
          <w:rFonts w:ascii="Times New Roman" w:cs="Times New Roman" w:eastAsia="Times New Roman" w:hAnsi="Times New Roman"/>
          <w:sz w:val="16"/>
          <w:szCs w:val="16"/>
          <w:color w:val="auto"/>
        </w:rPr>
        <w:t>, under the Company’s certificate of incorporation, as amended and restated, the Company has 10,000,000 shares of preferred stock, par value $0.0001 per share, in authorized capital with no shares outstanding.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 and Pre-Funded Warrants</w:t>
      </w:r>
    </w:p>
    <w:p>
      <w:pPr>
        <w:spacing w:after="0" w:line="168"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6"/>
          <w:szCs w:val="16"/>
          <w:color w:val="auto"/>
        </w:rPr>
        <w:t>As of September 30, 2025 and December 31, 2024, the Company had 300,000,000 shares of authorized common stock, par value of $0.0001 per share, under the Company's certificate of incorporation, as amended and restated. As of September 30, 2025 and December 31, 2024, the shares of common stock outstanding were 47,128,362 and 24,680,708, respectively.</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0" w:name="page21"/>
    <w:bookmarkEnd w:id="2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In March 2022, the Company entered into a Sales Agreement (the "Sales Agreement") with Cowen and Company LLC (“Cowen”), with respect to an “at the market offering” program pursuant to which the Company may offer and sell, from time to time at its sole discretion, shares of common stock having aggregate gross proceeds of up to $75.0 million through Cowen as its sales agent. The Company will pay Cowen 3.0% of the aggregate gross proceeds from each sale of shares of common stock under the Sales Agreement. As of September 30, 2025, no shares of common stock had been sold pursuant to the Sales Agreement.</w:t>
      </w:r>
    </w:p>
    <w:p>
      <w:pPr>
        <w:spacing w:after="0" w:line="133"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4"/>
          <w:szCs w:val="14"/>
          <w:color w:val="auto"/>
        </w:rPr>
        <w:t>On September 22, 2022, the Company entered into a securities purchase agreement (the “Purchase Agreement”) for a private investment in public equity financing (the “2022 PIPE Financing”) with certain investors (the “2022 PIPE Investors”) for the sale by the Company of (i) 3,373,526 shares of the Company’s common stock for a price of $12.50 per share and (ii) pre-funded warrants (the "Pre-Funded Warrants") to purchase an aggregate of 2,426,493 shares of the Company's common stock at a purchase price of $12.4999 per Pre-Funded Warrant. The Pre-Funded Warrants are exercisable at an exercise price of $0.0001 and will be exercisable until exercised in full. The holders of Pre-Funded Warrants may not exercise a Pre-Funded Warrant if the holder, together with its affiliates, would beneficially own more than 4.99% of the number of shares of the Company's common stock outstanding immediately after giving effect to such exercise; provided, that the holders of Pre-Funded Warrants may increase or decrease such percentages not in excess of 19.99% by providing at least 61 days’ prior notice to the Company. The 2022 PIPE Financing closed on September 26, 2022. Aggregate net proceeds, after deducting certain expenses incurred of $0.3 million related to the issuance of the shares were $72.2 million.</w:t>
      </w:r>
    </w:p>
    <w:p>
      <w:pPr>
        <w:spacing w:after="0" w:line="1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On September 26, 2022, the Company and the 2022 PIPE Investors entered into a Registration Rights Agreement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Pre-Funded Warrants meet the criteria to be classified within stockholders’ equity. As of September 30, 2025, 2,000,037 Pre-Funded Warrants are still outstanding.</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On December 19, 2024, the Company entered into the Subscription Agreement for a private investment in public equity financing (the "2024 PIPE Financing") with certain investors (the "2024 PIPE Investors"), pursuant to which the Company agreed to sell to the 2024 PIPE Investors (i) 21,592,000 shares of the Company’s common stock, par value $0.0001 per share, at a purchase price of $2.40 per share, and (ii) 20,076,500 Pre-Funded Warrants, at a purchase price of $2.3999 per Pre-Funded Warrant, for aggregate net proceeds of $94.4 million, after deducting certain expenses incurred of $5.6 million related to the issuance of shares. The 2024 PIPE Financing was conditioned upon the Company's shareholders approving the transaction and closed on March 4, 2025 after such approval was obtained. The Pre-Funded Warrants are indexed to the Company's common stock and meet the conditions for equity classification in accordance with ASC 815-40. As such, the Pre-Funded Warrants are classified as additional paid-in capital within stockholders' equity on the Company's condensed balance sheets.</w:t>
      </w:r>
    </w:p>
    <w:p>
      <w:pPr>
        <w:spacing w:after="0" w:line="14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The Pre-Funded Warrants are exercisable at an exercise price of $0.0001 per share of the Company's common stock and will be exercisable until exercised in full. The holders of Pre-Funded Warrants may not exercise a Pre-Funded Warrant if the holder, together with its affiliates, would beneficially own more than 4.99% or 9.99%, at the election of the holder, of the number of shares of the Company's common stock outstanding immediately after giving effect to such exercise. The holders of Pre-Funded Warrants may increase or decrease such percentages not in excess of 19.99% by providing at least 61 days’ prior notice to the Company. As of September 30, 2025, all 20,076,500 Pre-Funded Warrants are still outstanding.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78"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The holders of common stock are entitled to receive cash dividends, if and when declared by the board of directors of the Company (the “board of directors”). Since the Company’s inception, no cash dividends have been declared or paid to the holders of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78" w:lineRule="exact"/>
        <w:rPr>
          <w:sz w:val="20"/>
          <w:szCs w:val="20"/>
          <w:color w:val="auto"/>
        </w:rPr>
      </w:pPr>
    </w:p>
    <w:p>
      <w:pPr>
        <w:ind w:right="340"/>
        <w:spacing w:after="0" w:line="338"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or winding-up of the Company, the holders of common stock are entitled to share ratably in the Company’s assets.</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1" w:name="page22"/>
    <w:bookmarkEnd w:id="2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holders of common stock are entitled to one vote at all meetings of stockholders for each share of common stock held by such stockholders as of the record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Share-Based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2014 Plan (as amended and restated in February 2017, the “Private Aadi Plan”)</w:t>
      </w:r>
    </w:p>
    <w:p>
      <w:pPr>
        <w:spacing w:after="0" w:line="18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 connection with the Reverse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 w:cs="Times New Roman" w:eastAsia="Times New Roman" w:hAnsi="Times New Roman"/>
          <w:sz w:val="16"/>
          <w:szCs w:val="16"/>
          <w:color w:val="231F20"/>
        </w:rPr>
        <w:t>The Private Aadi Plan allowed for the grant of incentive stock options, non-statutory stock options, stock appreciation rights, restricted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unit awards and other stock awards. In connection with the closing of the Reverse Merger and the adoption of the 2021 Plan (as defined below), no further awards will be issued under the Private Aadi Plan.</w:t>
      </w:r>
    </w:p>
    <w:p>
      <w:pPr>
        <w:spacing w:after="0" w:line="134"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6"/>
          <w:szCs w:val="16"/>
          <w:color w:val="231F20"/>
        </w:rPr>
        <w:t>The options that are granted from the Private Aadi Plan are exercisable at various dates as determined upon grant and will expire no more than ten years from their date of grant. The Private Aadi Plan stock options generally vest over a four-year term.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2011 Plan and 2017 Plan</w:t>
      </w:r>
    </w:p>
    <w:p>
      <w:pPr>
        <w:spacing w:after="0" w:line="18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color w:val="auto"/>
        </w:rPr>
        <w:t>In connection with the closing of the Reverse Merger, the Company assumed the Aerpio 2011 Equity Incentive Plan (the “2011 Plan”) and the Aerpio 2017 Stock Option and Incentive Plan (the “2017 Plan,” and together with the 2011 Plan, the “Prior Plans”). No new awards will be granted under the Prior Plans effective as of the closing of the Reverse Merger and the adoption of the 2021 Plan (as defined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 Plan</w:t>
      </w:r>
    </w:p>
    <w:p>
      <w:pPr>
        <w:spacing w:after="0" w:line="18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6"/>
          <w:szCs w:val="16"/>
          <w:color w:val="auto"/>
        </w:rPr>
        <w:t>At the closing of the Reverse Merger, the Company adopted the Aadi Bioscience, Inc. 2021 Equity Incentive Plan, which is now named the Whitehawk Therapeutics,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spacing w:after="0" w:line="12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Reverse Merger (provided that the maximum number of shares that may be added to the 2021 Plan pursuant to this provision is 764,154 shares).</w:t>
      </w:r>
    </w:p>
    <w:p>
      <w:pPr>
        <w:spacing w:after="0" w:line="134"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6"/>
          <w:szCs w:val="16"/>
          <w:color w:val="auto"/>
        </w:rPr>
        <w:t>The number of shares available for issuance under the 2021 Plan will include an annual increase, or the evergreen feature, on the first day of each of the Company’s fiscal years, beginning with the Company’s fiscal year 2022, equal to the least of:</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color w:val="auto"/>
        </w:rPr>
        <w:t>2,070,784 shares of common stock;</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color w:val="auto"/>
        </w:rPr>
        <w:t>a number of shares equal to 4% of the outstanding shares of common stock on the last day of the immediately preceding fiscal year; or</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color w:val="auto"/>
        </w:rPr>
        <w:t>such number of shares as the board of directors or its designated committee may determine.</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22" w:name="page23"/>
    <w:bookmarkEnd w:id="2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6"/>
          <w:szCs w:val="16"/>
          <w:color w:val="auto"/>
        </w:rPr>
        <w:t>As a result of the evergreen increase, a total of 987,228 shares of common stock were added to the 2021 Plan on January 1, 2025 and 982,168 shares of common stock were added to the 2021 Plan on January 1, 2024.</w:t>
      </w:r>
    </w:p>
    <w:p>
      <w:pPr>
        <w:spacing w:after="0" w:line="11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6"/>
          <w:szCs w:val="16"/>
          <w:color w:val="auto"/>
        </w:rPr>
        <w:t>On February 28, 2025, the Company’s stockholders approved the amendment and restatement of the 2021 Plan to (i) increase the number of shares available for future grant under the 2021 Plan from 2,000,284 shares to 8,300,284 shares and (ii) increase the 2021 Plan’s default annual automatic share reserve increase occurring on January 1 of each year from 4% of outstanding shares on the last day of the immediately preceding fiscal year to 5%. Upon stockholder approval, such amendment and restatement of the 2021 Plan became effective.</w:t>
      </w:r>
    </w:p>
    <w:p>
      <w:pPr>
        <w:spacing w:after="0" w:line="132" w:lineRule="exact"/>
        <w:rPr>
          <w:sz w:val="20"/>
          <w:szCs w:val="20"/>
          <w:color w:val="auto"/>
        </w:rPr>
      </w:pPr>
    </w:p>
    <w:p>
      <w:pPr>
        <w:ind w:right="160"/>
        <w:spacing w:after="0" w:line="325" w:lineRule="auto"/>
        <w:rPr>
          <w:sz w:val="20"/>
          <w:szCs w:val="20"/>
          <w:color w:val="auto"/>
        </w:rPr>
      </w:pPr>
      <w:r>
        <w:rPr>
          <w:rFonts w:ascii="Times New Roman" w:cs="Times New Roman" w:eastAsia="Times New Roman" w:hAnsi="Times New Roman"/>
          <w:sz w:val="14"/>
          <w:szCs w:val="14"/>
          <w:color w:val="auto"/>
        </w:rPr>
        <w:t>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2023 Inducement Equity Incentive Plan</w:t>
      </w:r>
    </w:p>
    <w:p>
      <w:pPr>
        <w:spacing w:after="0" w:line="18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6"/>
          <w:szCs w:val="16"/>
          <w:color w:val="auto"/>
        </w:rPr>
        <w:t>On September 27, 2023 the Company adopted the 2023 Inducement Equity Incentive Plan (the “Inducement Plan”), pursuant to which the Company may from time to time make equity grants to new employees as a material inducement to their employment. The Company reserved 600,000 shares of common stock for issuance under the Inducement Plan. The only persons eligible to receive awards under the Inducement Plan are individuals who are new employees and satisfy the standards for inducement grants under applicable Nasdaq listing rules.</w:t>
      </w:r>
    </w:p>
    <w:p>
      <w:pPr>
        <w:spacing w:after="0" w:line="132"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6"/>
          <w:szCs w:val="16"/>
          <w:color w:val="auto"/>
        </w:rPr>
        <w:t>As of September 30, 2025, 140,361, 15,036, 6,869,108, and 490,000 shares were outstanding under the Private Aadi Plan, 2017 Plan, 2021 Plan, and 2023 Inducement Plan,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stock option activity during the nine months ended September 30,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center"/>
              <w:ind w:right="207"/>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1"/>
                <w:szCs w:val="11"/>
                <w:color w:val="auto"/>
              </w:rPr>
            </w:pPr>
          </w:p>
        </w:tc>
        <w:tc>
          <w:tcPr>
            <w:tcW w:w="1240" w:type="dxa"/>
            <w:vAlign w:val="bottom"/>
          </w:tcPr>
          <w:p>
            <w:pPr>
              <w:jc w:val="center"/>
              <w:ind w:right="34"/>
              <w:spacing w:after="0" w:line="132"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240" w:type="dxa"/>
            <w:vAlign w:val="bottom"/>
            <w:vMerge w:val="restart"/>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right="34"/>
              <w:spacing w:after="0" w:line="132"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207"/>
              <w:spacing w:after="0" w:line="132"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80" w:type="dxa"/>
            <w:vAlign w:val="bottom"/>
          </w:tcPr>
          <w:p>
            <w:pPr>
              <w:spacing w:after="0"/>
              <w:rPr>
                <w:sz w:val="11"/>
                <w:szCs w:val="11"/>
                <w:color w:val="auto"/>
              </w:rPr>
            </w:pPr>
          </w:p>
        </w:tc>
        <w:tc>
          <w:tcPr>
            <w:tcW w:w="1240" w:type="dxa"/>
            <w:vAlign w:val="bottom"/>
          </w:tcPr>
          <w:p>
            <w:pPr>
              <w:jc w:val="center"/>
              <w:ind w:right="14"/>
              <w:spacing w:after="0" w:line="132"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109"/>
              <w:spacing w:after="0" w:line="132"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240" w:type="dxa"/>
            <w:vAlign w:val="bottom"/>
          </w:tcPr>
          <w:p>
            <w:pPr>
              <w:jc w:val="center"/>
              <w:ind w:right="26"/>
              <w:spacing w:after="0" w:line="132"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207"/>
              <w:spacing w:after="0" w:line="132"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80" w:type="dxa"/>
            <w:vAlign w:val="bottom"/>
          </w:tcPr>
          <w:p>
            <w:pPr>
              <w:spacing w:after="0"/>
              <w:rPr>
                <w:sz w:val="11"/>
                <w:szCs w:val="11"/>
                <w:color w:val="auto"/>
              </w:rPr>
            </w:pPr>
          </w:p>
        </w:tc>
        <w:tc>
          <w:tcPr>
            <w:tcW w:w="1240" w:type="dxa"/>
            <w:vAlign w:val="bottom"/>
          </w:tcPr>
          <w:p>
            <w:pPr>
              <w:jc w:val="center"/>
              <w:ind w:right="14"/>
              <w:spacing w:after="0" w:line="132" w:lineRule="exact"/>
              <w:rPr>
                <w:sz w:val="20"/>
                <w:szCs w:val="20"/>
                <w:color w:val="auto"/>
              </w:rPr>
            </w:pPr>
            <w:r>
              <w:rPr>
                <w:rFonts w:ascii="Times New Roman" w:cs="Times New Roman" w:eastAsia="Times New Roman" w:hAnsi="Times New Roman"/>
                <w:sz w:val="13"/>
                <w:szCs w:val="13"/>
                <w:b w:val="1"/>
                <w:bCs w:val="1"/>
                <w:color w:val="auto"/>
              </w:rPr>
              <w:t>Term</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109"/>
              <w:spacing w:after="0" w:line="132"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24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87"/>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80" w:type="dxa"/>
            <w:vAlign w:val="bottom"/>
          </w:tcPr>
          <w:p>
            <w:pPr>
              <w:spacing w:after="0"/>
              <w:rPr>
                <w:sz w:val="13"/>
                <w:szCs w:val="13"/>
                <w:color w:val="auto"/>
              </w:rPr>
            </w:pPr>
          </w:p>
        </w:tc>
        <w:tc>
          <w:tcPr>
            <w:tcW w:w="12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Outstanding, December 31, 2024</w:t>
            </w:r>
          </w:p>
        </w:tc>
        <w:tc>
          <w:tcPr>
            <w:tcW w:w="1240" w:type="dxa"/>
            <w:vAlign w:val="bottom"/>
            <w:shd w:val="clear" w:color="auto" w:fill="CFF0FC"/>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4,950,016</w:t>
            </w:r>
          </w:p>
        </w:tc>
        <w:tc>
          <w:tcPr>
            <w:tcW w:w="28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7"/>
              <w:spacing w:after="0" w:line="156" w:lineRule="exact"/>
              <w:rPr>
                <w:sz w:val="20"/>
                <w:szCs w:val="20"/>
                <w:color w:val="auto"/>
              </w:rPr>
            </w:pPr>
            <w:r>
              <w:rPr>
                <w:rFonts w:ascii="Times New Roman" w:cs="Times New Roman" w:eastAsia="Times New Roman" w:hAnsi="Times New Roman"/>
                <w:sz w:val="16"/>
                <w:szCs w:val="16"/>
                <w:color w:val="auto"/>
              </w:rPr>
              <w:t>10.82</w:t>
            </w:r>
          </w:p>
        </w:tc>
        <w:tc>
          <w:tcPr>
            <w:tcW w:w="1320" w:type="dxa"/>
            <w:vAlign w:val="bottom"/>
            <w:gridSpan w:val="2"/>
            <w:shd w:val="clear" w:color="auto" w:fill="CFF0FC"/>
          </w:tcPr>
          <w:p>
            <w:pPr>
              <w:jc w:val="right"/>
              <w:ind w:right="34"/>
              <w:spacing w:after="0" w:line="156" w:lineRule="exact"/>
              <w:rPr>
                <w:sz w:val="20"/>
                <w:szCs w:val="20"/>
                <w:color w:val="auto"/>
              </w:rPr>
            </w:pPr>
            <w:r>
              <w:rPr>
                <w:rFonts w:ascii="Times New Roman" w:cs="Times New Roman" w:eastAsia="Times New Roman" w:hAnsi="Times New Roman"/>
                <w:sz w:val="16"/>
                <w:szCs w:val="16"/>
                <w:color w:val="auto"/>
              </w:rPr>
              <w:t>7.99</w:t>
            </w:r>
          </w:p>
        </w:tc>
        <w:tc>
          <w:tcPr>
            <w:tcW w:w="22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9"/>
              <w:spacing w:after="0" w:line="156" w:lineRule="exact"/>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Granted</w:t>
            </w:r>
          </w:p>
        </w:tc>
        <w:tc>
          <w:tcPr>
            <w:tcW w:w="1240" w:type="dxa"/>
            <w:vAlign w:val="bottom"/>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3,385,624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7"/>
              <w:spacing w:after="0" w:line="156" w:lineRule="exact"/>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6"/>
                <w:szCs w:val="16"/>
                <w:color w:val="auto"/>
              </w:rPr>
              <w:t>Exercised</w:t>
            </w:r>
          </w:p>
        </w:tc>
        <w:tc>
          <w:tcPr>
            <w:tcW w:w="12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(24,936)</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27"/>
              <w:spacing w:after="0" w:line="156" w:lineRule="exact"/>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Cancelled/Forfeited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(796,199)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ind w:right="27"/>
              <w:spacing w:after="0"/>
              <w:rPr>
                <w:sz w:val="20"/>
                <w:szCs w:val="20"/>
                <w:color w:val="auto"/>
              </w:rPr>
            </w:pPr>
            <w:r>
              <w:rPr>
                <w:rFonts w:ascii="Times New Roman" w:cs="Times New Roman" w:eastAsia="Times New Roman" w:hAnsi="Times New Roman"/>
                <w:sz w:val="16"/>
                <w:szCs w:val="16"/>
                <w:color w:val="auto"/>
              </w:rPr>
              <w:t>10.90</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Outstanding as of September 30, 2025</w:t>
            </w:r>
          </w:p>
        </w:tc>
        <w:tc>
          <w:tcPr>
            <w:tcW w:w="1240" w:type="dxa"/>
            <w:vAlign w:val="bottom"/>
            <w:shd w:val="clear" w:color="auto" w:fill="CFF0FC"/>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7,514,505</w:t>
            </w:r>
          </w:p>
        </w:tc>
        <w:tc>
          <w:tcPr>
            <w:tcW w:w="28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7"/>
              <w:spacing w:after="0" w:line="156" w:lineRule="exact"/>
              <w:rPr>
                <w:sz w:val="20"/>
                <w:szCs w:val="20"/>
                <w:color w:val="auto"/>
              </w:rPr>
            </w:pPr>
            <w:r>
              <w:rPr>
                <w:rFonts w:ascii="Times New Roman" w:cs="Times New Roman" w:eastAsia="Times New Roman" w:hAnsi="Times New Roman"/>
                <w:sz w:val="16"/>
                <w:szCs w:val="16"/>
                <w:color w:val="auto"/>
              </w:rPr>
              <w:t>6.80</w:t>
            </w:r>
          </w:p>
        </w:tc>
        <w:tc>
          <w:tcPr>
            <w:tcW w:w="1320" w:type="dxa"/>
            <w:vAlign w:val="bottom"/>
            <w:gridSpan w:val="2"/>
            <w:shd w:val="clear" w:color="auto" w:fill="CFF0FC"/>
          </w:tcPr>
          <w:p>
            <w:pPr>
              <w:jc w:val="right"/>
              <w:ind w:right="34"/>
              <w:spacing w:after="0" w:line="156" w:lineRule="exact"/>
              <w:rPr>
                <w:sz w:val="20"/>
                <w:szCs w:val="20"/>
                <w:color w:val="auto"/>
              </w:rPr>
            </w:pPr>
            <w:r>
              <w:rPr>
                <w:rFonts w:ascii="Times New Roman" w:cs="Times New Roman" w:eastAsia="Times New Roman" w:hAnsi="Times New Roman"/>
                <w:sz w:val="16"/>
                <w:szCs w:val="16"/>
                <w:color w:val="auto"/>
              </w:rPr>
              <w:t>8.28</w:t>
            </w:r>
          </w:p>
        </w:tc>
        <w:tc>
          <w:tcPr>
            <w:tcW w:w="22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9"/>
              <w:spacing w:after="0" w:line="156" w:lineRule="exact"/>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544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Options exercisable as of September 30, 2025</w:t>
            </w:r>
          </w:p>
        </w:tc>
        <w:tc>
          <w:tcPr>
            <w:tcW w:w="1240" w:type="dxa"/>
            <w:vAlign w:val="bottom"/>
          </w:tcPr>
          <w:p>
            <w:pPr>
              <w:jc w:val="right"/>
              <w:ind w:right="26"/>
              <w:spacing w:after="0" w:line="132" w:lineRule="exact"/>
              <w:rPr>
                <w:sz w:val="20"/>
                <w:szCs w:val="20"/>
                <w:color w:val="auto"/>
              </w:rPr>
            </w:pPr>
            <w:r>
              <w:rPr>
                <w:rFonts w:ascii="Times New Roman" w:cs="Times New Roman" w:eastAsia="Times New Roman" w:hAnsi="Times New Roman"/>
                <w:sz w:val="14"/>
                <w:szCs w:val="14"/>
                <w:color w:val="auto"/>
              </w:rPr>
              <w:t>3,247,074</w:t>
            </w:r>
          </w:p>
        </w:tc>
        <w:tc>
          <w:tcPr>
            <w:tcW w:w="28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7"/>
              <w:spacing w:after="0" w:line="132" w:lineRule="exact"/>
              <w:rPr>
                <w:sz w:val="20"/>
                <w:szCs w:val="20"/>
                <w:color w:val="auto"/>
              </w:rPr>
            </w:pPr>
            <w:r>
              <w:rPr>
                <w:rFonts w:ascii="Times New Roman" w:cs="Times New Roman" w:eastAsia="Times New Roman" w:hAnsi="Times New Roman"/>
                <w:sz w:val="14"/>
                <w:szCs w:val="14"/>
                <w:color w:val="auto"/>
              </w:rPr>
              <w:t>12.09</w:t>
            </w:r>
          </w:p>
        </w:tc>
        <w:tc>
          <w:tcPr>
            <w:tcW w:w="1320" w:type="dxa"/>
            <w:vAlign w:val="bottom"/>
            <w:gridSpan w:val="2"/>
          </w:tcPr>
          <w:p>
            <w:pPr>
              <w:jc w:val="right"/>
              <w:ind w:right="34"/>
              <w:spacing w:after="0" w:line="132" w:lineRule="exact"/>
              <w:rPr>
                <w:sz w:val="20"/>
                <w:szCs w:val="20"/>
                <w:color w:val="auto"/>
              </w:rPr>
            </w:pPr>
            <w:r>
              <w:rPr>
                <w:rFonts w:ascii="Times New Roman" w:cs="Times New Roman" w:eastAsia="Times New Roman" w:hAnsi="Times New Roman"/>
                <w:sz w:val="14"/>
                <w:szCs w:val="14"/>
                <w:color w:val="auto"/>
              </w:rPr>
              <w:t>7.10</w:t>
            </w:r>
          </w:p>
        </w:tc>
        <w:tc>
          <w:tcPr>
            <w:tcW w:w="220" w:type="dxa"/>
            <w:vAlign w:val="bottom"/>
            <w:gridSpan w:val="2"/>
          </w:tcPr>
          <w:p>
            <w:pPr>
              <w:jc w:val="right"/>
              <w:ind w:right="20"/>
              <w:spacing w:after="0" w:line="13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9"/>
              <w:spacing w:after="0" w:line="132"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 and expected to vest as of September 30, 2025</w:t>
            </w:r>
          </w:p>
        </w:tc>
        <w:tc>
          <w:tcPr>
            <w:tcW w:w="1240" w:type="dxa"/>
            <w:vAlign w:val="bottom"/>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6"/>
                <w:szCs w:val="16"/>
                <w:color w:val="auto"/>
              </w:rPr>
              <w:t>7,514,505</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FF0FC"/>
          </w:tcPr>
          <w:p>
            <w:pPr>
              <w:jc w:val="right"/>
              <w:ind w:right="27"/>
              <w:spacing w:after="0"/>
              <w:rPr>
                <w:sz w:val="20"/>
                <w:szCs w:val="20"/>
                <w:color w:val="auto"/>
              </w:rPr>
            </w:pPr>
            <w:r>
              <w:rPr>
                <w:rFonts w:ascii="Times New Roman" w:cs="Times New Roman" w:eastAsia="Times New Roman" w:hAnsi="Times New Roman"/>
                <w:sz w:val="16"/>
                <w:szCs w:val="16"/>
                <w:color w:val="auto"/>
              </w:rPr>
              <w:t>6.80</w:t>
            </w:r>
          </w:p>
        </w:tc>
        <w:tc>
          <w:tcPr>
            <w:tcW w:w="1320" w:type="dxa"/>
            <w:vAlign w:val="bottom"/>
            <w:gridSpan w:val="2"/>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6"/>
                <w:szCs w:val="16"/>
                <w:color w:val="auto"/>
              </w:rPr>
              <w:t>8.28</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440" w:type="dxa"/>
            <w:vAlign w:val="bottom"/>
            <w:shd w:val="clear" w:color="auto" w:fill="CFF0FC"/>
          </w:tcPr>
          <w:p>
            <w:pPr>
              <w:spacing w:after="0"/>
              <w:rPr>
                <w:sz w:val="3"/>
                <w:szCs w:val="3"/>
                <w:color w:val="auto"/>
              </w:rPr>
            </w:pPr>
          </w:p>
        </w:tc>
        <w:tc>
          <w:tcPr>
            <w:tcW w:w="1240" w:type="dxa"/>
            <w:vAlign w:val="bottom"/>
            <w:vMerge w:val="continue"/>
            <w:shd w:val="clear" w:color="auto" w:fill="CFF0FC"/>
          </w:tcPr>
          <w:p>
            <w:pPr>
              <w:spacing w:after="0"/>
              <w:rPr>
                <w:sz w:val="3"/>
                <w:szCs w:val="3"/>
                <w:color w:val="auto"/>
              </w:rPr>
            </w:pPr>
          </w:p>
        </w:tc>
        <w:tc>
          <w:tcPr>
            <w:tcW w:w="280" w:type="dxa"/>
            <w:vAlign w:val="bottom"/>
            <w:gridSpan w:val="2"/>
            <w:vMerge w:val="continue"/>
            <w:shd w:val="clear" w:color="auto" w:fill="CFF0FC"/>
          </w:tcPr>
          <w:p>
            <w:pPr>
              <w:spacing w:after="0"/>
              <w:rPr>
                <w:sz w:val="3"/>
                <w:szCs w:val="3"/>
                <w:color w:val="auto"/>
              </w:rPr>
            </w:pPr>
          </w:p>
        </w:tc>
        <w:tc>
          <w:tcPr>
            <w:tcW w:w="980" w:type="dxa"/>
            <w:vAlign w:val="bottom"/>
            <w:vMerge w:val="continue"/>
            <w:shd w:val="clear" w:color="auto" w:fill="CFF0FC"/>
          </w:tcPr>
          <w:p>
            <w:pPr>
              <w:spacing w:after="0"/>
              <w:rPr>
                <w:sz w:val="3"/>
                <w:szCs w:val="3"/>
                <w:color w:val="auto"/>
              </w:rPr>
            </w:pPr>
          </w:p>
        </w:tc>
        <w:tc>
          <w:tcPr>
            <w:tcW w:w="1320" w:type="dxa"/>
            <w:vAlign w:val="bottom"/>
            <w:gridSpan w:val="2"/>
            <w:vMerge w:val="continue"/>
            <w:shd w:val="clear" w:color="auto" w:fill="CFF0FC"/>
          </w:tcPr>
          <w:p>
            <w:pPr>
              <w:spacing w:after="0"/>
              <w:rPr>
                <w:sz w:val="3"/>
                <w:szCs w:val="3"/>
                <w:color w:val="auto"/>
              </w:rPr>
            </w:pPr>
          </w:p>
        </w:tc>
        <w:tc>
          <w:tcPr>
            <w:tcW w:w="220" w:type="dxa"/>
            <w:vAlign w:val="bottom"/>
            <w:gridSpan w:val="2"/>
            <w:vMerge w:val="continue"/>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6"/>
          <w:szCs w:val="16"/>
          <w:color w:val="auto"/>
        </w:rPr>
        <w:t>As of September 30, 2025, there was $7.9 million of unrecognized compensation cost related to stock options, which is expected to be recognized over a weighted average period of 1.24 years.</w:t>
      </w:r>
    </w:p>
    <w:p>
      <w:pPr>
        <w:spacing w:after="0" w:line="118"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The total intrinsic value of the options exercised during the three months ended September 30, 2025, and 2024, was $0. The total intrinsic value of the options exercised during the nine months ended September 30, 2025 and 2024 was $43.6 thousand and $0, respectively.</w:t>
      </w:r>
    </w:p>
    <w:p>
      <w:pPr>
        <w:spacing w:after="0" w:line="118"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As of September 30, 2025, and December 31, 2024, 3,182,043 and 1,013,055 shares were reserved for future awards under the 2021 Plan, respectively. As of September 30, 2025 and December 31, 2024, 110,000 shares were reserved for future awards under the 2023 Inducement Plan.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3" w:name="page24"/>
    <w:bookmarkEnd w:id="2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8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color w:val="auto"/>
        </w:rPr>
        <w:t>Restricted stock consists of restricted stock unit awards (RSUs) which have been granted to employees. The value of an RSU award is based on the Company’s stock price on the date of grant. Employee grants vest over one to four years. Forfeitures of RSUs are recognized as they occur. The shares underlying the RSU awards are not issued until the RSUs vest. Upon vesting, each RSU converts into one share of the Company’s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Activity with respect to the Company’s restricted stock units during the nine months ended September 30, 2025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166"/>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32"/>
        </w:trPr>
        <w:tc>
          <w:tcPr>
            <w:tcW w:w="7220" w:type="dxa"/>
            <w:vAlign w:val="bottom"/>
          </w:tcPr>
          <w:p>
            <w:pPr>
              <w:spacing w:after="0"/>
              <w:rPr>
                <w:sz w:val="11"/>
                <w:szCs w:val="11"/>
                <w:color w:val="auto"/>
              </w:rPr>
            </w:pPr>
          </w:p>
        </w:tc>
        <w:tc>
          <w:tcPr>
            <w:tcW w:w="1640" w:type="dxa"/>
            <w:vAlign w:val="bottom"/>
            <w:vMerge w:val="restart"/>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center"/>
              <w:ind w:right="146"/>
              <w:spacing w:after="0" w:line="132" w:lineRule="exact"/>
              <w:rPr>
                <w:sz w:val="20"/>
                <w:szCs w:val="20"/>
                <w:color w:val="auto"/>
              </w:rPr>
            </w:pPr>
            <w:r>
              <w:rPr>
                <w:rFonts w:ascii="Times New Roman" w:cs="Times New Roman" w:eastAsia="Times New Roman" w:hAnsi="Times New Roman"/>
                <w:sz w:val="13"/>
                <w:szCs w:val="13"/>
                <w:b w:val="1"/>
                <w:bCs w:val="1"/>
                <w:color w:val="auto"/>
                <w:w w:val="99"/>
              </w:rPr>
              <w:t>Grant Date Fair</w:t>
            </w:r>
          </w:p>
        </w:tc>
        <w:tc>
          <w:tcPr>
            <w:tcW w:w="0" w:type="dxa"/>
            <w:vAlign w:val="bottom"/>
          </w:tcPr>
          <w:p>
            <w:pPr>
              <w:spacing w:after="0"/>
              <w:rPr>
                <w:sz w:val="1"/>
                <w:szCs w:val="1"/>
                <w:color w:val="auto"/>
              </w:rPr>
            </w:pPr>
          </w:p>
        </w:tc>
      </w:tr>
      <w:tr>
        <w:trPr>
          <w:trHeight w:val="156"/>
        </w:trPr>
        <w:tc>
          <w:tcPr>
            <w:tcW w:w="722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56"/>
        </w:trPr>
        <w:tc>
          <w:tcPr>
            <w:tcW w:w="72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Nonvested shares at December 31, 2024</w:t>
            </w:r>
          </w:p>
        </w:tc>
        <w:tc>
          <w:tcPr>
            <w:tcW w:w="164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6"/>
                <w:szCs w:val="16"/>
                <w:color w:val="auto"/>
              </w:rPr>
              <w:t>256,490</w:t>
            </w:r>
          </w:p>
        </w:tc>
        <w:tc>
          <w:tcPr>
            <w:tcW w:w="3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56"/>
        </w:trPr>
        <w:tc>
          <w:tcPr>
            <w:tcW w:w="7220" w:type="dxa"/>
            <w:vAlign w:val="bottom"/>
          </w:tcPr>
          <w:p>
            <w:pPr>
              <w:ind w:left="120"/>
              <w:spacing w:after="0" w:line="156" w:lineRule="exact"/>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6"/>
                <w:szCs w:val="16"/>
                <w:color w:val="auto"/>
              </w:rPr>
              <w:t>2,567,272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156"/>
        </w:trPr>
        <w:tc>
          <w:tcPr>
            <w:tcW w:w="7220" w:type="dxa"/>
            <w:vAlign w:val="bottom"/>
            <w:shd w:val="clear" w:color="auto" w:fill="CFF0FC"/>
          </w:tcPr>
          <w:p>
            <w:pPr>
              <w:ind w:left="120"/>
              <w:spacing w:after="0" w:line="156" w:lineRule="exact"/>
              <w:rPr>
                <w:sz w:val="20"/>
                <w:szCs w:val="20"/>
                <w:color w:val="auto"/>
              </w:rPr>
            </w:pPr>
            <w:r>
              <w:rPr>
                <w:rFonts w:ascii="Times New Roman" w:cs="Times New Roman" w:eastAsia="Times New Roman" w:hAnsi="Times New Roman"/>
                <w:sz w:val="16"/>
                <w:szCs w:val="16"/>
                <w:color w:val="auto"/>
              </w:rPr>
              <w:t>Vested/Issued</w:t>
            </w:r>
          </w:p>
        </w:tc>
        <w:tc>
          <w:tcPr>
            <w:tcW w:w="1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(387,925)</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56"/>
        </w:trPr>
        <w:tc>
          <w:tcPr>
            <w:tcW w:w="7220" w:type="dxa"/>
            <w:vAlign w:val="bottom"/>
          </w:tcPr>
          <w:p>
            <w:pPr>
              <w:ind w:left="120"/>
              <w:spacing w:after="0" w:line="156" w:lineRule="exact"/>
              <w:rPr>
                <w:sz w:val="20"/>
                <w:szCs w:val="20"/>
                <w:color w:val="auto"/>
              </w:rPr>
            </w:pPr>
            <w:r>
              <w:rPr>
                <w:rFonts w:ascii="Times New Roman" w:cs="Times New Roman" w:eastAsia="Times New Roman" w:hAnsi="Times New Roman"/>
                <w:sz w:val="16"/>
                <w:szCs w:val="16"/>
                <w:color w:val="auto"/>
              </w:rPr>
              <w:t>Forfeited</w:t>
            </w:r>
          </w:p>
        </w:tc>
        <w:tc>
          <w:tcPr>
            <w:tcW w:w="16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(38,456)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26"/>
              <w:spacing w:after="0" w:line="156" w:lineRule="exact"/>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3"/>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shares at September 30, 2025</w:t>
            </w:r>
          </w:p>
        </w:tc>
        <w:tc>
          <w:tcPr>
            <w:tcW w:w="1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2,397,381</w:t>
            </w:r>
          </w:p>
        </w:tc>
        <w:tc>
          <w:tcPr>
            <w:tcW w:w="160" w:type="dxa"/>
            <w:vAlign w:val="bottom"/>
            <w:vMerge w:val="restart"/>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125"/>
        </w:trPr>
        <w:tc>
          <w:tcPr>
            <w:tcW w:w="7220" w:type="dxa"/>
            <w:vAlign w:val="bottom"/>
            <w:tcBorders>
              <w:bottom w:val="single" w:sz="8" w:color="CFF0FC"/>
            </w:tcBorders>
            <w:shd w:val="clear" w:color="auto" w:fill="CFF0FC"/>
          </w:tcPr>
          <w:p>
            <w:pPr>
              <w:spacing w:after="0"/>
              <w:rPr>
                <w:sz w:val="10"/>
                <w:szCs w:val="10"/>
                <w:color w:val="auto"/>
              </w:rPr>
            </w:pPr>
          </w:p>
        </w:tc>
        <w:tc>
          <w:tcPr>
            <w:tcW w:w="164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CFF0FC"/>
            </w:tcBorders>
            <w:vMerge w:val="continue"/>
            <w:shd w:val="clear" w:color="auto" w:fill="CFF0FC"/>
          </w:tcPr>
          <w:p>
            <w:pPr>
              <w:spacing w:after="0"/>
              <w:rPr>
                <w:sz w:val="10"/>
                <w:szCs w:val="10"/>
                <w:color w:val="auto"/>
              </w:rPr>
            </w:pPr>
          </w:p>
        </w:tc>
        <w:tc>
          <w:tcPr>
            <w:tcW w:w="140" w:type="dxa"/>
            <w:vAlign w:val="bottom"/>
            <w:tcBorders>
              <w:bottom w:val="single" w:sz="8" w:color="auto"/>
            </w:tcBorders>
            <w:vMerge w:val="continue"/>
            <w:shd w:val="clear" w:color="auto" w:fill="CFF0FC"/>
          </w:tcPr>
          <w:p>
            <w:pPr>
              <w:spacing w:after="0"/>
              <w:rPr>
                <w:sz w:val="10"/>
                <w:szCs w:val="10"/>
                <w:color w:val="auto"/>
              </w:rPr>
            </w:pPr>
          </w:p>
        </w:tc>
        <w:tc>
          <w:tcPr>
            <w:tcW w:w="1400" w:type="dxa"/>
            <w:vAlign w:val="bottom"/>
            <w:tcBorders>
              <w:bottom w:val="single" w:sz="8" w:color="auto"/>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560"/>
        <w:spacing w:after="0" w:line="291" w:lineRule="auto"/>
        <w:rPr>
          <w:sz w:val="20"/>
          <w:szCs w:val="20"/>
          <w:color w:val="auto"/>
        </w:rPr>
      </w:pPr>
      <w:r>
        <w:rPr>
          <w:rFonts w:ascii="Times New Roman" w:cs="Times New Roman" w:eastAsia="Times New Roman" w:hAnsi="Times New Roman"/>
          <w:sz w:val="16"/>
          <w:szCs w:val="16"/>
          <w:color w:val="auto"/>
        </w:rPr>
        <w:t>As of September 30, 2025, there was $2.1 million of unrecognized compensation cost related to restricted stock units, which is expected to be recognized over a weighted average period of 0.63 years.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Expense Summary</w:t>
      </w:r>
    </w:p>
    <w:p>
      <w:pPr>
        <w:spacing w:after="0" w:line="180"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6"/>
          <w:szCs w:val="16"/>
          <w:color w:val="auto"/>
        </w:rPr>
        <w:t>The Company recognized the following compensation cost related to employee and non-employee share-based compensation activity for the periods presented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2540" w:type="dxa"/>
            <w:vAlign w:val="bottom"/>
            <w:gridSpan w:val="5"/>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4"/>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56"/>
        </w:trPr>
        <w:tc>
          <w:tcPr>
            <w:tcW w:w="5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44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720" w:type="dxa"/>
            <w:vAlign w:val="bottom"/>
            <w:shd w:val="clear" w:color="auto" w:fill="CFF0FC"/>
          </w:tcPr>
          <w:p>
            <w:pPr>
              <w:jc w:val="right"/>
              <w:ind w:right="568"/>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1,777</w:t>
            </w: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1,590</w:t>
            </w:r>
          </w:p>
        </w:tc>
        <w:tc>
          <w:tcPr>
            <w:tcW w:w="3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4,917</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5,704</w:t>
            </w:r>
          </w:p>
        </w:tc>
      </w:tr>
      <w:tr>
        <w:trPr>
          <w:trHeight w:val="180"/>
        </w:trPr>
        <w:tc>
          <w:tcPr>
            <w:tcW w:w="5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720" w:type="dxa"/>
            <w:vAlign w:val="bottom"/>
          </w:tcPr>
          <w:p>
            <w:pPr>
              <w:spacing w:after="0"/>
              <w:rPr>
                <w:sz w:val="15"/>
                <w:szCs w:val="15"/>
                <w:color w:val="auto"/>
              </w:rPr>
            </w:pPr>
          </w:p>
        </w:tc>
        <w:tc>
          <w:tcPr>
            <w:tcW w:w="4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941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967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2,568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3,281</w:t>
            </w:r>
          </w:p>
        </w:tc>
      </w:tr>
      <w:tr>
        <w:trPr>
          <w:trHeight w:val="176"/>
        </w:trPr>
        <w:tc>
          <w:tcPr>
            <w:tcW w:w="53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Total</w:t>
            </w:r>
          </w:p>
        </w:tc>
        <w:tc>
          <w:tcPr>
            <w:tcW w:w="720" w:type="dxa"/>
            <w:vAlign w:val="bottom"/>
            <w:shd w:val="clear" w:color="auto" w:fill="CFF0FC"/>
          </w:tcPr>
          <w:p>
            <w:pPr>
              <w:jc w:val="right"/>
              <w:ind w:right="568"/>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2,718</w:t>
            </w:r>
          </w:p>
        </w:tc>
        <w:tc>
          <w:tcPr>
            <w:tcW w:w="38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
              <w:spacing w:after="0" w:line="156" w:lineRule="exact"/>
              <w:rPr>
                <w:sz w:val="20"/>
                <w:szCs w:val="20"/>
                <w:color w:val="auto"/>
              </w:rPr>
            </w:pPr>
            <w:r>
              <w:rPr>
                <w:rFonts w:ascii="Times New Roman" w:cs="Times New Roman" w:eastAsia="Times New Roman" w:hAnsi="Times New Roman"/>
                <w:sz w:val="16"/>
                <w:szCs w:val="16"/>
                <w:color w:val="auto"/>
              </w:rPr>
              <w:t>2,557</w:t>
            </w:r>
          </w:p>
        </w:tc>
        <w:tc>
          <w:tcPr>
            <w:tcW w:w="30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7"/>
              <w:spacing w:after="0" w:line="156" w:lineRule="exact"/>
              <w:rPr>
                <w:sz w:val="20"/>
                <w:szCs w:val="20"/>
                <w:color w:val="auto"/>
              </w:rPr>
            </w:pPr>
            <w:r>
              <w:rPr>
                <w:rFonts w:ascii="Times New Roman" w:cs="Times New Roman" w:eastAsia="Times New Roman" w:hAnsi="Times New Roman"/>
                <w:sz w:val="16"/>
                <w:szCs w:val="16"/>
                <w:color w:val="auto"/>
              </w:rPr>
              <w:t>7,485</w:t>
            </w:r>
          </w:p>
        </w:tc>
        <w:tc>
          <w:tcPr>
            <w:tcW w:w="38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
              <w:spacing w:after="0" w:line="156" w:lineRule="exact"/>
              <w:rPr>
                <w:sz w:val="20"/>
                <w:szCs w:val="20"/>
                <w:color w:val="auto"/>
              </w:rPr>
            </w:pPr>
            <w:r>
              <w:rPr>
                <w:rFonts w:ascii="Times New Roman" w:cs="Times New Roman" w:eastAsia="Times New Roman" w:hAnsi="Times New Roman"/>
                <w:sz w:val="16"/>
                <w:szCs w:val="16"/>
                <w:color w:val="auto"/>
              </w:rPr>
              <w:t>8,985</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auto"/>
        </w:rPr>
        <w:t>The Company uses the Black-Scholes option pricing model to determine the estimated fair value for share-based option awards. Option pricing and models require the input of various assumptions, including the option’s expected life, expected dividend yield, price volatility and risk-free interest rate of the underlying stock. Forfeitures are recognized and accounted for as they occur.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calculation was based on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312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Three Months Ended September 30, (1)</w:t>
            </w:r>
          </w:p>
        </w:tc>
        <w:tc>
          <w:tcPr>
            <w:tcW w:w="420" w:type="dxa"/>
            <w:vAlign w:val="bottom"/>
          </w:tcPr>
          <w:p>
            <w:pPr>
              <w:spacing w:after="0"/>
              <w:rPr>
                <w:sz w:val="12"/>
                <w:szCs w:val="12"/>
                <w:color w:val="auto"/>
              </w:rPr>
            </w:pPr>
          </w:p>
        </w:tc>
        <w:tc>
          <w:tcPr>
            <w:tcW w:w="3120" w:type="dxa"/>
            <w:vAlign w:val="bottom"/>
            <w:gridSpan w:val="3"/>
          </w:tcPr>
          <w:p>
            <w:pPr>
              <w:jc w:val="right"/>
              <w:ind w:right="70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56"/>
        </w:trPr>
        <w:tc>
          <w:tcPr>
            <w:tcW w:w="3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0" w:type="dxa"/>
            <w:vAlign w:val="bottom"/>
          </w:tcPr>
          <w:p>
            <w:pPr>
              <w:jc w:val="right"/>
              <w:ind w:right="100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Pr>
          <w:p>
            <w:pPr>
              <w:spacing w:after="0"/>
              <w:rPr>
                <w:sz w:val="13"/>
                <w:szCs w:val="13"/>
                <w:color w:val="auto"/>
              </w:rPr>
            </w:pPr>
          </w:p>
        </w:tc>
        <w:tc>
          <w:tcPr>
            <w:tcW w:w="1440" w:type="dxa"/>
            <w:vAlign w:val="bottom"/>
          </w:tcPr>
          <w:p>
            <w:pPr>
              <w:jc w:val="right"/>
              <w:ind w:right="725"/>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Pr>
          <w:p>
            <w:pPr>
              <w:spacing w:after="0"/>
              <w:rPr>
                <w:sz w:val="13"/>
                <w:szCs w:val="13"/>
                <w:color w:val="auto"/>
              </w:rPr>
            </w:pPr>
          </w:p>
        </w:tc>
        <w:tc>
          <w:tcPr>
            <w:tcW w:w="1360" w:type="dxa"/>
            <w:vAlign w:val="bottom"/>
          </w:tcPr>
          <w:p>
            <w:pPr>
              <w:jc w:val="right"/>
              <w:ind w:right="64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3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 average grant date fair value (per share)</w:t>
            </w:r>
          </w:p>
        </w:tc>
        <w:tc>
          <w:tcPr>
            <w:tcW w:w="1320" w:type="dxa"/>
            <w:vAlign w:val="bottom"/>
            <w:shd w:val="clear" w:color="auto" w:fill="CFF0FC"/>
          </w:tcPr>
          <w:p>
            <w:pPr>
              <w:ind w:left="7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4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1.85</w:t>
            </w:r>
          </w:p>
        </w:tc>
        <w:tc>
          <w:tcPr>
            <w:tcW w:w="3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1.39</w:t>
            </w:r>
          </w:p>
        </w:tc>
      </w:tr>
      <w:tr>
        <w:trPr>
          <w:trHeight w:val="180"/>
        </w:trPr>
        <w:tc>
          <w:tcPr>
            <w:tcW w:w="3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Risk-free interest rate</w:t>
            </w:r>
          </w:p>
        </w:tc>
        <w:tc>
          <w:tcPr>
            <w:tcW w:w="1320" w:type="dxa"/>
            <w:vAlign w:val="bottom"/>
          </w:tcPr>
          <w:p>
            <w:pPr>
              <w:spacing w:after="0"/>
              <w:rPr>
                <w:sz w:val="15"/>
                <w:szCs w:val="15"/>
                <w:color w:val="auto"/>
              </w:rPr>
            </w:pPr>
          </w:p>
        </w:tc>
        <w:tc>
          <w:tcPr>
            <w:tcW w:w="18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3.94%</w:t>
            </w:r>
          </w:p>
        </w:tc>
        <w:tc>
          <w:tcPr>
            <w:tcW w:w="420" w:type="dxa"/>
            <w:vAlign w:val="bottom"/>
          </w:tcPr>
          <w:p>
            <w:pPr>
              <w:spacing w:after="0"/>
              <w:rPr>
                <w:sz w:val="15"/>
                <w:szCs w:val="15"/>
                <w:color w:val="auto"/>
              </w:rPr>
            </w:pPr>
          </w:p>
        </w:tc>
        <w:tc>
          <w:tcPr>
            <w:tcW w:w="14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3.94% - 4.19%</w:t>
            </w:r>
          </w:p>
        </w:tc>
        <w:tc>
          <w:tcPr>
            <w:tcW w:w="320" w:type="dxa"/>
            <w:vAlign w:val="bottom"/>
          </w:tcPr>
          <w:p>
            <w:pPr>
              <w:spacing w:after="0"/>
              <w:rPr>
                <w:sz w:val="15"/>
                <w:szCs w:val="15"/>
                <w:color w:val="auto"/>
              </w:rPr>
            </w:pPr>
          </w:p>
        </w:tc>
        <w:tc>
          <w:tcPr>
            <w:tcW w:w="13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4.13% - 4.29%</w:t>
            </w:r>
          </w:p>
        </w:tc>
      </w:tr>
      <w:tr>
        <w:trPr>
          <w:trHeight w:val="180"/>
        </w:trPr>
        <w:tc>
          <w:tcPr>
            <w:tcW w:w="3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Expected volatility</w:t>
            </w:r>
          </w:p>
        </w:tc>
        <w:tc>
          <w:tcPr>
            <w:tcW w:w="132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84.69%</w:t>
            </w:r>
          </w:p>
        </w:tc>
        <w:tc>
          <w:tcPr>
            <w:tcW w:w="4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84.03% - 89.48%</w:t>
            </w:r>
          </w:p>
        </w:tc>
        <w:tc>
          <w:tcPr>
            <w:tcW w:w="32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89.22% - 91.46%</w:t>
            </w:r>
          </w:p>
        </w:tc>
      </w:tr>
      <w:tr>
        <w:trPr>
          <w:trHeight w:val="180"/>
        </w:trPr>
        <w:tc>
          <w:tcPr>
            <w:tcW w:w="3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Expected term (in years)</w:t>
            </w:r>
          </w:p>
        </w:tc>
        <w:tc>
          <w:tcPr>
            <w:tcW w:w="1320" w:type="dxa"/>
            <w:vAlign w:val="bottom"/>
          </w:tcPr>
          <w:p>
            <w:pPr>
              <w:spacing w:after="0"/>
              <w:rPr>
                <w:sz w:val="15"/>
                <w:szCs w:val="15"/>
                <w:color w:val="auto"/>
              </w:rPr>
            </w:pPr>
          </w:p>
        </w:tc>
        <w:tc>
          <w:tcPr>
            <w:tcW w:w="18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6.08</w:t>
            </w:r>
          </w:p>
        </w:tc>
        <w:tc>
          <w:tcPr>
            <w:tcW w:w="420" w:type="dxa"/>
            <w:vAlign w:val="bottom"/>
          </w:tcPr>
          <w:p>
            <w:pPr>
              <w:spacing w:after="0"/>
              <w:rPr>
                <w:sz w:val="15"/>
                <w:szCs w:val="15"/>
                <w:color w:val="auto"/>
              </w:rPr>
            </w:pPr>
          </w:p>
        </w:tc>
        <w:tc>
          <w:tcPr>
            <w:tcW w:w="14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5.49 - 6.08</w:t>
            </w:r>
          </w:p>
        </w:tc>
        <w:tc>
          <w:tcPr>
            <w:tcW w:w="320" w:type="dxa"/>
            <w:vAlign w:val="bottom"/>
          </w:tcPr>
          <w:p>
            <w:pPr>
              <w:spacing w:after="0"/>
              <w:rPr>
                <w:sz w:val="15"/>
                <w:szCs w:val="15"/>
                <w:color w:val="auto"/>
              </w:rPr>
            </w:pPr>
          </w:p>
        </w:tc>
        <w:tc>
          <w:tcPr>
            <w:tcW w:w="13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5.00 - 6.08</w:t>
            </w:r>
          </w:p>
        </w:tc>
      </w:tr>
      <w:tr>
        <w:trPr>
          <w:trHeight w:val="180"/>
        </w:trPr>
        <w:tc>
          <w:tcPr>
            <w:tcW w:w="3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Expected dividend yield</w:t>
            </w:r>
          </w:p>
        </w:tc>
        <w:tc>
          <w:tcPr>
            <w:tcW w:w="132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r>
    </w:tbl>
    <w:p>
      <w:pPr>
        <w:spacing w:after="0"/>
        <w:rPr>
          <w:sz w:val="20"/>
          <w:szCs w:val="20"/>
          <w:color w:val="auto"/>
        </w:rPr>
      </w:pPr>
      <w:r>
        <w:rPr>
          <w:rFonts w:ascii="Times New Roman" w:cs="Times New Roman" w:eastAsia="Times New Roman" w:hAnsi="Times New Roman"/>
          <w:sz w:val="16"/>
          <w:szCs w:val="16"/>
          <w:color w:val="auto"/>
        </w:rPr>
        <w:t>(1) No awards were granted during the three months ended September 30,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determines the assumptions used in the option pricing model in the following manner:</w:t>
      </w:r>
    </w:p>
    <w:p>
      <w:pPr>
        <w:spacing w:after="0" w:line="174" w:lineRule="exact"/>
        <w:rPr>
          <w:sz w:val="20"/>
          <w:szCs w:val="20"/>
          <w:color w:val="auto"/>
        </w:rPr>
      </w:pPr>
    </w:p>
    <w:p>
      <w:pPr>
        <w:jc w:val="both"/>
        <w:ind w:right="12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Risk-Free Interest Rate – </w:t>
      </w:r>
      <w:r>
        <w:rPr>
          <w:rFonts w:ascii="Times New Roman" w:cs="Times New Roman" w:eastAsia="Times New Roman" w:hAnsi="Times New Roman"/>
          <w:sz w:val="16"/>
          <w:szCs w:val="16"/>
          <w:color w:val="auto"/>
        </w:rPr>
        <w:t>For the determination of the risk-free interest rates, the Company utilizes the U.S. Treasury yield curve for instruments in effect at the time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measurement with a term commensurate with the expected term assumption.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4" w:name="page25"/>
    <w:bookmarkEnd w:id="2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Expected Volatility </w:t>
      </w:r>
      <w:r>
        <w:rPr>
          <w:rFonts w:ascii="Times New Roman" w:cs="Times New Roman" w:eastAsia="Times New Roman" w:hAnsi="Times New Roman"/>
          <w:sz w:val="16"/>
          <w:szCs w:val="16"/>
          <w:color w:val="auto"/>
        </w:rPr>
        <w:t>– The Company based its estimate of expected volatility on a weighted average using the Company's limited historical stock price volatility data,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supplemented with the estimated and expected volatilities of a guideline group of publicly traded companies. For these analyses, the Company selected companies with comparable characteristics including enterprise value, risk profiles, and with historical share price information sufficient to meet the expected life of the share-based awards. The Company computes the historical volatility data using the daily closing prices for the selected companies’ shares during the equivalent period of the calculated expected term of its share-based awards. The Company will continue to apply this process until a sufficient amount of historical information regarding the volatility of its own stock price becomes available.</w:t>
      </w:r>
    </w:p>
    <w:p>
      <w:pPr>
        <w:spacing w:after="0" w:line="134" w:lineRule="exact"/>
        <w:rPr>
          <w:sz w:val="20"/>
          <w:szCs w:val="20"/>
          <w:color w:val="auto"/>
        </w:rPr>
      </w:pPr>
    </w:p>
    <w:p>
      <w:pPr>
        <w:ind w:right="38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Expected Dividend </w:t>
      </w:r>
      <w:r>
        <w:rPr>
          <w:rFonts w:ascii="Times New Roman" w:cs="Times New Roman" w:eastAsia="Times New Roman" w:hAnsi="Times New Roman"/>
          <w:sz w:val="16"/>
          <w:szCs w:val="16"/>
          <w:color w:val="auto"/>
        </w:rPr>
        <w:t>– The expected dividend yield is assumed to be zero because the Company has never paid dividends and does not have current plans to pay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dividends on its common stock.</w:t>
      </w:r>
    </w:p>
    <w:p>
      <w:pPr>
        <w:spacing w:after="0" w:line="115"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 The Company estimates the expected term of its stock options granted to employees and non-employee directors using the simplified method,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whereby, the expected term equals the average of the vesting term and the original contractual term of the option. The Company utilizes this method since it does not have sufficient historical exercise data to provide a reasonable basis upon which to estimate the expected term.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Employee Stock Purchase Plan</w:t>
      </w:r>
    </w:p>
    <w:p>
      <w:pPr>
        <w:spacing w:after="0" w:line="1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On August 17, 2021, a special meeting of the Company’s stockholders was held to approve the Reverse Merger and related matters, at which the Company's stockholders considered and approved the Company’s 2021 ESPP which permits participants to contribute up to 15% of their eligible compensation during defined rolling six-month offering periods to 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 An aggregate of 519,563 shares of common stock was initially reserved for issuance under the 2021 ESPP. The number of shares of common stock available for issuance under the 2021 ESPP is increased on the first day of each fiscal year beginning with the 2022 fiscal year in an amount equal to the least of (i) 310,617 shares of common stock, (ii) one percent (1%) of the outstanding shares of all classes of common stock on the last day of the immediately preceding fiscal year, or (iii) an amount to be determined by the board of directors or its designated committee no later than the last day of the immediately preceding fiscal year. On January 1, 2025, 246,807 shares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2021 ESPP in May 2022.</w:t>
      </w:r>
    </w:p>
    <w:p>
      <w:pPr>
        <w:spacing w:after="0" w:line="13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 The expected volatility used in calculating the estimated fair value for purchases under the 2021 ESPP is based on the historical volatility of the Company's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calculation was based on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532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Three and Nine Months</w:t>
            </w:r>
          </w:p>
        </w:tc>
        <w:tc>
          <w:tcPr>
            <w:tcW w:w="186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Three and Nine Months</w:t>
            </w:r>
          </w:p>
        </w:tc>
      </w:tr>
      <w:tr>
        <w:trPr>
          <w:trHeight w:val="156"/>
        </w:trPr>
        <w:tc>
          <w:tcPr>
            <w:tcW w:w="3380" w:type="dxa"/>
            <w:vAlign w:val="bottom"/>
          </w:tcPr>
          <w:p>
            <w:pPr>
              <w:spacing w:after="0"/>
              <w:rPr>
                <w:sz w:val="13"/>
                <w:szCs w:val="13"/>
                <w:color w:val="auto"/>
              </w:rPr>
            </w:pPr>
          </w:p>
        </w:tc>
        <w:tc>
          <w:tcPr>
            <w:tcW w:w="532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Ended September 30, 2025</w:t>
            </w:r>
          </w:p>
        </w:tc>
        <w:tc>
          <w:tcPr>
            <w:tcW w:w="186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Ended September 30, 2024</w:t>
            </w:r>
          </w:p>
        </w:tc>
      </w:tr>
      <w:tr>
        <w:trPr>
          <w:trHeight w:val="156"/>
        </w:trPr>
        <w:tc>
          <w:tcPr>
            <w:tcW w:w="33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Strike price (per share)</w:t>
            </w:r>
          </w:p>
        </w:tc>
        <w:tc>
          <w:tcPr>
            <w:tcW w:w="5320" w:type="dxa"/>
            <w:vAlign w:val="bottom"/>
            <w:shd w:val="clear" w:color="auto" w:fill="CFF0FC"/>
          </w:tcPr>
          <w:p>
            <w:pPr>
              <w:jc w:val="right"/>
              <w:ind w:right="85"/>
              <w:spacing w:after="0" w:line="156" w:lineRule="exact"/>
              <w:rPr>
                <w:sz w:val="20"/>
                <w:szCs w:val="20"/>
                <w:color w:val="auto"/>
              </w:rPr>
            </w:pPr>
            <w:r>
              <w:rPr>
                <w:rFonts w:ascii="Times New Roman" w:cs="Times New Roman" w:eastAsia="Times New Roman" w:hAnsi="Times New Roman"/>
                <w:sz w:val="16"/>
                <w:szCs w:val="16"/>
                <w:color w:val="auto"/>
              </w:rPr>
              <w:t>$1.69-$2.11</w:t>
            </w:r>
          </w:p>
        </w:tc>
        <w:tc>
          <w:tcPr>
            <w:tcW w:w="186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$1.56 - $4.00</w:t>
            </w:r>
          </w:p>
        </w:tc>
      </w:tr>
      <w:tr>
        <w:trPr>
          <w:trHeight w:val="156"/>
        </w:trPr>
        <w:tc>
          <w:tcPr>
            <w:tcW w:w="338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Risk-free interest rate</w:t>
            </w:r>
          </w:p>
        </w:tc>
        <w:tc>
          <w:tcPr>
            <w:tcW w:w="5320" w:type="dxa"/>
            <w:vAlign w:val="bottom"/>
          </w:tcPr>
          <w:p>
            <w:pPr>
              <w:jc w:val="right"/>
              <w:ind w:right="85"/>
              <w:spacing w:after="0" w:line="156" w:lineRule="exact"/>
              <w:rPr>
                <w:sz w:val="20"/>
                <w:szCs w:val="20"/>
                <w:color w:val="auto"/>
              </w:rPr>
            </w:pPr>
            <w:r>
              <w:rPr>
                <w:rFonts w:ascii="Times New Roman" w:cs="Times New Roman" w:eastAsia="Times New Roman" w:hAnsi="Times New Roman"/>
                <w:sz w:val="16"/>
                <w:szCs w:val="16"/>
                <w:color w:val="auto"/>
              </w:rPr>
              <w:t>4.29% - 4.44%</w:t>
            </w:r>
          </w:p>
        </w:tc>
        <w:tc>
          <w:tcPr>
            <w:tcW w:w="186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5.40% - 5.41%</w:t>
            </w:r>
          </w:p>
        </w:tc>
      </w:tr>
      <w:tr>
        <w:trPr>
          <w:trHeight w:val="156"/>
        </w:trPr>
        <w:tc>
          <w:tcPr>
            <w:tcW w:w="33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Expected volatility</w:t>
            </w:r>
          </w:p>
        </w:tc>
        <w:tc>
          <w:tcPr>
            <w:tcW w:w="5320" w:type="dxa"/>
            <w:vAlign w:val="bottom"/>
            <w:shd w:val="clear" w:color="auto" w:fill="CFF0FC"/>
          </w:tcPr>
          <w:p>
            <w:pPr>
              <w:jc w:val="right"/>
              <w:ind w:right="85"/>
              <w:spacing w:after="0" w:line="156" w:lineRule="exact"/>
              <w:rPr>
                <w:sz w:val="20"/>
                <w:szCs w:val="20"/>
                <w:color w:val="auto"/>
              </w:rPr>
            </w:pPr>
            <w:r>
              <w:rPr>
                <w:rFonts w:ascii="Times New Roman" w:cs="Times New Roman" w:eastAsia="Times New Roman" w:hAnsi="Times New Roman"/>
                <w:sz w:val="16"/>
                <w:szCs w:val="16"/>
                <w:color w:val="auto"/>
              </w:rPr>
              <w:t>55.26% - 88.23%</w:t>
            </w:r>
          </w:p>
        </w:tc>
        <w:tc>
          <w:tcPr>
            <w:tcW w:w="186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60.99% - 140.00%</w:t>
            </w:r>
          </w:p>
        </w:tc>
      </w:tr>
      <w:tr>
        <w:trPr>
          <w:trHeight w:val="156"/>
        </w:trPr>
        <w:tc>
          <w:tcPr>
            <w:tcW w:w="338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Expected term (in years)</w:t>
            </w:r>
          </w:p>
        </w:tc>
        <w:tc>
          <w:tcPr>
            <w:tcW w:w="5320" w:type="dxa"/>
            <w:vAlign w:val="bottom"/>
          </w:tcPr>
          <w:p>
            <w:pPr>
              <w:jc w:val="right"/>
              <w:ind w:right="85"/>
              <w:spacing w:after="0" w:line="156" w:lineRule="exact"/>
              <w:rPr>
                <w:sz w:val="20"/>
                <w:szCs w:val="20"/>
                <w:color w:val="auto"/>
              </w:rPr>
            </w:pPr>
            <w:r>
              <w:rPr>
                <w:rFonts w:ascii="Times New Roman" w:cs="Times New Roman" w:eastAsia="Times New Roman" w:hAnsi="Times New Roman"/>
                <w:sz w:val="16"/>
                <w:szCs w:val="16"/>
                <w:color w:val="auto"/>
              </w:rPr>
              <w:t>0.5</w:t>
            </w:r>
          </w:p>
        </w:tc>
        <w:tc>
          <w:tcPr>
            <w:tcW w:w="186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0.5</w:t>
            </w:r>
          </w:p>
        </w:tc>
      </w:tr>
      <w:tr>
        <w:trPr>
          <w:trHeight w:val="156"/>
        </w:trPr>
        <w:tc>
          <w:tcPr>
            <w:tcW w:w="33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Expected dividend yield</w:t>
            </w:r>
          </w:p>
        </w:tc>
        <w:tc>
          <w:tcPr>
            <w:tcW w:w="5320" w:type="dxa"/>
            <w:vAlign w:val="bottom"/>
            <w:shd w:val="clear" w:color="auto" w:fill="CFF0FC"/>
          </w:tcPr>
          <w:p>
            <w:pPr>
              <w:jc w:val="right"/>
              <w:ind w:right="85"/>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w:t>
            </w:r>
          </w:p>
        </w:tc>
      </w:tr>
      <w:tr>
        <w:trPr>
          <w:trHeight w:val="562"/>
        </w:trPr>
        <w:tc>
          <w:tcPr>
            <w:tcW w:w="3380" w:type="dxa"/>
            <w:vAlign w:val="bottom"/>
          </w:tcPr>
          <w:p>
            <w:pPr>
              <w:spacing w:after="0"/>
              <w:rPr>
                <w:sz w:val="24"/>
                <w:szCs w:val="24"/>
                <w:color w:val="auto"/>
              </w:rPr>
            </w:pPr>
          </w:p>
        </w:tc>
        <w:tc>
          <w:tcPr>
            <w:tcW w:w="5320" w:type="dxa"/>
            <w:vAlign w:val="bottom"/>
          </w:tcPr>
          <w:p>
            <w:pPr>
              <w:jc w:val="right"/>
              <w:ind w:right="3265"/>
              <w:spacing w:after="0"/>
              <w:rPr>
                <w:sz w:val="20"/>
                <w:szCs w:val="20"/>
                <w:color w:val="auto"/>
              </w:rPr>
            </w:pPr>
            <w:r>
              <w:rPr>
                <w:rFonts w:ascii="Times New Roman" w:cs="Times New Roman" w:eastAsia="Times New Roman" w:hAnsi="Times New Roman"/>
                <w:sz w:val="16"/>
                <w:szCs w:val="16"/>
                <w:color w:val="auto"/>
              </w:rPr>
              <w:t>24</w:t>
            </w:r>
          </w:p>
        </w:tc>
        <w:tc>
          <w:tcPr>
            <w:tcW w:w="1860" w:type="dxa"/>
            <w:vAlign w:val="bottom"/>
          </w:tcPr>
          <w:p>
            <w:pPr>
              <w:spacing w:after="0"/>
              <w:rPr>
                <w:sz w:val="24"/>
                <w:szCs w:val="24"/>
                <w:color w:val="auto"/>
              </w:rPr>
            </w:pPr>
          </w:p>
        </w:tc>
      </w:tr>
      <w:tr>
        <w:trPr>
          <w:trHeight w:val="470"/>
        </w:trPr>
        <w:tc>
          <w:tcPr>
            <w:tcW w:w="3380" w:type="dxa"/>
            <w:vAlign w:val="bottom"/>
            <w:tcBorders>
              <w:bottom w:val="single" w:sz="8" w:color="EEEEEE"/>
            </w:tcBorders>
          </w:tcPr>
          <w:p>
            <w:pPr>
              <w:spacing w:after="0"/>
              <w:rPr>
                <w:sz w:val="24"/>
                <w:szCs w:val="24"/>
                <w:color w:val="auto"/>
              </w:rPr>
            </w:pPr>
          </w:p>
        </w:tc>
        <w:tc>
          <w:tcPr>
            <w:tcW w:w="532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5" w:name="page26"/>
    <w:bookmarkEnd w:id="2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40"/>
        <w:spacing w:after="0" w:line="278" w:lineRule="auto"/>
        <w:rPr>
          <w:sz w:val="20"/>
          <w:szCs w:val="20"/>
          <w:color w:val="auto"/>
        </w:rPr>
      </w:pPr>
      <w:r>
        <w:rPr>
          <w:rFonts w:ascii="Times New Roman" w:cs="Times New Roman" w:eastAsia="Times New Roman" w:hAnsi="Times New Roman"/>
          <w:sz w:val="16"/>
          <w:szCs w:val="16"/>
          <w:color w:val="auto"/>
        </w:rPr>
        <w:t>As of September 30, 2025, and December 31, 2024, 1,041,213 and 810,743 shares of common stock were available for issuance under the 2021 ESPP, respectively. The Company had an outstanding liability of $69.6 thousand and $37.0 thousand as of September 30, 2025, and December 31, 2024, respectively, which will be recognized over six months. For the nine months ended September 30, 2025 and 2024, 16,337 and 60,629 shares were issued under the 2021 ESPP,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Income Taxes</w:t>
      </w:r>
    </w:p>
    <w:p>
      <w:pPr>
        <w:spacing w:after="0" w:line="178"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6"/>
          <w:szCs w:val="16"/>
          <w:color w:val="auto"/>
        </w:rPr>
        <w:t>The Company recorded no income tax expense for the three and nine months ended September 30, 2025 and 2024, respectively. The Company continues to maintain a full valuation allowance.</w:t>
      </w:r>
    </w:p>
    <w:p>
      <w:pPr>
        <w:spacing w:after="0" w:line="11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On July 4, 2025, the One Big Beautiful Bill Act (the “Act”) was enacted in the U.S. The Act includes significant changes to federal tax law, such as the permanent extension of certain expiring provisions of the Tax Cuts and Jobs Act, modifications to the international tax framework and the restoration of favorable tax treatment for certain business provisions. The Act has multiple effective dates, with certain provisions effective in 2025 and others implemented through 2027. The Act did not result in a material impact on the estimated annual effective tax rate in 2025 as the Company maintains a full valuation allowance.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Commitments and Contingencies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18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 The Company has no ongoing legal proceedings or claims where a liability has been recorded as of September 30, 2025 and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Purchase Commitments</w:t>
      </w:r>
    </w:p>
    <w:p>
      <w:pPr>
        <w:spacing w:after="0" w:line="18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The Company has ongoing contracts with vendors for clinical trials and contract manufacturing. These contracts are generally cancellable, with notice, at the Company’s option. The Company recorded accrued expenses of $4.4 million and $3.6 million for expenditures incurred by clinical and contract manufacturing vendors as of September 30, 2025, and December 31, 2024,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Mirati Collaboration</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In October 2022, the Company entered into a collaboration and supply agreement with Mirati Therapeutics, Inc. (“Mirati”) to evaluate the combination of Mirati’s adagrasib, a KRAS</w:t>
      </w:r>
      <w:r>
        <w:rPr>
          <w:rFonts w:ascii="Times New Roman" w:cs="Times New Roman" w:eastAsia="Times New Roman" w:hAnsi="Times New Roman"/>
          <w:sz w:val="21"/>
          <w:szCs w:val="21"/>
          <w:color w:val="auto"/>
          <w:vertAlign w:val="superscript"/>
        </w:rPr>
        <w:t>G12C</w:t>
      </w:r>
      <w:r>
        <w:rPr>
          <w:rFonts w:ascii="Times New Roman" w:cs="Times New Roman" w:eastAsia="Times New Roman" w:hAnsi="Times New Roman"/>
          <w:sz w:val="16"/>
          <w:szCs w:val="16"/>
          <w:color w:val="auto"/>
        </w:rPr>
        <w:t xml:space="preserve"> selective inhibitor, and FYARRO in KRAS</w:t>
      </w:r>
      <w:r>
        <w:rPr>
          <w:rFonts w:ascii="Times New Roman" w:cs="Times New Roman" w:eastAsia="Times New Roman" w:hAnsi="Times New Roman"/>
          <w:sz w:val="21"/>
          <w:szCs w:val="21"/>
          <w:color w:val="auto"/>
          <w:vertAlign w:val="superscript"/>
        </w:rPr>
        <w:t>G12C</w:t>
      </w:r>
      <w:r>
        <w:rPr>
          <w:rFonts w:ascii="Times New Roman" w:cs="Times New Roman" w:eastAsia="Times New Roman" w:hAnsi="Times New Roman"/>
          <w:sz w:val="16"/>
          <w:szCs w:val="16"/>
          <w:color w:val="auto"/>
        </w:rPr>
        <w:t xml:space="preserve"> mutant non-small cell lung cancer (NSCLC) and other solid tumors. In May 2024, the Company announced the mutually agreed upon termination of the collaboration and supply agreement with Mirati and the discontinuation of the Phase 1/2 study. Under the terms of the agreement, Mirati was responsible for sponsoring and operating the Phase 1/2 study and the Company supplied study drug and jointly shared the cost of the study, which continued during the winding down process that has now completed.</w:t>
      </w:r>
    </w:p>
    <w:p>
      <w:pPr>
        <w:spacing w:after="0" w:line="146"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For the three and nine months ended September 30, 2025, the Company incurred $0 in expenses related to the Mirati collaboration. For the three and nine months ended September 30, 2024, the Company incurred $0.3 million and $1.0 million in expenses related to the Mirati collaboration, respectively.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6" w:name="page27"/>
    <w:bookmarkEnd w:id="2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WuXi Biologics License Agreement</w:t>
      </w:r>
    </w:p>
    <w:p>
      <w:pPr>
        <w:spacing w:after="0" w:line="18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On December 19, 2024, the Company entered into an Intellectual Property License Agreement (the “License Agreement”) with WuXi Biologics (Shanghai FX) Co., Ltd. (“WuXi Biologics”) for exclusive rights to certain patents and know-how pertaining to WuXi Biologics’ preclinical antibody drug conjugate programs leveraging Hangzhou DAC Biotechnology Co., Ltd.’s (“Hangzhou DAC”) linker-payload technology targeting each of the ADC Therapies. Under the License Agreement, the Company paid WuXi Biologics a non-refundable, partial upfront payment of $6.0 million on December 20, 2024. An additional non-refundable, upfront payment of $38.0 million was due within one-hundred twenty (120) days after the effective date of the License Agreement for the rights and licenses granted to the Company by WuXi Biologics and was paid on April 16, 2025.</w:t>
      </w:r>
    </w:p>
    <w:p>
      <w:pPr>
        <w:spacing w:after="0" w:line="134"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14"/>
          <w:szCs w:val="14"/>
          <w:color w:val="auto"/>
        </w:rPr>
        <w:t>In accordance with the License Agreement, WuXi Biologics is eligible to receive from the Company (a) up to an aggregate of $265.0 million upon the achievement of certain development milestones, and (b) up to an aggregate of $540.0 million upon the achievement of certain commercial milestones, across all ADC Therapies. WuXi Biologics is also entitled to running royalties ranging from low-single-digit to upper-single-digit percentages of annual net sales of licensed products in the territory on a product-by-product and region-by-region basis from the first commercial sale of the applicable licensed product in a particular region until the date which is the later of</w:t>
      </w:r>
    </w:p>
    <w:p>
      <w:pPr>
        <w:spacing w:after="0" w:line="1" w:lineRule="exact"/>
        <w:rPr>
          <w:sz w:val="20"/>
          <w:szCs w:val="20"/>
          <w:color w:val="auto"/>
        </w:rPr>
      </w:pPr>
    </w:p>
    <w:p>
      <w:pPr>
        <w:ind w:right="220" w:firstLine="6"/>
        <w:spacing w:after="0" w:line="291" w:lineRule="auto"/>
        <w:tabs>
          <w:tab w:leader="none" w:pos="18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expiration of the last to expire valid claim of a license patent in such region covering the sale of such licensed product in such region or (ii) ten years after the first commercial sale of such licensed product in such region.</w:t>
      </w:r>
    </w:p>
    <w:p>
      <w:pPr>
        <w:spacing w:after="0" w:line="118" w:lineRule="exact"/>
        <w:rPr>
          <w:sz w:val="20"/>
          <w:szCs w:val="20"/>
          <w:color w:val="auto"/>
        </w:rPr>
      </w:pPr>
    </w:p>
    <w:p>
      <w:pPr>
        <w:ind w:right="240"/>
        <w:spacing w:after="0" w:line="325" w:lineRule="auto"/>
        <w:rPr>
          <w:sz w:val="20"/>
          <w:szCs w:val="20"/>
          <w:color w:val="auto"/>
        </w:rPr>
      </w:pPr>
      <w:r>
        <w:rPr>
          <w:rFonts w:ascii="Times New Roman" w:cs="Times New Roman" w:eastAsia="Times New Roman" w:hAnsi="Times New Roman"/>
          <w:sz w:val="14"/>
          <w:szCs w:val="14"/>
          <w:color w:val="auto"/>
        </w:rPr>
        <w:t>Each party may terminate the License Agreement in its entirety, or on a program-by-program basis, as applicable, if the other party remains in material breach of the License Agreement following a cure period to remedy the material breach or if the other party is declared insolvent or in similar financial distress. In addition, WuXi Biologics may terminate the License Agreement on a program-by-program basis if the Company does not meet certain development due diligence milestones. The Company may terminate the License Agreement in its entirety, or on a program-by-program basis, as applicable, with or without cause.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Restructuring</w:t>
      </w:r>
    </w:p>
    <w:p>
      <w:pPr>
        <w:spacing w:after="0" w:line="17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 xml:space="preserve">On August 21, 2024, the Company announced a restructuring plan to reduce the Company’s workforce by approximately 32% in response to the Company's announcement on August 20, 2024 that it planned to halt the registration-intended PRECISION1 trial of nab-sirolimus in patients with solid tumors harboring </w:t>
      </w:r>
      <w:r>
        <w:rPr>
          <w:rFonts w:ascii="Times New Roman" w:cs="Times New Roman" w:eastAsia="Times New Roman" w:hAnsi="Times New Roman"/>
          <w:sz w:val="16"/>
          <w:szCs w:val="16"/>
          <w:i w:val="1"/>
          <w:iCs w:val="1"/>
          <w:color w:val="auto"/>
        </w:rPr>
        <w:t>TSC1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 xml:space="preserve">TSC2 </w:t>
      </w:r>
      <w:r>
        <w:rPr>
          <w:rFonts w:ascii="Times New Roman" w:cs="Times New Roman" w:eastAsia="Times New Roman" w:hAnsi="Times New Roman"/>
          <w:sz w:val="16"/>
          <w:szCs w:val="16"/>
          <w:color w:val="auto"/>
        </w:rPr>
        <w:t>inactivating alterations. The Company recorded a total restructuring charge of $2.6 million, which consists of one-time termination benefits such as severance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costs and related benefits. As of September 30, 2025, $0.4 million of one-time termination benefits remain payable and are recorded within the accrued liabilities on the Company's condensed balance sheet. As of December 31, 2024, $1.5 million of one-time termination benefits remain payable and are recorded within the accrued liabilities and other liabilities line items on the Company's condensed balance sheet. The Company paid $0.4 million of the liability during the three months ended September 30, 2025 and $1.1 million during the nine months ended September 30, 2025. There were no restructuring charges for the three and nine months ended September 30, 2025. Restructuring payments commenced in September 2024 and will extend through March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Divestiture of FYARRO</w:t>
      </w:r>
    </w:p>
    <w:p>
      <w:pPr>
        <w:spacing w:after="0" w:line="1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On December 19, 2024, the Company entered into the Divestiture Agreement with KAKEN, KAKEN PHARMACEUTICAL CO., LTD, and Aadi Subsidiary for the sale to KAKEN of 100% of the outstanding shares of capital stock of Aadi Subsidiary and thereby all of the Company’s assets related to the FYARRO Business. Per the terms and subject to the conditions of the Divestiture Agreement, KAKEN paid to the Company a cash payment of $102.4 million (following applicable purchase price adjustments under the Divestiture Agreement) at the closing of the FYARRO Divestiture on March 25, 2025.</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27" w:name="page28"/>
    <w:bookmarkEnd w:id="2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The Company recorded a net gain on the sale of the divestiture of $87.4 million at the closing of the FYARRO Divestiture which has been recorded on the unaudited condensed statement of operations and comprehensive (loss) income. The $87.4 million gain represents the aggregate consideration of $102.4 million, less the assets and liabilities transferred, which are listed below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0" w:type="dxa"/>
            <w:vAlign w:val="bottom"/>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March 25, 2025</w:t>
            </w:r>
          </w:p>
        </w:tc>
        <w:tc>
          <w:tcPr>
            <w:tcW w:w="0" w:type="dxa"/>
            <w:vAlign w:val="bottom"/>
          </w:tcPr>
          <w:p>
            <w:pPr>
              <w:spacing w:after="0"/>
              <w:rPr>
                <w:sz w:val="1"/>
                <w:szCs w:val="1"/>
                <w:color w:val="auto"/>
              </w:rPr>
            </w:pPr>
          </w:p>
        </w:tc>
      </w:tr>
      <w:tr>
        <w:trPr>
          <w:trHeight w:val="156"/>
        </w:trPr>
        <w:tc>
          <w:tcPr>
            <w:tcW w:w="58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Assets</w:t>
            </w:r>
          </w:p>
        </w:tc>
        <w:tc>
          <w:tcPr>
            <w:tcW w:w="3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Current assets:</w:t>
            </w:r>
          </w:p>
        </w:tc>
        <w:tc>
          <w:tcPr>
            <w:tcW w:w="3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FF0FC"/>
          </w:tcPr>
          <w:p>
            <w:pPr>
              <w:ind w:left="160"/>
              <w:spacing w:after="0" w:line="156" w:lineRule="exact"/>
              <w:rPr>
                <w:sz w:val="20"/>
                <w:szCs w:val="20"/>
                <w:color w:val="auto"/>
              </w:rPr>
            </w:pPr>
            <w:r>
              <w:rPr>
                <w:rFonts w:ascii="Times New Roman" w:cs="Times New Roman" w:eastAsia="Times New Roman" w:hAnsi="Times New Roman"/>
                <w:sz w:val="16"/>
                <w:szCs w:val="16"/>
                <w:color w:val="auto"/>
              </w:rPr>
              <w:t>Cash and cash equivalents</w:t>
            </w:r>
          </w:p>
        </w:tc>
        <w:tc>
          <w:tcPr>
            <w:tcW w:w="3100" w:type="dxa"/>
            <w:vAlign w:val="bottom"/>
            <w:shd w:val="clear" w:color="auto" w:fill="CFF0FC"/>
          </w:tcPr>
          <w:p>
            <w:pPr>
              <w:jc w:val="right"/>
              <w:ind w:right="10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56"/>
        </w:trPr>
        <w:tc>
          <w:tcPr>
            <w:tcW w:w="5860" w:type="dxa"/>
            <w:vAlign w:val="bottom"/>
          </w:tcPr>
          <w:p>
            <w:pPr>
              <w:ind w:left="160"/>
              <w:spacing w:after="0" w:line="156" w:lineRule="exact"/>
              <w:rPr>
                <w:sz w:val="20"/>
                <w:szCs w:val="20"/>
                <w:color w:val="auto"/>
              </w:rPr>
            </w:pPr>
            <w:r>
              <w:rPr>
                <w:rFonts w:ascii="Times New Roman" w:cs="Times New Roman" w:eastAsia="Times New Roman" w:hAnsi="Times New Roman"/>
                <w:sz w:val="16"/>
                <w:szCs w:val="16"/>
                <w:color w:val="auto"/>
              </w:rPr>
              <w:t>Accounts receivable, net</w:t>
            </w:r>
          </w:p>
        </w:tc>
        <w:tc>
          <w:tcPr>
            <w:tcW w:w="3100" w:type="dxa"/>
            <w:vAlign w:val="bottom"/>
          </w:tcPr>
          <w:p>
            <w:pPr>
              <w:spacing w:after="0"/>
              <w:rPr>
                <w:sz w:val="13"/>
                <w:szCs w:val="13"/>
                <w:color w:val="auto"/>
              </w:rPr>
            </w:pPr>
          </w:p>
        </w:tc>
        <w:tc>
          <w:tcPr>
            <w:tcW w:w="16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(6,903)</w:t>
            </w:r>
          </w:p>
        </w:tc>
        <w:tc>
          <w:tcPr>
            <w:tcW w:w="0" w:type="dxa"/>
            <w:vAlign w:val="bottom"/>
          </w:tcPr>
          <w:p>
            <w:pPr>
              <w:spacing w:after="0"/>
              <w:rPr>
                <w:sz w:val="1"/>
                <w:szCs w:val="1"/>
                <w:color w:val="auto"/>
              </w:rPr>
            </w:pPr>
          </w:p>
        </w:tc>
      </w:tr>
      <w:tr>
        <w:trPr>
          <w:trHeight w:val="156"/>
        </w:trPr>
        <w:tc>
          <w:tcPr>
            <w:tcW w:w="5860" w:type="dxa"/>
            <w:vAlign w:val="bottom"/>
            <w:shd w:val="clear" w:color="auto" w:fill="CFF0FC"/>
          </w:tcPr>
          <w:p>
            <w:pPr>
              <w:ind w:left="160"/>
              <w:spacing w:after="0" w:line="156" w:lineRule="exact"/>
              <w:rPr>
                <w:sz w:val="20"/>
                <w:szCs w:val="20"/>
                <w:color w:val="auto"/>
              </w:rPr>
            </w:pPr>
            <w:r>
              <w:rPr>
                <w:rFonts w:ascii="Times New Roman" w:cs="Times New Roman" w:eastAsia="Times New Roman" w:hAnsi="Times New Roman"/>
                <w:sz w:val="16"/>
                <w:szCs w:val="16"/>
                <w:color w:val="auto"/>
              </w:rPr>
              <w:t>Inventory</w:t>
            </w:r>
          </w:p>
        </w:tc>
        <w:tc>
          <w:tcPr>
            <w:tcW w:w="31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(5,141)</w:t>
            </w:r>
          </w:p>
        </w:tc>
        <w:tc>
          <w:tcPr>
            <w:tcW w:w="0" w:type="dxa"/>
            <w:vAlign w:val="bottom"/>
          </w:tcPr>
          <w:p>
            <w:pPr>
              <w:spacing w:after="0"/>
              <w:rPr>
                <w:sz w:val="1"/>
                <w:szCs w:val="1"/>
                <w:color w:val="auto"/>
              </w:rPr>
            </w:pPr>
          </w:p>
        </w:tc>
      </w:tr>
      <w:tr>
        <w:trPr>
          <w:trHeight w:val="156"/>
        </w:trPr>
        <w:tc>
          <w:tcPr>
            <w:tcW w:w="5860" w:type="dxa"/>
            <w:vAlign w:val="bottom"/>
          </w:tcPr>
          <w:p>
            <w:pPr>
              <w:ind w:left="160"/>
              <w:spacing w:after="0" w:line="156"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3100" w:type="dxa"/>
            <w:vAlign w:val="bottom"/>
          </w:tcPr>
          <w:p>
            <w:pPr>
              <w:spacing w:after="0"/>
              <w:rPr>
                <w:sz w:val="13"/>
                <w:szCs w:val="13"/>
                <w:color w:val="auto"/>
              </w:rPr>
            </w:pPr>
          </w:p>
        </w:tc>
        <w:tc>
          <w:tcPr>
            <w:tcW w:w="16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(866)</w:t>
            </w:r>
          </w:p>
        </w:tc>
        <w:tc>
          <w:tcPr>
            <w:tcW w:w="0" w:type="dxa"/>
            <w:vAlign w:val="bottom"/>
          </w:tcPr>
          <w:p>
            <w:pPr>
              <w:spacing w:after="0"/>
              <w:rPr>
                <w:sz w:val="1"/>
                <w:szCs w:val="1"/>
                <w:color w:val="auto"/>
              </w:rPr>
            </w:pPr>
          </w:p>
        </w:tc>
      </w:tr>
      <w:tr>
        <w:trPr>
          <w:trHeight w:val="156"/>
        </w:trPr>
        <w:tc>
          <w:tcPr>
            <w:tcW w:w="58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31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(13,910)</w:t>
            </w:r>
          </w:p>
        </w:tc>
        <w:tc>
          <w:tcPr>
            <w:tcW w:w="0" w:type="dxa"/>
            <w:vAlign w:val="bottom"/>
          </w:tcPr>
          <w:p>
            <w:pPr>
              <w:spacing w:after="0"/>
              <w:rPr>
                <w:sz w:val="1"/>
                <w:szCs w:val="1"/>
                <w:color w:val="auto"/>
              </w:rPr>
            </w:pPr>
          </w:p>
        </w:tc>
      </w:tr>
      <w:tr>
        <w:trPr>
          <w:trHeight w:val="156"/>
        </w:trPr>
        <w:tc>
          <w:tcPr>
            <w:tcW w:w="58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Property and equipment, net</w:t>
            </w:r>
          </w:p>
        </w:tc>
        <w:tc>
          <w:tcPr>
            <w:tcW w:w="3100" w:type="dxa"/>
            <w:vAlign w:val="bottom"/>
          </w:tcPr>
          <w:p>
            <w:pPr>
              <w:spacing w:after="0"/>
              <w:rPr>
                <w:sz w:val="13"/>
                <w:szCs w:val="13"/>
                <w:color w:val="auto"/>
              </w:rPr>
            </w:pPr>
          </w:p>
        </w:tc>
        <w:tc>
          <w:tcPr>
            <w:tcW w:w="16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(6,836)</w:t>
            </w:r>
          </w:p>
        </w:tc>
        <w:tc>
          <w:tcPr>
            <w:tcW w:w="0" w:type="dxa"/>
            <w:vAlign w:val="bottom"/>
          </w:tcPr>
          <w:p>
            <w:pPr>
              <w:spacing w:after="0"/>
              <w:rPr>
                <w:sz w:val="1"/>
                <w:szCs w:val="1"/>
                <w:color w:val="auto"/>
              </w:rPr>
            </w:pPr>
          </w:p>
        </w:tc>
      </w:tr>
      <w:tr>
        <w:trPr>
          <w:trHeight w:val="156"/>
        </w:trPr>
        <w:tc>
          <w:tcPr>
            <w:tcW w:w="58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31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156"/>
        </w:trPr>
        <w:tc>
          <w:tcPr>
            <w:tcW w:w="58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Other assets</w:t>
            </w:r>
          </w:p>
        </w:tc>
        <w:tc>
          <w:tcPr>
            <w:tcW w:w="3100" w:type="dxa"/>
            <w:vAlign w:val="bottom"/>
          </w:tcPr>
          <w:p>
            <w:pPr>
              <w:spacing w:after="0"/>
              <w:rPr>
                <w:sz w:val="13"/>
                <w:szCs w:val="13"/>
                <w:color w:val="auto"/>
              </w:rPr>
            </w:pPr>
          </w:p>
        </w:tc>
        <w:tc>
          <w:tcPr>
            <w:tcW w:w="16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56"/>
        </w:trPr>
        <w:tc>
          <w:tcPr>
            <w:tcW w:w="58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3100" w:type="dxa"/>
            <w:vAlign w:val="bottom"/>
            <w:shd w:val="clear" w:color="auto" w:fill="CFF0FC"/>
          </w:tcPr>
          <w:p>
            <w:pPr>
              <w:jc w:val="right"/>
              <w:ind w:right="10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(21,517)</w:t>
            </w:r>
          </w:p>
        </w:tc>
        <w:tc>
          <w:tcPr>
            <w:tcW w:w="0" w:type="dxa"/>
            <w:vAlign w:val="bottom"/>
          </w:tcPr>
          <w:p>
            <w:pPr>
              <w:spacing w:after="0"/>
              <w:rPr>
                <w:sz w:val="1"/>
                <w:szCs w:val="1"/>
                <w:color w:val="auto"/>
              </w:rPr>
            </w:pPr>
          </w:p>
        </w:tc>
      </w:tr>
      <w:tr>
        <w:trPr>
          <w:trHeight w:val="156"/>
        </w:trPr>
        <w:tc>
          <w:tcPr>
            <w:tcW w:w="586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Current liabilities:</w:t>
            </w:r>
          </w:p>
        </w:tc>
        <w:tc>
          <w:tcPr>
            <w:tcW w:w="3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FF0FC"/>
          </w:tcPr>
          <w:p>
            <w:pPr>
              <w:ind w:left="160"/>
              <w:spacing w:after="0" w:line="156" w:lineRule="exact"/>
              <w:rPr>
                <w:sz w:val="20"/>
                <w:szCs w:val="20"/>
                <w:color w:val="auto"/>
              </w:rPr>
            </w:pPr>
            <w:r>
              <w:rPr>
                <w:rFonts w:ascii="Times New Roman" w:cs="Times New Roman" w:eastAsia="Times New Roman" w:hAnsi="Times New Roman"/>
                <w:sz w:val="16"/>
                <w:szCs w:val="16"/>
                <w:color w:val="auto"/>
              </w:rPr>
              <w:t>Accounts payable</w:t>
            </w:r>
          </w:p>
        </w:tc>
        <w:tc>
          <w:tcPr>
            <w:tcW w:w="3100" w:type="dxa"/>
            <w:vAlign w:val="bottom"/>
            <w:shd w:val="clear" w:color="auto" w:fill="CFF0FC"/>
          </w:tcPr>
          <w:p>
            <w:pPr>
              <w:jc w:val="right"/>
              <w:ind w:right="10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180"/>
        </w:trPr>
        <w:tc>
          <w:tcPr>
            <w:tcW w:w="58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Accrued liabilities</w:t>
            </w:r>
          </w:p>
        </w:tc>
        <w:tc>
          <w:tcPr>
            <w:tcW w:w="3100" w:type="dxa"/>
            <w:vAlign w:val="bottom"/>
          </w:tcPr>
          <w:p>
            <w:pPr>
              <w:spacing w:after="0"/>
              <w:rPr>
                <w:sz w:val="15"/>
                <w:szCs w:val="15"/>
                <w:color w:val="auto"/>
              </w:rPr>
            </w:pP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(4,951)</w:t>
            </w:r>
          </w:p>
        </w:tc>
        <w:tc>
          <w:tcPr>
            <w:tcW w:w="0" w:type="dxa"/>
            <w:vAlign w:val="bottom"/>
          </w:tcPr>
          <w:p>
            <w:pPr>
              <w:spacing w:after="0"/>
              <w:rPr>
                <w:sz w:val="1"/>
                <w:szCs w:val="1"/>
                <w:color w:val="auto"/>
              </w:rPr>
            </w:pPr>
          </w:p>
        </w:tc>
      </w:tr>
      <w:tr>
        <w:trPr>
          <w:trHeight w:val="156"/>
        </w:trPr>
        <w:tc>
          <w:tcPr>
            <w:tcW w:w="5860" w:type="dxa"/>
            <w:vAlign w:val="bottom"/>
            <w:shd w:val="clear" w:color="auto" w:fill="CFF0FC"/>
          </w:tcPr>
          <w:p>
            <w:pPr>
              <w:ind w:left="160"/>
              <w:spacing w:after="0" w:line="156" w:lineRule="exact"/>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31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156"/>
        </w:trPr>
        <w:tc>
          <w:tcPr>
            <w:tcW w:w="586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100" w:type="dxa"/>
            <w:vAlign w:val="bottom"/>
          </w:tcPr>
          <w:p>
            <w:pPr>
              <w:spacing w:after="0"/>
              <w:rPr>
                <w:sz w:val="13"/>
                <w:szCs w:val="13"/>
                <w:color w:val="auto"/>
              </w:rPr>
            </w:pPr>
          </w:p>
        </w:tc>
        <w:tc>
          <w:tcPr>
            <w:tcW w:w="16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(6,004)</w:t>
            </w:r>
          </w:p>
        </w:tc>
        <w:tc>
          <w:tcPr>
            <w:tcW w:w="0" w:type="dxa"/>
            <w:vAlign w:val="bottom"/>
          </w:tcPr>
          <w:p>
            <w:pPr>
              <w:spacing w:after="0"/>
              <w:rPr>
                <w:sz w:val="1"/>
                <w:szCs w:val="1"/>
                <w:color w:val="auto"/>
              </w:rPr>
            </w:pPr>
          </w:p>
        </w:tc>
      </w:tr>
      <w:tr>
        <w:trPr>
          <w:trHeight w:val="156"/>
        </w:trPr>
        <w:tc>
          <w:tcPr>
            <w:tcW w:w="58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31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156"/>
        </w:trPr>
        <w:tc>
          <w:tcPr>
            <w:tcW w:w="586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3100" w:type="dxa"/>
            <w:vAlign w:val="bottom"/>
          </w:tcPr>
          <w:p>
            <w:pPr>
              <w:spacing w:after="0"/>
              <w:rPr>
                <w:sz w:val="13"/>
                <w:szCs w:val="13"/>
                <w:color w:val="auto"/>
              </w:rPr>
            </w:pPr>
          </w:p>
        </w:tc>
        <w:tc>
          <w:tcPr>
            <w:tcW w:w="16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(6,540)</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assets disposed of</w:t>
            </w:r>
          </w:p>
        </w:tc>
        <w:tc>
          <w:tcPr>
            <w:tcW w:w="3100" w:type="dxa"/>
            <w:vAlign w:val="bottom"/>
            <w:vMerge w:val="restart"/>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(14,977)</w:t>
            </w:r>
          </w:p>
        </w:tc>
        <w:tc>
          <w:tcPr>
            <w:tcW w:w="0" w:type="dxa"/>
            <w:vAlign w:val="bottom"/>
          </w:tcPr>
          <w:p>
            <w:pPr>
              <w:spacing w:after="0"/>
              <w:rPr>
                <w:sz w:val="1"/>
                <w:szCs w:val="1"/>
                <w:color w:val="auto"/>
              </w:rPr>
            </w:pPr>
          </w:p>
        </w:tc>
      </w:tr>
      <w:tr>
        <w:trPr>
          <w:trHeight w:val="73"/>
        </w:trPr>
        <w:tc>
          <w:tcPr>
            <w:tcW w:w="5860" w:type="dxa"/>
            <w:vAlign w:val="bottom"/>
            <w:shd w:val="clear" w:color="auto" w:fill="CFF0FC"/>
          </w:tcPr>
          <w:p>
            <w:pPr>
              <w:spacing w:after="0"/>
              <w:rPr>
                <w:sz w:val="6"/>
                <w:szCs w:val="6"/>
                <w:color w:val="auto"/>
              </w:rPr>
            </w:pPr>
          </w:p>
        </w:tc>
        <w:tc>
          <w:tcPr>
            <w:tcW w:w="3100" w:type="dxa"/>
            <w:vAlign w:val="bottom"/>
            <w:vMerge w:val="continue"/>
            <w:shd w:val="clear" w:color="auto" w:fill="CFF0FC"/>
          </w:tcPr>
          <w:p>
            <w:pPr>
              <w:spacing w:after="0"/>
              <w:rPr>
                <w:sz w:val="6"/>
                <w:szCs w:val="6"/>
                <w:color w:val="auto"/>
              </w:rPr>
            </w:pPr>
          </w:p>
        </w:tc>
        <w:tc>
          <w:tcPr>
            <w:tcW w:w="160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color w:val="auto"/>
        </w:rPr>
        <w:t>During the three months ended September 30, 2025, the Company recorded a $0.2 million post-closing adjustment related to the March 25, 2025 FYARRO Divestiture as part of the final closing statement in accordance with the Divestiture Agreement. The adjustment was recorded as a reduction to the previously recognized gain on sale.</w:t>
      </w:r>
    </w:p>
    <w:p>
      <w:pPr>
        <w:spacing w:after="0" w:line="177"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The Company evaluated various qualitative and quantitative factors related to the disposition of the FYARRO Business and determined the transaction did not meet the criteria for discontinued operations under ASC 205-20, and therefore no reclassification has been made to prior period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Segment Information</w:t>
      </w:r>
    </w:p>
    <w:p>
      <w:pPr>
        <w:spacing w:after="0" w:line="17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applying advanced technologies to established tumor biology that are intended to efficiently deliver improved cancer treatments. The CODM assesses performance for the Company's single operating segment and decides how to allocate resources based on research and development expenses incurred and on net (loss) income as reported on the statement of operations and comprehensive (loss) income. The measure of segment assets is reported on the balance sheet as total assets. Further, segment depreciation expense and segment asset additions are consistent with amounts reported within the statement of cash flows given the Company's operations are aggregated within a single reportable segment. The Company's revenues relate to sales of FYARRO, which was divested as of March 25, 2025. Refer to Note 2 for further information. All the assets and operations of the Company’s sole operating and reportable segment are located in the United States.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8" w:name="page29"/>
    <w:bookmarkEnd w:id="2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Significant segment expenses which are regularly reported to the CODM for purposes of making decisions regarding the allocation of resources are included within the table below and are reconciled to net (loss) income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4"/>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4"/>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56"/>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5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7,212</w:t>
            </w: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7,145</w:t>
            </w:r>
          </w:p>
        </w:tc>
        <w:tc>
          <w:tcPr>
            <w:tcW w:w="36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18,744</w:t>
            </w:r>
          </w:p>
        </w:tc>
      </w:tr>
      <w:tr>
        <w:trPr>
          <w:trHeight w:val="180"/>
        </w:trPr>
        <w:tc>
          <w:tcPr>
            <w:tcW w:w="5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Less: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52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ADC assets - research and development expenses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5,247</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48,701</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ADC assets - contract manufacturing</w:t>
            </w:r>
          </w:p>
        </w:tc>
        <w:tc>
          <w:tcPr>
            <w:tcW w:w="12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9,323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18,199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2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FYARRO - research and development expenses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8,895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5,040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29,030</w:t>
            </w:r>
          </w:p>
        </w:tc>
      </w:tr>
      <w:tr>
        <w:trPr>
          <w:trHeight w:val="180"/>
        </w:trPr>
        <w:tc>
          <w:tcPr>
            <w:tcW w:w="55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FYARRO - contract manufacturing expenses</w:t>
            </w:r>
          </w:p>
        </w:tc>
        <w:tc>
          <w:tcPr>
            <w:tcW w:w="12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2,585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9,137</w:t>
            </w:r>
          </w:p>
        </w:tc>
      </w:tr>
      <w:tr>
        <w:trPr>
          <w:trHeight w:val="180"/>
        </w:trPr>
        <w:tc>
          <w:tcPr>
            <w:tcW w:w="552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FYARRO - commercial and marketing expenses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494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294</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1,788</w:t>
            </w:r>
          </w:p>
        </w:tc>
      </w:tr>
      <w:tr>
        <w:trPr>
          <w:trHeight w:val="180"/>
        </w:trPr>
        <w:tc>
          <w:tcPr>
            <w:tcW w:w="55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Finance and accounting expenses (1)</w:t>
            </w:r>
          </w:p>
        </w:tc>
        <w:tc>
          <w:tcPr>
            <w:tcW w:w="12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2,099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2,447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7,349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8,929</w:t>
            </w:r>
          </w:p>
        </w:tc>
      </w:tr>
      <w:tr>
        <w:trPr>
          <w:trHeight w:val="180"/>
        </w:trPr>
        <w:tc>
          <w:tcPr>
            <w:tcW w:w="552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Legal expenses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1,108</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1,355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4,680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3,824</w:t>
            </w:r>
          </w:p>
        </w:tc>
      </w:tr>
      <w:tr>
        <w:trPr>
          <w:trHeight w:val="180"/>
        </w:trPr>
        <w:tc>
          <w:tcPr>
            <w:tcW w:w="55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Other segment items (2)</w:t>
            </w:r>
          </w:p>
        </w:tc>
        <w:tc>
          <w:tcPr>
            <w:tcW w:w="12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1,853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4,888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12,113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14,703</w:t>
            </w:r>
          </w:p>
        </w:tc>
      </w:tr>
      <w:tr>
        <w:trPr>
          <w:trHeight w:val="180"/>
        </w:trPr>
        <w:tc>
          <w:tcPr>
            <w:tcW w:w="552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(1,850)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(4,620)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(3,249)</w:t>
            </w:r>
          </w:p>
        </w:tc>
      </w:tr>
      <w:tr>
        <w:trPr>
          <w:trHeight w:val="180"/>
        </w:trPr>
        <w:tc>
          <w:tcPr>
            <w:tcW w:w="55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Gain on sale of business</w:t>
            </w:r>
          </w:p>
        </w:tc>
        <w:tc>
          <w:tcPr>
            <w:tcW w:w="12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(87,266)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6"/>
        </w:trPr>
        <w:tc>
          <w:tcPr>
            <w:tcW w:w="5520" w:type="dxa"/>
            <w:vAlign w:val="bottom"/>
            <w:tcBorders>
              <w:bottom w:val="single" w:sz="8" w:color="CFF0FC"/>
            </w:tcBorders>
            <w:shd w:val="clear" w:color="auto" w:fill="CFF0FC"/>
          </w:tcPr>
          <w:p>
            <w:pPr>
              <w:ind w:left="100"/>
              <w:spacing w:after="0" w:line="156" w:lineRule="exact"/>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(17,746)</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(12,546)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2,655</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(45,418)</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(1)Finance and accounting expenses primarily include shared-based compensation, insurance, salaries and wages, and other outside consulting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(2)Other segment items primarily include other SGA departmental expenses, cost of sales, interest expense, other income, and foreign exchange loss.</w:t>
      </w:r>
    </w:p>
    <w:p>
      <w:pPr>
        <w:spacing w:after="0" w:line="1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9" w:name="page30"/>
    <w:bookmarkEnd w:id="2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7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may include, but are not limited to, statements about:</w:t>
      </w:r>
    </w:p>
    <w:p>
      <w:pPr>
        <w:spacing w:after="0" w:line="136" w:lineRule="exact"/>
        <w:rPr>
          <w:sz w:val="20"/>
          <w:szCs w:val="20"/>
          <w:color w:val="auto"/>
        </w:rPr>
      </w:pPr>
    </w:p>
    <w:p>
      <w:pPr>
        <w:jc w:val="both"/>
        <w:ind w:left="360" w:right="520"/>
        <w:spacing w:after="0" w:line="278" w:lineRule="auto"/>
        <w:rPr>
          <w:sz w:val="20"/>
          <w:szCs w:val="20"/>
          <w:color w:val="auto"/>
        </w:rPr>
      </w:pPr>
      <w:r>
        <w:rPr>
          <w:rFonts w:ascii="Times New Roman" w:cs="Times New Roman" w:eastAsia="Times New Roman" w:hAnsi="Times New Roman"/>
          <w:sz w:val="16"/>
          <w:szCs w:val="16"/>
          <w:color w:val="auto"/>
        </w:rPr>
        <w:t>•our estimates regarding expenses, capital requirements, needs for additional financing and the period over which we anticipate our existing cash and cash equivalents will be sufficient to fund our operating expenses and capital expenditure requirements, including our belief that, based on our current plans, our existing cash, cash equivalents and short-term investments will enable us to conduct our planned operations into 2028;</w:t>
      </w:r>
    </w:p>
    <w:p>
      <w:pPr>
        <w:spacing w:after="0" w:line="129" w:lineRule="exact"/>
        <w:rPr>
          <w:sz w:val="20"/>
          <w:szCs w:val="20"/>
          <w:color w:val="auto"/>
        </w:rPr>
      </w:pPr>
    </w:p>
    <w:p>
      <w:pPr>
        <w:ind w:left="360" w:right="340"/>
        <w:spacing w:after="0" w:line="291" w:lineRule="auto"/>
        <w:rPr>
          <w:sz w:val="20"/>
          <w:szCs w:val="20"/>
          <w:color w:val="auto"/>
        </w:rPr>
      </w:pPr>
      <w:r>
        <w:rPr>
          <w:rFonts w:ascii="Times New Roman" w:cs="Times New Roman" w:eastAsia="Times New Roman" w:hAnsi="Times New Roman"/>
          <w:sz w:val="16"/>
          <w:szCs w:val="16"/>
          <w:color w:val="auto"/>
        </w:rPr>
        <w:t>•our ability to obtain and maintain regulatory approval for our portfolio of three next generation antibody drug conjugates (the “ADC Therapies”) or any other product candidates we may develop in the future, and any related restrictions, limitations or warnings in the label of an approved product candidate;</w:t>
      </w:r>
    </w:p>
    <w:p>
      <w:pPr>
        <w:spacing w:after="0" w:line="118" w:lineRule="exact"/>
        <w:rPr>
          <w:sz w:val="20"/>
          <w:szCs w:val="20"/>
          <w:color w:val="auto"/>
        </w:rPr>
      </w:pPr>
    </w:p>
    <w:p>
      <w:pPr>
        <w:ind w:left="360" w:right="40"/>
        <w:spacing w:after="0" w:line="274" w:lineRule="auto"/>
        <w:rPr>
          <w:sz w:val="20"/>
          <w:szCs w:val="20"/>
          <w:color w:val="auto"/>
        </w:rPr>
      </w:pPr>
      <w:r>
        <w:rPr>
          <w:rFonts w:ascii="Times New Roman" w:cs="Times New Roman" w:eastAsia="Times New Roman" w:hAnsi="Times New Roman"/>
          <w:sz w:val="16"/>
          <w:szCs w:val="16"/>
          <w:color w:val="auto"/>
        </w:rPr>
        <w:t>•the timing, progress and results of preclinical studies and clinical trials for our programs and product candidates (including our anticipated timing of submitting three investigational new drug (“IND”) applications for the ADC Therapies with the U.S. Food and Drug Administration by mid-2026), the timing of initiation and completion of studies or trials and related preparatory work, the period during which the results of the trials will become available and our research and development programs;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anticipated timing of releasing data for current or future clinical trials;</w:t>
      </w:r>
    </w:p>
    <w:p>
      <w:pPr>
        <w:spacing w:after="0" w:line="176" w:lineRule="exact"/>
        <w:rPr>
          <w:sz w:val="20"/>
          <w:szCs w:val="20"/>
          <w:color w:val="auto"/>
        </w:rPr>
      </w:pPr>
    </w:p>
    <w:p>
      <w:pPr>
        <w:ind w:left="360"/>
        <w:spacing w:after="0" w:line="291" w:lineRule="auto"/>
        <w:rPr>
          <w:sz w:val="20"/>
          <w:szCs w:val="20"/>
          <w:color w:val="auto"/>
        </w:rPr>
      </w:pPr>
      <w:r>
        <w:rPr>
          <w:rFonts w:ascii="Times New Roman" w:cs="Times New Roman" w:eastAsia="Times New Roman" w:hAnsi="Times New Roman"/>
          <w:sz w:val="16"/>
          <w:szCs w:val="16"/>
          <w:color w:val="auto"/>
        </w:rPr>
        <w:t>•the anticipated timing of commencement, enrollment, and completion of any current or future clinical trials for the ADC Therapies or any other product candidates we may develop;</w:t>
      </w:r>
    </w:p>
    <w:p>
      <w:pPr>
        <w:spacing w:after="0" w:line="118" w:lineRule="exact"/>
        <w:rPr>
          <w:sz w:val="20"/>
          <w:szCs w:val="20"/>
          <w:color w:val="auto"/>
        </w:rPr>
      </w:pPr>
    </w:p>
    <w:p>
      <w:pPr>
        <w:ind w:left="360" w:right="780"/>
        <w:spacing w:after="0" w:line="291" w:lineRule="auto"/>
        <w:rPr>
          <w:sz w:val="20"/>
          <w:szCs w:val="20"/>
          <w:color w:val="auto"/>
        </w:rPr>
      </w:pPr>
      <w:r>
        <w:rPr>
          <w:rFonts w:ascii="Times New Roman" w:cs="Times New Roman" w:eastAsia="Times New Roman" w:hAnsi="Times New Roman"/>
          <w:sz w:val="16"/>
          <w:szCs w:val="16"/>
          <w:color w:val="auto"/>
        </w:rPr>
        <w:t>•our belief that, with the three ADC Therapies, we have the ability to pursue multiple cancer indications with high potential in large addressable patient populations, including and beyond those indications currently expected to be targeted in the upcoming Phase 1 trials;</w:t>
      </w:r>
    </w:p>
    <w:p>
      <w:pPr>
        <w:spacing w:after="0" w:line="118" w:lineRule="exact"/>
        <w:rPr>
          <w:sz w:val="20"/>
          <w:szCs w:val="20"/>
          <w:color w:val="auto"/>
        </w:rPr>
      </w:pPr>
    </w:p>
    <w:p>
      <w:pPr>
        <w:ind w:left="360" w:right="220"/>
        <w:spacing w:after="0" w:line="291" w:lineRule="auto"/>
        <w:rPr>
          <w:sz w:val="20"/>
          <w:szCs w:val="20"/>
          <w:color w:val="auto"/>
        </w:rPr>
      </w:pPr>
      <w:r>
        <w:rPr>
          <w:rFonts w:ascii="Times New Roman" w:cs="Times New Roman" w:eastAsia="Times New Roman" w:hAnsi="Times New Roman"/>
          <w:sz w:val="16"/>
          <w:szCs w:val="16"/>
          <w:color w:val="auto"/>
        </w:rPr>
        <w:t>•our belief that the ADC Therapies will be able to target cancers expressing specified tumor markers precisely and deliver the potent, cytotoxic Topoisomerase I ("TOPO1") inhibitor at the site of cancer;</w:t>
      </w:r>
    </w:p>
    <w:p>
      <w:pPr>
        <w:spacing w:after="0" w:line="118" w:lineRule="exact"/>
        <w:rPr>
          <w:sz w:val="20"/>
          <w:szCs w:val="20"/>
          <w:color w:val="auto"/>
        </w:rPr>
      </w:pPr>
    </w:p>
    <w:p>
      <w:pPr>
        <w:ind w:left="360" w:right="40"/>
        <w:spacing w:after="0" w:line="291" w:lineRule="auto"/>
        <w:rPr>
          <w:sz w:val="20"/>
          <w:szCs w:val="20"/>
          <w:color w:val="auto"/>
        </w:rPr>
      </w:pPr>
      <w:r>
        <w:rPr>
          <w:rFonts w:ascii="Times New Roman" w:cs="Times New Roman" w:eastAsia="Times New Roman" w:hAnsi="Times New Roman"/>
          <w:sz w:val="16"/>
          <w:szCs w:val="16"/>
          <w:color w:val="auto"/>
        </w:rPr>
        <w:t>•our view that we are positioned to unlock the high potential of the ADC Therapies due to our track record of strong execution of novel drug formulation, research, clinical development, and commercialization in oncology, combined with our deep understanding of antibody drug conjugates ("ADCs");</w:t>
      </w:r>
    </w:p>
    <w:p>
      <w:pPr>
        <w:spacing w:after="0" w:line="118" w:lineRule="exact"/>
        <w:rPr>
          <w:sz w:val="20"/>
          <w:szCs w:val="20"/>
          <w:color w:val="auto"/>
        </w:rPr>
      </w:pPr>
    </w:p>
    <w:p>
      <w:pPr>
        <w:ind w:left="360" w:right="140"/>
        <w:spacing w:after="0" w:line="291" w:lineRule="auto"/>
        <w:rPr>
          <w:sz w:val="20"/>
          <w:szCs w:val="20"/>
          <w:color w:val="auto"/>
        </w:rPr>
      </w:pPr>
      <w:r>
        <w:rPr>
          <w:rFonts w:ascii="Times New Roman" w:cs="Times New Roman" w:eastAsia="Times New Roman" w:hAnsi="Times New Roman"/>
          <w:sz w:val="16"/>
          <w:szCs w:val="16"/>
          <w:color w:val="auto"/>
        </w:rPr>
        <w:t>•our belief that our team is well positioned to execute on our strategy to develop and, if approved, commercialize the ADC Therapies and future pipeline assets to ultimately bring broad benefit to cancer patients worldwide;</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manufacturing capabilities and strategy;</w:t>
      </w:r>
    </w:p>
    <w:p>
      <w:pPr>
        <w:spacing w:after="0" w:line="176" w:lineRule="exact"/>
        <w:rPr>
          <w:sz w:val="20"/>
          <w:szCs w:val="20"/>
          <w:color w:val="auto"/>
        </w:rPr>
      </w:pPr>
    </w:p>
    <w:p>
      <w:pPr>
        <w:ind w:left="360" w:right="220"/>
        <w:spacing w:after="0" w:line="291" w:lineRule="auto"/>
        <w:rPr>
          <w:sz w:val="20"/>
          <w:szCs w:val="20"/>
          <w:color w:val="auto"/>
        </w:rPr>
      </w:pPr>
      <w:r>
        <w:rPr>
          <w:rFonts w:ascii="Times New Roman" w:cs="Times New Roman" w:eastAsia="Times New Roman" w:hAnsi="Times New Roman"/>
          <w:sz w:val="16"/>
          <w:szCs w:val="16"/>
          <w:color w:val="auto"/>
        </w:rPr>
        <w:t>•the expectations regarding the beneficial characteristics, safety, efficacy and therapeutic effects of the ADC Therapies and any other product candidates that we may develop;</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implementation of our business model and our strategic plans for our business;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30" w:name="page31"/>
    <w:bookmarkEnd w:id="3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right="560"/>
        <w:spacing w:after="0" w:line="291" w:lineRule="auto"/>
        <w:rPr>
          <w:sz w:val="20"/>
          <w:szCs w:val="20"/>
          <w:color w:val="auto"/>
        </w:rPr>
      </w:pPr>
      <w:r>
        <w:rPr>
          <w:rFonts w:ascii="Times New Roman" w:cs="Times New Roman" w:eastAsia="Times New Roman" w:hAnsi="Times New Roman"/>
          <w:sz w:val="16"/>
          <w:szCs w:val="16"/>
          <w:color w:val="auto"/>
        </w:rPr>
        <w:t>•our ability to contract with and rely on third parties to assist in conducting our clinical trials and manufacturing the ADC Therapies and any other product candidates we may develop in the future;</w:t>
      </w:r>
    </w:p>
    <w:p>
      <w:pPr>
        <w:spacing w:after="0" w:line="118" w:lineRule="exact"/>
        <w:rPr>
          <w:sz w:val="20"/>
          <w:szCs w:val="20"/>
          <w:color w:val="auto"/>
        </w:rPr>
      </w:pPr>
    </w:p>
    <w:p>
      <w:pPr>
        <w:ind w:left="360" w:right="100"/>
        <w:spacing w:after="0" w:line="291" w:lineRule="auto"/>
        <w:rPr>
          <w:sz w:val="20"/>
          <w:szCs w:val="20"/>
          <w:color w:val="auto"/>
        </w:rPr>
      </w:pPr>
      <w:r>
        <w:rPr>
          <w:rFonts w:ascii="Times New Roman" w:cs="Times New Roman" w:eastAsia="Times New Roman" w:hAnsi="Times New Roman"/>
          <w:sz w:val="16"/>
          <w:szCs w:val="16"/>
          <w:color w:val="auto"/>
        </w:rPr>
        <w:t>•the size and growth potential of the markets for the ADC Therapies and any other product candidates we may develop, if approved, and our ability to serve those markets, either alone or in partnership with others;</w:t>
      </w:r>
    </w:p>
    <w:p>
      <w:pPr>
        <w:spacing w:after="0" w:line="118" w:lineRule="exact"/>
        <w:rPr>
          <w:sz w:val="20"/>
          <w:szCs w:val="20"/>
          <w:color w:val="auto"/>
        </w:rPr>
      </w:pPr>
    </w:p>
    <w:p>
      <w:pPr>
        <w:ind w:left="360" w:right="100"/>
        <w:spacing w:after="0" w:line="291" w:lineRule="auto"/>
        <w:rPr>
          <w:sz w:val="20"/>
          <w:szCs w:val="20"/>
          <w:color w:val="auto"/>
        </w:rPr>
      </w:pPr>
      <w:r>
        <w:rPr>
          <w:rFonts w:ascii="Times New Roman" w:cs="Times New Roman" w:eastAsia="Times New Roman" w:hAnsi="Times New Roman"/>
          <w:sz w:val="16"/>
          <w:szCs w:val="16"/>
          <w:color w:val="auto"/>
        </w:rPr>
        <w:t>•our ability to obtain funding for our operations, including funding necessary to complete development, approval and, if approved, commercialization of the ADC Therapies and any other product candidates we may develop;</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potential for our business development efforts to maximize the potential value of our portfolio;</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expectations regarding our ability to obtain and maintain intellectual property protection for our product candidates;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financial performance; and</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ability to retain the continued service of our key professionals and to identify, hire and retain additional qualified professionals.</w:t>
      </w:r>
    </w:p>
    <w:p>
      <w:pPr>
        <w:spacing w:after="0" w:line="17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w:t>
      </w:r>
    </w:p>
    <w:p>
      <w:pPr>
        <w:spacing w:after="0" w:line="1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13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6"/>
          <w:szCs w:val="16"/>
          <w:color w:val="auto"/>
        </w:rPr>
        <w:t>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1" w:name="page32"/>
    <w:bookmarkEnd w:id="3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7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4"/>
          <w:szCs w:val="14"/>
          <w:i w:val="1"/>
          <w:iCs w:val="1"/>
          <w:color w:val="auto"/>
        </w:rPr>
        <w:t>The following discussion of our financial condition and results of operations should be read in conjunction with the unaudited condensed financial statements and the related notes thereto appearing elsewhere in this Quarterly Report and our audited financial statements and related notes thereto included in our Annual Report on Form 10-K for the year ending December 31, 2024 filed with the SEC on March 28, 2025.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References in the following discussion to “we,” “our,” “us,” or “Whitehawk” refer to Whitehawk Therapeutics, Inc.</w:t>
      </w:r>
    </w:p>
    <w:p>
      <w:pPr>
        <w:spacing w:after="0" w:line="17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i w:val="1"/>
          <w:iCs w:val="1"/>
          <w:color w:val="auto"/>
        </w:rPr>
        <w:t>Throughout this document we refer to FYARRO (nab-sirolimus, sirolimus protein-bound particles for injectable suspension (albumin-bound)) as FYARRO in the context of commercialization for the treatment of advanced malignant perivascular epithelioid cell tumor (PEComa), investigational use, our historical clinical trials, regulatory matters such as orphan drug designation, and our former agreements with Bristol-Myers Squibb Company and Mirati Therapeutics, Inc., all further discussed throughout this document.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78"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6"/>
          <w:szCs w:val="16"/>
          <w:color w:val="auto"/>
        </w:rPr>
        <w:t>We are an oncology therapeutics company applying advanced technologies to established tumor biology that are intended to efficiently deliver improved cancer treatments. We have deep experience in chemistry, formulation, and drug delivery, as well as research, clinical, and commercial pharmaceutical development, successfully taking product candidates from the clinic to approval, launch, and commercialization.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Agreement and ADC Therapies</w:t>
      </w:r>
    </w:p>
    <w:p>
      <w:pPr>
        <w:spacing w:after="0" w:line="17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We recently entered into an intellectual property license agreement (the “License Agreement”) with WuXi Biologics (Shanghai FX) Co., Ltd. (“WuXi Biologics”) for the development and global commercialization of a portfolio of three next generation antibody drug conjugates (“ADCs”) targeting clinically validated, broadly overexpressed tumor antigens in high potential cancer indications with significant unmet need. These ADCs are constructed utilizing an advanced linker-payload platform called CPT113 that has been shown to provide high stability in blood circulation and deliver targeted release of a Topoisomerase I (“TOPO1”) inhibitor payload into cancer cells.</w:t>
      </w:r>
    </w:p>
    <w:p>
      <w:pPr>
        <w:spacing w:after="0" w:line="134" w:lineRule="exact"/>
        <w:rPr>
          <w:sz w:val="20"/>
          <w:szCs w:val="20"/>
          <w:color w:val="auto"/>
        </w:rPr>
      </w:pPr>
    </w:p>
    <w:p>
      <w:pPr>
        <w:ind w:right="60"/>
        <w:spacing w:after="0" w:line="316" w:lineRule="auto"/>
        <w:rPr>
          <w:sz w:val="20"/>
          <w:szCs w:val="20"/>
          <w:color w:val="auto"/>
        </w:rPr>
      </w:pPr>
      <w:r>
        <w:rPr>
          <w:rFonts w:ascii="Times New Roman" w:cs="Times New Roman" w:eastAsia="Times New Roman" w:hAnsi="Times New Roman"/>
          <w:sz w:val="14"/>
          <w:szCs w:val="14"/>
          <w:color w:val="auto"/>
        </w:rPr>
        <w:t xml:space="preserve">These in-licensed assets originated through the collaborative efforts of WuXi Biologics, a leading global contract research, development and manufacturing organization (“CRDMO”), and Hangzhou DAC Biotechnology (“Hangzhou DAC”), a global leader in ADC innovation, where Hangzhou DAC’s CPT113 linker-payload has been conjugated to novel antibodies developed by WuXi Biologics against three tumor targets: Protein Tyrosine Kinase 7 (“PTK7”), Mucin 16 (“MUC16”) and Seizure-related Protein 6 (“SEZ6”). We believe the resulting ADCs will be able to target cancers expressing these respective tumor markers precisely and deliver the potent, cytotoxic TOPO1 inhibitor at the site of cancer. Each of these ADCs have demonstrated tumor cell binding, tumor cell line cytotoxicity, and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antitumor activity in preclinical models mimicking tumor progression. We refer to these in-licensed ADC assets as the "ADC Therapies" herein.</w:t>
      </w:r>
    </w:p>
    <w:p>
      <w:pPr>
        <w:spacing w:after="0" w:line="109"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6"/>
          <w:szCs w:val="16"/>
          <w:color w:val="auto"/>
        </w:rPr>
        <w:t>We anticipate submitting three investigational new drug (“IND”) applications with the U.S. Food and Drug Administration (“FDA”) by mid-2026, starting with HWK-007 for the treatment of solid tumors, including non-small cell lung cancer (“NSCLC”) and ovarian cancer, in the fourth quarter of 2025; HWK-016 for the treatment of cancers of female origin in the</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32" w:name="page33"/>
    <w:bookmarkEnd w:id="3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auto"/>
        </w:rPr>
        <w:t>fourth quarter of 2025; and HWK-206 for the treatment of cancers of neuroendocrine origin in mid-2026. With these three assets, we believe we have the ability to pursue multiple cancer indications with high potential in large addressable patient populations, including and beyond those indications currently expected to be targeted in the upcoming Phase 1 trials.</w:t>
      </w:r>
    </w:p>
    <w:p>
      <w:pPr>
        <w:spacing w:after="0" w:line="12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Our track record of strong execution of novel drug formulation, research, clinical development, and commercialization in oncology, combined with our deep understanding of ADCs positions us to unlock the high potential of this differentiated ADC portfolio. Our management team has extensive experience in the discovery, development, and commercialization of cancer therapeutics, including in senior roles at leading oncology companies. We are supported by our board of directors and specialized scientific advisors, who contribute their deep understanding of drug discovery and development. Furthermore, our investor base includes top life science investors. We believe that our team is well positioned to execute on our strategy to develop and, if approved, commercialize the ADC Therapies and future pipeline assets to ultimately bring broad benefit to cancer patients worldwide.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Legacy FYARRO Business</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auto"/>
        </w:rPr>
        <w:t>For the periods presented and through the FYARRO Divestiture (as defined below), our lead drug product was FYARRO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Nab-sirolimus is a potent inhibitor of the mTOR biological pathway with demonstrated anti-cancer activity in advanced malignant perivascular epithelioid cell tumor (“PEComa”), a rare cancer. We exclusively licensed FYARRO, previously called ABI-009, nab-sirolimus, from Abraxis BioScience, LLC, a wholly owned subsidiary of Celgene Corporation, which is a wholly owned subsidiary of Bristol-Myers Squibb Company (“BMS”). We refer to the development, production and commercial sale of FYARRO herein as the “FYARRO Business”. On February 22, 2022, we launched FYARRO in the United States for treatment of advanced malignant PEComa and recognized net product sales of $0 and $7.1 million for the three and nine months ended September 30, 2025, respectively. See “Results of Operations” for further discussion of our results.</w:t>
      </w:r>
    </w:p>
    <w:p>
      <w:pPr>
        <w:spacing w:after="0" w:line="13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On December 19, 2024, we entered into a Stock Purchase Agreement (the “Divestiture Agreement”) with KAKEN INVESTMENTS INC., a Delaware corporation (“KAKEN”), KAKEN PHARMACEUTICAL CO., LTD (“Guarantor”), and Aadi Subsidiary, Inc., a Delaware corporation and our former wholly owned subsidiary and the operating company for the FYARRO Business (“Aadi Subsidiary”). Under the Divestiture Agreement, KAKEN acquired 100% of the outstanding shares of capital stock of Aadi Subsidiary from us at the closing for a cash payment of $102.4 million (following applicable purchase price adjustments under the Divestiture Agreement) (the "FYARRO Divestiture"). The divestiture transaction closed on March 25, 2025 and, as a result, we no longer operate the FYARRO Business and KAKEN acquired the rights to the Aadi Bioscience, Inc. name and any related trademarks.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WuXi Biologics License Agreement</w:t>
      </w:r>
    </w:p>
    <w:p>
      <w:pPr>
        <w:spacing w:after="0" w:line="12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4"/>
          <w:szCs w:val="14"/>
          <w:color w:val="auto"/>
        </w:rPr>
        <w:t>On December 19, 2024, we entered into the License Agreement with WuXi Biologics for exclusive rights to certain patents and know-how pertaining to WuXi Biologics’ preclinical ADC Therapies leveraging Hangzhou DAC linker-payload technology targeting each of MUC16, PTK7 and SEZ6. Under the License Agreement, we paid WuXi Biologics a non-refundable, partial upfront payment of $6.0 million on December 19, 2024 and we paid an additional non-refundable, upfront payment of $38.0 million on April 16, 2025, in each case, for the rights and licenses granted to us by WuXi Biologics. In accordance with the License Agreement, WuXi Biologics is eligible to receive from us (a) up to an aggregate of $265.0 million upon the achievement of certain development milestones, and (b) up to an aggregate of $540.0 million upon the achievement of certain commercial milestones, across all ADC Therapies programs. WuXi Biologics is also entitled to running royalties ranging from low-single-digit to upper-single-digit percentages of annual net sales of licensed products in the territory on a product-by-product and region-by-region basis from the first commercial sale of the applicable licensed product in a particular region until the date which is the later of (i) expiration of the last to expire valid claim of a license patent in such region covering the sale of such licensed product in such region or (ii) ten years after the first commercial sale of such licensed product in such region.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33" w:name="page34"/>
    <w:bookmarkEnd w:id="3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Each party may terminate the License Agreement in its entirety, or on a program-by-program basis, as applicable, if the other party remains in material breach of the License Agreement following a cure period to remedy the material breach or if the other party is declared insolvent or in similar financial distress. In addition, WuXi Biologics may terminate the License Agreement on a program-by-program basis if we do not meet certain development due diligence milestones. We may terminate the License Agreement in its entirety, or on a program-by-program basis, as applicable, with or without cause.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Legacy FYARRO Business Agreements</w:t>
      </w:r>
    </w:p>
    <w:p>
      <w:pPr>
        <w:spacing w:after="0" w:line="11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Former BMS License Agreement. </w:t>
      </w:r>
      <w:r>
        <w:rPr>
          <w:rFonts w:ascii="Times New Roman" w:cs="Times New Roman" w:eastAsia="Times New Roman" w:hAnsi="Times New Roman"/>
          <w:sz w:val="16"/>
          <w:szCs w:val="16"/>
          <w:color w:val="auto"/>
        </w:rPr>
        <w:t>We had exclusive rights for certain patents and a non-exclusive license for certain technology and know-how pertaining to ABI-009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we refer to as FYARRO) pursuant to an amended and restated license agreement, dated November 15, 2019, as amended August 31, 2021 (the “BMS License Agreement”) with Abraxis BioScience, LLC, a wholly owned subsidiary of Celgene Corporation, which is a wholly owned subsidiary of BMS. Under the BMS License Agreement, BMS is entitled to receive certain development milestone payments, royalties on net sales from licensed products under the agreement and any sublicense fees. We recorded royalties on net product sales of $0 and $0.5 million during the three months ended September 30, 2025 and 2024, respectively. During the nine months ended September 30, 2025 and 2024, royalties on net product sales were $0.5 million and $1.4 million, respectively, under the terms of this agreement. No development payments related to milestones were paid during the three and nine months ended September 30, 2025 and 2024 under the agreement. See Note 7 to the condensed financial statements for more information about the BMS License Agreement.</w:t>
      </w:r>
    </w:p>
    <w:p>
      <w:pPr>
        <w:spacing w:after="0" w:line="135" w:lineRule="exact"/>
        <w:rPr>
          <w:sz w:val="20"/>
          <w:szCs w:val="20"/>
          <w:color w:val="auto"/>
        </w:rPr>
      </w:pPr>
    </w:p>
    <w:p>
      <w:pPr>
        <w:ind w:right="40"/>
        <w:spacing w:after="0" w:line="314" w:lineRule="auto"/>
        <w:rPr>
          <w:sz w:val="20"/>
          <w:szCs w:val="20"/>
          <w:color w:val="auto"/>
        </w:rPr>
      </w:pPr>
      <w:r>
        <w:rPr>
          <w:rFonts w:ascii="Times New Roman" w:cs="Times New Roman" w:eastAsia="Times New Roman" w:hAnsi="Times New Roman"/>
          <w:sz w:val="14"/>
          <w:szCs w:val="14"/>
          <w:color w:val="auto"/>
        </w:rPr>
        <w:t>On August 30, 2021, we and BMS entered into Amendment No. 1 (the “Amendment”) to the BMS License Agreement. Under the terms of the Amendment, we paid BMS $5.8 million, representing 50% of the previously outstanding payment obligation under the agreement, following the effective time of our 2021 private investment in public equity (PIPE) financing ("2021 PIPE Financing") that occurred in connection with the closing of the reverse merger of Aerpio Pharmaceuticals, Inc. whereby Aspen Merger Subsidiary, Inc., our wholly-owned subsidiary (“Merger Sub”), merged with and into Aadi Subsidiary (then a private company known as Aadi Bioscience, Inc.), with Aadi Subsidiary surviving as our wholly-owned subsidiary (the “Reverse Merger”). Pursuant to the terms of the amendment, the remaining portion of the previously outstanding payment obligation ($5.8 million), was paid by the third anniversary of the effective time of the 2021 PIPE Financing (i.e., August 26, 2024). As part of its purchase of the FYARRO Business, KAKEN acquired Aadi Subsidiary and our rights and responsibilities under the BMS License Agreement.</w:t>
      </w:r>
    </w:p>
    <w:p>
      <w:pPr>
        <w:spacing w:after="0" w:line="4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Former Mirati Collaboration. </w:t>
      </w:r>
      <w:r>
        <w:rPr>
          <w:rFonts w:ascii="Times New Roman" w:cs="Times New Roman" w:eastAsia="Times New Roman" w:hAnsi="Times New Roman"/>
          <w:sz w:val="16"/>
          <w:szCs w:val="16"/>
          <w:color w:val="auto"/>
        </w:rPr>
        <w:t>In October 2022, we entered into a collaboration and supply agreement with Mirati to evaluate the combination of Mirati’s adagrasib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FYARRO in KRAS</w:t>
      </w:r>
      <w:r>
        <w:rPr>
          <w:rFonts w:ascii="Times New Roman" w:cs="Times New Roman" w:eastAsia="Times New Roman" w:hAnsi="Times New Roman"/>
          <w:sz w:val="21"/>
          <w:szCs w:val="21"/>
          <w:color w:val="auto"/>
          <w:vertAlign w:val="superscript"/>
        </w:rPr>
        <w:t>G12C</w:t>
      </w:r>
      <w:r>
        <w:rPr>
          <w:rFonts w:ascii="Times New Roman" w:cs="Times New Roman" w:eastAsia="Times New Roman" w:hAnsi="Times New Roman"/>
          <w:sz w:val="16"/>
          <w:szCs w:val="16"/>
          <w:color w:val="auto"/>
        </w:rPr>
        <w:t xml:space="preserve"> mutant NSCLC and other solid tumors. In May 2024, we announced the mutually agreed upon termination of the collaboration and supply agreement with Mirati. Under the terms of the agreement, Mirati was responsible for sponsoring and operating the Phase 1/2 study and we supplied study drug and jointly shared the cost of the study, which continued during the winding down process that has now completed.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Impact of Negative Global or National Events</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Businesses have been and will continue to be impacted by a number of challenging global and national events and circumstances that continue to evolve, including the implementation of tariffs (and, as applicable, their subsequent modification or removal), recent turmoil in the global banking system, public health epidemics, such as the COVID-19 pandemic, extreme weather conditions, increased economic and regulatory uncertainty, inflation, rising interest rates, and geopolitical instability, including trade disputes and negotiations and the military conflicts in Ukraine,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4" w:name="page35"/>
    <w:bookmarkEnd w:id="3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circumstances. For example, as the COVID-19 pandemic developed, we took numerous steps to help ensure the health and safety of our employees.</w:t>
      </w:r>
    </w:p>
    <w:p>
      <w:pPr>
        <w:spacing w:after="0" w:line="116" w:lineRule="exact"/>
        <w:rPr>
          <w:sz w:val="20"/>
          <w:szCs w:val="20"/>
          <w:color w:val="auto"/>
        </w:rPr>
      </w:pPr>
    </w:p>
    <w:p>
      <w:pPr>
        <w:jc w:val="both"/>
        <w:ind w:right="340"/>
        <w:spacing w:after="0" w:line="278" w:lineRule="auto"/>
        <w:rPr>
          <w:sz w:val="20"/>
          <w:szCs w:val="20"/>
          <w:color w:val="auto"/>
        </w:rPr>
      </w:pPr>
      <w:r>
        <w:rPr>
          <w:rFonts w:ascii="Times New Roman" w:cs="Times New Roman" w:eastAsia="Times New Roman" w:hAnsi="Times New Roman"/>
          <w:sz w:val="16"/>
          <w:szCs w:val="16"/>
          <w:color w:val="auto"/>
        </w:rPr>
        <w:t>At this point, the extent to which these global or national events and circumstances may affect 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for the remainder of fiscal year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Key Trends and Factors Affecting Comparability Between Periods</w:t>
      </w:r>
    </w:p>
    <w:p>
      <w:pPr>
        <w:spacing w:after="0" w:line="180" w:lineRule="exact"/>
        <w:rPr>
          <w:sz w:val="20"/>
          <w:szCs w:val="20"/>
          <w:color w:val="auto"/>
        </w:rPr>
      </w:pPr>
    </w:p>
    <w:p>
      <w:pPr>
        <w:jc w:val="both"/>
        <w:ind w:left="360" w:right="160"/>
        <w:spacing w:after="0" w:line="335" w:lineRule="auto"/>
        <w:rPr>
          <w:sz w:val="20"/>
          <w:szCs w:val="20"/>
          <w:color w:val="auto"/>
        </w:rPr>
      </w:pPr>
      <w:r>
        <w:rPr>
          <w:rFonts w:ascii="Times New Roman" w:cs="Times New Roman" w:eastAsia="Times New Roman" w:hAnsi="Times New Roman"/>
          <w:sz w:val="14"/>
          <w:szCs w:val="14"/>
          <w:color w:val="auto"/>
        </w:rPr>
        <w:t>•We had built a cross-functional commercial team consisting of marketing, market access and commercial operations. Expenses related to our commercialization of FYARRO, including personnel expenses, sales support, and marketing are included in selling, general and administrative expenses for the nine months ended September 30, 2025. We expect these expenses to decrease, as compared to prior periods, due to the FYARRO Divestiture which closed on March 25, 2025.</w:t>
      </w:r>
    </w:p>
    <w:p>
      <w:pPr>
        <w:spacing w:after="0" w:line="94" w:lineRule="exact"/>
        <w:rPr>
          <w:sz w:val="20"/>
          <w:szCs w:val="20"/>
          <w:color w:val="auto"/>
        </w:rPr>
      </w:pPr>
    </w:p>
    <w:p>
      <w:pPr>
        <w:ind w:left="360" w:right="80"/>
        <w:spacing w:after="0" w:line="278" w:lineRule="auto"/>
        <w:rPr>
          <w:sz w:val="20"/>
          <w:szCs w:val="20"/>
          <w:color w:val="auto"/>
        </w:rPr>
      </w:pPr>
      <w:r>
        <w:rPr>
          <w:rFonts w:ascii="Times New Roman" w:cs="Times New Roman" w:eastAsia="Times New Roman" w:hAnsi="Times New Roman"/>
          <w:sz w:val="16"/>
          <w:szCs w:val="16"/>
          <w:color w:val="auto"/>
        </w:rPr>
        <w:t>•We expect to increase our investment in research and development related to the ADC Therapies. We will continue to incur significant research and development and other expenses related to such ongoing operations. Under the License Agreement, we paid upfront non-refundable license fees of $6.0 million and $38.0 million to WuXi Biologics in the fourth quarter of 2024 and the second quarter of 2025, respectively.</w:t>
      </w:r>
    </w:p>
    <w:p>
      <w:pPr>
        <w:spacing w:after="0" w:line="129" w:lineRule="exact"/>
        <w:rPr>
          <w:sz w:val="20"/>
          <w:szCs w:val="20"/>
          <w:color w:val="auto"/>
        </w:rPr>
      </w:pPr>
    </w:p>
    <w:p>
      <w:pPr>
        <w:ind w:left="360" w:right="40"/>
        <w:spacing w:after="0" w:line="274" w:lineRule="auto"/>
        <w:rPr>
          <w:sz w:val="20"/>
          <w:szCs w:val="20"/>
          <w:color w:val="auto"/>
        </w:rPr>
      </w:pPr>
      <w:r>
        <w:rPr>
          <w:rFonts w:ascii="Times New Roman" w:cs="Times New Roman" w:eastAsia="Times New Roman" w:hAnsi="Times New Roman"/>
          <w:sz w:val="16"/>
          <w:szCs w:val="16"/>
          <w:color w:val="auto"/>
        </w:rPr>
        <w:t>•Commercial sale of FYARRO was launched on February 22, 2022, for the treatment of patients with advanced malignant PEComa. We recorded net product sales of $0 and $7.2 million for the three months ended September 30, 2025 and 2024, respectively. As a result of the FYARRO Divestiture, we no longer commercialize FYARRO as of March 25, 2025. As the commercial sale of FYARRO constituted our sole source of revenue, we do not expect to generate further revenue for the foreseeable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Capital Resources</w:t>
      </w:r>
    </w:p>
    <w:p>
      <w:pPr>
        <w:spacing w:after="0" w:line="18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 xml:space="preserve">As of September 30, 2025, we had $162.6 million of cash, cash equivalents and short-term investments. </w:t>
      </w:r>
      <w:r>
        <w:rPr>
          <w:rFonts w:ascii="Times New Roman" w:cs="Times New Roman" w:eastAsia="Times New Roman" w:hAnsi="Times New Roman"/>
          <w:sz w:val="16"/>
          <w:szCs w:val="16"/>
          <w:color w:val="231F20"/>
        </w:rPr>
        <w:t>Based on our current plans, we believe our existing cash, cash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equivalents and short-term investments will enable us to conduct our planned operations into 2028. We recorded net income for the nine months ended September 30, 2025 primarily due to the gain on sale related to the divestiture of FYARRO. Prior to the sale, w</w:t>
      </w:r>
      <w:r>
        <w:rPr>
          <w:rFonts w:ascii="Times New Roman" w:cs="Times New Roman" w:eastAsia="Times New Roman" w:hAnsi="Times New Roman"/>
          <w:sz w:val="16"/>
          <w:szCs w:val="16"/>
          <w:color w:val="000000"/>
        </w:rPr>
        <w:t>e have incurred net losses in each year since inception and as of</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September 30, 2025, we had an accumulated deficit of $330.0 million. These losses have resulted principally from costs incurred in connection with research and development activities, selling, general and administrative costs associated with our operations, costs associated with the Reverse Merger, the FYARRO Divestiture, 2024 PIPE Financing, and the in-licensing of the ADC Therapies. We expect to continue to incur significant expenses and operating losses for the foreseeable future due to the cost of research and development, including conducting preclinical and clinical trials of the ADC Therapies and identifying and designing product candidates and the regulatory approval process for any product candidates we may develop.</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7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balance sheets and condensed statements of operations and comprehensive loss presented herein. The following discussion and analysis are based on our condensed financial statements contained in this Quarterly Report, which we have prepared in accordance with U.S. generally accepted accounting principles (“GAAP”). You should read the discussion and analysis together with such condensed financial statements and the related notes thereto.</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35" w:name="page36"/>
    <w:bookmarkEnd w:id="3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Condensed Statements of Operations and Comprehensive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Product Sales, Net</w:t>
      </w:r>
    </w:p>
    <w:p>
      <w:pPr>
        <w:spacing w:after="0" w:line="1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FYARRO was approved by the FDA in November 2021 for treating adult patients with locally advanced unresectable or metastatic malignant PEComa.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130" w:lineRule="exact"/>
        <w:rPr>
          <w:sz w:val="20"/>
          <w:szCs w:val="20"/>
          <w:color w:val="auto"/>
        </w:rPr>
      </w:pPr>
    </w:p>
    <w:p>
      <w:pPr>
        <w:ind w:left="360" w:right="20"/>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Distribution Fees</w:t>
      </w:r>
      <w:r>
        <w:rPr>
          <w:rFonts w:ascii="Times New Roman" w:cs="Times New Roman" w:eastAsia="Times New Roman" w:hAnsi="Times New Roman"/>
          <w:sz w:val="16"/>
          <w:szCs w:val="16"/>
          <w:color w:val="auto"/>
        </w:rPr>
        <w:t>: Distribution fees include distribution service fees paid to the SDs and SP based on a contractually fixed percentage of the wholesale acquisition cost (“WAC”). Distribution fees are recorded as an offset to product sales based on contractual terms at the time the sale is recognized.</w:t>
      </w:r>
    </w:p>
    <w:p>
      <w:pPr>
        <w:spacing w:after="0" w:line="115" w:lineRule="exact"/>
        <w:rPr>
          <w:sz w:val="20"/>
          <w:szCs w:val="20"/>
          <w:color w:val="auto"/>
        </w:rPr>
      </w:pPr>
    </w:p>
    <w:p>
      <w:pPr>
        <w:ind w:left="360" w:right="140"/>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Rebates</w:t>
      </w:r>
      <w:r>
        <w:rPr>
          <w:rFonts w:ascii="Times New Roman" w:cs="Times New Roman" w:eastAsia="Times New Roman" w:hAnsi="Times New Roman"/>
          <w:sz w:val="16"/>
          <w:szCs w:val="16"/>
          <w:color w:val="auto"/>
        </w:rPr>
        <w:t>: Allowance for rebates include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w:t>
      </w:r>
    </w:p>
    <w:p>
      <w:pPr>
        <w:spacing w:after="0" w:line="134" w:lineRule="exact"/>
        <w:rPr>
          <w:sz w:val="20"/>
          <w:szCs w:val="20"/>
          <w:color w:val="auto"/>
        </w:rPr>
      </w:pPr>
    </w:p>
    <w:p>
      <w:pPr>
        <w:ind w:left="360" w:right="20"/>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Chargebacks:</w:t>
      </w:r>
      <w:r>
        <w:rPr>
          <w:rFonts w:ascii="Times New Roman" w:cs="Times New Roman" w:eastAsia="Times New Roman" w:hAnsi="Times New Roman"/>
          <w:sz w:val="16"/>
          <w:szCs w:val="16"/>
          <w:color w:val="auto"/>
        </w:rPr>
        <w:t xml:space="preserve"> Chargebacks are discounts and fees that relate to contracts with government and other entities purchasing from the SDs and SP at a 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w:t>
      </w:r>
    </w:p>
    <w:p>
      <w:pPr>
        <w:spacing w:after="0" w:line="129" w:lineRule="exact"/>
        <w:rPr>
          <w:sz w:val="20"/>
          <w:szCs w:val="20"/>
          <w:color w:val="auto"/>
        </w:rPr>
      </w:pPr>
    </w:p>
    <w:p>
      <w:pPr>
        <w:ind w:left="360"/>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Co-Payment Assistance:</w:t>
      </w:r>
      <w:r>
        <w:rPr>
          <w:rFonts w:ascii="Times New Roman" w:cs="Times New Roman" w:eastAsia="Times New Roman" w:hAnsi="Times New Roman"/>
          <w:sz w:val="16"/>
          <w:szCs w:val="16"/>
          <w:color w:val="auto"/>
        </w:rPr>
        <w:t xml:space="preserve"> We offer co-payment assistance to commercially insured patients meeting certain eligibility requirements. Co-payment 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129" w:lineRule="exact"/>
        <w:rPr>
          <w:sz w:val="20"/>
          <w:szCs w:val="20"/>
          <w:color w:val="auto"/>
        </w:rPr>
      </w:pPr>
    </w:p>
    <w:p>
      <w:pPr>
        <w:ind w:left="360" w:right="40"/>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Product Returns:</w:t>
      </w:r>
      <w:r>
        <w:rPr>
          <w:rFonts w:ascii="Times New Roman" w:cs="Times New Roman" w:eastAsia="Times New Roman" w:hAnsi="Times New Roman"/>
          <w:sz w:val="16"/>
          <w:szCs w:val="16"/>
          <w:color w:val="auto"/>
        </w:rPr>
        <w:t xml:space="preserve"> Consistent with industry practice, we offer the SDs and SP limited product return rights for damages, shipment errors, and 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6" w:name="page37"/>
    <w:bookmarkEnd w:id="3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p>
      <w:pPr>
        <w:spacing w:after="0" w:line="178" w:lineRule="exact"/>
        <w:rPr>
          <w:sz w:val="20"/>
          <w:szCs w:val="20"/>
          <w:color w:val="auto"/>
        </w:rPr>
      </w:pPr>
    </w:p>
    <w:p>
      <w:pPr>
        <w:jc w:val="both"/>
        <w:ind w:right="260"/>
        <w:spacing w:after="0" w:line="278" w:lineRule="auto"/>
        <w:rPr>
          <w:sz w:val="20"/>
          <w:szCs w:val="20"/>
          <w:color w:val="auto"/>
        </w:rPr>
      </w:pPr>
      <w:r>
        <w:rPr>
          <w:rFonts w:ascii="Times New Roman" w:cs="Times New Roman" w:eastAsia="Times New Roman" w:hAnsi="Times New Roman"/>
          <w:sz w:val="16"/>
          <w:szCs w:val="16"/>
          <w:color w:val="auto"/>
        </w:rPr>
        <w:t>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7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spacing w:after="0" w:line="13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related to the ADC Therapies. We will continue to incur significant research and development and other expenses related to such ongoing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Goods Sold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goods sold consist primarily of royalties paid to BMS, costs incurred on sales of FYARRO and costs to manufacture and prepare the product for sales.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7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Other income (expense), net consists primarily of interest income earned on cash, cash equivalents and short-term investments. During the three and nine months ended September 30, 2025, other income, net consists of gain on sale of a business, interest income earned on cash, cash equivalents and short-term investments, and income received for billable services not part of our ordinary activities provided by our employees to KAKEN under a Transition Services Agreement, as amended ("TSA"). The TSA was entered into in connection with the FYARRO Divestiture on March 25, 2025 and expired on October 24,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 Expense</w:t>
      </w:r>
    </w:p>
    <w:p>
      <w:pPr>
        <w:spacing w:after="0" w:line="178"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color w:val="auto"/>
        </w:rPr>
        <w:t>During the three and nine months ended September 30, 2025 and 2024, we recognized no income tax expense on the condensed statements of operations and comprehensive loss. Since our formation in 2011, we have not recorded any U.S. federal or state income tax benefits for the net losses we have incurred in each year or our earned tax credits, due to our uncertainty of realizing a benefit from those items.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37" w:name="page38"/>
    <w:bookmarkEnd w:id="3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results of operations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4"/>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4"/>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56"/>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80"/>
        </w:trPr>
        <w:tc>
          <w:tcPr>
            <w:tcW w:w="5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Product sales, net</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7,212</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7,145</w:t>
            </w:r>
          </w:p>
        </w:tc>
        <w:tc>
          <w:tcPr>
            <w:tcW w:w="36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18,744</w:t>
            </w:r>
          </w:p>
        </w:tc>
      </w:tr>
      <w:tr>
        <w:trPr>
          <w:trHeight w:val="180"/>
        </w:trPr>
        <w:tc>
          <w:tcPr>
            <w:tcW w:w="5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revenue</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revenue</w:t>
            </w:r>
          </w:p>
        </w:tc>
        <w:tc>
          <w:tcPr>
            <w:tcW w:w="12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7,212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7,145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18,744</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80"/>
        </w:trPr>
        <w:tc>
          <w:tcPr>
            <w:tcW w:w="5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5,201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7,186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23,956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25,698</w:t>
            </w:r>
          </w:p>
        </w:tc>
      </w:tr>
      <w:tr>
        <w:trPr>
          <w:trHeight w:val="180"/>
        </w:trPr>
        <w:tc>
          <w:tcPr>
            <w:tcW w:w="5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14,345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9,997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71,942</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36,683</w:t>
            </w:r>
          </w:p>
        </w:tc>
      </w:tr>
      <w:tr>
        <w:trPr>
          <w:trHeight w:val="180"/>
        </w:trPr>
        <w:tc>
          <w:tcPr>
            <w:tcW w:w="5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Restructuring charges</w:t>
            </w:r>
          </w:p>
        </w:tc>
        <w:tc>
          <w:tcPr>
            <w:tcW w:w="12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2,638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2,638</w:t>
            </w:r>
          </w:p>
        </w:tc>
      </w:tr>
      <w:tr>
        <w:trPr>
          <w:trHeight w:val="180"/>
        </w:trPr>
        <w:tc>
          <w:tcPr>
            <w:tcW w:w="55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804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760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2,234</w:t>
            </w:r>
          </w:p>
        </w:tc>
      </w:tr>
      <w:tr>
        <w:trPr>
          <w:trHeight w:val="180"/>
        </w:trPr>
        <w:tc>
          <w:tcPr>
            <w:tcW w:w="55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2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19,546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20,625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96,658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67,253</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Loss from operations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(19,546)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(13,413)</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(89,513)</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(48,509)</w:t>
            </w:r>
          </w:p>
        </w:tc>
      </w:tr>
      <w:tr>
        <w:trPr>
          <w:trHeight w:val="180"/>
        </w:trPr>
        <w:tc>
          <w:tcPr>
            <w:tcW w:w="5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1,800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867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92,168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3,091</w:t>
            </w:r>
          </w:p>
        </w:tc>
      </w:tr>
      <w:tr>
        <w:trPr>
          <w:trHeight w:val="196"/>
        </w:trPr>
        <w:tc>
          <w:tcPr>
            <w:tcW w:w="552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Net (loss) income</w:t>
            </w:r>
          </w:p>
        </w:tc>
        <w:tc>
          <w:tcPr>
            <w:tcW w:w="1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(17,746)</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(12,546)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2,655</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(45,418)</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and Nine Months Ended September 30,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Product Sales, Net</w:t>
      </w:r>
    </w:p>
    <w:p>
      <w:pPr>
        <w:spacing w:after="0" w:line="17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Our product sales, net consist of sales of FYARRO since its launch in the United States on February 22, 2022. Product sales, net for the three months ended September 30, 2025 and 2024 were $0 and $7.2 million, respectively. For the nine months ended September 30, 2025 and 2024, product sales, net were $7.1 million and $18.7 million, respectively. As a result of the FYARRO Divestiture, we no longer sell FYARRO as of March 25,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p>
      <w:pPr>
        <w:spacing w:after="0" w:line="17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color w:val="auto"/>
        </w:rPr>
        <w:t>Selling, general and administrative expenses for the three months ended September 30, 2025 and 2024, were $5.2 million and $7.2 million, respectively. The decrease of $2.0 million was primarily driven by a decrease of $0.7 million in legal and other expenses, $0.6 million in commercial and marketing expenses, $0.6 million in consulting and insurance expenses, and $0.1 million in personnel expenses.</w:t>
      </w:r>
    </w:p>
    <w:p>
      <w:pPr>
        <w:spacing w:after="0" w:line="129" w:lineRule="exact"/>
        <w:rPr>
          <w:sz w:val="20"/>
          <w:szCs w:val="20"/>
          <w:color w:val="auto"/>
        </w:rPr>
      </w:pPr>
    </w:p>
    <w:p>
      <w:pPr>
        <w:jc w:val="both"/>
        <w:ind w:right="80"/>
        <w:spacing w:after="0" w:line="278" w:lineRule="auto"/>
        <w:rPr>
          <w:sz w:val="20"/>
          <w:szCs w:val="20"/>
          <w:color w:val="auto"/>
        </w:rPr>
      </w:pPr>
      <w:r>
        <w:rPr>
          <w:rFonts w:ascii="Times New Roman" w:cs="Times New Roman" w:eastAsia="Times New Roman" w:hAnsi="Times New Roman"/>
          <w:sz w:val="16"/>
          <w:szCs w:val="16"/>
          <w:color w:val="auto"/>
        </w:rPr>
        <w:t>Selling, general and administrative expenses for the nine months ended September 30, 2025 and 2024, were $24.0 million and $25.7 million, respectively. The decrease of $1.7 million was primarily driven by a decrease of $4.4 million in personnel expenses and $1.7 million in commercial and marketing expenses, offset by an increase of $3.2 million in consulting and insurance expenses and $1.2 million in legal and other expenses.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8" w:name="page39"/>
    <w:bookmarkEnd w:id="3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our research and development expenses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4"/>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4"/>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56"/>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Personnel expenses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2,366</w:t>
            </w:r>
          </w:p>
        </w:tc>
        <w:tc>
          <w:tcPr>
            <w:tcW w:w="3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3,857</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8,467</w:t>
            </w:r>
          </w:p>
        </w:tc>
        <w:tc>
          <w:tcPr>
            <w:tcW w:w="3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15,673</w:t>
            </w:r>
          </w:p>
        </w:tc>
      </w:tr>
      <w:tr>
        <w:trPr>
          <w:trHeight w:val="180"/>
        </w:trPr>
        <w:tc>
          <w:tcPr>
            <w:tcW w:w="5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Consultants</w:t>
            </w:r>
          </w:p>
        </w:tc>
        <w:tc>
          <w:tcPr>
            <w:tcW w:w="120" w:type="dxa"/>
            <w:vAlign w:val="bottom"/>
          </w:tcPr>
          <w:p>
            <w:pPr>
              <w:spacing w:after="0"/>
              <w:rPr>
                <w:sz w:val="15"/>
                <w:szCs w:val="15"/>
                <w:color w:val="auto"/>
              </w:rPr>
            </w:pPr>
          </w:p>
        </w:tc>
        <w:tc>
          <w:tcPr>
            <w:tcW w:w="10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853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1,653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975</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External clinical development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2,987</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4,044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47,154</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13,347</w:t>
            </w:r>
          </w:p>
        </w:tc>
      </w:tr>
      <w:tr>
        <w:trPr>
          <w:trHeight w:val="180"/>
        </w:trPr>
        <w:tc>
          <w:tcPr>
            <w:tcW w:w="5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Clinical drug product manufacturing</w:t>
            </w:r>
          </w:p>
        </w:tc>
        <w:tc>
          <w:tcPr>
            <w:tcW w:w="120" w:type="dxa"/>
            <w:vAlign w:val="bottom"/>
          </w:tcPr>
          <w:p>
            <w:pPr>
              <w:spacing w:after="0"/>
              <w:rPr>
                <w:sz w:val="15"/>
                <w:szCs w:val="15"/>
                <w:color w:val="auto"/>
              </w:rPr>
            </w:pPr>
          </w:p>
        </w:tc>
        <w:tc>
          <w:tcPr>
            <w:tcW w:w="10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8,118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1,617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14,483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5,984</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704</w:t>
            </w:r>
          </w:p>
        </w:tc>
      </w:tr>
      <w:tr>
        <w:trPr>
          <w:trHeight w:val="156"/>
        </w:trPr>
        <w:tc>
          <w:tcPr>
            <w:tcW w:w="55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Total research and development expenses</w:t>
            </w: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14,345</w:t>
            </w:r>
          </w:p>
        </w:tc>
        <w:tc>
          <w:tcPr>
            <w:tcW w:w="36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6"/>
                <w:szCs w:val="16"/>
                <w:color w:val="auto"/>
              </w:rPr>
              <w:t>9,997</w:t>
            </w:r>
          </w:p>
        </w:tc>
        <w:tc>
          <w:tcPr>
            <w:tcW w:w="26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5"/>
              <w:spacing w:after="0" w:line="156" w:lineRule="exact"/>
              <w:rPr>
                <w:sz w:val="20"/>
                <w:szCs w:val="20"/>
                <w:color w:val="auto"/>
              </w:rPr>
            </w:pPr>
            <w:r>
              <w:rPr>
                <w:rFonts w:ascii="Times New Roman" w:cs="Times New Roman" w:eastAsia="Times New Roman" w:hAnsi="Times New Roman"/>
                <w:sz w:val="16"/>
                <w:szCs w:val="16"/>
                <w:color w:val="auto"/>
              </w:rPr>
              <w:t>71,942</w:t>
            </w:r>
          </w:p>
        </w:tc>
        <w:tc>
          <w:tcPr>
            <w:tcW w:w="36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36,683</w:t>
            </w: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6"/>
          <w:szCs w:val="16"/>
          <w:color w:val="auto"/>
        </w:rPr>
        <w:t>Research and development expenses for the three months ended September 30, 2025 and 2024 were $14.3 million and $10.0 million, respectively. The increase of $4.3 million was primarily driven by an increase of $6.5 million in clinical drug product manufacturing and $0.6 million in consulting expenses, offset by a decrease of $1.8 million in personnel and other expenses, and $1.0 million in external clinical development.</w:t>
      </w:r>
    </w:p>
    <w:p>
      <w:pPr>
        <w:spacing w:after="0" w:line="177"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6"/>
          <w:szCs w:val="16"/>
          <w:color w:val="auto"/>
        </w:rPr>
        <w:t>Research and development expenses for the nine months ended September 30, 2025 and 2024 were $71.9 million and $36.7 million, respectively. The increase of $35.2 million was primarily driven by an increase of $33.8 million in external clinical development expense which includes a $38.0 million up-front license fee and $2.3 million VAT tax paid to WuXi Biologics, $8.5 million in clinical drug product manufacturing, and $0.7 million in consulting expenses, offset by a decrease of $7.8 million in personnel and other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Goods Sold</w:t>
      </w:r>
    </w:p>
    <w:p>
      <w:pPr>
        <w:spacing w:after="0" w:line="178"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6"/>
          <w:szCs w:val="16"/>
          <w:color w:val="auto"/>
        </w:rPr>
        <w:t>Cost of goods sold was $0 and $0.8 million for the three months ended September 30, 2025 and 2024, respectively, primarily reflecting royalties incurred on product sold.</w:t>
      </w:r>
    </w:p>
    <w:p>
      <w:pPr>
        <w:spacing w:after="0" w:line="118"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6"/>
          <w:szCs w:val="16"/>
          <w:color w:val="auto"/>
        </w:rPr>
        <w:t>Cost of goods sold was $0.8 million and $2.2 million for the nine months ended September 30, 2025 and 2024, respectively, primarily reflecting royalties incurred on product sold.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Restructuring Charges</w:t>
      </w:r>
    </w:p>
    <w:p>
      <w:pPr>
        <w:spacing w:after="0" w:line="178"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6"/>
          <w:szCs w:val="16"/>
          <w:color w:val="auto"/>
        </w:rPr>
        <w:t>There were no restructuring charges for the three and nine months ended September 30, 2025. Restructuring charges for the three and nine months ended September 30, 2024 were $2.6 million. The restructuring charge recognized was due to a restructuring plan announced on August 20, 2024 to reduce our workforce by 32%. See Note 13 to the condensed consolidated financial statements for more information regarding the restructuring.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78"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Other income, net for the three months ended September 30, 2025 and 2024 was $1.8 million and $0.9 million, respectively. The increase of $0.9 million was primarily driven by an increase in short-term investments held during the period.</w:t>
      </w:r>
    </w:p>
    <w:p>
      <w:pPr>
        <w:spacing w:after="0" w:line="11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Other income, net for the nine months ended September 30, 2025 and 2024 was $92.2 million, compared to other income, net of $3.1 million, respectively. The increase of $89.1 million was primarily driven by a gain on sale of a business related to the FYARRO Divestiture and an increase in short-term investments held during the period.</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9" w:name="page40"/>
    <w:bookmarkEnd w:id="3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80"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6"/>
          <w:szCs w:val="16"/>
          <w:color w:val="auto"/>
        </w:rPr>
        <w:t>As of September 30, 2025 we had $162.6 million of cash, cash equivalents and short-term investments. Based on our current plans, we believe our existing cash, cash equivalents and short-term investments will enable us to conduct our planned operations into 2028.</w:t>
      </w:r>
    </w:p>
    <w:p>
      <w:pPr>
        <w:spacing w:after="0" w:line="1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We have incurred net losses in each year since inception except for the nine months ended September 30, 2025 as we incurred net income due to the sale of a business. As of September 30, 2025, we had an accumulated deficit of $330.0 million. Our net loss was $17.7 million and $12.5 million for the three months ended September 30, 2025 and 2024, respectively. Our net income was $2.7 million and our net loss was $45.4 million for the nine months ended September 30, 2025 and 2024, respectively. These losses have resulted principally from costs incurred in connection with research and development activities and selling, general and administrative costs associated with our operations. We expect to continue to incur significant expenses and operating losses for the foreseeable future due to the cost of research and development, including conducting preclinical and clinical trials of the ADC Therapies and identifying and designing product candidates and the regulatory approval process for any product candidates we may develop.</w:t>
      </w:r>
    </w:p>
    <w:p>
      <w:pPr>
        <w:spacing w:after="0" w:line="136"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6"/>
          <w:szCs w:val="16"/>
          <w:color w:val="auto"/>
        </w:rPr>
        <w:t>On September 22, 2022, we received funding of $72.2 million, net from a private investment in public equity financing (the “2022 PIPE Financing”) with certain investors (the “2022 PIPE Investors”).</w:t>
      </w:r>
    </w:p>
    <w:p>
      <w:pPr>
        <w:spacing w:after="0" w:line="11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September 30, 2025, no shares of common stock had been sold under the Sales Agreement.</w:t>
      </w:r>
    </w:p>
    <w:p>
      <w:pPr>
        <w:spacing w:after="0" w:line="13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6"/>
          <w:szCs w:val="16"/>
          <w:color w:val="auto"/>
        </w:rPr>
        <w:t>The shares of our common stock to be offered and sold under the Sales Agreement will be issued and sold pursuant to our shelf registration statement on the Form S-3 (File No. 333-277018) (the “Shelf Registration Statement”), which was filed with the SEC on February 12, 2024 and which became effective April 30, 2024. No securities have yet been sold under the Shelf Registration Statement. We filed a prospectus supplement with the SEC on April 25, 2025 in connection with the offer and sale of the shares pursuant to the Sales Agreement.</w:t>
      </w:r>
    </w:p>
    <w:p>
      <w:pPr>
        <w:spacing w:after="0" w:line="132"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6"/>
          <w:szCs w:val="16"/>
          <w:color w:val="auto"/>
        </w:rPr>
        <w:t>The Shelf Registration Statement allows us to sell from time to time up to $150.0 million of common stock, preferred stock, debt securities, warrants,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September 22, 2022, we entered into the purchase agreement for the 2022 PIPE Financing with the 2022 PIPE Investors for the sale of 3,373,526 shares of our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for a price of $12.50 per share and Pre-Funded Warrants to purchase an aggregate of 2,426,493 shares of our common stock, at a purchase price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$12.4999 per Pre-Funded Warrant. The Pre-Funded Warrants are exercisable at an exercise price of $0.0001 and will be exercisable until exercised in full. The 2022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PIPE Financing closed on September 26, 2022. Aggregated net proceeds, after deducting certain expenses incurred of $0.3 million related to the issuance of the shares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were $72.2 million. As of September 30, 2025, 2,000,037 Pre-Funded Warrants are still outstanding.</w:t>
      </w:r>
    </w:p>
    <w:p>
      <w:pPr>
        <w:spacing w:after="0" w:line="176"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On December 19, 2024, we entered into the Subscription Agreement with certain investors (the "2024 PIPE Investors"), pursuant to which we agreed to sell to the 2024 PIPE Investors (i) 21,592,000 shares of the our common stock, par value $0.0001 per share, at a purchase price of $2.40 per share, and (ii) 20,076,500 Pre-Funded Warrants, at a purchase price of</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0" w:name="page41"/>
    <w:bookmarkEnd w:id="4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4"/>
          <w:szCs w:val="14"/>
          <w:color w:val="auto"/>
        </w:rPr>
        <w:t>$2.3999 per Pre-Funded Warrant, for aggregate net proceeds of $94.4 million, after deducting certain expenses incurred of $5.6 million related to the issuance of shares. The Pre-Funded Warrants have an exercise price of $0.0001 per share of the Company's common stock and are exercisable and will remain exercisable until exercised in full. The holders of Pre-Funded Warrants may not exercise a Pre-Funded Warrant if the holder, together with its affiliates, would beneficially own more than 4.99% or</w:t>
      </w:r>
    </w:p>
    <w:p>
      <w:pPr>
        <w:ind w:right="20"/>
        <w:spacing w:after="0" w:line="278" w:lineRule="auto"/>
        <w:rPr>
          <w:sz w:val="20"/>
          <w:szCs w:val="20"/>
          <w:color w:val="auto"/>
        </w:rPr>
      </w:pPr>
      <w:r>
        <w:rPr>
          <w:rFonts w:ascii="Times New Roman" w:cs="Times New Roman" w:eastAsia="Times New Roman" w:hAnsi="Times New Roman"/>
          <w:sz w:val="16"/>
          <w:szCs w:val="16"/>
          <w:color w:val="auto"/>
        </w:rPr>
        <w:t>9.99%, at the election of the holder, of the number of shares of the Company's common stock outstanding immediately after giving effect to such exercise. The holders of Pre-Funded Warrants may increase or decrease such percentages not in excess of 19.99% by providing at least 61 days’ prior notice. The 2024 PIPE Financing closed on March 4, 2025. As of September 30, 2025, all 20,076,500 Pre-Funded Warrants are still outstanding.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cash flows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00" w:type="dxa"/>
            <w:vAlign w:val="bottom"/>
          </w:tcPr>
          <w:p>
            <w:pPr>
              <w:spacing w:after="0"/>
              <w:rPr>
                <w:sz w:val="12"/>
                <w:szCs w:val="12"/>
                <w:color w:val="auto"/>
              </w:rPr>
            </w:pPr>
          </w:p>
        </w:tc>
        <w:tc>
          <w:tcPr>
            <w:tcW w:w="26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20" w:type="dxa"/>
            <w:vAlign w:val="bottom"/>
          </w:tcPr>
          <w:p>
            <w:pPr>
              <w:spacing w:after="0"/>
              <w:rPr>
                <w:sz w:val="12"/>
                <w:szCs w:val="12"/>
                <w:color w:val="auto"/>
              </w:rPr>
            </w:pPr>
          </w:p>
        </w:tc>
      </w:tr>
      <w:tr>
        <w:trPr>
          <w:trHeight w:val="156"/>
        </w:trPr>
        <w:tc>
          <w:tcPr>
            <w:tcW w:w="7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3"/>
                <w:szCs w:val="13"/>
                <w:color w:val="auto"/>
              </w:rPr>
            </w:pPr>
          </w:p>
        </w:tc>
      </w:tr>
      <w:tr>
        <w:trPr>
          <w:trHeight w:val="156"/>
        </w:trPr>
        <w:tc>
          <w:tcPr>
            <w:tcW w:w="73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90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(80,199)</w:t>
            </w:r>
          </w:p>
        </w:tc>
        <w:tc>
          <w:tcPr>
            <w:tcW w:w="1100" w:type="dxa"/>
            <w:vAlign w:val="bottom"/>
            <w:gridSpan w:val="2"/>
            <w:shd w:val="clear" w:color="auto" w:fill="CFF0FC"/>
          </w:tcPr>
          <w:p>
            <w:pPr>
              <w:jc w:val="right"/>
              <w:ind w:right="8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(44,497)</w:t>
            </w:r>
          </w:p>
        </w:tc>
      </w:tr>
      <w:tr>
        <w:trPr>
          <w:trHeight w:val="156"/>
        </w:trPr>
        <w:tc>
          <w:tcPr>
            <w:tcW w:w="73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90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(4,955)</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12,069</w:t>
            </w:r>
          </w:p>
        </w:tc>
      </w:tr>
      <w:tr>
        <w:trPr>
          <w:trHeight w:val="156"/>
        </w:trPr>
        <w:tc>
          <w:tcPr>
            <w:tcW w:w="73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9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94,351</w:t>
            </w: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77</w:t>
            </w:r>
          </w:p>
        </w:tc>
      </w:tr>
      <w:tr>
        <w:trPr>
          <w:trHeight w:val="156"/>
        </w:trPr>
        <w:tc>
          <w:tcPr>
            <w:tcW w:w="73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00" w:type="dxa"/>
            <w:vAlign w:val="bottom"/>
          </w:tcPr>
          <w:p>
            <w:pPr>
              <w:jc w:val="right"/>
              <w:ind w:right="779"/>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9,197</w:t>
            </w:r>
          </w:p>
        </w:tc>
        <w:tc>
          <w:tcPr>
            <w:tcW w:w="1100" w:type="dxa"/>
            <w:vAlign w:val="bottom"/>
            <w:gridSpan w:val="2"/>
          </w:tcPr>
          <w:p>
            <w:pPr>
              <w:jc w:val="right"/>
              <w:ind w:right="8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(32,351)</w:t>
            </w:r>
          </w:p>
        </w:tc>
      </w:tr>
      <w:tr>
        <w:trPr>
          <w:trHeight w:val="20"/>
        </w:trPr>
        <w:tc>
          <w:tcPr>
            <w:tcW w:w="7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8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selling, general and administrative activities. Our cash flows from operating activities will continue to be affected by spending to advance our research and development of the ADC Therapies and identifying and designing product candidates and the regulatory approval process for any product candidates we may develop.</w:t>
      </w:r>
    </w:p>
    <w:p>
      <w:pPr>
        <w:spacing w:after="0" w:line="13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color w:val="auto"/>
        </w:rPr>
        <w:t>For the nine months ended September 30, 2025, cash used in operating activities was $80.2 million and resulted from (i) our net income of $2.7 million, (ii) a $2.5 million net increase in cash used to fund changes in net operating assets and liabilities, and (iii) $80.3 million non-cash adjustments, which were primarily related gain on sale of business, share based compensation, lease expense, depreciation, and discount amortization on short-term investments.</w:t>
      </w:r>
    </w:p>
    <w:p>
      <w:pPr>
        <w:spacing w:after="0" w:line="129"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6"/>
          <w:szCs w:val="16"/>
          <w:color w:val="auto"/>
        </w:rPr>
        <w:t>For the nine months ended September 30, 2024, cash used in operating activities was $44.5 million and resulted from (i) our net loss of $45.4 million, (ii) a $7.5 million net increase in cash used to fund changes in net operating assets and liabilities, and (iii) $8.4 million non-cash adjustments, which were primarily related to share based compensation, discount amortization on short-term investments, lease expense, and depreciation.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80" w:lineRule="exact"/>
        <w:rPr>
          <w:sz w:val="20"/>
          <w:szCs w:val="20"/>
          <w:color w:val="auto"/>
        </w:rPr>
      </w:pPr>
    </w:p>
    <w:p>
      <w:pPr>
        <w:ind w:right="460"/>
        <w:spacing w:after="0" w:line="366" w:lineRule="auto"/>
        <w:rPr>
          <w:sz w:val="20"/>
          <w:szCs w:val="20"/>
          <w:color w:val="auto"/>
        </w:rPr>
      </w:pPr>
      <w:r>
        <w:rPr>
          <w:rFonts w:ascii="Times New Roman" w:cs="Times New Roman" w:eastAsia="Times New Roman" w:hAnsi="Times New Roman"/>
          <w:sz w:val="14"/>
          <w:szCs w:val="14"/>
          <w:color w:val="auto"/>
        </w:rPr>
        <w:t>Cash used in investing activities for the nine months ended September 30, 2025 related to purchases of short-term investments of $125.8 million and purchases of property and equipment of $0.6 million, offset by proceeds from the sale of a business and maturities of short-term investments of $20.1 million.</w:t>
      </w:r>
    </w:p>
    <w:p>
      <w:pPr>
        <w:spacing w:after="0" w:line="73"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Cash provided by investing activities for the nine months ended September 30, 2024 related to maturities of short-term investments of $50.0 million, offset by purchases of short-term investments of $36.5 million and purchases of property and equipment of $1.5 million.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8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Cash provided by financing activities for the nine months ended September 30, 2025 related to $100.0 million proceeds received from the sale of common stock and pre-funded warrants to the 2024 PIPE Investors, offset by payment of 2024 PIPE Financing related transaction costs.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1" w:name="page42"/>
    <w:bookmarkEnd w:id="4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0"/>
        <w:spacing w:after="0" w:line="291" w:lineRule="auto"/>
        <w:rPr>
          <w:sz w:val="20"/>
          <w:szCs w:val="20"/>
          <w:color w:val="auto"/>
        </w:rPr>
      </w:pPr>
      <w:r>
        <w:rPr>
          <w:rFonts w:ascii="Times New Roman" w:cs="Times New Roman" w:eastAsia="Times New Roman" w:hAnsi="Times New Roman"/>
          <w:sz w:val="16"/>
          <w:szCs w:val="16"/>
          <w:color w:val="auto"/>
        </w:rPr>
        <w:t>Cash provided by financing activities for the nine months ended September 30, 2024 related to proceeds received from the issuance of common stock under the employee stock purchase plan offset by deferred offering costs paid for financing.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78"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14"/>
          <w:szCs w:val="14"/>
          <w:color w:val="auto"/>
        </w:rPr>
        <w:t>In April 2022, we entered into a lease for 10,615 square feet of office space in Morristown, New Jersey. The term of the lease is seventy-three months unless terminated sooner. In connection with the FYARRO Divestiture, KAKEN assumed our sublease for the NJ office space, but we agreed to co-inhabit the office with KAKEN, paying $13,000 per month. We and KAKEN are currently in the process of extending the co-inhabitation arrangement upon the sublandlord's and landlord's consent.</w:t>
      </w:r>
    </w:p>
    <w:p>
      <w:pPr>
        <w:spacing w:after="0" w:line="94"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6"/>
          <w:szCs w:val="16"/>
          <w:color w:val="auto"/>
        </w:rPr>
        <w:t xml:space="preserve">In August 2021, we entered into an amendment to extend the lease of our 2,760 square feet of office space in Pacific Palisades, California. We </w:t>
      </w:r>
      <w:r>
        <w:rPr>
          <w:rFonts w:ascii="Times New Roman" w:cs="Times New Roman" w:eastAsia="Times New Roman" w:hAnsi="Times New Roman"/>
          <w:sz w:val="16"/>
          <w:szCs w:val="16"/>
          <w:color w:val="231F20"/>
        </w:rPr>
        <w:t>exercised an option,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under our prior lease agreement, to extend the term of the lease for an additional three-year period. Included in the renewal were nine months of rent abatement and a rent escalation clause. </w:t>
      </w:r>
      <w:r>
        <w:rPr>
          <w:rFonts w:ascii="Times New Roman" w:cs="Times New Roman" w:eastAsia="Times New Roman" w:hAnsi="Times New Roman"/>
          <w:sz w:val="16"/>
          <w:szCs w:val="16"/>
          <w:color w:val="000000"/>
        </w:rPr>
        <w:t>The Pacific Palisades lease expired on February 28, 2025.</w:t>
      </w:r>
    </w:p>
    <w:p>
      <w:pPr>
        <w:spacing w:after="0" w:line="12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231F20"/>
        </w:rPr>
        <w:t xml:space="preserve">Rent expense is being recorded on a straight-line basis. Rent expense related to the Pacific Palisades and Morristown leases was $34.0 thousand and $0.1 million for the </w:t>
      </w:r>
      <w:r>
        <w:rPr>
          <w:rFonts w:ascii="Times New Roman" w:cs="Times New Roman" w:eastAsia="Times New Roman" w:hAnsi="Times New Roman"/>
          <w:sz w:val="16"/>
          <w:szCs w:val="16"/>
          <w:color w:val="000000"/>
        </w:rPr>
        <w:t>three months ended September 30, 2025 and 2024</w:t>
      </w:r>
      <w:r>
        <w:rPr>
          <w:rFonts w:ascii="Times New Roman" w:cs="Times New Roman" w:eastAsia="Times New Roman" w:hAnsi="Times New Roman"/>
          <w:sz w:val="16"/>
          <w:szCs w:val="16"/>
          <w:color w:val="231F20"/>
        </w:rPr>
        <w:t>, respectively</w:t>
      </w:r>
      <w:r>
        <w:rPr>
          <w:rFonts w:ascii="Times New Roman" w:cs="Times New Roman" w:eastAsia="Times New Roman" w:hAnsi="Times New Roman"/>
          <w:sz w:val="16"/>
          <w:szCs w:val="16"/>
          <w:color w:val="000000"/>
        </w:rPr>
        <w:t>. Rent expense was $0.1 million and $0.3 million for the nine months ended September 30, 2025 and 2024, respectively. See Note 6 to the condensed financial statements for details related to future lease payments.</w:t>
      </w:r>
    </w:p>
    <w:p>
      <w:pPr>
        <w:spacing w:after="0" w:line="12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In January 2022, we entered into a Negotiated Purchase Order Terms and Conditions for Clinical and Commercial Product, as amended effective as of August 1, 2022, March 31, 2024, and July 31, 2024 (the “Fresenius Agreement”) with Fresenius Kabi, LLC (“Fresenius Kabi”), pursuant to which Fresenius Kabi manufactured FYARRO for us and we purchased FYARRO as a finished drug product from Fresenius Kabi, on a purchase order basis. The Fresenius Agreement contained specific activities such as non-cancellable commitments, minimum purchase commitments, or binding annual forecasts. Under the Fresenius Agreement, which was effective through September 30, 2024, we purchased FYARRO for either clinical or commercial purposes for use in the United States and Canada. As a result of the FYARRO Divestiture, all of our rights and obligations under the Fresenius Agreement transferred to KAKEN.</w:t>
      </w:r>
    </w:p>
    <w:p>
      <w:pPr>
        <w:spacing w:after="0" w:line="13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We also have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us upon written notice. In the event of cancellation, we would be liable for the cost and expenses incurred to date as well as any close out costs of the service arrangement.</w:t>
      </w:r>
    </w:p>
    <w:p>
      <w:pPr>
        <w:spacing w:after="0" w:line="1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On December 19, 2024, we entered into the License Agreement with WuXi Biologics for exclusive rights to certain patents and know-how pertaining to WuXi Biologics’ preclinical ADC Therapies leveraging Hangzhou DAC linker-payload technology targeting each of MUC16, PTK7 and SEZ6. Under the License Agreement, we paid $6.0 million and $38.0 million to WuXi Biologics in the fourth quarter of 2024 and the second quarter of 2025, respectively, in each case, for the rights and licenses granted to us by WuXi Biologics.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7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Our condensed financial statements are prepared in accordance with U.S. generally accepted accounting principles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2" w:name="page43"/>
    <w:bookmarkEnd w:id="4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6"/>
          <w:szCs w:val="16"/>
          <w:color w:val="auto"/>
        </w:rPr>
        <w:t xml:space="preserve">For a discussion of our critical accounting estimates, please read Part II, Item 7. </w:t>
      </w:r>
      <w:r>
        <w:rPr>
          <w:rFonts w:ascii="Times New Roman" w:cs="Times New Roman" w:eastAsia="Times New Roman" w:hAnsi="Times New Roman"/>
          <w:sz w:val="16"/>
          <w:szCs w:val="16"/>
          <w:i w:val="1"/>
          <w:iCs w:val="1"/>
          <w:color w:val="auto"/>
        </w:rPr>
        <w:t>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Operations </w:t>
      </w:r>
      <w:r>
        <w:rPr>
          <w:rFonts w:ascii="Times New Roman" w:cs="Times New Roman" w:eastAsia="Times New Roman" w:hAnsi="Times New Roman"/>
          <w:sz w:val="16"/>
          <w:szCs w:val="16"/>
          <w:color w:val="auto"/>
        </w:rPr>
        <w:t>in our Annual Report on Form 10-K for the year ended December 31, 2024 filed with the SEC on March 28, 2025. There have been no material changes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critical accounting estimates previously disclosed in our Annual Report on Form 10-K.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a smaller reporting company, as defined by Rule 12b-2 of the Exchange Act, and are not required to provide information under this Item.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22222"/>
        </w:rPr>
        <w:t>Management’s Evaluation of our Disclosure Controls and Procedures</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Under the supervision of and with the participation of our management, including our principal executive officer and principal financial officer, we conducted an evaluation of the effectiveness of our disclosure controls and procedures as of September 30, 2025,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w:t>
      </w:r>
    </w:p>
    <w:p>
      <w:pPr>
        <w:spacing w:after="0" w:line="13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this evaluation, management concluded that our disclosure controls and procedures were effective at the reasonable assurance level as of September 30,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80"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identified in connection with the evaluation required by Rule 13a-15(d) and 15d-15(d) of the Exchange Act during the quarter ended September 30, 2025 that have materially affected, or are reasonably likely to materially affect, our internal control over financial reporting.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Limitations on the Effectiveness of Controls</w:t>
      </w:r>
    </w:p>
    <w:p>
      <w:pPr>
        <w:spacing w:after="0" w:line="180"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3" w:name="page44"/>
    <w:bookmarkEnd w:id="4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II—OTHER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discussion of legal proceedings, see Item 1 of Part I, “Condensed Financial Statements - Note 12” in this Quarterly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7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i w:val="1"/>
          <w:iCs w:val="1"/>
          <w:color w:val="auto"/>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If any of the following risks actually occur, our business, financial condition, results of operations and future growth prospects could be materially and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subject to numerous risks and uncertainties that you should be aware of in evaluating our business, including those described in Part II, Item 1A. “Risk</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in this Quarterly Report on Form 10-Q. These risks include, but are not limited to, the following:</w:t>
      </w:r>
    </w:p>
    <w:p>
      <w:pPr>
        <w:spacing w:after="0" w:line="176" w:lineRule="exact"/>
        <w:rPr>
          <w:sz w:val="20"/>
          <w:szCs w:val="20"/>
          <w:color w:val="auto"/>
        </w:rPr>
      </w:pPr>
    </w:p>
    <w:p>
      <w:pPr>
        <w:ind w:left="360" w:right="180"/>
        <w:spacing w:after="0" w:line="291" w:lineRule="auto"/>
        <w:rPr>
          <w:sz w:val="20"/>
          <w:szCs w:val="20"/>
          <w:color w:val="auto"/>
        </w:rPr>
      </w:pPr>
      <w:r>
        <w:rPr>
          <w:rFonts w:ascii="Times New Roman" w:cs="Times New Roman" w:eastAsia="Times New Roman" w:hAnsi="Times New Roman"/>
          <w:sz w:val="16"/>
          <w:szCs w:val="16"/>
          <w:color w:val="auto"/>
        </w:rPr>
        <w:t>•We are a preclinical-stage biopharmaceutical company, have a limited operating history and have three preclinical products in development, which may make it difficult for you to evaluate our current business and likelihood of success and viability.</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have incurred significant net losses since our inception, and we expect to continue to incur significant net losses for the foreseeable future.</w:t>
      </w:r>
    </w:p>
    <w:p>
      <w:pPr>
        <w:spacing w:after="0" w:line="176" w:lineRule="exact"/>
        <w:rPr>
          <w:sz w:val="20"/>
          <w:szCs w:val="20"/>
          <w:color w:val="auto"/>
        </w:rPr>
      </w:pPr>
    </w:p>
    <w:p>
      <w:pPr>
        <w:ind w:left="360" w:right="60"/>
        <w:spacing w:after="0" w:line="366" w:lineRule="auto"/>
        <w:rPr>
          <w:sz w:val="20"/>
          <w:szCs w:val="20"/>
          <w:color w:val="auto"/>
        </w:rPr>
      </w:pPr>
      <w:r>
        <w:rPr>
          <w:rFonts w:ascii="Times New Roman" w:cs="Times New Roman" w:eastAsia="Times New Roman" w:hAnsi="Times New Roman"/>
          <w:sz w:val="14"/>
          <w:szCs w:val="14"/>
          <w:color w:val="auto"/>
        </w:rPr>
        <w:t>•Our ability to generate revenue and achieve profitability depends significantly on our ability to achieve several objectives relating to the discovery, development and commercialization of a portfolio of three next generation antibody drug conjugates (“ADC Therapies”) and any other product candidates that we may develop.</w:t>
      </w:r>
    </w:p>
    <w:p>
      <w:pPr>
        <w:spacing w:after="0" w:line="73" w:lineRule="exact"/>
        <w:rPr>
          <w:sz w:val="20"/>
          <w:szCs w:val="20"/>
          <w:color w:val="auto"/>
        </w:rPr>
      </w:pPr>
    </w:p>
    <w:p>
      <w:pPr>
        <w:ind w:left="360"/>
        <w:spacing w:after="0" w:line="291" w:lineRule="auto"/>
        <w:rPr>
          <w:sz w:val="20"/>
          <w:szCs w:val="20"/>
          <w:color w:val="auto"/>
        </w:rPr>
      </w:pPr>
      <w:r>
        <w:rPr>
          <w:rFonts w:ascii="Times New Roman" w:cs="Times New Roman" w:eastAsia="Times New Roman" w:hAnsi="Times New Roman"/>
          <w:sz w:val="16"/>
          <w:szCs w:val="16"/>
          <w:color w:val="auto"/>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18" w:lineRule="exact"/>
        <w:rPr>
          <w:sz w:val="20"/>
          <w:szCs w:val="20"/>
          <w:color w:val="auto"/>
        </w:rPr>
      </w:pPr>
    </w:p>
    <w:p>
      <w:pPr>
        <w:ind w:left="360" w:right="420"/>
        <w:spacing w:after="0" w:line="291" w:lineRule="auto"/>
        <w:rPr>
          <w:sz w:val="20"/>
          <w:szCs w:val="20"/>
          <w:color w:val="auto"/>
        </w:rPr>
      </w:pPr>
      <w:r>
        <w:rPr>
          <w:rFonts w:ascii="Times New Roman" w:cs="Times New Roman" w:eastAsia="Times New Roman" w:hAnsi="Times New Roman"/>
          <w:sz w:val="16"/>
          <w:szCs w:val="16"/>
          <w:color w:val="auto"/>
        </w:rPr>
        <w:t>•We may be unable to obtain United States or foreign regulatory approval for the ADC Therapies or any other product candidates that we may develop in the future and, as a result, may be unable to commercialize any such product candidates and in such event our business will be substantially harmed.</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231F20"/>
        </w:rPr>
        <w:t>We may not be successful in growing our product pipeline through acquisitions and in-licenses.</w:t>
      </w:r>
    </w:p>
    <w:p>
      <w:pPr>
        <w:spacing w:after="0" w:line="176" w:lineRule="exact"/>
        <w:rPr>
          <w:sz w:val="20"/>
          <w:szCs w:val="20"/>
          <w:color w:val="auto"/>
        </w:rPr>
      </w:pPr>
    </w:p>
    <w:p>
      <w:pPr>
        <w:ind w:left="360" w:right="180"/>
        <w:spacing w:after="0" w:line="278" w:lineRule="auto"/>
        <w:rPr>
          <w:sz w:val="20"/>
          <w:szCs w:val="20"/>
          <w:color w:val="auto"/>
        </w:rPr>
      </w:pPr>
      <w:r>
        <w:rPr>
          <w:rFonts w:ascii="Times New Roman" w:cs="Times New Roman" w:eastAsia="Times New Roman" w:hAnsi="Times New Roman"/>
          <w:sz w:val="16"/>
          <w:szCs w:val="16"/>
          <w:color w:val="auto"/>
        </w:rPr>
        <w:t>•We contract with qualified third parties for the production of pre-clinical product supplies, and expect to continue to do so for supplies needed for clinical trials. This reliance on third parties increases the risk that we will not have sufficient quality and quantities of product supplies to meet demand or otherwise or such quantities at an acceptable cost, which could delay, prevent or impair our development or commercialization efforts.</w:t>
      </w:r>
    </w:p>
    <w:p>
      <w:pPr>
        <w:spacing w:after="0" w:line="129" w:lineRule="exact"/>
        <w:rPr>
          <w:sz w:val="20"/>
          <w:szCs w:val="20"/>
          <w:color w:val="auto"/>
        </w:rPr>
      </w:pPr>
    </w:p>
    <w:p>
      <w:pPr>
        <w:ind w:left="360" w:right="160"/>
        <w:spacing w:after="0" w:line="291" w:lineRule="auto"/>
        <w:rPr>
          <w:sz w:val="20"/>
          <w:szCs w:val="20"/>
          <w:color w:val="auto"/>
        </w:rPr>
      </w:pPr>
      <w:r>
        <w:rPr>
          <w:rFonts w:ascii="Times New Roman" w:cs="Times New Roman" w:eastAsia="Times New Roman" w:hAnsi="Times New Roman"/>
          <w:sz w:val="16"/>
          <w:szCs w:val="16"/>
          <w:color w:val="auto"/>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118" w:lineRule="exact"/>
        <w:rPr>
          <w:sz w:val="20"/>
          <w:szCs w:val="20"/>
          <w:color w:val="auto"/>
        </w:rPr>
      </w:pPr>
    </w:p>
    <w:p>
      <w:pPr>
        <w:ind w:left="360" w:right="520"/>
        <w:spacing w:after="0" w:line="291" w:lineRule="auto"/>
        <w:rPr>
          <w:sz w:val="20"/>
          <w:szCs w:val="20"/>
          <w:color w:val="auto"/>
        </w:rPr>
      </w:pPr>
      <w:r>
        <w:rPr>
          <w:rFonts w:ascii="Times New Roman" w:cs="Times New Roman" w:eastAsia="Times New Roman" w:hAnsi="Times New Roman"/>
          <w:sz w:val="16"/>
          <w:szCs w:val="16"/>
          <w:color w:val="auto"/>
        </w:rPr>
        <w:t>•If we experience delays or difficulties in the enrollment and/or maintenance of patients in clinical trials, our regulatory submissions or receipt of necessary regulatory approvals could be delayed or prevented.</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4" w:name="page45"/>
    <w:bookmarkEnd w:id="4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right="20"/>
        <w:spacing w:after="0" w:line="291" w:lineRule="auto"/>
        <w:rPr>
          <w:sz w:val="20"/>
          <w:szCs w:val="20"/>
          <w:color w:val="auto"/>
        </w:rPr>
      </w:pPr>
      <w:r>
        <w:rPr>
          <w:rFonts w:ascii="Times New Roman" w:cs="Times New Roman" w:eastAsia="Times New Roman" w:hAnsi="Times New Roman"/>
          <w:sz w:val="16"/>
          <w:szCs w:val="16"/>
          <w:color w:val="auto"/>
        </w:rPr>
        <w:t>•We have limited resources and are currently focusing our efforts on developing the ADC Therapies for particular indications. As a result, we may fail to capitalize on other indications or product candidates that may ultimately prove to be more profitable or to have a greater likelihood of success.</w:t>
      </w:r>
    </w:p>
    <w:p>
      <w:pPr>
        <w:spacing w:after="0" w:line="118" w:lineRule="exact"/>
        <w:rPr>
          <w:sz w:val="20"/>
          <w:szCs w:val="20"/>
          <w:color w:val="auto"/>
        </w:rPr>
      </w:pPr>
    </w:p>
    <w:p>
      <w:pPr>
        <w:ind w:left="360" w:right="360"/>
        <w:spacing w:after="0" w:line="366" w:lineRule="auto"/>
        <w:rPr>
          <w:sz w:val="20"/>
          <w:szCs w:val="20"/>
          <w:color w:val="auto"/>
        </w:rPr>
      </w:pPr>
      <w:r>
        <w:rPr>
          <w:rFonts w:ascii="Times New Roman" w:cs="Times New Roman" w:eastAsia="Times New Roman" w:hAnsi="Times New Roman"/>
          <w:sz w:val="14"/>
          <w:szCs w:val="14"/>
          <w:color w:val="auto"/>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market opportunities for the ADC Therapies and other product candidates we may develop, if approved, may be limited to certain smaller patient subsets.</w:t>
      </w:r>
    </w:p>
    <w:p>
      <w:pPr>
        <w:spacing w:after="0" w:line="176" w:lineRule="exact"/>
        <w:rPr>
          <w:sz w:val="20"/>
          <w:szCs w:val="20"/>
          <w:color w:val="auto"/>
        </w:rPr>
      </w:pPr>
    </w:p>
    <w:p>
      <w:pPr>
        <w:ind w:left="360" w:right="220"/>
        <w:spacing w:after="0" w:line="278" w:lineRule="auto"/>
        <w:rPr>
          <w:sz w:val="20"/>
          <w:szCs w:val="20"/>
          <w:color w:val="auto"/>
        </w:rPr>
      </w:pPr>
      <w:r>
        <w:rPr>
          <w:rFonts w:ascii="Times New Roman" w:cs="Times New Roman" w:eastAsia="Times New Roman" w:hAnsi="Times New Roman"/>
          <w:sz w:val="16"/>
          <w:szCs w:val="16"/>
          <w:color w:val="auto"/>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 including consummating potential strategic transactions.</w:t>
      </w:r>
    </w:p>
    <w:p>
      <w:pPr>
        <w:spacing w:after="0" w:line="129" w:lineRule="exact"/>
        <w:rPr>
          <w:sz w:val="20"/>
          <w:szCs w:val="20"/>
          <w:color w:val="auto"/>
        </w:rPr>
      </w:pPr>
    </w:p>
    <w:p>
      <w:pPr>
        <w:ind w:left="360" w:right="100"/>
        <w:spacing w:after="0" w:line="291" w:lineRule="auto"/>
        <w:rPr>
          <w:sz w:val="20"/>
          <w:szCs w:val="20"/>
          <w:color w:val="auto"/>
        </w:rPr>
      </w:pPr>
      <w:r>
        <w:rPr>
          <w:rFonts w:ascii="Times New Roman" w:cs="Times New Roman" w:eastAsia="Times New Roman" w:hAnsi="Times New Roman"/>
          <w:sz w:val="16"/>
          <w:szCs w:val="16"/>
          <w:color w:val="auto"/>
        </w:rPr>
        <w:t>•Our success depends on our ability to protect and strengthen our intellectual property and our proprietary technologies, including our ability to obtain patent term extension for our product or any future product candidates.</w:t>
      </w:r>
    </w:p>
    <w:p>
      <w:pPr>
        <w:spacing w:after="0" w:line="118" w:lineRule="exact"/>
        <w:rPr>
          <w:sz w:val="20"/>
          <w:szCs w:val="20"/>
          <w:color w:val="auto"/>
        </w:rPr>
      </w:pPr>
    </w:p>
    <w:p>
      <w:pPr>
        <w:ind w:left="360" w:right="180"/>
        <w:spacing w:after="0" w:line="291" w:lineRule="auto"/>
        <w:rPr>
          <w:sz w:val="20"/>
          <w:szCs w:val="20"/>
          <w:color w:val="auto"/>
        </w:rPr>
      </w:pPr>
      <w:r>
        <w:rPr>
          <w:rFonts w:ascii="Times New Roman" w:cs="Times New Roman" w:eastAsia="Times New Roman" w:hAnsi="Times New Roman"/>
          <w:sz w:val="16"/>
          <w:szCs w:val="16"/>
          <w:color w:val="auto"/>
        </w:rPr>
        <w:t>•We depend on intellectual property licensed from third parties and termination of any of these licenses could result in the loss of significant rights, which would harm our business.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rely, and expect to continue to rely, on third parties to conduct our preclinical studies and clinical trials and those third parties may not perform satisfactorily.</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business is subject to the risks associated with doing business in China.</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•U.S.-China trade relations may adversely impact our supply chain operations and business.</w:t>
      </w:r>
    </w:p>
    <w:p>
      <w:pPr>
        <w:spacing w:after="0" w:line="176" w:lineRule="exact"/>
        <w:rPr>
          <w:sz w:val="20"/>
          <w:szCs w:val="20"/>
          <w:color w:val="auto"/>
        </w:rPr>
      </w:pPr>
    </w:p>
    <w:p>
      <w:pPr>
        <w:ind w:left="360" w:right="560"/>
        <w:spacing w:after="0" w:line="291" w:lineRule="auto"/>
        <w:rPr>
          <w:sz w:val="20"/>
          <w:szCs w:val="20"/>
          <w:color w:val="auto"/>
        </w:rPr>
      </w:pPr>
      <w:r>
        <w:rPr>
          <w:rFonts w:ascii="Times New Roman" w:cs="Times New Roman" w:eastAsia="Times New Roman" w:hAnsi="Times New Roman"/>
          <w:sz w:val="16"/>
          <w:szCs w:val="16"/>
          <w:color w:val="auto"/>
        </w:rPr>
        <w:t>•Litigation and legal proceedings may substantially increase our costs and harm our business, irrespective of outcome, including any securities class action litigation that might occur in connection with potential strategic transactions.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stock price is volatile.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Risks Related to Our Business, Financial Condition and Capital Requirements</w:t>
      </w:r>
    </w:p>
    <w:p>
      <w:pPr>
        <w:spacing w:after="0" w:line="174" w:lineRule="exact"/>
        <w:rPr>
          <w:sz w:val="20"/>
          <w:szCs w:val="20"/>
          <w:color w:val="auto"/>
        </w:rPr>
      </w:pPr>
    </w:p>
    <w:p>
      <w:pPr>
        <w:ind w:right="50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are a preclinical-stage biopharmaceutical company, have a limited operating history and had a single product approved for commercial sale that we have divested, which may make it difficult for you to evaluate our current business and likelihood of success and viability.</w:t>
      </w:r>
    </w:p>
    <w:p>
      <w:pPr>
        <w:spacing w:after="0" w:line="114"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4"/>
          <w:szCs w:val="14"/>
          <w:color w:val="auto"/>
        </w:rPr>
        <w:t xml:space="preserve">We are a preclinical-stage biopharmaceutical company with a limited operating history upon which you can evaluate our business and prospects. </w:t>
      </w:r>
      <w:r>
        <w:rPr>
          <w:rFonts w:ascii="Times New Roman" w:cs="Times New Roman" w:eastAsia="Times New Roman" w:hAnsi="Times New Roman"/>
          <w:sz w:val="14"/>
          <w:szCs w:val="14"/>
          <w:color w:val="231F20"/>
        </w:rPr>
        <w:t>We had a single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product, FYARRO, approved for commercial sale by the FDA in November 2021 and launched commercially in the United States </w:t>
      </w:r>
      <w:r>
        <w:rPr>
          <w:rFonts w:ascii="Times New Roman" w:cs="Times New Roman" w:eastAsia="Times New Roman" w:hAnsi="Times New Roman"/>
          <w:sz w:val="14"/>
          <w:szCs w:val="14"/>
          <w:color w:val="000000"/>
        </w:rPr>
        <w:t>for treatment of</w:t>
      </w:r>
      <w:r>
        <w:rPr>
          <w:rFonts w:ascii="Times New Roman" w:cs="Times New Roman" w:eastAsia="Times New Roman" w:hAnsi="Times New Roman"/>
          <w:sz w:val="14"/>
          <w:szCs w:val="14"/>
          <w:color w:val="231F20"/>
        </w:rPr>
        <w:t xml:space="preserve"> advanced malignant PEComa in February 2022. In March 2025, we divested FYARRO pursuant to a </w:t>
      </w:r>
      <w:r>
        <w:rPr>
          <w:rFonts w:ascii="Times New Roman" w:cs="Times New Roman" w:eastAsia="Times New Roman" w:hAnsi="Times New Roman"/>
          <w:sz w:val="14"/>
          <w:szCs w:val="14"/>
          <w:color w:val="000000"/>
        </w:rPr>
        <w:t>Stock Purchase Agreement (the “Divestiture Agreement”), dated December 19, 2024,</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with KAKEN INVESTMENTS INC., a Delaware corporation (“KAKEN”), KAKEN PHARMACEUTICAL CO., LTD, and Aadi Subsidiary, Inc., a Delaware corporation and our former wholly owned subsidiary and the operating company for the FYARRO Business (“Aadi Subsidiary”). We recently entered into an intellectual property license agreement (the “License Agreement”) with WuXi Biologics (Shanghai FX) Co., Ltd. (“WuXi Biologics”) for the development and global commercialization of the ADC Therapies targeting clinically validated, broadly overexpressed tumor antigens in high potential cancer indications with significant unmet need. Accordingly, we continue to incur significant research and development and other expenses related to such ongoing operations. We have not yet demonstrated an ability to overcome many of the risks and uncertainties frequently encountered by companies in new and rapidly evolving fields, particularly in</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5" w:name="page46"/>
    <w:bookmarkEnd w:id="4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6"/>
          <w:szCs w:val="16"/>
          <w:color w:val="auto"/>
        </w:rPr>
        <w:t>the biopharmaceutical area. Consequently, any predictions about our future performance may not be as accurate as they would be if we had a history of successfully developing and commercializing biopharmaceutical products.</w:t>
      </w:r>
    </w:p>
    <w:p>
      <w:pPr>
        <w:spacing w:after="0" w:line="118" w:lineRule="exact"/>
        <w:rPr>
          <w:sz w:val="20"/>
          <w:szCs w:val="20"/>
          <w:color w:val="auto"/>
        </w:rPr>
      </w:pPr>
    </w:p>
    <w:p>
      <w:pPr>
        <w:ind w:right="460"/>
        <w:spacing w:after="0" w:line="366" w:lineRule="auto"/>
        <w:rPr>
          <w:sz w:val="20"/>
          <w:szCs w:val="20"/>
          <w:color w:val="auto"/>
        </w:rPr>
      </w:pPr>
      <w:r>
        <w:rPr>
          <w:rFonts w:ascii="Times New Roman" w:cs="Times New Roman" w:eastAsia="Times New Roman" w:hAnsi="Times New Roman"/>
          <w:sz w:val="14"/>
          <w:szCs w:val="14"/>
          <w:color w:val="auto"/>
        </w:rPr>
        <w:t>To date, we have devoted substantially all of our resources to research and development activities, business planning, establishing and maintaining our intellectual property portfolio, the commercialization of FYARRO, hiring personnel, raising capital and providing general and administrative support for these operations.</w:t>
      </w:r>
    </w:p>
    <w:p>
      <w:pPr>
        <w:spacing w:after="0" w:line="7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6"/>
          <w:szCs w:val="16"/>
          <w:color w:val="auto"/>
        </w:rPr>
        <w:t>We just recently acquired the ADC Therapies and have not commenced clinical trials with the product candidates. As a result, it may be more difficult for you to accurately predict our likelihood of success and viability than it could be if we had a longer operating history. In addition, we may encounter unforeseen expenses, difficulties, complications, delays and other known and unknown factors and risks frequently experienced by preclinical-stage biopharmaceutical companies in rapidly evolving fields.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We have incurred significant net losses since our inception, and we expect to continue to incur significant net losses for the foreseeable future.</w:t>
      </w:r>
    </w:p>
    <w:p>
      <w:pPr>
        <w:spacing w:after="0" w:line="18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231F20"/>
        </w:rPr>
        <w:t>We have incurred significant net losses since our inception, have only generated revenue from product sales for a portion of our operating history (February 2022 through March 2025), and have financed our operations principally through private placements and public offerings of our securities, federal grants and proceeds from licenses. Our net loss was $17.7 million and $12.5 million for the three months ended September 30, 2025 and 2024, respectively. We had an accumulated deficit of $330.0 million as of September 30, 2025, and $332.7 million as of December 31, 2024. These losses have resulted primarily from costs incurred in connection with research and development activities, costs incurred in connection with developing and commercializing FYARRO and general and administrative costs associated with our operations. As a result of our acquisition of the ADC Therapies, we expect to continue to incur significant selling, general and administrative expenses as well as research and development expenses related to our ongoing operations, including, identifying and designing additional product candidates, conducting preclinical studies and clinical trials for our product candidates, and navigating the regulatory approval process for the ADC Therapies and any future product candidates. Although we expect our expenses to decrease overall given the recent divestiture of FYARRO, including related commercial and clinical expenses, and headcount reductions, the amount of our future expenses and potential losses is uncertain.</w:t>
      </w:r>
    </w:p>
    <w:p>
      <w:pPr>
        <w:spacing w:after="0" w:line="14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231F20"/>
        </w:rPr>
        <w:t>Even if we succeed in receiving regulatory approval for and commercializing one or more of our current and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our ability to achieve and maintain profitability and the performance of our stock.</w:t>
      </w:r>
    </w:p>
    <w:p>
      <w:pPr>
        <w:spacing w:after="0" w:line="130"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ability to generate revenue and achieve profitability depends significantly on our ability to achieve several objectives relating to the discovery, development and commercialization of the ADC Therapies and other product candidates that we may develop in the future.</w:t>
      </w:r>
    </w:p>
    <w:p>
      <w:pPr>
        <w:spacing w:after="0" w:line="11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Our ability to generate product sales depends on our ability, alone or with strategic collaboration partners, to obtain the regulatory and marketing approvals necessary to successfully complete discovery, development and eventual commercialization of one or more of the ADC Therapies or any future product candidates, and commercialize any such product candidates, if approved, in foreign jurisdictions. We do not anticipate generating revenue from product sales for the</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46" w:name="page47"/>
    <w:bookmarkEnd w:id="4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6"/>
          <w:szCs w:val="16"/>
          <w:color w:val="auto"/>
        </w:rPr>
        <w:t>foreseeable future. Our ability to generate future revenue and achieve profitability depends significantly on our ability, or any current or future collaborator’s ability, to achieve several objectives, including, but not limited to:</w:t>
      </w:r>
    </w:p>
    <w:p>
      <w:pPr>
        <w:spacing w:after="0" w:line="106" w:lineRule="exact"/>
        <w:rPr>
          <w:sz w:val="20"/>
          <w:szCs w:val="20"/>
          <w:color w:val="auto"/>
        </w:rPr>
      </w:pPr>
    </w:p>
    <w:p>
      <w:pPr>
        <w:ind w:left="360"/>
        <w:spacing w:after="0" w:line="275" w:lineRule="auto"/>
        <w:rPr>
          <w:sz w:val="20"/>
          <w:szCs w:val="20"/>
          <w:color w:val="auto"/>
        </w:rPr>
      </w:pPr>
      <w:r>
        <w:rPr>
          <w:rFonts w:ascii="Times New Roman" w:cs="Times New Roman" w:eastAsia="Times New Roman" w:hAnsi="Times New Roman"/>
          <w:sz w:val="16"/>
          <w:szCs w:val="16"/>
          <w:color w:val="auto"/>
        </w:rPr>
        <w:t>•demonstrating the safety and efficacy of the ADC Therapies to the satisfaction of the FDA and obtaining regulatory approval for ADC Therapies and for any other product candidates that we may develop in the future, if any, for which there is a commercial market;</w:t>
      </w:r>
    </w:p>
    <w:p>
      <w:pPr>
        <w:spacing w:after="0" w:line="119" w:lineRule="exact"/>
        <w:rPr>
          <w:sz w:val="20"/>
          <w:szCs w:val="20"/>
          <w:color w:val="auto"/>
        </w:rPr>
      </w:pPr>
    </w:p>
    <w:p>
      <w:pPr>
        <w:ind w:left="360" w:right="420"/>
        <w:spacing w:after="0" w:line="275" w:lineRule="auto"/>
        <w:rPr>
          <w:sz w:val="20"/>
          <w:szCs w:val="20"/>
          <w:color w:val="auto"/>
        </w:rPr>
      </w:pPr>
      <w:r>
        <w:rPr>
          <w:rFonts w:ascii="Times New Roman" w:cs="Times New Roman" w:eastAsia="Times New Roman" w:hAnsi="Times New Roman"/>
          <w:sz w:val="16"/>
          <w:szCs w:val="16"/>
          <w:color w:val="auto"/>
        </w:rPr>
        <w:t>•launching and successfully commercializing the ADC Therapies or any other product candidates that we may develop in the future following any regulatory approval, including the development of a commercial infrastructure, whether in-house or with one or more collaborators;</w:t>
      </w:r>
    </w:p>
    <w:p>
      <w:pPr>
        <w:spacing w:after="0" w:line="119" w:lineRule="exact"/>
        <w:rPr>
          <w:sz w:val="20"/>
          <w:szCs w:val="20"/>
          <w:color w:val="auto"/>
        </w:rPr>
      </w:pPr>
    </w:p>
    <w:p>
      <w:pPr>
        <w:ind w:left="360" w:right="160"/>
        <w:spacing w:after="0" w:line="262" w:lineRule="auto"/>
        <w:rPr>
          <w:sz w:val="20"/>
          <w:szCs w:val="20"/>
          <w:color w:val="auto"/>
        </w:rPr>
      </w:pPr>
      <w:r>
        <w:rPr>
          <w:rFonts w:ascii="Times New Roman" w:cs="Times New Roman" w:eastAsia="Times New Roman" w:hAnsi="Times New Roman"/>
          <w:sz w:val="16"/>
          <w:szCs w:val="16"/>
          <w:color w:val="auto"/>
        </w:rPr>
        <w:t>•maintaining a commercially viable supply of, and manufacturing relationships with third parties that can provide adequate, in both amount and quality, products and services to support clinical development and meet the market demand for the ADC Therapies or any other product candidates that we may develop in the future, if approved;</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•completing development activities successfully and on a timely basis;</w:t>
      </w:r>
    </w:p>
    <w:p>
      <w:pPr>
        <w:spacing w:after="0" w:line="164" w:lineRule="exact"/>
        <w:rPr>
          <w:sz w:val="20"/>
          <w:szCs w:val="20"/>
          <w:color w:val="auto"/>
        </w:rPr>
      </w:pPr>
    </w:p>
    <w:p>
      <w:pPr>
        <w:ind w:left="360" w:right="360"/>
        <w:spacing w:after="0" w:line="262" w:lineRule="auto"/>
        <w:rPr>
          <w:sz w:val="20"/>
          <w:szCs w:val="20"/>
          <w:color w:val="auto"/>
        </w:rPr>
      </w:pPr>
      <w:r>
        <w:rPr>
          <w:rFonts w:ascii="Times New Roman" w:cs="Times New Roman" w:eastAsia="Times New Roman" w:hAnsi="Times New Roman"/>
          <w:sz w:val="16"/>
          <w:szCs w:val="16"/>
          <w:color w:val="auto"/>
        </w:rPr>
        <w:t>•our ability to complete investigational new drug (“IND”) application enabling studies and successfully submit INDs or IND supplements or comparable applications, which become effective without any objections by the FDA or comparable regulatory authorities before commencing a clinical trial for the ADC Therapies and any future product candidates;</w:t>
      </w:r>
    </w:p>
    <w:p>
      <w:pPr>
        <w:spacing w:after="0" w:line="130" w:lineRule="exact"/>
        <w:rPr>
          <w:sz w:val="20"/>
          <w:szCs w:val="20"/>
          <w:color w:val="auto"/>
        </w:rPr>
      </w:pPr>
    </w:p>
    <w:p>
      <w:pPr>
        <w:ind w:left="360" w:right="540"/>
        <w:spacing w:after="0" w:line="275" w:lineRule="auto"/>
        <w:rPr>
          <w:sz w:val="20"/>
          <w:szCs w:val="20"/>
          <w:color w:val="auto"/>
        </w:rPr>
      </w:pPr>
      <w:r>
        <w:rPr>
          <w:rFonts w:ascii="Times New Roman" w:cs="Times New Roman" w:eastAsia="Times New Roman" w:hAnsi="Times New Roman"/>
          <w:sz w:val="16"/>
          <w:szCs w:val="16"/>
          <w:color w:val="auto"/>
        </w:rPr>
        <w:t>•establishing and maintaining relationships with contract research organizations (“CROs”) and clinical sites for the future clinical development of the ADC Therapies and any other future product candidates that we may develop;</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•timely receipt of regulatory approvals from applicable regulatory authorities for any product candidates for which we successfully complete clinical development;</w:t>
      </w:r>
    </w:p>
    <w:p>
      <w:pPr>
        <w:spacing w:after="0" w:line="187" w:lineRule="exact"/>
        <w:rPr>
          <w:sz w:val="20"/>
          <w:szCs w:val="20"/>
          <w:color w:val="auto"/>
        </w:rPr>
      </w:pPr>
    </w:p>
    <w:p>
      <w:pPr>
        <w:ind w:left="360" w:right="420"/>
        <w:spacing w:after="0" w:line="275" w:lineRule="auto"/>
        <w:rPr>
          <w:sz w:val="20"/>
          <w:szCs w:val="20"/>
          <w:color w:val="auto"/>
        </w:rPr>
      </w:pPr>
      <w:r>
        <w:rPr>
          <w:rFonts w:ascii="Times New Roman" w:cs="Times New Roman" w:eastAsia="Times New Roman" w:hAnsi="Times New Roman"/>
          <w:sz w:val="16"/>
          <w:szCs w:val="16"/>
          <w:color w:val="auto"/>
        </w:rPr>
        <w:t>•developing or contracting for an efficient and scalable manufacturing process for the ADC Therapies and any future product candidates, including obtaining finished products that are appropriately packaged for sale;</w:t>
      </w:r>
    </w:p>
    <w:p>
      <w:pPr>
        <w:spacing w:after="0" w:line="119" w:lineRule="exact"/>
        <w:rPr>
          <w:sz w:val="20"/>
          <w:szCs w:val="20"/>
          <w:color w:val="auto"/>
        </w:rPr>
      </w:pPr>
    </w:p>
    <w:p>
      <w:pPr>
        <w:ind w:left="360" w:right="180"/>
        <w:spacing w:after="0" w:line="275" w:lineRule="auto"/>
        <w:rPr>
          <w:sz w:val="20"/>
          <w:szCs w:val="20"/>
          <w:color w:val="auto"/>
        </w:rPr>
      </w:pPr>
      <w:r>
        <w:rPr>
          <w:rFonts w:ascii="Times New Roman" w:cs="Times New Roman" w:eastAsia="Times New Roman" w:hAnsi="Times New Roman"/>
          <w:sz w:val="16"/>
          <w:szCs w:val="16"/>
          <w:color w:val="auto"/>
        </w:rPr>
        <w:t>•following regulatory approval, negotiating and maintaining an adequate price for the ADC Therapies or any future product candidates, both in the United States and in foreign countries where our products are commercialized;</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continued acceptable safety profile following any regulatory approval of product candidates;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•commercial acceptance of product candidates by patients, the medical community and third-party payors;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•obtaining coverage and adequate reimbursement by third-party payors for any product candidates;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•satisfying any required post-regulatory approval commitments to applicable regulatory authorities; identifying, assessing and developing new product candidates;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•obtaining, maintaining and expanding patent protection, trade secret protection and regulatory exclusivity, both in the United States and internationally;</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•protecting our rights in our intellectual property portfolio;</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•defending against third-party interference or infringement claims, if any;</w:t>
      </w:r>
    </w:p>
    <w:p>
      <w:pPr>
        <w:spacing w:after="0" w:line="164" w:lineRule="exact"/>
        <w:rPr>
          <w:sz w:val="20"/>
          <w:szCs w:val="20"/>
          <w:color w:val="auto"/>
        </w:rPr>
      </w:pPr>
    </w:p>
    <w:p>
      <w:pPr>
        <w:ind w:left="360" w:right="140"/>
        <w:spacing w:after="0" w:line="275" w:lineRule="auto"/>
        <w:rPr>
          <w:sz w:val="20"/>
          <w:szCs w:val="20"/>
          <w:color w:val="auto"/>
        </w:rPr>
      </w:pPr>
      <w:r>
        <w:rPr>
          <w:rFonts w:ascii="Times New Roman" w:cs="Times New Roman" w:eastAsia="Times New Roman" w:hAnsi="Times New Roman"/>
          <w:sz w:val="16"/>
          <w:szCs w:val="16"/>
          <w:color w:val="auto"/>
        </w:rPr>
        <w:t>•entering into and maintaining, on favorable terms, any collaboration, licensing or other arrangements that may be necessary or desirable to develop, manufacture or commercialize the ADC Therapies and any future product candidates; and</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•addressing any competing therapies and technological and market developments and attracting, hiring and retaining qualified personnel.</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7" w:name="page48"/>
    <w:bookmarkEnd w:id="4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spacing w:after="0" w:line="128"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1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this will continue as a result of our ongoing and planned activities, particularly the clinical development of the ADC Therapies.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the ADC Therapies or any other product candidates that we may develop in the future, we expect to incur significant commercialization expenses related to sales, marketing, manufacturing and distribution activities and ongoing compliance activities. We cannot reasonably estimate the actual amount of resources and funding that will be necessary to successfully complete the development and, if approved, commercialize the ADC Therapies or any other product candidates we may develop. In addition, we have incurred, and will continue to incur, additional costs associated with operating as a public company. Accordingly, we will need to obtain substantial additional funding in order to continue our operations.</w:t>
      </w:r>
    </w:p>
    <w:p>
      <w:pPr>
        <w:spacing w:after="0" w:line="142"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6"/>
          <w:szCs w:val="16"/>
          <w:color w:val="auto"/>
        </w:rPr>
        <w:t>Changing circumstances, some of which may be beyond our control, could cause us to consume capital significantly faster than we currently anticipate, and we may need to seek additional funds sooner than planned.</w:t>
      </w:r>
    </w:p>
    <w:p>
      <w:pPr>
        <w:spacing w:after="0" w:line="118" w:lineRule="exact"/>
        <w:rPr>
          <w:sz w:val="20"/>
          <w:szCs w:val="20"/>
          <w:color w:val="auto"/>
        </w:rPr>
      </w:pPr>
    </w:p>
    <w:p>
      <w:pPr>
        <w:ind w:right="100"/>
        <w:spacing w:after="0" w:line="325" w:lineRule="auto"/>
        <w:rPr>
          <w:sz w:val="20"/>
          <w:szCs w:val="20"/>
          <w:color w:val="auto"/>
        </w:rPr>
      </w:pPr>
      <w:r>
        <w:rPr>
          <w:rFonts w:ascii="Times New Roman" w:cs="Times New Roman" w:eastAsia="Times New Roman" w:hAnsi="Times New Roman"/>
          <w:sz w:val="14"/>
          <w:szCs w:val="14"/>
          <w:color w:val="auto"/>
        </w:rPr>
        <w:t>We plan to use our cash, cash equivalents and short-term investments to fund the clinical development of the ADC Therapies, for manufacturing operations and to fund our other research for other product candidates and development activities, as well as for working capital and other general corporate purposes. Advancing the development of the ADC Therapies and any future product candidate will require a significant amount of capital. Our existing cash, cash equivalents and short-term investments will not be sufficient to fund all of the activities that are necessary to complete the development of the ADC Therapies and any future product candidates.</w:t>
      </w:r>
    </w:p>
    <w:p>
      <w:pPr>
        <w:spacing w:after="0" w:line="100"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4"/>
          <w:szCs w:val="14"/>
          <w:color w:val="auto"/>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develop the ADC Therapies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our stockholders’ ownership interest will be diluted, and the terms may include liquidation or other preferences that adversely affect stockholder rights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from rising inflation and interest rates, monetary policy changes, the implementation of tariffs, the conflicts in</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8" w:name="page49"/>
    <w:bookmarkEnd w:id="4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Ukraine and the Middle East, and otherwise. In addition, we may seek additional capital due to favorable market conditions or strategic considerations even if we believe we have sufficient funds for our current or future operating plans.</w:t>
      </w:r>
    </w:p>
    <w:p>
      <w:pPr>
        <w:spacing w:after="0" w:line="11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color w:val="auto"/>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Discovery, Development and Commercialization of Our Product Candidates</w:t>
      </w:r>
    </w:p>
    <w:p>
      <w:pPr>
        <w:spacing w:after="0" w:line="17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Following the FYARRO Divestiture, we do not have any approved products and our pipeline is comprised solely of preclinical assets. The ADC Therapies are early in development. Going forward, our business will depend on our ability to advance our current and future product candidates through preclinical studies and clinical trials and obtain regulatory approval of our product candidates, which may fail in development or suffer delays that adversely affect their commercial viability.</w:t>
      </w:r>
    </w:p>
    <w:p>
      <w:pPr>
        <w:spacing w:after="0" w:line="130" w:lineRule="exact"/>
        <w:rPr>
          <w:sz w:val="20"/>
          <w:szCs w:val="20"/>
          <w:color w:val="auto"/>
        </w:rPr>
      </w:pPr>
    </w:p>
    <w:p>
      <w:pPr>
        <w:ind w:right="40"/>
        <w:spacing w:after="0" w:line="325" w:lineRule="auto"/>
        <w:rPr>
          <w:sz w:val="20"/>
          <w:szCs w:val="20"/>
          <w:color w:val="auto"/>
        </w:rPr>
      </w:pPr>
      <w:r>
        <w:rPr>
          <w:rFonts w:ascii="Times New Roman" w:cs="Times New Roman" w:eastAsia="Times New Roman" w:hAnsi="Times New Roman"/>
          <w:sz w:val="14"/>
          <w:szCs w:val="14"/>
          <w:color w:val="auto"/>
        </w:rPr>
        <w:t>Following the FYARRO Divestiture, we do not have any approved products and our pipeline is comprised solely of preclinical assets. Going forward, our business and future operating results will be dependent on our ability to successfully advance, develop and obtain regulatory approval for and/or commercialize our current and future product candidates and discover or in-license additional preclinical or clinical assets. Our ability to generate product or other revenue, which we do not expect will occur for many years, if ever, will depend heavily on the successful development and eventual commercialization of our product candidates, which may never occur.</w:t>
      </w:r>
    </w:p>
    <w:p>
      <w:pPr>
        <w:spacing w:after="0" w:line="100"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4"/>
          <w:szCs w:val="14"/>
          <w:color w:val="auto"/>
        </w:rPr>
        <w:t>Prior to initiating clinical trials of our product candidates, we will need to initiate or complete IND-enabling studies for each of the ADC Therapies and we will need to file an IND or similar application to the FDA or regulatory authorities in other jurisdictions. We expect to submit INDs with respect to HWK-007 and HWK-016 in the fourth quarter of 2025 and HWK-206 in mid-2026 but we may not be able to file the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 If we experience failures, setbacks or delays in our preclinical studies, clinical trials, manufacturing or regulatory efforts, our business may be materially harmed.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success of other product candidates we may develop will depend on many factors, including the following:</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•generating sufficient preclinical data to support the initiation of clinical trials;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•obtaining regulatory permission to initiate clinical trials;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•contracting with the necessary parties to conduct preclinical studies and clinical trials;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•successful enrollment of patients in, and the completion of, clinical trials on a timely basis;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9" w:name="page50"/>
    <w:bookmarkEnd w:id="4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timely manufacture of sufficient quantities of a product candidate for use in clinical trials; and</w:t>
      </w:r>
    </w:p>
    <w:p>
      <w:pPr>
        <w:spacing w:after="0" w:line="176" w:lineRule="exact"/>
        <w:rPr>
          <w:sz w:val="20"/>
          <w:szCs w:val="20"/>
          <w:color w:val="auto"/>
        </w:rPr>
      </w:pPr>
    </w:p>
    <w:p>
      <w:pPr>
        <w:ind w:left="360" w:right="420"/>
        <w:spacing w:after="0" w:line="291" w:lineRule="auto"/>
        <w:rPr>
          <w:sz w:val="20"/>
          <w:szCs w:val="20"/>
          <w:color w:val="auto"/>
        </w:rPr>
      </w:pPr>
      <w:r>
        <w:rPr>
          <w:rFonts w:ascii="Times New Roman" w:cs="Times New Roman" w:eastAsia="Times New Roman" w:hAnsi="Times New Roman"/>
          <w:sz w:val="16"/>
          <w:szCs w:val="16"/>
          <w:color w:val="auto"/>
        </w:rPr>
        <w:t>•generating sufficient safety and efficacy data to warrant continued development and which are satisfactory to the FDA or any other regulatory authority for marketing approval.</w:t>
      </w:r>
    </w:p>
    <w:p>
      <w:pPr>
        <w:spacing w:after="0" w:line="118"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color w:val="auto"/>
        </w:rPr>
        <w:t>Even if we successfully advance any of the ADC Therapies or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125" w:lineRule="exact"/>
        <w:rPr>
          <w:sz w:val="20"/>
          <w:szCs w:val="20"/>
          <w:color w:val="auto"/>
        </w:rPr>
      </w:pPr>
    </w:p>
    <w:p>
      <w:pPr>
        <w:ind w:right="6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Through the License Agreement, we have transitioned to a new preclinical pipeline and are pursuing different targets and indications from those we have historically pursued, which has risks.</w:t>
      </w:r>
    </w:p>
    <w:p>
      <w:pPr>
        <w:spacing w:after="0" w:line="1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We are in-licensing the ADC Therapies, which are focused on new targets and indications that are different from the targets and indications for FYARRO. Transitioning to a new product candidate pipeline has many risks, including the ability to obtain sufficient capital to cover expenses to fund operations. These risks may be further exacerbated by the FYARRO Divestiture, as FYARRO has historically been our only source of revenue. The ADC Therapies represent a new preclinical pipeline with new targets and indications from historical current clinical pipeline and FYARRO. As a result, we have competitors that are better established in the market, have greater experience with such line of business or have greater resources than we do. Furthermore, certain of our current employees may have limited experience with discovery, research and development, preclinical studies and clinical trials relating to ADC Therapies and may have limited experience with respect to other programs we may explore as we seek to expand our pipeline. We may also be required to incur additional costs, including hiring additional personnel or equipment or engaging with new service providers. We may also have issues with the transfer of materials or learnings.</w:t>
      </w:r>
    </w:p>
    <w:p>
      <w:pPr>
        <w:spacing w:after="0" w:line="135" w:lineRule="exact"/>
        <w:rPr>
          <w:sz w:val="20"/>
          <w:szCs w:val="20"/>
          <w:color w:val="auto"/>
        </w:rPr>
      </w:pPr>
    </w:p>
    <w:p>
      <w:pPr>
        <w:ind w:right="4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The ADC Therapies have never been tested in humans. They are comprised of antibodies that have never been tested in humans and linker-payloads that are currently in clinical trials run by independent third parties for other indications.</w:t>
      </w:r>
    </w:p>
    <w:p>
      <w:pPr>
        <w:spacing w:after="0" w:line="11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Our product candidates are next-generation ADC Therapies using the same linker-payload designed by Hangzhou DAC and new antibodies designed by WuXi Biologics. Though ADC-based product candidates have been or are currently being evaluated by others in clinical trials using similar targets or the same linker-payload architectures, our product candidates and their antibody components have never been evaluated in human clinical trials. If our product candidates encounter safety or efficacy problems, developmental delays or regulatory issues or other problems, such problems could impact the development plans for our other product candidates because all of our product candidates currently use the same linker-payload architecture.</w:t>
      </w:r>
    </w:p>
    <w:p>
      <w:pPr>
        <w:spacing w:after="0" w:line="134" w:lineRule="exact"/>
        <w:rPr>
          <w:sz w:val="20"/>
          <w:szCs w:val="20"/>
          <w:color w:val="auto"/>
        </w:rPr>
      </w:pPr>
    </w:p>
    <w:p>
      <w:pPr>
        <w:ind w:right="80"/>
        <w:spacing w:after="0" w:line="325" w:lineRule="auto"/>
        <w:rPr>
          <w:sz w:val="20"/>
          <w:szCs w:val="20"/>
          <w:color w:val="auto"/>
        </w:rPr>
      </w:pPr>
      <w:r>
        <w:rPr>
          <w:rFonts w:ascii="Times New Roman" w:cs="Times New Roman" w:eastAsia="Times New Roman" w:hAnsi="Times New Roman"/>
          <w:sz w:val="14"/>
          <w:szCs w:val="14"/>
          <w:color w:val="auto"/>
        </w:rPr>
        <w:t>Additionally, if the ADC Therapies being developed by other third parties that use the same linker-payload as our product candidates encounter safety or efficacy problems, our product candidates may face challenges from a development, regulatory or commercialization perspective. Lack of efficacy, adverse events, undesirable side effects or other adverse results may emerge in clinical trials conducted by third parties investigating a similar product candidate or product candidates using the same or similar linkers, payloads or antibodies. Those adverse results can adversely affect the development, approval and commercialization of our product candidates.</w:t>
      </w:r>
    </w:p>
    <w:p>
      <w:pPr>
        <w:spacing w:after="0" w:line="10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Additionally, WuXi Biologics and Hangzhou DAC may enter into other licenses or collaboration partners that allow more third parties to develop and commercialize product candidates with the same or similar components, thereby increasing these risks. Lastly, the linker payloads may use highly potent cytotoxins and payloads that require special manufacturing and handling, which can pose additional risks.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50" w:name="page51"/>
    <w:bookmarkEnd w:id="5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product candidates may not achieve adequate market acceptance among physicians, patients, healthcare payors and others in the medical community necessary for commercial success, which would limit the revenue that we generate from our sales.</w:t>
      </w:r>
    </w:p>
    <w:p>
      <w:pPr>
        <w:spacing w:after="0" w:line="11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Even if our product candidates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efficacy and safety profile as demonstrated in clinical trials compared to alternative treatments;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timing of market introduction of the product candidate as well as competitive products;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clinical indications for which a product candidate is approved;</w:t>
      </w:r>
    </w:p>
    <w:p>
      <w:pPr>
        <w:spacing w:after="0" w:line="176" w:lineRule="exact"/>
        <w:rPr>
          <w:sz w:val="20"/>
          <w:szCs w:val="20"/>
          <w:color w:val="auto"/>
        </w:rPr>
      </w:pPr>
    </w:p>
    <w:p>
      <w:pPr>
        <w:ind w:left="360" w:right="140"/>
        <w:spacing w:after="0" w:line="291" w:lineRule="auto"/>
        <w:rPr>
          <w:sz w:val="20"/>
          <w:szCs w:val="20"/>
          <w:color w:val="auto"/>
        </w:rPr>
      </w:pPr>
      <w:r>
        <w:rPr>
          <w:rFonts w:ascii="Times New Roman" w:cs="Times New Roman" w:eastAsia="Times New Roman" w:hAnsi="Times New Roman"/>
          <w:sz w:val="16"/>
          <w:szCs w:val="16"/>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potential and perceived advantages of our product candidates over alternative treatments;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cost of treatment in relation to alternative treatments;</w:t>
      </w:r>
    </w:p>
    <w:p>
      <w:pPr>
        <w:spacing w:after="0" w:line="176" w:lineRule="exact"/>
        <w:rPr>
          <w:sz w:val="20"/>
          <w:szCs w:val="20"/>
          <w:color w:val="auto"/>
        </w:rPr>
      </w:pPr>
    </w:p>
    <w:p>
      <w:pPr>
        <w:ind w:left="360" w:right="360"/>
        <w:spacing w:after="0" w:line="291" w:lineRule="auto"/>
        <w:rPr>
          <w:sz w:val="20"/>
          <w:szCs w:val="20"/>
          <w:color w:val="auto"/>
        </w:rPr>
      </w:pPr>
      <w:r>
        <w:rPr>
          <w:rFonts w:ascii="Times New Roman" w:cs="Times New Roman" w:eastAsia="Times New Roman" w:hAnsi="Times New Roman"/>
          <w:sz w:val="16"/>
          <w:szCs w:val="16"/>
          <w:color w:val="auto"/>
        </w:rPr>
        <w:t>•the availability of coverage and adequate reimbursement by third-party payors, including government authorities or the willingness of patients to pay out-of-pocket in the absence of third-party payor coverage;</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availability of an approved product candidate for use as a combination therapy;</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prevalence and severity of any adverse effects associated with any approved product candidate;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•any restrictions on the use of our product candidates together with other medications;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•relative convenience and ease of administration;</w:t>
      </w:r>
    </w:p>
    <w:p>
      <w:pPr>
        <w:spacing w:after="0" w:line="176" w:lineRule="exact"/>
        <w:rPr>
          <w:sz w:val="20"/>
          <w:szCs w:val="20"/>
          <w:color w:val="auto"/>
        </w:rPr>
      </w:pPr>
    </w:p>
    <w:p>
      <w:pPr>
        <w:ind w:left="360" w:right="60"/>
        <w:spacing w:after="0" w:line="291" w:lineRule="auto"/>
        <w:rPr>
          <w:sz w:val="20"/>
          <w:szCs w:val="20"/>
          <w:color w:val="auto"/>
        </w:rPr>
      </w:pPr>
      <w:r>
        <w:rPr>
          <w:rFonts w:ascii="Times New Roman" w:cs="Times New Roman" w:eastAsia="Times New Roman" w:hAnsi="Times New Roman"/>
          <w:sz w:val="16"/>
          <w:szCs w:val="16"/>
          <w:color w:val="auto"/>
        </w:rPr>
        <w:t>•the willingness of the target patient population to try new therapies and undergo required diagnostic screening to determine treatment eligibility and of physicians to prescribe these therapies and diagnostic tests;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effectiveness of sales and marketing efforts;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•unfavorable publicity relating to our product candidates; and</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approval of other new therapies for the same indications.</w:t>
      </w:r>
    </w:p>
    <w:p>
      <w:pPr>
        <w:spacing w:after="0" w:line="176"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Even if a product candidate is approved,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any product candidates, in addition to treating target indications, also provide incremental health benefits to patients. Our efforts to educate the medical community and third-party payors about the benefits of any product candidates may require significant resources and may never be successful.</w:t>
      </w:r>
    </w:p>
    <w:p>
      <w:pPr>
        <w:spacing w:after="0" w:line="130"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The market opportunities for the ADC Therapies and any other product candidates we may develop in the future, if approved, may be limited to certain smaller patient subsets.</w:t>
      </w:r>
    </w:p>
    <w:p>
      <w:pPr>
        <w:spacing w:after="0" w:line="114" w:lineRule="exact"/>
        <w:rPr>
          <w:sz w:val="20"/>
          <w:szCs w:val="20"/>
          <w:color w:val="auto"/>
        </w:rPr>
      </w:pPr>
    </w:p>
    <w:p>
      <w:pPr>
        <w:ind w:right="260"/>
        <w:spacing w:after="0" w:line="335" w:lineRule="auto"/>
        <w:rPr>
          <w:sz w:val="20"/>
          <w:szCs w:val="20"/>
          <w:color w:val="auto"/>
        </w:rPr>
      </w:pPr>
      <w:r>
        <w:rPr>
          <w:rFonts w:ascii="Times New Roman" w:cs="Times New Roman" w:eastAsia="Times New Roman" w:hAnsi="Times New Roman"/>
          <w:sz w:val="14"/>
          <w:szCs w:val="14"/>
          <w:color w:val="auto"/>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Second line therapies often consist of more chemotherapy, radiation,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1" w:name="page52"/>
    <w:bookmarkEnd w:id="5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6"/>
          <w:szCs w:val="16"/>
          <w:color w:val="auto"/>
        </w:rPr>
        <w:t>antibody drugs, tumor-targeted small molecules, or a combination of these. Third line therapies can include chemotherapy, antibody drugs and small molecule tumor-targeted therapies, more invasive forms of surgery and new technologies.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spacing w:after="0" w:line="132"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6"/>
          <w:szCs w:val="16"/>
          <w:color w:val="auto"/>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any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spacing w:after="0" w:line="134"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6"/>
          <w:szCs w:val="16"/>
          <w:color w:val="auto"/>
        </w:rPr>
        <w:t>Even if we obtain significant market share for any future approved product, if the potential target populations are small, we may never achieve profitability without obtaining regulatory approval for additional indications.</w:t>
      </w:r>
    </w:p>
    <w:p>
      <w:pPr>
        <w:spacing w:after="0" w:line="11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Any product candidates for which we may obtain regulatory approval, may become subject to unfavorable third-party coverage and reimbursement practices, as well as pricing regulations.</w:t>
      </w:r>
    </w:p>
    <w:p>
      <w:pPr>
        <w:spacing w:after="0" w:line="11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product candidate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any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spacing w:after="0" w:line="13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There is significant uncertainty related to third-party payor coverage and reimbursement of newly approved products, which would include any product candidate for which we may obtain regulatory approval. Market acceptance and sales of any product candidates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2" w:name="page53"/>
    <w:bookmarkEnd w:id="5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4"/>
          <w:szCs w:val="14"/>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As a result, any product candidate we may develop may not be considered medically necessary or cost effective. We cannot be sure that coverage and reimbursement will be available for any product that we may commercialize and, if reimbursement is available, what the level of reimbursement will be.</w:t>
      </w:r>
    </w:p>
    <w:p>
      <w:pPr>
        <w:spacing w:after="0" w:line="31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(the “American Rescue Plan”),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If HHS begins to set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future legislative, executive, and administrative actions and agency rules implemented by the current administration on us and the pharmaceutical industry as a whole is unclear. A number of states are considering or have recently enacted state drug price transparency and reporting</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3" w:name="page54"/>
    <w:bookmarkEnd w:id="5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6"/>
          <w:szCs w:val="16"/>
          <w:color w:val="auto"/>
        </w:rPr>
        <w:t>laws that could substantially increase our compliance burdens and expose us to greater liability under such laws after obtaining regulatory approval for any of the product candidates that we may develop. The implementation of cost containment measures or other healthcare reforms may prevent us from being able to generate revenue, attain profitability, or commercialize any product candidates that we may develop, if approved. Complying with any new legislation and regulatory changes could be time-intensive and expensive, resulting in a material adverse effect on our business.</w:t>
      </w:r>
    </w:p>
    <w:p>
      <w:pPr>
        <w:spacing w:after="0" w:line="13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any product candidates that we may develop,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any product candidate that we may develop,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any product candidates that we may develop, if approved. Accordingly, in markets outside the United States, the reimbursement for any other products that we may develop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spacing w:after="0" w:line="13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color w:val="auto"/>
        </w:rPr>
        <w:t>If we are unable to establish or sustain coverage and adequate reimbursement for any product candidates that we may develop, if approved, from third-party payors, the adoption of those other products if approved, the prices of those other products, if approved, and sales revenue from those products if approved will be adversely affected, which, in turn, could adversely affect the ability to market or sell any product candidates that we may develop, if approved. Moreover, coverage policies and third-party payor reimbursement rates, including those of government payors, may change at any time and it is unclear what effect legislative, executive, and administrative actions and any future healthcare measures and agency rules will have on the number of covered individuals. Even if favorable coverage and reimbursement status is attained for one or more product candidates that we may develop for which we receive regulatory approval, it is possible that less favorable coverage policies and reimbursement rates may be implemented in the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obtain FDA approval of any future NDA for any other product candidates we may develop.</w:t>
      </w:r>
    </w:p>
    <w:p>
      <w:pPr>
        <w:spacing w:after="0" w:line="18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6"/>
          <w:szCs w:val="16"/>
          <w:color w:val="auto"/>
        </w:rPr>
        <w:t>The clinical development, manufacturing, labeling, packaging, storage, recordkeeping, advertising, promotion, export, import, marketing and distribution and other possible activities relating to any product candidate that we may develop are subject to extensive regulation in the United States. Prior to the approval of our NDA for FYARRO for advanced malignant PEComa, we had not submitted an application for approval or obtained FDA approval for any product.</w:t>
      </w:r>
    </w:p>
    <w:p>
      <w:pPr>
        <w:spacing w:after="0" w:line="1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The FDA’s “real-time” release of newly issued Complete Response Letters associated with withdrawn or abandoned applications, if applicable to our product candidates, can materially impact our competitive advantage and intellectual property. Despite the time and expense associated with preclinical studies and clinical trials, failure can occur at any stage, and we could encounter problems that require us to repeat or perform additional preclinical studies or clinical trials or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4" w:name="page55"/>
    <w:bookmarkEnd w:id="5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w:t>
      </w:r>
    </w:p>
    <w:p>
      <w:pPr>
        <w:spacing w:after="0" w:line="12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w:t>
      </w:r>
    </w:p>
    <w:p>
      <w:pPr>
        <w:spacing w:after="0" w:line="130"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Failure to obtain marketing approval in international jurisdictions would prevent any product candidates that we may develop, if approved, from being marketed abroad.</w:t>
      </w:r>
    </w:p>
    <w:p>
      <w:pPr>
        <w:spacing w:after="0" w:line="11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In order to market and sell our products in the European Union and in any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any product candidates that we may develop, if approved, in any market.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variety of risks associated with marketing any product candidates we may develop, if approved, internationally could affect our business.</w:t>
      </w:r>
    </w:p>
    <w:p>
      <w:pPr>
        <w:spacing w:after="0" w:line="180"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6"/>
          <w:szCs w:val="16"/>
          <w:color w:val="auto"/>
        </w:rPr>
        <w:t>We may seek regulatory approval for product candidates outside of the United States and, accordingly, we expect that we will be subject to additional risks related to operating in foreign countries if we obtain the necessary approvals, including:</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•differing regulatory requirements in foreign countries;</w:t>
      </w:r>
    </w:p>
    <w:p>
      <w:pPr>
        <w:spacing w:after="0" w:line="176" w:lineRule="exact"/>
        <w:rPr>
          <w:sz w:val="20"/>
          <w:szCs w:val="20"/>
          <w:color w:val="auto"/>
        </w:rPr>
      </w:pPr>
    </w:p>
    <w:p>
      <w:pPr>
        <w:ind w:left="360" w:right="460"/>
        <w:spacing w:after="0" w:line="291" w:lineRule="auto"/>
        <w:rPr>
          <w:sz w:val="20"/>
          <w:szCs w:val="20"/>
          <w:color w:val="auto"/>
        </w:rPr>
      </w:pPr>
      <w:r>
        <w:rPr>
          <w:rFonts w:ascii="Times New Roman" w:cs="Times New Roman" w:eastAsia="Times New Roman" w:hAnsi="Times New Roman"/>
          <w:sz w:val="16"/>
          <w:szCs w:val="16"/>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•unexpected changes in tariffs, trade barriers, price and exchange controls and other regulatory requirements;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•economic weakness, including inflation, or political instability in particular foreign economies and markets;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•foreign taxes, including withholding of payroll taxes;</w:t>
      </w:r>
    </w:p>
    <w:p>
      <w:pPr>
        <w:spacing w:after="0" w:line="176" w:lineRule="exact"/>
        <w:rPr>
          <w:sz w:val="20"/>
          <w:szCs w:val="20"/>
          <w:color w:val="auto"/>
        </w:rPr>
      </w:pPr>
    </w:p>
    <w:p>
      <w:pPr>
        <w:ind w:left="360" w:right="40"/>
        <w:spacing w:after="0" w:line="291" w:lineRule="auto"/>
        <w:rPr>
          <w:sz w:val="20"/>
          <w:szCs w:val="20"/>
          <w:color w:val="auto"/>
        </w:rPr>
      </w:pPr>
      <w:r>
        <w:rPr>
          <w:rFonts w:ascii="Times New Roman" w:cs="Times New Roman" w:eastAsia="Times New Roman" w:hAnsi="Times New Roman"/>
          <w:sz w:val="16"/>
          <w:szCs w:val="16"/>
          <w:color w:val="auto"/>
        </w:rPr>
        <w:t>•foreign currency fluctuations, which could result in increased operating expenses and reduced revenue, and other obligations incident to doing business in another country;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5" w:name="page56"/>
    <w:bookmarkEnd w:id="5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•difficulties staffing and managing foreign operations;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•workforce uncertainty in countries where labor unrest is more common than in the United States;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•potential liability under the United States Foreign Corrupt Practices Act (“FCPA”) or comparable foreign regulations;</w:t>
      </w:r>
    </w:p>
    <w:p>
      <w:pPr>
        <w:spacing w:after="0" w:line="176" w:lineRule="exact"/>
        <w:rPr>
          <w:sz w:val="20"/>
          <w:szCs w:val="20"/>
          <w:color w:val="auto"/>
        </w:rPr>
      </w:pPr>
    </w:p>
    <w:p>
      <w:pPr>
        <w:ind w:left="360" w:right="360"/>
        <w:spacing w:after="0" w:line="291" w:lineRule="auto"/>
        <w:rPr>
          <w:sz w:val="20"/>
          <w:szCs w:val="20"/>
          <w:color w:val="auto"/>
        </w:rPr>
      </w:pPr>
      <w:r>
        <w:rPr>
          <w:rFonts w:ascii="Times New Roman" w:cs="Times New Roman" w:eastAsia="Times New Roman" w:hAnsi="Times New Roman"/>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and</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•business interruptions resulting from geo-political actions, including war and terrorism.</w:t>
      </w:r>
    </w:p>
    <w:p>
      <w:pPr>
        <w:spacing w:after="0" w:line="176" w:lineRule="exact"/>
        <w:rPr>
          <w:sz w:val="20"/>
          <w:szCs w:val="20"/>
          <w:color w:val="auto"/>
        </w:rPr>
      </w:pPr>
    </w:p>
    <w:p>
      <w:pPr>
        <w:ind w:right="100"/>
        <w:spacing w:after="0" w:line="325" w:lineRule="auto"/>
        <w:rPr>
          <w:sz w:val="20"/>
          <w:szCs w:val="20"/>
          <w:color w:val="auto"/>
        </w:rPr>
      </w:pPr>
      <w:r>
        <w:rPr>
          <w:rFonts w:ascii="Times New Roman" w:cs="Times New Roman" w:eastAsia="Times New Roman" w:hAnsi="Times New Roman"/>
          <w:sz w:val="14"/>
          <w:szCs w:val="14"/>
          <w:color w:val="auto"/>
        </w:rPr>
        <w:t>In addition, recent conflicts in Ukraine and the Middle East have led to, and could continue to lead to, disruption, instability and volatility in global markets and industries that could negatively impact our operations. For example,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and other risks associated with our international operations may compromise our ability to achieve or maintain profitability.</w:t>
      </w:r>
    </w:p>
    <w:p>
      <w:pPr>
        <w:spacing w:after="0" w:line="17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The preclinical studies and clinical trials for the ADC Therapies or any other product candidates that we may develop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spacing w:after="0" w:line="12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4"/>
          <w:szCs w:val="14"/>
          <w:color w:val="auto"/>
        </w:rPr>
        <w:t>Before obtaining regulatory approval from the FDA, EMA or other foreign regulatory authorities for the sale of product candidates that we may develop, we, among other requirements, may need to complete preclinical development and extensive clinical trials to demonstrate with substantial evidence the safety and efficacy of such product candidates. Each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the ADC Therapies or any other product candidates we may develop.</w:t>
      </w:r>
    </w:p>
    <w:p>
      <w:pPr>
        <w:spacing w:after="0" w:line="313" w:lineRule="exact"/>
        <w:rPr>
          <w:sz w:val="20"/>
          <w:szCs w:val="20"/>
          <w:color w:val="auto"/>
        </w:rPr>
      </w:pPr>
    </w:p>
    <w:p>
      <w:pPr>
        <w:ind w:right="400"/>
        <w:spacing w:after="0" w:line="291" w:lineRule="auto"/>
        <w:rPr>
          <w:sz w:val="20"/>
          <w:szCs w:val="20"/>
          <w:color w:val="auto"/>
        </w:rPr>
      </w:pPr>
      <w:r>
        <w:rPr>
          <w:rFonts w:ascii="Times New Roman" w:cs="Times New Roman" w:eastAsia="Times New Roman" w:hAnsi="Times New Roman"/>
          <w:sz w:val="16"/>
          <w:szCs w:val="16"/>
          <w:color w:val="auto"/>
        </w:rPr>
        <w:t>We may experience numerous unforeseen events during, or as a result of, clinical trials that could delay or prevent our ability to receive regulatory approval or our ability to commercialize any product candidates we may develop, including:</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•receipt of feedback from regulatory authorities that require us to modify the design of our clinical trials;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•negative or inconclusive clinical trial results that may require us to conduct additional clinical trials or abandon certain drug development programs;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6" w:name="page57"/>
    <w:bookmarkEnd w:id="5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right="420"/>
        <w:spacing w:after="0" w:line="291" w:lineRule="auto"/>
        <w:rPr>
          <w:sz w:val="20"/>
          <w:szCs w:val="20"/>
          <w:color w:val="auto"/>
        </w:rPr>
      </w:pPr>
      <w:r>
        <w:rPr>
          <w:rFonts w:ascii="Times New Roman" w:cs="Times New Roman" w:eastAsia="Times New Roman" w:hAnsi="Times New Roman"/>
          <w:sz w:val="16"/>
          <w:szCs w:val="16"/>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•clinical trial sites or our CRO failing to comply with regulatory requirements or meet their contractual obligations to us in a timely manner, or at all;</w:t>
      </w:r>
    </w:p>
    <w:p>
      <w:pPr>
        <w:spacing w:after="0" w:line="176" w:lineRule="exact"/>
        <w:rPr>
          <w:sz w:val="20"/>
          <w:szCs w:val="20"/>
          <w:color w:val="auto"/>
        </w:rPr>
      </w:pPr>
    </w:p>
    <w:p>
      <w:pPr>
        <w:ind w:left="360" w:right="500"/>
        <w:spacing w:after="0" w:line="291" w:lineRule="auto"/>
        <w:rPr>
          <w:sz w:val="20"/>
          <w:szCs w:val="20"/>
          <w:color w:val="auto"/>
        </w:rPr>
      </w:pPr>
      <w:r>
        <w:rPr>
          <w:rFonts w:ascii="Times New Roman" w:cs="Times New Roman" w:eastAsia="Times New Roman" w:hAnsi="Times New Roman"/>
          <w:sz w:val="16"/>
          <w:szCs w:val="16"/>
          <w:color w:val="auto"/>
        </w:rPr>
        <w:t>•the suspension or termination of our clinical trials for various reasons, including non-compliance with regulatory requirements or a finding that our product candidates have undesirable side effects or other unexpected characteristics;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cost of clinical trials of our product candidates being greater than anticipated;</w:t>
      </w:r>
    </w:p>
    <w:p>
      <w:pPr>
        <w:spacing w:after="0" w:line="176" w:lineRule="exact"/>
        <w:rPr>
          <w:sz w:val="20"/>
          <w:szCs w:val="20"/>
          <w:color w:val="auto"/>
        </w:rPr>
      </w:pPr>
    </w:p>
    <w:p>
      <w:pPr>
        <w:ind w:left="360" w:right="260"/>
        <w:spacing w:after="0" w:line="291" w:lineRule="auto"/>
        <w:rPr>
          <w:sz w:val="20"/>
          <w:szCs w:val="20"/>
          <w:color w:val="auto"/>
        </w:rPr>
      </w:pPr>
      <w:r>
        <w:rPr>
          <w:rFonts w:ascii="Times New Roman" w:cs="Times New Roman" w:eastAsia="Times New Roman" w:hAnsi="Times New Roman"/>
          <w:sz w:val="16"/>
          <w:szCs w:val="16"/>
          <w:color w:val="auto"/>
        </w:rPr>
        <w:t>•the supply or quality of our product candidates or other materials necessary to conduct clinical trials of our product candidates being insufficient or inadequate; and</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•delays due to health epidemics, such as the COVID-19 pandemic, including starting any clinical trials for other indications or programs.</w:t>
      </w:r>
    </w:p>
    <w:p>
      <w:pPr>
        <w:spacing w:after="0" w:line="17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 xml:space="preserve">For example, we initiated our PRECISION1 Phase 2 study of FYARRO in malignant solid tumors harboring </w:t>
      </w:r>
      <w:r>
        <w:rPr>
          <w:rFonts w:ascii="Times New Roman" w:cs="Times New Roman" w:eastAsia="Times New Roman" w:hAnsi="Times New Roman"/>
          <w:sz w:val="16"/>
          <w:szCs w:val="16"/>
          <w:i w:val="1"/>
          <w:iCs w:val="1"/>
          <w:color w:val="auto"/>
        </w:rPr>
        <w:t>TSC1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TSC2</w:t>
      </w:r>
      <w:r>
        <w:rPr>
          <w:rFonts w:ascii="Times New Roman" w:cs="Times New Roman" w:eastAsia="Times New Roman" w:hAnsi="Times New Roman"/>
          <w:sz w:val="16"/>
          <w:szCs w:val="16"/>
          <w:color w:val="auto"/>
        </w:rPr>
        <w:t xml:space="preserve"> inactivating alterations based on exploratory data from our completed Phase 2 registrational study, Advanced Malignant PEComa Trial (“AMPECT trial”), and data for FYARRO in other solid tumors with </w:t>
      </w:r>
      <w:r>
        <w:rPr>
          <w:rFonts w:ascii="Times New Roman" w:cs="Times New Roman" w:eastAsia="Times New Roman" w:hAnsi="Times New Roman"/>
          <w:sz w:val="16"/>
          <w:szCs w:val="16"/>
          <w:i w:val="1"/>
          <w:iCs w:val="1"/>
          <w:color w:val="auto"/>
        </w:rPr>
        <w:t>TSC1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TSC2</w:t>
      </w:r>
      <w:r>
        <w:rPr>
          <w:rFonts w:ascii="Times New Roman" w:cs="Times New Roman" w:eastAsia="Times New Roman" w:hAnsi="Times New Roman"/>
          <w:sz w:val="16"/>
          <w:szCs w:val="16"/>
          <w:color w:val="auto"/>
        </w:rPr>
        <w:t xml:space="preserve"> inactivating alterations. In August 2024, we had to halt, and subsequently wind-down, the PRECISION1 trial based on interim data and the related analysis by the Independent Data Monitoring Committee, which determined that the study was unlikely to exceed an efficacy threshold necessary to support an accelerated approval, the key goal of the study.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we are aware of several other approved and clinical-stage antibody drug conjugates products being developed by multiple other companies, and, as such, the development of the ADC Therapies and our stock price may be impacted by inferences, whether correct or not, that are drawn between the success of our product candidates and those of other companies’ antibody drug conjugates products.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spacing w:after="0" w:line="14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 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3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We do not know whether any clinical trials we may conduct will demonstrate consistent or adequate efficacy and safety sufficient to obtain approval to market any product candidates we may develop. If we are required to conduct additional clinical trials or other testing of any future product candidates beyond those that we currently contemplate, if we are unable to successfully complete clinical trials of any product candidates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 (iii) receive more limited or restrictive regulatory approval for respective indications, (iv) be subject to additional post-marketing testing requirements or (v) have the drug removed from the market after obtaining regulatory approval. Even if regulatory approval is secured for any of our product candidates, the terms of such approval may limit the scope and use any product candidates, which may also limit their commercial potential.</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57" w:name="page58"/>
    <w:bookmarkEnd w:id="5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Any product candidates that we may develop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spacing w:after="0" w:line="126"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4"/>
          <w:szCs w:val="14"/>
          <w:color w:val="auto"/>
        </w:rPr>
        <w:t>If any product candidates that we may develop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their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any affected product candidate, could substantially increase the costs of commercializing our product(s), and significantly impact our ability to successfully commercialize any product candidates that we may develop, if approved, and generate revenues, and may harm our business, financial condition and prospects significantly.</w:t>
      </w:r>
    </w:p>
    <w:p>
      <w:pPr>
        <w:spacing w:after="0" w:line="3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Any product candidates may be used in populations for which safety concerns may be particularly scrutinized by regulatory agencies. Patients treated with product candidates that we may develop may also be undergoing surgical, radiation and/or chemotherapy treatments, which can cause side effects or adverse events that are unrelated to the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3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If further significant adverse events or other side effects are observed in any of our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spacing w:after="0" w:line="134"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spacing w:after="0" w:line="11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Further, if any product candidate that we may develop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the way the product is distributed or administered, (v) implement a risk evaluation and mitigation strategy, or create a medication guide outlining the risks of such side effects for distribution to patients, or (vi) suspend or withdraw the product from the market. We cannot predict whether any product candidates that we may develop will cause toxicities in humans that would preclude or lead to the revocation of regulatory approval based on preclinical studies or early-stage clinical trials.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8" w:name="page59"/>
    <w:bookmarkEnd w:id="5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Results from early preclinical studies and clinical trials of the ADC Therapies or any other product candidates that we may develop are not necessarily predictive of the results of later preclinical studies and clinical trials of such product candidates. If we cannot replicate the results from our earlier preclinical studies and clinical trials in our later preclinical studies and clinical trials, we may be unable to successfully develop, obtain regulatory approval for and commercialize any product candidates.</w:t>
      </w:r>
    </w:p>
    <w:p>
      <w:pPr>
        <w:spacing w:after="0" w:line="13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color w:val="auto"/>
        </w:rPr>
        <w:t>Any results from early preclinical studies and clinical trials of product candidates that we may develop may not necessarily be predictive of the results from later preclinical studies and clinical trials. Similarly, even if we are able to complete preclinical studies and clinical trials according to our current development timeline, the results from such preclinical studies and clinical trials may not be replicated in subsequent preclinical studies or clinical trial results.</w:t>
      </w:r>
    </w:p>
    <w:p>
      <w:pPr>
        <w:spacing w:after="0" w:line="129" w:lineRule="exact"/>
        <w:rPr>
          <w:sz w:val="20"/>
          <w:szCs w:val="20"/>
          <w:color w:val="auto"/>
        </w:rPr>
      </w:pPr>
    </w:p>
    <w:p>
      <w:pPr>
        <w:ind w:right="100"/>
        <w:spacing w:after="0" w:line="319" w:lineRule="auto"/>
        <w:rPr>
          <w:sz w:val="20"/>
          <w:szCs w:val="20"/>
          <w:color w:val="auto"/>
        </w:rPr>
      </w:pPr>
      <w:r>
        <w:rPr>
          <w:rFonts w:ascii="Times New Roman" w:cs="Times New Roman" w:eastAsia="Times New Roman" w:hAnsi="Times New Roman"/>
          <w:sz w:val="14"/>
          <w:szCs w:val="14"/>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relating to open-label clinical trials.</w:t>
      </w:r>
    </w:p>
    <w:p>
      <w:pPr>
        <w:spacing w:after="0" w:line="180" w:lineRule="exact"/>
        <w:rPr>
          <w:sz w:val="20"/>
          <w:szCs w:val="20"/>
          <w:color w:val="auto"/>
        </w:rPr>
      </w:pPr>
    </w:p>
    <w:p>
      <w:pPr>
        <w:jc w:val="both"/>
        <w:ind w:right="100"/>
        <w:spacing w:after="0" w:line="304" w:lineRule="auto"/>
        <w:rPr>
          <w:sz w:val="20"/>
          <w:szCs w:val="20"/>
          <w:color w:val="auto"/>
        </w:rPr>
      </w:pPr>
      <w:r>
        <w:rPr>
          <w:rFonts w:ascii="Times New Roman" w:cs="Times New Roman" w:eastAsia="Times New Roman" w:hAnsi="Times New Roman"/>
          <w:sz w:val="14"/>
          <w:szCs w:val="14"/>
          <w:color w:val="auto"/>
        </w:rPr>
        <w:t>Some of our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w:t>
      </w:r>
    </w:p>
    <w:p>
      <w:pPr>
        <w:ind w:right="40"/>
        <w:spacing w:after="0" w:line="271" w:lineRule="auto"/>
        <w:rPr>
          <w:sz w:val="20"/>
          <w:szCs w:val="20"/>
          <w:color w:val="auto"/>
        </w:rPr>
      </w:pPr>
      <w:r>
        <w:rPr>
          <w:rFonts w:ascii="Times New Roman" w:cs="Times New Roman" w:eastAsia="Times New Roman" w:hAnsi="Times New Roman"/>
          <w:sz w:val="16"/>
          <w:szCs w:val="16"/>
          <w:color w:val="auto"/>
        </w:rPr>
        <w:t>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any product candidates when studied in a controlled environment with a placebo or active control.</w:t>
      </w:r>
    </w:p>
    <w:p>
      <w:pPr>
        <w:spacing w:after="0" w:line="130"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Interim, topline and preliminary data from our clinical trials that we announce or publish from time to time may change as more patient data become available or as additional analyses are conducted and are subject to audit, independent radiographic or clinical review, and verification procedures that could result in material changes in the final data.</w:t>
      </w:r>
    </w:p>
    <w:p>
      <w:pPr>
        <w:spacing w:after="0" w:line="12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From time to time, we may publicly disclose preliminary, interim or topline data from our clinical trials.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independent radiographic or clinical review,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9" w:name="page60"/>
    <w:bookmarkEnd w:id="5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between interim data and final data could significantly harm our business and prospects. Further, additional disclosure of interim data by us or by our competitors in the future could result in volatility in the price of our common stock.</w:t>
      </w:r>
    </w:p>
    <w:p>
      <w:pPr>
        <w:spacing w:after="0" w:line="11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that we may develop may be harmed, which could harm our business, financial condition, results of operations and prospects.</w:t>
      </w:r>
    </w:p>
    <w:p>
      <w:pPr>
        <w:spacing w:after="0" w:line="118"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Adverse results of clinical trials conducted by third parties investigating the same product candidates as us in different territories could adversely affect our development of such product candidate.</w:t>
      </w:r>
    </w:p>
    <w:p>
      <w:pPr>
        <w:spacing w:after="0" w:line="12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the ADC Therapies or other product candidates that we may develop in certain foreign jurisdictions. As part of these collaborations, we may grant such collaboration partners with the right to develop and commercialize the same compounds licensed to us, including the ADC Therapies,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the ADC Therapies, if approved, or the viability of the ADC Therapies as a product candidate. We may be required to report these adverse events or unexpected side effects to the FDA or comparable foreign regulatory authorities, which could, among other things, order us to cease further development of the ADC Therapies.</w:t>
      </w:r>
    </w:p>
    <w:p>
      <w:pPr>
        <w:spacing w:after="0" w:line="133" w:lineRule="exact"/>
        <w:rPr>
          <w:sz w:val="20"/>
          <w:szCs w:val="20"/>
          <w:color w:val="auto"/>
        </w:rPr>
      </w:pPr>
    </w:p>
    <w:p>
      <w:pPr>
        <w:ind w:right="60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we experience delays or difficulties in the enrollment and/or maintenance of patients in clinical trials, our regulatory submissions or receipt of necessary regulatory approvals could be delayed or prevented.</w:t>
      </w:r>
    </w:p>
    <w:p>
      <w:pPr>
        <w:spacing w:after="0" w:line="1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We may not be able to initiate or continue clinical trials for the ADC Therapies or any future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identify and enroll eligible patients for clinical trials may be limited or may result in slower enrollment than we anticipate. In particular, because we are focused on patients with specific genetic alterations for certain of our development programs, our ability to enroll eligible patients may be limited or may result in slower enrollment than anticipated.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the ADC Therapies or other product candidates.</w:t>
      </w:r>
    </w:p>
    <w:p>
      <w:pPr>
        <w:spacing w:after="0" w:line="1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Patient enrollment may be affected if our competitors have ongoing clinical trials for product candidates that are under development for the same indications as the ADC Therapies or any future product candidates, and patients who would otherwise be eligible for our clinical trials instead enroll in clinical trials of our competitors’ product candidates.</w:t>
      </w:r>
    </w:p>
    <w:p>
      <w:pPr>
        <w:spacing w:after="0" w:line="129" w:lineRule="exact"/>
        <w:rPr>
          <w:sz w:val="20"/>
          <w:szCs w:val="20"/>
          <w:color w:val="auto"/>
        </w:rPr>
      </w:pPr>
    </w:p>
    <w:p>
      <w:pPr>
        <w:ind w:right="180"/>
        <w:spacing w:after="0" w:line="366" w:lineRule="auto"/>
        <w:rPr>
          <w:sz w:val="20"/>
          <w:szCs w:val="20"/>
          <w:color w:val="auto"/>
        </w:rPr>
      </w:pPr>
      <w:r>
        <w:rPr>
          <w:rFonts w:ascii="Times New Roman" w:cs="Times New Roman" w:eastAsia="Times New Roman" w:hAnsi="Times New Roman"/>
          <w:sz w:val="14"/>
          <w:szCs w:val="14"/>
          <w:color w:val="auto"/>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clinical trials may be affected by other factors, including:</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•size and nature of the patient population;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0" w:name="page61"/>
    <w:bookmarkEnd w:id="6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•severity of the disease under investigation;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•availability and efficacy of approved drugs for the disease under investigation;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•patient eligibility criteria for the trial in question as defined in the protocol or as mandated by regulatory agencies;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•perceived risks and benefits of the product candidate under study;</w:t>
      </w:r>
    </w:p>
    <w:p>
      <w:pPr>
        <w:spacing w:after="0" w:line="176" w:lineRule="exact"/>
        <w:rPr>
          <w:sz w:val="20"/>
          <w:szCs w:val="20"/>
          <w:color w:val="auto"/>
        </w:rPr>
      </w:pPr>
    </w:p>
    <w:p>
      <w:pPr>
        <w:jc w:val="both"/>
        <w:ind w:left="360" w:right="160"/>
        <w:spacing w:after="0" w:line="366" w:lineRule="auto"/>
        <w:rPr>
          <w:sz w:val="20"/>
          <w:szCs w:val="20"/>
          <w:color w:val="auto"/>
        </w:rPr>
      </w:pPr>
      <w:r>
        <w:rPr>
          <w:rFonts w:ascii="Times New Roman" w:cs="Times New Roman" w:eastAsia="Times New Roman" w:hAnsi="Times New Roman"/>
          <w:sz w:val="14"/>
          <w:szCs w:val="14"/>
          <w:color w:val="auto"/>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ability to recruit clinical study investigators with the appropriate competencies and experience;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•clinicians’ willingness to screen their patients for biomarkers to indicate which patients may be eligible for enrollment in our clinical trials;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•patient referral practices of physicians;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ability to obtain and maintain patient consents;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ability to monitor patients adequately during and after treatment;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•proximity and availability of clinical trial sites for prospective patients; and</w:t>
      </w:r>
    </w:p>
    <w:p>
      <w:pPr>
        <w:spacing w:after="0" w:line="176" w:lineRule="exact"/>
        <w:rPr>
          <w:sz w:val="20"/>
          <w:szCs w:val="20"/>
          <w:color w:val="auto"/>
        </w:rPr>
      </w:pPr>
    </w:p>
    <w:p>
      <w:pPr>
        <w:ind w:left="360" w:right="320"/>
        <w:spacing w:after="0" w:line="291" w:lineRule="auto"/>
        <w:rPr>
          <w:sz w:val="20"/>
          <w:szCs w:val="20"/>
          <w:color w:val="auto"/>
        </w:rPr>
      </w:pPr>
      <w:r>
        <w:rPr>
          <w:rFonts w:ascii="Times New Roman" w:cs="Times New Roman" w:eastAsia="Times New Roman" w:hAnsi="Times New Roman"/>
          <w:sz w:val="16"/>
          <w:szCs w:val="16"/>
          <w:color w:val="auto"/>
        </w:rPr>
        <w:t>•factors we may not be able to control, such as current or potential pandemics that may limit patients, principal investigators or staff or clinical site availability (e.g., the COVID-19 pandemic).</w:t>
      </w:r>
    </w:p>
    <w:p>
      <w:pPr>
        <w:spacing w:after="0" w:line="11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Our inability to enroll a sufficient number of patients for our clinical trials could result in significant delays or may require us to abandon one or more clinical trials altogether. Furthermore, any negative results we may report in clinical trials of the ADC Therapies or any future product candidates may make it difficult or impossible to recruit and retain patients in other clinical trials we are conducting. Similarly, negative results reported by our competitors about their ADC drug candidates may negatively affect patient recruitment in our clinical trials. Enrollment delays in our clinical trials may result in increased development costs for the ADC Therapies and any other product candidates that we may develop and jeopardize our ability to obtain regulatory approval for such product candidates. Furthermore, even if we are able to enroll a sufficient number of patients for our clinical trials, there is a risk that patients enrolled in clinical trials will drop out of the trials before completion or, because they may be late-stage cancer patients, may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develop product candidates in combination with other therapies, which exposes us to additional risks.</w:t>
      </w:r>
    </w:p>
    <w:p>
      <w:pPr>
        <w:spacing w:after="0" w:line="18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We may develop product candidates, in combination with one or more currently approved or unapproved therapies to treat cancer or other diseases. Patients may not be able to tolerate product candidates in combination with other therapies or dosing of product candidates in combination with other therapies may have unexpected consequences. Even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products, or safety, efficacy, manufacturing or supply issues could arise with these existing therapies. In addition, it is possible that existing therapies with which product candidates are approved for use could themselves fall out of favor or be relegated to later lines of treatment. This could result in the need to identify other combination therapies for product candidates, the FDA, EMA or comparable</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61" w:name="page62"/>
    <w:bookmarkEnd w:id="6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40"/>
        <w:spacing w:after="0" w:line="291" w:lineRule="auto"/>
        <w:rPr>
          <w:sz w:val="20"/>
          <w:szCs w:val="20"/>
          <w:color w:val="auto"/>
        </w:rPr>
      </w:pPr>
      <w:r>
        <w:rPr>
          <w:rFonts w:ascii="Times New Roman" w:cs="Times New Roman" w:eastAsia="Times New Roman" w:hAnsi="Times New Roman"/>
          <w:sz w:val="16"/>
          <w:szCs w:val="16"/>
          <w:color w:val="auto"/>
        </w:rPr>
        <w:t>foreign regulatory authorities in other jurisdictions requiring additional clinical trials, or our own products being removed from the market or being less successful commercially.</w:t>
      </w:r>
    </w:p>
    <w:p>
      <w:pPr>
        <w:spacing w:after="0" w:line="118"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6"/>
          <w:szCs w:val="16"/>
          <w:color w:val="auto"/>
        </w:rPr>
        <w:t>We may also evaluate product candidates in combination with one or more other therapies that have not yet been approved for marketing by the FDA, EMA or comparable foreign regulatory authorities. We will not be able to market and sell product candidate in combination with any such unapproved therapies that do not ultimately obtain regulatory approval.</w:t>
      </w:r>
    </w:p>
    <w:p>
      <w:pPr>
        <w:spacing w:after="0" w:line="129" w:lineRule="exact"/>
        <w:rPr>
          <w:sz w:val="20"/>
          <w:szCs w:val="20"/>
          <w:color w:val="auto"/>
        </w:rPr>
      </w:pPr>
    </w:p>
    <w:p>
      <w:pPr>
        <w:ind w:right="120"/>
        <w:spacing w:after="0" w:line="316" w:lineRule="auto"/>
        <w:rPr>
          <w:sz w:val="20"/>
          <w:szCs w:val="20"/>
          <w:color w:val="auto"/>
        </w:rPr>
      </w:pPr>
      <w:r>
        <w:rPr>
          <w:rFonts w:ascii="Times New Roman" w:cs="Times New Roman" w:eastAsia="Times New Roman" w:hAnsi="Times New Roman"/>
          <w:sz w:val="14"/>
          <w:szCs w:val="14"/>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product candidate, we may be unable to obtain approval of or successfully market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product candidates for use in combination. Any setbacks in these companies’ clinical trials, including the emergence of serious adverse effects, may delay or prevent the development and approval of product candidates that we may develop in the future.</w:t>
      </w:r>
    </w:p>
    <w:p>
      <w:pPr>
        <w:spacing w:after="0" w:line="10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Additionally, if the third-party providers of therapies or therapies in development used in combination with product candidates are unable to produce sufficient quantities for clinical trials or for commercialization of product candidates, if approved, or if the cost of combination therapies are prohibitive, our development and commercialization efforts would be impaired, which would have an adverse effect on our business, financial condition, results of operations and growth prospects.</w:t>
      </w:r>
    </w:p>
    <w:p>
      <w:pPr>
        <w:spacing w:after="0" w:line="12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face substantial competition in oncology and in the ADC field,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12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Many companies are active in the oncology market and are developing or marketing products for the specific therapeutic markets that we target, including both antibody-and non-antibody-based therapies. Similarly, we also face competition from other companies and institutions that continue to invest in innovation in the ADC field, including new payload classes, new conjugation approaches and new targeting moieties. Specifically, we are aware of multiple companies with ADC technologies that may be competitive with our products and product candidates, including, but not limited to, AbbVie, Daiichi Sankyo, Day One Biopharmaceuticals, Eli Lilly, Genmab, GlaxoSmithKline, Gilead, Kelun, Mersana, Sanofi, Roche, Pfizer, Zymeworks, Ideaya, and Biocytogen. There are hundreds of ADCs in development, the vast majority of which are being developed for the treatment of cancer.</w:t>
      </w:r>
    </w:p>
    <w:p>
      <w:pPr>
        <w:spacing w:after="0" w:line="13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Our industry is characterized by rapidly advancing technologies, intense competition and a strong emphasis on proprietary products. We face competition with respect to our current products and product candidates and will face competition with respect to any products and product candidates that we may seek to develop or commercialize in the future. We expect changes to the treatment paradigm, including potential new entrants and new approvals across the lines of therapies. New technologies, procedures or treatments could change the patient population and their eligibility to use our product candidates, raise expectations regarding safety and efficacy results that are necessary for regulatory approval and, if approved, adoption by the medical community, or otherwise render our products and product candidates obsolete and there can be no assurance that our products and product candidates would be able to compete effectively. If we are unable to compete with these new treatment options, physicians may not utilize our products and our future revenues and estimates may be negatively impacted.</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62" w:name="page63"/>
    <w:bookmarkEnd w:id="6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4"/>
          <w:szCs w:val="14"/>
          <w:color w:val="auto"/>
        </w:rPr>
        <w:t>Our competitors include large pharmaceutical and biotechnology companies, academic institutions, government agencies and other public and private research organizations that conduct research, seek patent protection and establish collaborative arrangements for research, development, manufacturing and commercialization.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spacing w:after="0" w:line="3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The product candidates we may develop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any product candidates we may develop, if approved, could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methods of product candidate manufacturing or formulation may result in additional costs or delay.</w:t>
      </w:r>
    </w:p>
    <w:p>
      <w:pPr>
        <w:spacing w:after="0" w:line="18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material changes will require regulatory approval before implementation and carry the risk that they will not achieve these intended objectives. Any of these changes could cause any product candidate that we may develop to perform differently and affect the results of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any product candidates that we may develop, if approved, and generate revenue.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successful in growing our product pipeline through acquisitions and in-licenses.</w:t>
      </w:r>
    </w:p>
    <w:p>
      <w:pPr>
        <w:spacing w:after="0" w:line="18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such as with the in-license of the ADC Therapies,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3" w:name="page64"/>
    <w:bookmarkEnd w:id="6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6"/>
          <w:szCs w:val="16"/>
          <w:color w:val="auto"/>
        </w:rPr>
        <w:t>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125"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business entails a significant risk of product liability and if we are unable to obtain sufficient insurance coverage such inability could have a material adverse effect on our business and financial condition.</w:t>
      </w:r>
    </w:p>
    <w:p>
      <w:pPr>
        <w:spacing w:after="0" w:line="114" w:lineRule="exact"/>
        <w:rPr>
          <w:sz w:val="20"/>
          <w:szCs w:val="20"/>
          <w:color w:val="auto"/>
        </w:rPr>
      </w:pPr>
    </w:p>
    <w:p>
      <w:pPr>
        <w:ind w:right="40"/>
        <w:spacing w:after="0" w:line="308" w:lineRule="auto"/>
        <w:rPr>
          <w:sz w:val="20"/>
          <w:szCs w:val="20"/>
          <w:color w:val="auto"/>
        </w:rPr>
      </w:pPr>
      <w:r>
        <w:rPr>
          <w:rFonts w:ascii="Times New Roman" w:cs="Times New Roman" w:eastAsia="Times New Roman" w:hAnsi="Times New Roman"/>
          <w:sz w:val="14"/>
          <w:szCs w:val="14"/>
          <w:color w:val="auto"/>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any product candidates that we may develop. For example, we may be sued if the ADC Therapies or any other product candidates that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Regulatory Approval and Other Legal Compliance Matters</w:t>
      </w:r>
    </w:p>
    <w:p>
      <w:pPr>
        <w:spacing w:after="0" w:line="17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spacing w:after="0" w:line="130" w:lineRule="exact"/>
        <w:rPr>
          <w:sz w:val="20"/>
          <w:szCs w:val="20"/>
          <w:color w:val="auto"/>
        </w:rPr>
      </w:pPr>
    </w:p>
    <w:p>
      <w:pPr>
        <w:jc w:val="both"/>
        <w:ind w:right="180"/>
        <w:spacing w:after="0" w:line="278" w:lineRule="auto"/>
        <w:rPr>
          <w:sz w:val="20"/>
          <w:szCs w:val="20"/>
          <w:color w:val="auto"/>
        </w:rPr>
      </w:pPr>
      <w:r>
        <w:rPr>
          <w:rFonts w:ascii="Times New Roman" w:cs="Times New Roman" w:eastAsia="Times New Roman" w:hAnsi="Times New Roman"/>
          <w:sz w:val="16"/>
          <w:szCs w:val="16"/>
          <w:color w:val="auto"/>
        </w:rPr>
        <w:t>We submitted a Section 505(b)(2) NDA to the FDA in May 2021 for FYARRO for the treatment of advanced malignant PEComa, and the FDA approved the NDA on November 22, 2021. However, we may not be successful in obtaining FDA approval under 505(b)(2) regulatory pathway for the ADC Therapies or any other product candidates that we may develop.</w:t>
      </w:r>
    </w:p>
    <w:p>
      <w:pPr>
        <w:spacing w:after="0" w:line="1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64" w:name="page65"/>
    <w:bookmarkEnd w:id="6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w:t>
      </w:r>
    </w:p>
    <w:p>
      <w:pPr>
        <w:spacing w:after="0" w:line="114"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obtain United States approval for product candidates that we may develop or foreign regulatory approval for product candidates that we may develop and, as a result, may be unable to commercialize any product candidates and in such event our business will be substantially harmed.</w:t>
      </w:r>
    </w:p>
    <w:p>
      <w:pPr>
        <w:spacing w:after="0" w:line="11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ADC Therapies and other product candidates that we may develop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13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spacing w:after="0" w:line="139"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4"/>
          <w:szCs w:val="14"/>
          <w:color w:val="auto"/>
        </w:rPr>
        <w:t>Under the new leadership at the HHS under the current administration, agency reorganization, mass layoffs due to the reduction in force initiative and other measures implemented by the Department of Government Efficiency may impact the normal operations of the FDA as well as other federal agencies. FDA may lack adequate staff and resources to meet current review, approval, and inspection schedules, which could delay our anticipated timelines. In January 2025, an executive order entitled “Unleashing Prosperity Through Deregulation”, was issued which calls for at least 10 existing regulations to be repealed whenever an executive department or agency publicly proposes for notice and comment or otherwise promulgates a new regulation. It is unclear how our industry and our clinical programs will be impacted by policies and regulations implemented under the new administration and FDA commissioner, or other executive orders.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FDA has also increased its scrutiny of foreign drug manufacturing facilities and other contractors based in China, especially with respect to the transfer of biological materials, genetic data, and other sensitive data of American patients to parties located in China. There is significant uncertainty in the industry and how federal agencies like the FDA will change in the coming years under the new administration. To the extent the agency reorganization and other agency changes lead to disruptions in FDA’s operations, our correspondence and regulatory review processes with the FDA may be materially delayed.</w:t>
      </w:r>
    </w:p>
    <w:p>
      <w:pPr>
        <w:spacing w:after="0" w:line="31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65" w:name="page66"/>
    <w:bookmarkEnd w:id="6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80"/>
        <w:spacing w:after="0" w:line="291" w:lineRule="auto"/>
        <w:rPr>
          <w:sz w:val="20"/>
          <w:szCs w:val="20"/>
          <w:color w:val="auto"/>
        </w:rPr>
      </w:pPr>
      <w:r>
        <w:rPr>
          <w:rFonts w:ascii="Times New Roman" w:cs="Times New Roman" w:eastAsia="Times New Roman" w:hAnsi="Times New Roman"/>
          <w:sz w:val="16"/>
          <w:szCs w:val="16"/>
          <w:color w:val="auto"/>
        </w:rPr>
        <w:t>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18"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2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The regulatory approval processes of the FDA, EMA and other comparable foreign regulatory authorities are lengthy, time consuming and inherently unpredictable. If we are ultimately unable to obtain regulatory approval for product candidates that we may develop, we will be unable to generate product revenue, and our business will be substantially harmed.</w:t>
      </w:r>
    </w:p>
    <w:p>
      <w:pPr>
        <w:spacing w:after="0" w:line="126"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4"/>
          <w:szCs w:val="14"/>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if we eventually complete clinical testing and receive approval for any product candidates that we may develop,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Other than FYARRO, we have not obtained regulatory approval for any product candidate, and it is possible that none of our current or future product candidates will ever obtain regulatory approval.</w:t>
      </w:r>
    </w:p>
    <w:p>
      <w:pPr>
        <w:spacing w:after="0" w:line="31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Further, regulatory approval may be delayed for reasons beyond our control. For example, events such as a United States federal government shutdown or budget sequestration, such as ones that occurred during 2013, 2018 and 2019, or the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Applications for any future product candidates could fail to receive regulatory approval for many reasons, including the following:</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FDA, EMA or other comparable foreign regulatory authorities may disagree with the design, implementation or results of our clinical trials;</w:t>
      </w:r>
    </w:p>
    <w:p>
      <w:pPr>
        <w:spacing w:after="0" w:line="176" w:lineRule="exact"/>
        <w:rPr>
          <w:sz w:val="20"/>
          <w:szCs w:val="20"/>
          <w:color w:val="auto"/>
        </w:rPr>
      </w:pPr>
    </w:p>
    <w:p>
      <w:pPr>
        <w:ind w:left="360" w:right="200"/>
        <w:spacing w:after="0" w:line="278" w:lineRule="auto"/>
        <w:rPr>
          <w:sz w:val="20"/>
          <w:szCs w:val="20"/>
          <w:color w:val="auto"/>
        </w:rPr>
      </w:pPr>
      <w:r>
        <w:rPr>
          <w:rFonts w:ascii="Times New Roman" w:cs="Times New Roman" w:eastAsia="Times New Roman" w:hAnsi="Times New Roman"/>
          <w:sz w:val="16"/>
          <w:szCs w:val="16"/>
          <w:color w:val="auto"/>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spacing w:after="0" w:line="129" w:lineRule="exact"/>
        <w:rPr>
          <w:sz w:val="20"/>
          <w:szCs w:val="20"/>
          <w:color w:val="auto"/>
        </w:rPr>
      </w:pPr>
    </w:p>
    <w:p>
      <w:pPr>
        <w:ind w:left="360" w:right="280"/>
        <w:spacing w:after="0" w:line="291" w:lineRule="auto"/>
        <w:rPr>
          <w:sz w:val="20"/>
          <w:szCs w:val="20"/>
          <w:color w:val="auto"/>
        </w:rPr>
      </w:pPr>
      <w:r>
        <w:rPr>
          <w:rFonts w:ascii="Times New Roman" w:cs="Times New Roman" w:eastAsia="Times New Roman" w:hAnsi="Times New Roman"/>
          <w:sz w:val="16"/>
          <w:szCs w:val="16"/>
          <w:color w:val="auto"/>
        </w:rPr>
        <w:t>•the population studied in the clinical trial may not be sufficiently broad or representative to assure efficacy and safety in the full population for which we seek approval;</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6" w:name="page67"/>
    <w:bookmarkEnd w:id="6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FDA, EMA or other comparable foreign regulatory authorities may disagree with our interpretation of data from preclinical studies or clinical trials;</w:t>
      </w:r>
    </w:p>
    <w:p>
      <w:pPr>
        <w:spacing w:after="0" w:line="176" w:lineRule="exact"/>
        <w:rPr>
          <w:sz w:val="20"/>
          <w:szCs w:val="20"/>
          <w:color w:val="auto"/>
        </w:rPr>
      </w:pPr>
    </w:p>
    <w:p>
      <w:pPr>
        <w:ind w:left="360" w:right="420"/>
        <w:spacing w:after="0" w:line="291" w:lineRule="auto"/>
        <w:rPr>
          <w:sz w:val="20"/>
          <w:szCs w:val="20"/>
          <w:color w:val="auto"/>
        </w:rPr>
      </w:pPr>
      <w:r>
        <w:rPr>
          <w:rFonts w:ascii="Times New Roman" w:cs="Times New Roman" w:eastAsia="Times New Roman" w:hAnsi="Times New Roman"/>
          <w:sz w:val="16"/>
          <w:szCs w:val="16"/>
          <w:color w:val="auto"/>
        </w:rPr>
        <w:t>•we may be unable to demonstrate to the FDA, EMA or other comparable foreign regulatory authorities that our product candidate’s risk-benefit ratio for our proposed indication is acceptable;</w:t>
      </w:r>
    </w:p>
    <w:p>
      <w:pPr>
        <w:spacing w:after="0" w:line="118" w:lineRule="exact"/>
        <w:rPr>
          <w:sz w:val="20"/>
          <w:szCs w:val="20"/>
          <w:color w:val="auto"/>
        </w:rPr>
      </w:pPr>
    </w:p>
    <w:p>
      <w:pPr>
        <w:ind w:left="360" w:right="120"/>
        <w:spacing w:after="0" w:line="291" w:lineRule="auto"/>
        <w:rPr>
          <w:sz w:val="20"/>
          <w:szCs w:val="20"/>
          <w:color w:val="auto"/>
        </w:rPr>
      </w:pPr>
      <w:r>
        <w:rPr>
          <w:rFonts w:ascii="Times New Roman" w:cs="Times New Roman" w:eastAsia="Times New Roman" w:hAnsi="Times New Roman"/>
          <w:sz w:val="16"/>
          <w:szCs w:val="16"/>
          <w:color w:val="auto"/>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FDA, EMA or other comparable regulatory authorities may fail to approve companion diagnostic tests for our product candidates, if required; and</w:t>
      </w:r>
    </w:p>
    <w:p>
      <w:pPr>
        <w:spacing w:after="0" w:line="176" w:lineRule="exact"/>
        <w:rPr>
          <w:sz w:val="20"/>
          <w:szCs w:val="20"/>
          <w:color w:val="auto"/>
        </w:rPr>
      </w:pPr>
    </w:p>
    <w:p>
      <w:pPr>
        <w:ind w:left="360" w:right="360"/>
        <w:spacing w:after="0" w:line="291" w:lineRule="auto"/>
        <w:rPr>
          <w:sz w:val="20"/>
          <w:szCs w:val="20"/>
          <w:color w:val="auto"/>
        </w:rPr>
      </w:pPr>
      <w:r>
        <w:rPr>
          <w:rFonts w:ascii="Times New Roman" w:cs="Times New Roman" w:eastAsia="Times New Roman" w:hAnsi="Times New Roman"/>
          <w:sz w:val="16"/>
          <w:szCs w:val="16"/>
          <w:color w:val="auto"/>
        </w:rPr>
        <w:t>•the approval policies or regulations of the FDA, EMA or other comparable foreign regulatory authorities may significantly change in a manner rendering our clinical data insufficient for approval.</w:t>
      </w:r>
    </w:p>
    <w:p>
      <w:pPr>
        <w:spacing w:after="0" w:line="118"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6"/>
          <w:szCs w:val="16"/>
          <w:color w:val="auto"/>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FDA, EMA and other comparable foreign regulatory authorities may not accept data from trials conducted in locations outside of their jurisdiction.</w:t>
      </w:r>
    </w:p>
    <w:p>
      <w:pPr>
        <w:spacing w:after="0" w:line="18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Our clinical trials have been and may in the future be undertaken in the United States. We may choose to conduct additional clinical trials internationally as well.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relating to regulatory uncertainty in foreign jurisdictions.</w:t>
      </w:r>
    </w:p>
    <w:p>
      <w:pPr>
        <w:spacing w:after="0" w:line="180"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4"/>
          <w:szCs w:val="14"/>
          <w:color w:val="auto"/>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future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106" w:lineRule="exact"/>
        <w:rPr>
          <w:sz w:val="20"/>
          <w:szCs w:val="20"/>
          <w:color w:val="auto"/>
        </w:rPr>
      </w:pPr>
    </w:p>
    <w:p>
      <w:pPr>
        <w:ind w:right="4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1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67" w:name="page68"/>
    <w:bookmarkEnd w:id="6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34"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spacing w:after="0" w:line="13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as set forth in the Protocol on Ireland and Northern Ireland and as amended by the Windsor Framework, which was implemented in Northern Ireland on January 1, 2025.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 applicable in the European Union, albeit that the processes for applications will be separate. Longer term, the United Kingdom is likely to develop its own legislation that diverges from that in the European Union.</w:t>
      </w:r>
    </w:p>
    <w:p>
      <w:pPr>
        <w:spacing w:after="0" w:line="13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The ADC Therapies and any other product candidate we may develop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any product candidate we may develop when and if any of them are approved.</w:t>
      </w:r>
    </w:p>
    <w:p>
      <w:pPr>
        <w:spacing w:after="0" w:line="12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The ADC Therapies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68" w:name="page69"/>
    <w:bookmarkEnd w:id="6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whom we work must continue to expend time, money, and effort in all areas of regulatory compliance, including manufacturing, production, and quality control.</w:t>
      </w:r>
    </w:p>
    <w:p>
      <w:pPr>
        <w:spacing w:after="0" w:line="1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If marketing approval of the ADC Therapies and any other product candidate we may develop is granted, such product candidates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We may be required, as a condition of approval of an NDA for a product candidate,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spacing w:after="0" w:line="134"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6"/>
          <w:szCs w:val="16"/>
          <w:color w:val="auto"/>
        </w:rPr>
        <w:t>If any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w:t>
      </w:r>
    </w:p>
    <w:p>
      <w:pPr>
        <w:spacing w:after="0" w:line="132"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6"/>
          <w:szCs w:val="16"/>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w:t>
      </w:r>
    </w:p>
    <w:p>
      <w:pPr>
        <w:spacing w:after="0" w:line="13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13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•adverse inspection findings;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•additional warnings or otherwise restrict the product’s indicated use, label, or marketing;</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•restrictions on a product, distribution, manufacturers or manufacturing processes;</w:t>
      </w:r>
    </w:p>
    <w:p>
      <w:pPr>
        <w:spacing w:after="0" w:line="176" w:lineRule="exact"/>
        <w:rPr>
          <w:sz w:val="20"/>
          <w:szCs w:val="20"/>
          <w:color w:val="auto"/>
        </w:rPr>
      </w:pPr>
    </w:p>
    <w:p>
      <w:pPr>
        <w:ind w:left="360" w:right="140"/>
        <w:spacing w:after="0" w:line="291" w:lineRule="auto"/>
        <w:rPr>
          <w:sz w:val="20"/>
          <w:szCs w:val="20"/>
          <w:color w:val="auto"/>
        </w:rPr>
      </w:pPr>
      <w:r>
        <w:rPr>
          <w:rFonts w:ascii="Times New Roman" w:cs="Times New Roman" w:eastAsia="Times New Roman" w:hAnsi="Times New Roman"/>
          <w:sz w:val="16"/>
          <w:szCs w:val="16"/>
          <w:color w:val="auto"/>
        </w:rPr>
        <w:t>•issuance of warning letters, safety alerts, dear-healthcare-provider letters, press releases or other communications containing warnings regarding the product that would result in adverse publicity;</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69" w:name="page70"/>
    <w:bookmarkEnd w:id="6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•voluntary or mandatory product recalls and publicity requirements or withdrawal of a product from the market;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•suspension or withdrawal of marketing or regulatory approvals or other permits or voluntary;</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•product seizures, detentions or import bans;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or partial suspension of production;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•imposition of restrictions on operations, including costly new manufacturing requirements;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•requirement to establish or modify a REMS;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•requirement to conduct post-marketing studies or surveillance;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•restrictions on drug distribution or use;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•requirements to conduct post-marketing studies or clinical trials;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•refusal to approve pending applications or supplements to approved applications that we submit and other delays;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•delays in or the rejection of approvals of additional indications for a product;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•restrictions on our ability to conduct clinical trials, including full or partial clinical holds on, or the suspension or termination of, future trials;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•fines, restitution or disgorgement of profits or revenue;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•reputational harm;</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•refusal of government contracts or future orders under existing contracts, exclusion from participation in federal health care programs; or</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•injunctions or the imposition of civil or criminal penalties, including False Claims Act liability.</w:t>
      </w:r>
    </w:p>
    <w:p>
      <w:pPr>
        <w:spacing w:after="0" w:line="17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spacing w:after="0" w:line="12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The occurrence of any event or penalty described above may inhibit our ability to commercialize any product candidates that we may develop, if approved, and generate revenue. If regulatory sanctions are applied or if regulatory approval is withdrawn, our value and operating results will be adversely affected.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FDA and other regulatory agencies actively enforce the laws and regulations prohibiting the promotion of off-label uses.</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If we are found to have improperly promoted off-label uses of FYARRO prior to its divestiture or any product candidate that we may develop in the future including the ADC Therapies, if approved, we may become subject to significant liability. The FDA and other regulatory agencies, including the U.S. Department of Justice, strictly regulate the post-approval marketing and promotional claims that may be made about prescription products.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70" w:name="page71"/>
    <w:bookmarkEnd w:id="7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any product candidate that we may develop, if approved, we could become subject to significant liability, which would materially adversely affect our business and financial condition.</w:t>
      </w:r>
    </w:p>
    <w:p>
      <w:pPr>
        <w:spacing w:after="0" w:line="12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spacing w:after="0" w:line="130"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4"/>
          <w:szCs w:val="14"/>
          <w:color w:val="auto"/>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313"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4"/>
          <w:szCs w:val="14"/>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In June 2023,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or LDTs, and to ensure more consistent performance of these tests for drug selection and improved cancer patient care. In April 2024, the FDA published a final rule that phases out its enforcement discretion for most LDTs and amends the FDA’s regulations to make explicit that in vitro diagnostics are medical devices under the Federal Food, Drug, and Cosmetic Act, including when the manufacturer of the diagnostic product is a laboratory. If we or our collaborators develop any LDTs, such products would be subject to FDA regulation as medical devices, and we would need to invest significant time and resources to ensure ongoing compliance with FDA quality system regulations and other post-market regulatory requirements. In January 2024, FDA announced its plans to reclassify certain high-risk in vitro diagnostics, including companion diagnostics, as Class II (or moderate risk) devices. We will continue to evaluate the impact of FDA guidance and other developments in the diagnostic space. This guidance and future issuances from the FDA and other regulatory authorities may impact our development of a companion diagnostic for our product candidates and result 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1" w:name="page72"/>
    <w:bookmarkEnd w:id="7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335" w:lineRule="auto"/>
        <w:rPr>
          <w:sz w:val="20"/>
          <w:szCs w:val="20"/>
          <w:color w:val="auto"/>
        </w:rPr>
      </w:pPr>
      <w:r>
        <w:rPr>
          <w:rFonts w:ascii="Times New Roman" w:cs="Times New Roman" w:eastAsia="Times New Roman" w:hAnsi="Times New Roman"/>
          <w:sz w:val="14"/>
          <w:szCs w:val="14"/>
          <w:color w:val="auto"/>
        </w:rPr>
        <w:t>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9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spacing w:after="0" w:line="142"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seek Fast Track designations from the FDA for our product candidates. Even if one or more of our product candidates receive Fast Track designation, we may not lead to a faster development or review process, or we may be unable to maintain or effectively utilize such a designation.</w:t>
      </w:r>
    </w:p>
    <w:p>
      <w:pPr>
        <w:spacing w:after="0" w:line="11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We may seek Fast Track designation for our product candidates, and we may not be successful in securing such additional designation or in expediting development if such designations were received. Even if we receive Fast Track designation for product candidates, the FDA may withdraw such Fast Track designation if it believes that the Fast Track designation is no longer supported by data from our clinical development program.</w:t>
      </w:r>
    </w:p>
    <w:p>
      <w:pPr>
        <w:spacing w:after="0" w:line="12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spacing w:after="0" w:line="13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color w:val="auto"/>
        </w:rPr>
        <w:t>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2" w:name="page73"/>
    <w:bookmarkEnd w:id="7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spacing w:after="0" w:line="13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a product candidate will receive regulatory approval in the United States in other indications.</w:t>
      </w:r>
    </w:p>
    <w:p>
      <w:pPr>
        <w:spacing w:after="0" w:line="130"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obtain or maintain orphan drug designation or obtain or maintain orphan drug exclusivity for any product candidates and, even if we do, such exclusivity may not prevent the FDA, EMA or other comparable foreign regulatory authorities, from approving competing products.</w:t>
      </w:r>
    </w:p>
    <w:p>
      <w:pPr>
        <w:spacing w:after="0" w:line="11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any product candidates.</w:t>
      </w:r>
    </w:p>
    <w:p>
      <w:pPr>
        <w:spacing w:after="0" w:line="1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13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 xml:space="preserve">In </w:t>
      </w:r>
      <w:r>
        <w:rPr>
          <w:rFonts w:ascii="Times New Roman" w:cs="Times New Roman" w:eastAsia="Times New Roman" w:hAnsi="Times New Roman"/>
          <w:sz w:val="16"/>
          <w:szCs w:val="16"/>
          <w:i w:val="1"/>
          <w:iCs w:val="1"/>
          <w:color w:val="auto"/>
        </w:rPr>
        <w:t>Catalyst Pharms., Inc. v. Becerra</w:t>
      </w:r>
      <w:r>
        <w:rPr>
          <w:rFonts w:ascii="Times New Roman" w:cs="Times New Roman" w:eastAsia="Times New Roman" w:hAnsi="Times New Roman"/>
          <w:sz w:val="16"/>
          <w:szCs w:val="16"/>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16"/>
          <w:szCs w:val="16"/>
          <w:i w:val="1"/>
          <w:iCs w:val="1"/>
          <w:color w:val="auto"/>
        </w:rPr>
        <w:t>Catalyst</w:t>
      </w:r>
      <w:r>
        <w:rPr>
          <w:rFonts w:ascii="Times New Roman" w:cs="Times New Roman" w:eastAsia="Times New Roman" w:hAnsi="Times New Roman"/>
          <w:sz w:val="16"/>
          <w:szCs w:val="16"/>
          <w:color w:val="auto"/>
        </w:rPr>
        <w:t xml:space="preserve">, the FDA intends to continue to apply its longstanding interpretation of the regulations to matters outside of the scope of the </w:t>
      </w:r>
      <w:r>
        <w:rPr>
          <w:rFonts w:ascii="Times New Roman" w:cs="Times New Roman" w:eastAsia="Times New Roman" w:hAnsi="Times New Roman"/>
          <w:sz w:val="16"/>
          <w:szCs w:val="16"/>
          <w:i w:val="1"/>
          <w:iCs w:val="1"/>
          <w:color w:val="auto"/>
        </w:rPr>
        <w:t>Catalyst</w:t>
      </w:r>
      <w:r>
        <w:rPr>
          <w:rFonts w:ascii="Times New Roman" w:cs="Times New Roman" w:eastAsia="Times New Roman" w:hAnsi="Times New Roman"/>
          <w:sz w:val="16"/>
          <w:szCs w:val="16"/>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3" w:name="page74"/>
    <w:bookmarkEnd w:id="7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designated disease or condition that have not yet been approved. It is unclear how future litigation, legislation, agency decisions, and administrative actions will impact the scope of the orphan drug exclusivity.</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 xml:space="preserve">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 In view of the overturn of the </w:t>
      </w:r>
      <w:r>
        <w:rPr>
          <w:rFonts w:ascii="Times New Roman" w:cs="Times New Roman" w:eastAsia="Times New Roman" w:hAnsi="Times New Roman"/>
          <w:sz w:val="16"/>
          <w:szCs w:val="16"/>
          <w:i w:val="1"/>
          <w:iCs w:val="1"/>
          <w:color w:val="auto"/>
        </w:rPr>
        <w:t>Chevron</w:t>
      </w:r>
      <w:r>
        <w:rPr>
          <w:rFonts w:ascii="Times New Roman" w:cs="Times New Roman" w:eastAsia="Times New Roman" w:hAnsi="Times New Roman"/>
          <w:sz w:val="16"/>
          <w:szCs w:val="16"/>
          <w:color w:val="auto"/>
        </w:rPr>
        <w:t xml:space="preserve"> doctrine in </w:t>
      </w:r>
      <w:r>
        <w:rPr>
          <w:rFonts w:ascii="Times New Roman" w:cs="Times New Roman" w:eastAsia="Times New Roman" w:hAnsi="Times New Roman"/>
          <w:sz w:val="16"/>
          <w:szCs w:val="16"/>
          <w:i w:val="1"/>
          <w:iCs w:val="1"/>
          <w:color w:val="auto"/>
        </w:rPr>
        <w:t>Loper Bright Enterprises v. Raimondo</w:t>
      </w:r>
      <w:r>
        <w:rPr>
          <w:rFonts w:ascii="Times New Roman" w:cs="Times New Roman" w:eastAsia="Times New Roman" w:hAnsi="Times New Roman"/>
          <w:sz w:val="16"/>
          <w:szCs w:val="16"/>
          <w:color w:val="auto"/>
        </w:rPr>
        <w:t>, this landmark Supreme Court decision may invite various stakeholders to bring lawsuits against the FDA to challenge longstanding decisions and policies, including market exclusivities, which could lead to uncertainties in the industry. Further, changes in the leadership of the FDA and other federal agencies under the current administration may also lead to new policies and changes in the regulations and operations of the FDA, which may impact our clinical development plans. In April 2025, the President issued an executive order and an accompanying fact sheet focused on lowering drug prices, but it is unclear what actions will be implemented by the Department of Health and Human Services, CMS, and FDA under the new leadership, and how those actions will impact our industry and our business.</w:t>
      </w:r>
    </w:p>
    <w:p>
      <w:pPr>
        <w:spacing w:after="0" w:line="146"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We may be unable to obtain orphan drug designation or orphan drug exclusivity for any other product candidate, or we may be unable to successfully commercialize a product candidate for such orphan population due to risks that include:</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orphan patient populations may change in size;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•there may be changes in the treatment options for patients that may provide alternative treatments;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development costs may be greater than projected revenue of drug sales for the orphan indications;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regulatory agencies may disagree with the design or implementation of our clinical trials;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•there may be difficulties in enrolling patients for clinical trials;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product candidate may not prove to be efficacious in the respective orphan patient populations;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•clinical trial results may not meet the level of statistical significance required by the regulatory agencies; and</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product candidate may not have a favorable risk/benefit assessment in the respective orphan indication.</w:t>
      </w:r>
    </w:p>
    <w:p>
      <w:pPr>
        <w:spacing w:after="0" w:line="176"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If we are unable to obtain regulatory approval for a product candidate in any other orphan population for which we obtain orphan drug designation or we are unable to successfully commercialize a product candidate, if approved, for such orphan population, it could harm our business prospects, financial condition and results of operations.</w:t>
      </w:r>
    </w:p>
    <w:p>
      <w:pPr>
        <w:spacing w:after="0" w:line="1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55" w:right="740" w:bottom="1440" w:gutter="0" w:footer="0" w:header="0"/>
        </w:sectPr>
      </w:pPr>
    </w:p>
    <w:bookmarkStart w:id="74" w:name="page75"/>
    <w:bookmarkEnd w:id="7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327" w:lineRule="auto"/>
        <w:rPr>
          <w:sz w:val="20"/>
          <w:szCs w:val="20"/>
          <w:color w:val="auto"/>
        </w:rPr>
      </w:pPr>
      <w:r>
        <w:rPr>
          <w:rFonts w:ascii="Times New Roman" w:cs="Times New Roman" w:eastAsia="Times New Roman" w:hAnsi="Times New Roman"/>
          <w:sz w:val="14"/>
          <w:szCs w:val="14"/>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spacing w:after="0" w:line="99"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4"/>
          <w:szCs w:val="14"/>
          <w:color w:val="auto"/>
        </w:rPr>
        <w:t>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spacing w:after="0" w:line="200" w:lineRule="exact"/>
        <w:rPr>
          <w:sz w:val="20"/>
          <w:szCs w:val="20"/>
          <w:color w:val="auto"/>
        </w:rPr>
      </w:pPr>
    </w:p>
    <w:p>
      <w:pPr>
        <w:spacing w:after="0" w:line="3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difficulties from changes to current regulations and future legislation.</w:t>
      </w:r>
    </w:p>
    <w:p>
      <w:pPr>
        <w:spacing w:after="0" w:line="180" w:lineRule="exact"/>
        <w:rPr>
          <w:sz w:val="20"/>
          <w:szCs w:val="20"/>
          <w:color w:val="auto"/>
        </w:rPr>
      </w:pPr>
    </w:p>
    <w:p>
      <w:pPr>
        <w:jc w:val="both"/>
        <w:ind w:right="300"/>
        <w:spacing w:after="0" w:line="278" w:lineRule="auto"/>
        <w:rPr>
          <w:sz w:val="20"/>
          <w:szCs w:val="20"/>
          <w:color w:val="auto"/>
        </w:rPr>
      </w:pPr>
      <w:r>
        <w:rPr>
          <w:rFonts w:ascii="Times New Roman" w:cs="Times New Roman" w:eastAsia="Times New Roman" w:hAnsi="Times New Roman"/>
          <w:sz w:val="16"/>
          <w:szCs w:val="16"/>
          <w:color w:val="auto"/>
        </w:rPr>
        <w:t>Existing regulatory policies may change, and additional government regulations may be enacted that could prevent, limit or delay regulatory approval of any product candidates that we may develop. We cannot predict the likelihood, nature or extent of government regulation that may arise from future legislation or administrative action, either in the United States or abroad.</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75" w:name="page76"/>
    <w:bookmarkEnd w:id="7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6"/>
          <w:szCs w:val="16"/>
          <w:color w:val="auto"/>
        </w:rPr>
        <w:t>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118" w:lineRule="exact"/>
        <w:rPr>
          <w:sz w:val="20"/>
          <w:szCs w:val="20"/>
          <w:color w:val="auto"/>
        </w:rPr>
      </w:pPr>
    </w:p>
    <w:p>
      <w:pPr>
        <w:ind w:right="220"/>
        <w:spacing w:after="0" w:line="325" w:lineRule="auto"/>
        <w:rPr>
          <w:sz w:val="20"/>
          <w:szCs w:val="20"/>
          <w:color w:val="auto"/>
        </w:rPr>
      </w:pPr>
      <w:r>
        <w:rPr>
          <w:rFonts w:ascii="Times New Roman" w:cs="Times New Roman" w:eastAsia="Times New Roman" w:hAnsi="Times New Roman"/>
          <w:sz w:val="14"/>
          <w:szCs w:val="14"/>
          <w:color w:val="auto"/>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Some of the provisions of the ACA have been subject to judicial and Congressional challenges, and in June 2021, the Supreme Court held that Texas and other challengers had no legal standing to challenge the ACA, dismissing the case without specifically ruling on the constitutionality of the ACA.</w:t>
      </w:r>
    </w:p>
    <w:p>
      <w:pPr>
        <w:spacing w:after="0" w:line="100"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4"/>
          <w:szCs w:val="14"/>
          <w:color w:val="auto"/>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federal government asserting that the price negotiation provisions of the Inflation Reduction Act are unconstitutional. The impact of these judicial challenges as well as any future litigation in view of the Supreme Court’s overturn of the </w:t>
      </w:r>
      <w:r>
        <w:rPr>
          <w:rFonts w:ascii="Times New Roman" w:cs="Times New Roman" w:eastAsia="Times New Roman" w:hAnsi="Times New Roman"/>
          <w:sz w:val="14"/>
          <w:szCs w:val="14"/>
          <w:i w:val="1"/>
          <w:iCs w:val="1"/>
          <w:color w:val="auto"/>
        </w:rPr>
        <w:t xml:space="preserve">Chevron </w:t>
      </w:r>
      <w:r>
        <w:rPr>
          <w:rFonts w:ascii="Times New Roman" w:cs="Times New Roman" w:eastAsia="Times New Roman" w:hAnsi="Times New Roman"/>
          <w:sz w:val="14"/>
          <w:szCs w:val="14"/>
          <w:color w:val="auto"/>
        </w:rPr>
        <w:t>doctrine, new legislative, executive, and administrative actions and any future healthcare measures and agency rules implemented by the government on us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200" w:lineRule="exact"/>
        <w:rPr>
          <w:sz w:val="20"/>
          <w:szCs w:val="20"/>
          <w:color w:val="auto"/>
        </w:rPr>
      </w:pPr>
    </w:p>
    <w:p>
      <w:pPr>
        <w:spacing w:after="0" w:line="32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2032, unless additional congressional action is taken.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any product candidates that we may develop, if approved, and accordingly, our financial operations.</w:t>
      </w:r>
    </w:p>
    <w:p>
      <w:pPr>
        <w:spacing w:after="0" w:line="13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Additionally, FDA has authorized the state of Florida to develop a program to import certain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6" w:name="page77"/>
    <w:bookmarkEnd w:id="7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prescription drugs from Canada for a limited period to help reduce drug costs, provided that Florida’s Agency for Health Care Administration meets the requirements set forth by the FDA. Other states may follow Florida.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 xml:space="preserve">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 Further, in view of the Supreme Court decision in </w:t>
      </w:r>
      <w:r>
        <w:rPr>
          <w:rFonts w:ascii="Times New Roman" w:cs="Times New Roman" w:eastAsia="Times New Roman" w:hAnsi="Times New Roman"/>
          <w:sz w:val="16"/>
          <w:szCs w:val="16"/>
          <w:i w:val="1"/>
          <w:iCs w:val="1"/>
          <w:color w:val="auto"/>
        </w:rPr>
        <w:t>Loper Bright Enterprises v. Raimondo</w:t>
      </w:r>
      <w:r>
        <w:rPr>
          <w:rFonts w:ascii="Times New Roman" w:cs="Times New Roman" w:eastAsia="Times New Roman" w:hAnsi="Times New Roman"/>
          <w:sz w:val="16"/>
          <w:szCs w:val="16"/>
          <w:color w:val="auto"/>
        </w:rPr>
        <w:t>, this landmark decision may invite various stakeholders to bring lawsuits against the FDA to challenge longstanding decisions and policies, including market exclusivities, which could lead to uncertainties in the industry. Further, changes in the leadership of the FDA and other federal agencies under the current administration may also lead to new policies and changes in the regulations and operations of the FDA, which may impact our clinical development plans.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European Union member states may result in fines up to €20.0 million or up to 4% of the total worldwide annual turnover of the preceding financial year, whichever is higher, and other administrative penalties. Additionally, the UK has implemented legislation that substantially implements the GDPR, the UK GDPR, which provides for similar obligations and provides for penalties for noncompliance of up to the greater of £17.5 million or four percent of worldwide revenues. The UK enacted the UK Data (Use and Access) Act 2025 on June 19, 2025, which made targeted amendments to the UK GDPR and the UK Data Protection Act. The European Union also has enacted numerous laws and regulations addressing cybersecurity. Similar laws have been proposed, and in certain cases enacted, in other foreign jurisdictions. For example, on August 20, 2021, the Personal Information Protection Law (“PIPL”) of the People’s Republic of China was adopted and went into effect on November 1, 2021. The PIPL allows for fines of up to 50 million renminbi or 5% of a covered company’s revenue in the prior year.</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7" w:name="page78"/>
    <w:bookmarkEnd w:id="7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PIPL shares similarities with the GDPR, including extraterritorial application, data minimization, data localization, and purpose limitation requirements, and limitations on cross-border data transfers. These developments and regimes and other regulatory regimes, guidance, or developments may impose additional obligations with respect to cross-border data transfers, all of which could restrict our activities in certain jurisdictions, limit our ability to provide our products and services or engage in other activities in certain jurisdictions, require us to modify our policies and practices, and to engage in additional contractual negotiations, or increase our costs and obligations and impose limitations upon our ability to efficiently transfer personal data across borders. Any of these events, if occurring, could adversely affect the manner in which we conduct our business and thus materially affect our operations and financial results.</w:t>
      </w:r>
    </w:p>
    <w:p>
      <w:pPr>
        <w:spacing w:after="0" w:line="13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More generally, state and foreign laws addressing privacy, data protection and cybersecurity may apply to the privacy, protection, security, and collection, use, transfer, retention, and other processing of information we maintain, and may differ from each other in significant ways, thus complicating compliance efforts. For example, the California Consumer Privacy Act of 2018 (the “CCPA”), which took effect on January 1, 2020, and subsequently was amended and supplemented by the CPRA,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Numerous other states in the U.S. have proposed or enacted similar legislation. While the CCPA and many other similar state laws exempt some data regulated by the Health Insurance Portability and Accountability Act of 1996 (“HIPAA”) and certain clinical trials data, the CCPA and such other laws, to the extent applicable to our business and operations, may increase our compliance costs and potential liability. Further, some states have enacted more specific legislation, such as Washington’s enactment of the My Health, My Data Act, which includes a private right of action. The U.S. federal government is also contemplating federal privacy legislation, and the U.S. Department of Justice has issued rules regarding certain bulk sensitive personal data transfers. The evolving trend toward more stringent laws and regulations in the United States relating to privacy, data protection and cybersecurity, including the foregoing laws and regulations and the potential for future laws and regulations, could increase our compliance costs and potential liability and adversely affect our business.</w:t>
      </w:r>
    </w:p>
    <w:p>
      <w:pPr>
        <w:spacing w:after="0" w:line="138"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color w:val="auto"/>
        </w:rPr>
        <w:t>It is possible that the GDPR, UK GDPR, CCPA, CPRA, or other laws and regulations relating to privacy, data protection and cybersecurity may be interpreted and applied in a manner that is inconsistent from jurisdiction to jurisdiction or inconsistent with our policies and practices. We cannot guarantee that we are in compliance with all such laws and regulations, and we cannot be sure how these laws and regulations will be interpreted, enforced or applied to our operations.</w:t>
      </w:r>
    </w:p>
    <w:p>
      <w:pPr>
        <w:spacing w:after="0" w:line="12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Furthermore, various jurisdictions are introducing or enhancing laws, rules, and regulations relating to privacy, data protection and cybersecurity, which could increase our compliance costs and the risks associated with noncompliance. It is possible that these laws may be interpreted and applied in a manner that is inconsistent with our practices, and our efforts to comply with the evolving data protection rules may be unsuccessful. Our actual or alleged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in various jurisdictions may be costly and require ongoing modifications to our policies, procedures, and systems. The GDPR, UK GDPR, and other laws and regulations addressing privacy, data protection and cybersecurity may increase our responsibility and liability in relation to personal data that we may process, and we may be required to put in place additional mechanisms in an effort to comply with them.</w:t>
      </w:r>
    </w:p>
    <w:p>
      <w:pPr>
        <w:spacing w:after="0" w:line="13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Our actual or perceived failure to adequately comply with applicable laws and regulations or other actual or asserted obligations relating to privacy, data protection and cybersecurity, or to protect personal data and other data we process or maintain, could result in regulatory enforcement actions against us, including fines, imprisonment of company officials and public censure, claims for damages by affected individuals, other lawsuits or reputational and damage, all of which could materially affect our business, financial condition, results of operations, and growth prospects.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78" w:name="page79"/>
    <w:bookmarkEnd w:id="7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Inadequate funding, layoffs, and other policies impacting the normal operations of the FDA, the Securities and Exchange Commission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30" w:lineRule="exact"/>
        <w:rPr>
          <w:sz w:val="20"/>
          <w:szCs w:val="20"/>
          <w:color w:val="auto"/>
        </w:rPr>
      </w:pPr>
    </w:p>
    <w:p>
      <w:pPr>
        <w:ind w:right="120"/>
        <w:spacing w:after="0" w:line="316"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and accept the payment of fees, and statutory, regulatory, and policy changes. Changes in the leadership of the FDA and other federal agencies under the current administration, including return-to-office policy, hiring freeze, layoffs, and other policies implemented by the Department of Government Efficiency, may lead to changes in the operations of the FDA and other agencies, which may have a material impact on the industry and our clinical development plans.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09" w:lineRule="exact"/>
        <w:rPr>
          <w:sz w:val="20"/>
          <w:szCs w:val="20"/>
          <w:color w:val="auto"/>
        </w:rPr>
      </w:pPr>
    </w:p>
    <w:p>
      <w:pPr>
        <w:ind w:right="200"/>
        <w:spacing w:after="0" w:line="335" w:lineRule="auto"/>
        <w:rPr>
          <w:sz w:val="20"/>
          <w:szCs w:val="20"/>
          <w:color w:val="auto"/>
        </w:rPr>
      </w:pPr>
      <w:r>
        <w:rPr>
          <w:rFonts w:ascii="Times New Roman" w:cs="Times New Roman" w:eastAsia="Times New Roman" w:hAnsi="Times New Roman"/>
          <w:sz w:val="14"/>
          <w:szCs w:val="14"/>
          <w:color w:val="auto"/>
        </w:rPr>
        <w:t>If a prolonged government shutdown occurs or if the FDA’s normal operations are disrupted,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9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133"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spacing w:after="0" w:line="134" w:lineRule="exact"/>
        <w:rPr>
          <w:sz w:val="20"/>
          <w:szCs w:val="20"/>
          <w:color w:val="auto"/>
        </w:rPr>
      </w:pPr>
    </w:p>
    <w:p>
      <w:pPr>
        <w:ind w:left="360"/>
        <w:spacing w:after="0" w:line="270" w:lineRule="auto"/>
        <w:rPr>
          <w:sz w:val="20"/>
          <w:szCs w:val="20"/>
          <w:color w:val="auto"/>
        </w:rPr>
      </w:pPr>
      <w:r>
        <w:rPr>
          <w:rFonts w:ascii="Times New Roman" w:cs="Times New Roman" w:eastAsia="Times New Roman" w:hAnsi="Times New Roman"/>
          <w:sz w:val="16"/>
          <w:szCs w:val="16"/>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136" w:lineRule="exact"/>
        <w:rPr>
          <w:sz w:val="20"/>
          <w:szCs w:val="20"/>
          <w:color w:val="auto"/>
        </w:rPr>
      </w:pPr>
    </w:p>
    <w:p>
      <w:pPr>
        <w:ind w:left="360" w:right="160"/>
        <w:spacing w:after="0" w:line="278" w:lineRule="auto"/>
        <w:rPr>
          <w:sz w:val="20"/>
          <w:szCs w:val="20"/>
          <w:color w:val="auto"/>
        </w:rPr>
      </w:pPr>
      <w:r>
        <w:rPr>
          <w:rFonts w:ascii="Times New Roman" w:cs="Times New Roman" w:eastAsia="Times New Roman" w:hAnsi="Times New Roman"/>
          <w:sz w:val="16"/>
          <w:szCs w:val="16"/>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9" w:name="page80"/>
    <w:bookmarkEnd w:id="7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360" w:right="20"/>
        <w:spacing w:after="0" w:line="335" w:lineRule="auto"/>
        <w:rPr>
          <w:sz w:val="20"/>
          <w:szCs w:val="20"/>
          <w:color w:val="auto"/>
        </w:rPr>
      </w:pPr>
      <w:r>
        <w:rPr>
          <w:rFonts w:ascii="Times New Roman" w:cs="Times New Roman" w:eastAsia="Times New Roman" w:hAnsi="Times New Roman"/>
          <w:sz w:val="14"/>
          <w:szCs w:val="14"/>
          <w:color w:val="auto"/>
        </w:rPr>
        <w:t>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94" w:lineRule="exact"/>
        <w:rPr>
          <w:sz w:val="20"/>
          <w:szCs w:val="20"/>
          <w:color w:val="auto"/>
        </w:rPr>
      </w:pPr>
    </w:p>
    <w:p>
      <w:pPr>
        <w:ind w:left="360" w:right="240"/>
        <w:spacing w:after="0" w:line="291" w:lineRule="auto"/>
        <w:rPr>
          <w:sz w:val="20"/>
          <w:szCs w:val="20"/>
          <w:color w:val="auto"/>
        </w:rPr>
      </w:pPr>
      <w:r>
        <w:rPr>
          <w:rFonts w:ascii="Times New Roman" w:cs="Times New Roman" w:eastAsia="Times New Roman" w:hAnsi="Times New Roman"/>
          <w:sz w:val="16"/>
          <w:szCs w:val="16"/>
          <w:color w:val="auto"/>
        </w:rPr>
        <w:t>•federal criminal laws that prohibit executing a scheme to defraud any healthcare benefit program or making, or causing to be made, false statements relating to healthcare matters;</w:t>
      </w:r>
    </w:p>
    <w:p>
      <w:pPr>
        <w:spacing w:after="0" w:line="118" w:lineRule="exact"/>
        <w:rPr>
          <w:sz w:val="20"/>
          <w:szCs w:val="20"/>
          <w:color w:val="auto"/>
        </w:rPr>
      </w:pPr>
    </w:p>
    <w:p>
      <w:pPr>
        <w:ind w:left="360" w:right="300"/>
        <w:spacing w:after="0" w:line="278" w:lineRule="auto"/>
        <w:rPr>
          <w:sz w:val="20"/>
          <w:szCs w:val="20"/>
          <w:color w:val="auto"/>
        </w:rPr>
      </w:pPr>
      <w:r>
        <w:rPr>
          <w:rFonts w:ascii="Times New Roman" w:cs="Times New Roman" w:eastAsia="Times New Roman" w:hAnsi="Times New Roman"/>
          <w:sz w:val="16"/>
          <w:szCs w:val="16"/>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FCPA, the U.K. Bribery Act of 2010, and other local anti-corruption laws that apply to our international activities;</w:t>
      </w:r>
    </w:p>
    <w:p>
      <w:pPr>
        <w:spacing w:after="0" w:line="176" w:lineRule="exact"/>
        <w:rPr>
          <w:sz w:val="20"/>
          <w:szCs w:val="20"/>
          <w:color w:val="auto"/>
        </w:rPr>
      </w:pPr>
    </w:p>
    <w:p>
      <w:pPr>
        <w:ind w:left="360" w:right="40"/>
        <w:spacing w:after="0" w:line="316" w:lineRule="auto"/>
        <w:rPr>
          <w:sz w:val="20"/>
          <w:szCs w:val="20"/>
          <w:color w:val="auto"/>
        </w:rPr>
      </w:pPr>
      <w:r>
        <w:rPr>
          <w:rFonts w:ascii="Times New Roman" w:cs="Times New Roman" w:eastAsia="Times New Roman" w:hAnsi="Times New Roman"/>
          <w:sz w:val="14"/>
          <w:szCs w:val="14"/>
          <w:color w:val="auto"/>
        </w:rPr>
        <w:t>•the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09" w:lineRule="exact"/>
        <w:rPr>
          <w:sz w:val="20"/>
          <w:szCs w:val="20"/>
          <w:color w:val="auto"/>
        </w:rPr>
      </w:pPr>
    </w:p>
    <w:p>
      <w:pPr>
        <w:ind w:left="360" w:right="60"/>
        <w:spacing w:after="0" w:line="270" w:lineRule="auto"/>
        <w:rPr>
          <w:sz w:val="20"/>
          <w:szCs w:val="20"/>
          <w:color w:val="auto"/>
        </w:rPr>
      </w:pPr>
      <w:r>
        <w:rPr>
          <w:rFonts w:ascii="Times New Roman" w:cs="Times New Roman" w:eastAsia="Times New Roman" w:hAnsi="Times New Roman"/>
          <w:sz w:val="16"/>
          <w:szCs w:val="16"/>
          <w:color w:val="auto"/>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36" w:lineRule="exact"/>
        <w:rPr>
          <w:sz w:val="20"/>
          <w:szCs w:val="20"/>
          <w:color w:val="auto"/>
        </w:rPr>
      </w:pPr>
    </w:p>
    <w:p>
      <w:pPr>
        <w:ind w:left="360"/>
        <w:spacing w:after="0" w:line="270" w:lineRule="auto"/>
        <w:rPr>
          <w:sz w:val="20"/>
          <w:szCs w:val="20"/>
          <w:color w:val="auto"/>
        </w:rPr>
      </w:pPr>
      <w:r>
        <w:rPr>
          <w:rFonts w:ascii="Times New Roman" w:cs="Times New Roman" w:eastAsia="Times New Roman" w:hAnsi="Times New Roman"/>
          <w:sz w:val="16"/>
          <w:szCs w:val="16"/>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w:t>
      </w:r>
    </w:p>
    <w:p>
      <w:pPr>
        <w:spacing w:after="0" w:line="136" w:lineRule="exact"/>
        <w:rPr>
          <w:sz w:val="20"/>
          <w:szCs w:val="20"/>
          <w:color w:val="auto"/>
        </w:rPr>
      </w:pPr>
    </w:p>
    <w:p>
      <w:pPr>
        <w:ind w:left="360"/>
        <w:spacing w:after="0" w:line="274" w:lineRule="auto"/>
        <w:rPr>
          <w:sz w:val="20"/>
          <w:szCs w:val="20"/>
          <w:color w:val="auto"/>
        </w:rPr>
      </w:pPr>
      <w:r>
        <w:rPr>
          <w:rFonts w:ascii="Times New Roman" w:cs="Times New Roman" w:eastAsia="Times New Roman" w:hAnsi="Times New Roman"/>
          <w:sz w:val="16"/>
          <w:szCs w:val="16"/>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0" w:name="page81"/>
    <w:bookmarkEnd w:id="8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right="120"/>
        <w:spacing w:after="0" w:line="313" w:lineRule="auto"/>
        <w:rPr>
          <w:sz w:val="20"/>
          <w:szCs w:val="20"/>
          <w:color w:val="auto"/>
        </w:rPr>
      </w:pPr>
      <w:r>
        <w:rPr>
          <w:rFonts w:ascii="Times New Roman" w:cs="Times New Roman" w:eastAsia="Times New Roman" w:hAnsi="Times New Roman"/>
          <w:sz w:val="14"/>
          <w:szCs w:val="14"/>
          <w:color w:val="auto"/>
        </w:rPr>
        <w:t>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the UK GDPR, and state laws and regulations, including general legislation such as the CCPA, and sector- or subject matter-specific laws and regulations, also govern the privacy and security of health information in some circumstances, many of which differ from each other in significant ways. Many state laws in the U.S. are not preempted by HIPAA, thus complicating compliance efforts. There are ambiguities as to what is required to comply with these state and other laws and regulations and if we fail or are alleged to comply with an applicable requirement of any of these laws or regulations, we could be subject to claims, demands, and litigation initiated by private individuals or entities, regulatory investigations and other proceedings, and fines, penalties, and other liabilities.</w:t>
      </w:r>
    </w:p>
    <w:p>
      <w:pPr>
        <w:spacing w:after="0" w:line="313"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6"/>
          <w:szCs w:val="16"/>
          <w:color w:val="auto"/>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13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13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alleged or found to be in violation of any of these laws or any other governmental regulations that may apply to us, we may be subject to significant consequences,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37"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1" w:name="page82"/>
    <w:bookmarkEnd w:id="8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2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If we, or any contract manufacturers and suppliers we engage, fails to comply with environmental, health and safety laws and regulations, we could become subject to fines or penalties or incur costs that could have a material adverse effect on our business.</w:t>
      </w:r>
    </w:p>
    <w:p>
      <w:pPr>
        <w:spacing w:after="0" w:line="1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spacing w:after="0" w:line="135"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9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2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spacing w:after="0" w:line="127"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4"/>
          <w:szCs w:val="14"/>
          <w:color w:val="auto"/>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82" w:name="page83"/>
    <w:bookmarkEnd w:id="8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133"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business activities may be subject to United States and certain foreign export controls, trade sanctions, and import laws and regulations. Compliance with these legal requirements could limit our ability to compete in foreign markets and subject us to liability if we violate them.</w:t>
      </w:r>
    </w:p>
    <w:p>
      <w:pPr>
        <w:spacing w:after="0" w:line="1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in Ukraine. The impact of these measures, as well as potential responses to them by Russia, is currently unknown and they could adversely affect our business, supply chain, business partners or customers.</w:t>
      </w:r>
    </w:p>
    <w:p>
      <w:pPr>
        <w:spacing w:after="0" w:line="139"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134"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escalation in conflicts in Ukraine and the Middle East,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83" w:name="page84"/>
    <w:bookmarkEnd w:id="8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Reliance on Third Parties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product candidates are complex and can be difficult to manufacture.</w:t>
      </w:r>
    </w:p>
    <w:p>
      <w:pPr>
        <w:spacing w:after="0" w:line="180"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4"/>
          <w:szCs w:val="14"/>
          <w:color w:val="auto"/>
        </w:rPr>
        <w:t>Our product candidates are complex and can be difficult to manufacture due to the advanced linker-payload architecture. Problems with the manufacturing process, including even minor deviations from the normal process, could result in product defects or manufacturing failures that result in lot failures, product recalls, product liability claims, and insufficient inventory, negative impact on our sales and results of operations and make us a less attractive collaborator for potential partners or subject us to liability for any contamination or injury or failure to comply with applicable laws. We may encounter problems achieving adequate quantities and quality of</w:t>
      </w:r>
    </w:p>
    <w:p>
      <w:pPr>
        <w:spacing w:after="0" w:line="2" w:lineRule="exact"/>
        <w:rPr>
          <w:sz w:val="20"/>
          <w:szCs w:val="20"/>
          <w:color w:val="auto"/>
        </w:rPr>
      </w:pPr>
    </w:p>
    <w:p>
      <w:pPr>
        <w:ind w:right="40"/>
        <w:spacing w:after="0" w:line="322" w:lineRule="auto"/>
        <w:rPr>
          <w:sz w:val="20"/>
          <w:szCs w:val="20"/>
          <w:color w:val="auto"/>
        </w:rPr>
      </w:pPr>
      <w:r>
        <w:rPr>
          <w:rFonts w:ascii="Times New Roman" w:cs="Times New Roman" w:eastAsia="Times New Roman" w:hAnsi="Times New Roman"/>
          <w:sz w:val="16"/>
          <w:szCs w:val="16"/>
          <w:color w:val="auto"/>
        </w:rPr>
        <w:t>clinical-grade materials that meet FDA, EMA or other applicable standards or specifications with consistent and acceptable production yields and costs. There can be no assurance that manufacturing issues will not occur in the future.</w:t>
      </w:r>
    </w:p>
    <w:p>
      <w:pPr>
        <w:spacing w:after="0" w:line="90"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are currently dependent on single-source suppliers for our product candidates and their components, any issues with any such suppliers, including increases in costs or expenses or delays in supply, could harm our business.</w:t>
      </w:r>
    </w:p>
    <w:p>
      <w:pPr>
        <w:spacing w:after="0" w:line="11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6"/>
          <w:szCs w:val="16"/>
          <w:color w:val="auto"/>
        </w:rPr>
        <w:t>We currently rely on third parties to manufacture or supply our product candidates and their components and raw materials, many of which are sole source manufacturers and suppliers. For the near term, Hangzhou DAC will continue to manufacture the CPT113 linker-payload and WuXi Biologics will continue to manufacture the antibodies underlying our ADC product candidates. A subsidiary of WuXi Biologics will carry forward majority of the IND-enabling CMC, including antibody development, bioconjugation and fill and finish.</w:t>
      </w:r>
    </w:p>
    <w:p>
      <w:pPr>
        <w:spacing w:after="0" w:line="132" w:lineRule="exact"/>
        <w:rPr>
          <w:sz w:val="20"/>
          <w:szCs w:val="20"/>
          <w:color w:val="auto"/>
        </w:rPr>
      </w:pPr>
    </w:p>
    <w:p>
      <w:pPr>
        <w:ind w:right="100"/>
        <w:spacing w:after="0" w:line="314" w:lineRule="auto"/>
        <w:rPr>
          <w:sz w:val="20"/>
          <w:szCs w:val="20"/>
          <w:color w:val="auto"/>
        </w:rPr>
      </w:pPr>
      <w:r>
        <w:rPr>
          <w:rFonts w:ascii="Times New Roman" w:cs="Times New Roman" w:eastAsia="Times New Roman" w:hAnsi="Times New Roman"/>
          <w:sz w:val="14"/>
          <w:szCs w:val="14"/>
          <w:color w:val="auto"/>
        </w:rPr>
        <w:t>Although we have arrangements in place for the manufacture and supply of our product candidates and its key components, our manufacturers or suppliers could discontinue the manufacturing or supply at any time. Our manufacturers or suppliers may not be able to meet our demand whether because of acts of nature, the nature of our agreements with those manufacturers or suppliers or our relative importance to them as a customer, and our manufacturers and suppliers may decide in the future to discontinue or reduce the level of business they conduct with us either entirely or for a particular territory. The loss of any of the foregoing would require significant time and effort to locate and qualify an alternative source of supply, including efforts involved in the technology transfer. These third parties could also seek to renegotiate our arrangements and require that we pay more for the manufacture or supply. Any contractual disputes between us and our manufacturers or suppliers, or the loss of manufacturing ability by such parties could similarly require significant time, effort and expense and materially harm our business.</w:t>
      </w:r>
    </w:p>
    <w:p>
      <w:pPr>
        <w:spacing w:after="0" w:line="11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In addition, we might not be able to identify and qualify additional or replacement suppliers for our product candidates, its key components or the key raw materials used in the manufacture of our product candidates on a timely basis or at all or without incurring significant additional costs. We cannot guarantee that we will be able to establish alternative relationships on similar terms, without delay or at all. We may also face delays in our clinical trials or regulatory delays or be required to seek additional regulatory clearances or approvals if we experience any delay or deficiency in the quality of products obtained from suppliers or if we have to replace our suppliers.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84" w:name="page85"/>
    <w:bookmarkEnd w:id="8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Furthermore, there is a risk of contamination during manufacturing. Any contamination could materially harm our ability to produce products and product candidates on schedule and could cause reputational damage. Some of the raw materials could be difficult to procure and may be subject to contamination or recall. A material shortage, contamination, recall or restriction in the manufacture of any product candidates could adversely impact or disrupt the production of clinical material, which could materially harm our development timelines and our business, financial condition, results of operations and prospects.</w:t>
      </w:r>
    </w:p>
    <w:p>
      <w:pPr>
        <w:spacing w:after="0" w:line="128" w:lineRule="exact"/>
        <w:rPr>
          <w:sz w:val="20"/>
          <w:szCs w:val="20"/>
          <w:color w:val="auto"/>
        </w:rPr>
      </w:pPr>
    </w:p>
    <w:p>
      <w:pPr>
        <w:ind w:right="5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third parties having accurately generated, collected, interpreted and reported data from certain preclinical studies that were previously conducted for our product candidates.</w:t>
      </w:r>
    </w:p>
    <w:p>
      <w:pPr>
        <w:spacing w:after="0" w:line="11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We have relied on third parties, including WuXi Biologics and its affiliates, to conduct certain preclinical studies and clinical trials. We are dependent on these third parties having conducted their research and development in accordance with the applicable protocols, legal and regulatory requirements, and scientific standards; having accurately reported the results of all preclinical studies and clinical trials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w:t>
      </w:r>
    </w:p>
    <w:p>
      <w:pPr>
        <w:spacing w:after="0" w:line="130"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to conduct preclinical studies and clinical trials and for the manufacture, production, storage and distribution of our products and product candidates and certain commercialization activities for our products.</w:t>
      </w:r>
    </w:p>
    <w:p>
      <w:pPr>
        <w:spacing w:after="0" w:line="11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We rely on, and expect that we will continue to rely on, WuXi Biologics or its affiliates and other third parties to assist in managing, monitoring and otherwise carrying out preclinical studies and clinical trials of our products and product candidates and other third parties for the manufacture, production, storage and distribution of our products and product candidates and certain commercialization activities for our products, including government pricing, reporting and chargeback and rebate processing, pharmacovigilance and adverse event reporting. We have less control over the activities of third parties than we would otherwise have if we relied entirely upon our own staff and we are exposed to different risks, including all the risks associated with such third parties’ businesses and financial condition, than if we performed such functions ourselves. There can be no assurance that these third parties will perform services for us in accordance with our timelines, standards and expectations. If these third parties do not successfully carry out their duties under their agreements or otherwise fail to comply with regulatory requirements, we may experience delays in our research and development activities, be unable to obtain and maintain regulatory approval, be unable to commercialize our products and be required to issue product recalls. In addition, if any of our relationships with these third parties terminate, we may not be able to enter into alternative arrangements on a timely basis or on commercially reasonable terms, and even if successful in entering into alternative arrangements, we may experience significant delays during the transition. This risk may be heightened by our use of single-source supplier arrangements. Furthermore, if a third-party manufacturer cannot maintain a compliance status acceptable to the FDA, or if the EMA or a comparable regulatory authority in another jurisdiction does not approve these facilities for the manufacture of our products and product candidates or if it withdraws any such approval in the future, we may need to find alternative manufacturing facilities, which would be time-consuming, costly and uncertain and significantly impact our ability to develop, obtain regulatory approval for, source adequate supply of or market our products and product candidates.</w:t>
      </w:r>
    </w:p>
    <w:p>
      <w:pPr>
        <w:spacing w:after="0" w:line="14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rely on in-license agreements for patent rights with respect to our product candidates and may in the future acquire additional third-party intellectual property rights on which we may similarly rely. We face risks with respect to such reliance, including the risk that we could lose these rights that are important to our business if we fail to comply with our obligations under these licenses.</w:t>
      </w:r>
    </w:p>
    <w:p>
      <w:pPr>
        <w:spacing w:after="0" w:line="12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6"/>
          <w:szCs w:val="16"/>
          <w:color w:val="auto"/>
        </w:rPr>
        <w:t>We rely on third-party license agreements pursuant to which we have non-exclusive and exclusive rights to technology that is incorporated into our development programs and product candidates. For example, under our License Agreement with WuXi Biologics, we have been granted worldwide development and commercialization rights to the ADC Therapies, which includes rights to use the linker-payloads that WuXi Biologics has licensed from Hangzhou DAC. These license agreements impose diligence, milestone payment, royalty payment and other obligations on us.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85" w:name="page86"/>
    <w:bookmarkEnd w:id="8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6"/>
          <w:szCs w:val="16"/>
          <w:color w:val="auto"/>
        </w:rPr>
        <w:t>Termination of the License Agreement or reduction or elimination of our licensed rights may require us to negotiate new or reinstated licenses with less favorable terms or to cease all development and commercialization of our current product candidates. In addition, delay in appointing or finding a suitable replacement provider, if one exists, could make it difficult for us to operate our business for that period. If any such events were to occur, they could have a material adverse effect on our business prospects, financial condition and results of operations.</w:t>
      </w:r>
    </w:p>
    <w:p>
      <w:pPr>
        <w:spacing w:after="0" w:line="13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Moreover, the growth of our business may depend in part on our ability to acquire, in-license or use additional third-party intellectual property rights.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Licenses to additional third-party intellectual property, technology and materials that may be required for the development and commercialization of our product candidates or technology may not be available at all or on commercially reasonable terms. In that event, we may be required to expend significant time and resources to redesign our product candidates or to develop or license replacement technology, all of which may not be feasible on a technical or commercial basis. If we are unable to do so, we may be unable to develop or commercialize our future product candidates or technologies, which could materially harm our business, financial condition, results of operations and growth prospects.</w:t>
      </w:r>
    </w:p>
    <w:p>
      <w:pPr>
        <w:spacing w:after="0" w:line="13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Our current and any potential future licensors might conclude that we have materially breached our license agreements and might therefore terminate the relevant license agreements, thereby removing our ability to develop and commercialize products and technology covered by such license agreements. If any of our current or future in-bound license agreements are terminated, or if the underlying patents fail to provide the intended exclusivity, competitors would have the freedom to seek regulatory approval of, and to market, products that are covered by such license agreements and underlying patents, which might be identical to our products or product candidates. This could have a material adverse effect on our competitive position, business, financial conditions, results of operations and growth prospects. Our business also would suffer if any current or future licensors fail to abide by the terms of the license or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13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6"/>
          <w:szCs w:val="16"/>
          <w:color w:val="auto"/>
        </w:rPr>
        <w:t>Any licensor of ours may have relied on third-party consultants or collaborators or on funds from third parties, such as the United States government, such that such licensor is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28"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spacing w:after="0" w:line="1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We do not have the ability to independently conduct all of our preclinical studies and clinical trials. We have relied and expect to continue to rely on third parties, such as CROs, clinical data management organizations, medical institutions and clinical investigators, to conduct, supervise and monitor our preclinical studies and clinical trials of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86" w:name="page87"/>
    <w:bookmarkEnd w:id="8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spacing w:after="0" w:line="13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clinical trials and post the results of certain completed clinical trials on a government-sponsored database, ClinicalTrials.gov, within certain timeframes. Failure to do so can result in fines, adverse publicity and civil and criminal sanctions.</w:t>
      </w:r>
    </w:p>
    <w:p>
      <w:pPr>
        <w:spacing w:after="0" w:line="14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spacing w:after="0" w:line="130"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form or seek strategic alliances or collaborations in the future. Such alliances and collaborations may inhibit future opportunities, or we may not realize the benefits of such collaborations or alliances.</w:t>
      </w:r>
    </w:p>
    <w:p>
      <w:pPr>
        <w:spacing w:after="0" w:line="11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We may form or seek strategic alliances, joint ventures or collaborations or enter into licensing arrangements with third parties that we believe will complement or augment our development and commercialization efforts with respect to any product candidates that we may develop. We are at risk that any such future collaborations may not be successful. Factors that may affect the success of our collaborations include the following:</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collaboration partners may incur financial and cash flow difficulties that force them to limit or reduce their efforts under their collaboration agreement with us;</w:t>
      </w:r>
    </w:p>
    <w:p>
      <w:pPr>
        <w:spacing w:after="0" w:line="199" w:lineRule="exact"/>
        <w:rPr>
          <w:sz w:val="20"/>
          <w:szCs w:val="20"/>
          <w:color w:val="auto"/>
        </w:rPr>
      </w:pPr>
    </w:p>
    <w:p>
      <w:pPr>
        <w:ind w:left="360" w:right="80"/>
        <w:spacing w:after="0" w:line="291" w:lineRule="auto"/>
        <w:rPr>
          <w:sz w:val="20"/>
          <w:szCs w:val="20"/>
          <w:color w:val="auto"/>
        </w:rPr>
      </w:pPr>
      <w:r>
        <w:rPr>
          <w:rFonts w:ascii="Times New Roman" w:cs="Times New Roman" w:eastAsia="Times New Roman" w:hAnsi="Times New Roman"/>
          <w:sz w:val="16"/>
          <w:szCs w:val="16"/>
          <w:color w:val="auto"/>
        </w:rPr>
        <w:t>•our collaboration partners may be pursuing alternative technologies or developing alternative products that are competitive to our technology and products, either on their own or in partnership with others;</w:t>
      </w:r>
    </w:p>
    <w:p>
      <w:pPr>
        <w:spacing w:after="0" w:line="118" w:lineRule="exact"/>
        <w:rPr>
          <w:sz w:val="20"/>
          <w:szCs w:val="20"/>
          <w:color w:val="auto"/>
        </w:rPr>
      </w:pPr>
    </w:p>
    <w:p>
      <w:pPr>
        <w:ind w:left="360" w:right="160"/>
        <w:spacing w:after="0" w:line="291" w:lineRule="auto"/>
        <w:rPr>
          <w:sz w:val="20"/>
          <w:szCs w:val="20"/>
          <w:color w:val="auto"/>
        </w:rPr>
      </w:pPr>
      <w:r>
        <w:rPr>
          <w:rFonts w:ascii="Times New Roman" w:cs="Times New Roman" w:eastAsia="Times New Roman" w:hAnsi="Times New Roman"/>
          <w:sz w:val="16"/>
          <w:szCs w:val="16"/>
          <w:color w:val="auto"/>
        </w:rPr>
        <w:t>•our collaboration partners may terminate their collaboration with us, which could make it difficult for us to attract new partners or adversely affect perception of us in the business and financial communities; and</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87" w:name="page88"/>
    <w:bookmarkEnd w:id="8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collaboration partners may pursue higher priority programs or change the focus of their development programs, which could affect their commitment to us.</w:t>
      </w:r>
    </w:p>
    <w:p>
      <w:pPr>
        <w:spacing w:after="0" w:line="19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In addition, any future collaboration agreements we may enter into, are generally subject to termination by the counterparty on short notice upon 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w:t>
      </w:r>
    </w:p>
    <w:p>
      <w:pPr>
        <w:spacing w:after="0" w:line="13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operations and company culture. We cannot be certain that, following a strategic transaction or license, we will achieve the revenues or specific net income that justifies such transaction.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cannot maintain successful collaborations, our business, financial condition, and operating results may be adversely affected.</w:t>
      </w:r>
    </w:p>
    <w:p>
      <w:pPr>
        <w:spacing w:after="0" w:line="172"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14" w:lineRule="exact"/>
        <w:rPr>
          <w:sz w:val="20"/>
          <w:szCs w:val="20"/>
          <w:color w:val="auto"/>
        </w:rPr>
      </w:pPr>
    </w:p>
    <w:p>
      <w:pPr>
        <w:ind w:right="460"/>
        <w:spacing w:after="0" w:line="291" w:lineRule="auto"/>
        <w:rPr>
          <w:sz w:val="20"/>
          <w:szCs w:val="20"/>
          <w:color w:val="auto"/>
        </w:rPr>
      </w:pPr>
      <w:r>
        <w:rPr>
          <w:rFonts w:ascii="Times New Roman" w:cs="Times New Roman" w:eastAsia="Times New Roman" w:hAnsi="Times New Roman"/>
          <w:sz w:val="16"/>
          <w:szCs w:val="16"/>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•increased operating expenses and cash requirements;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assumption of additional indebtedness or contingent liabilities;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issuance of our equity securities;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•assimilation of operations, intellectual property, and products of an acquired company, including difficulties associated with integrating new personnel;</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diversion of our management’s attention from our existing programs and initiatives in pursuing such a strategic transaction;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•retention of key employees, the loss of key personnel and uncertainties in our ability to maintain key business relationships;</w:t>
      </w:r>
    </w:p>
    <w:p>
      <w:pPr>
        <w:spacing w:after="0" w:line="176" w:lineRule="exact"/>
        <w:rPr>
          <w:sz w:val="20"/>
          <w:szCs w:val="20"/>
          <w:color w:val="auto"/>
        </w:rPr>
      </w:pPr>
    </w:p>
    <w:p>
      <w:pPr>
        <w:ind w:left="360" w:right="80"/>
        <w:spacing w:after="0" w:line="291" w:lineRule="auto"/>
        <w:rPr>
          <w:sz w:val="20"/>
          <w:szCs w:val="20"/>
          <w:color w:val="auto"/>
        </w:rPr>
      </w:pPr>
      <w:r>
        <w:rPr>
          <w:rFonts w:ascii="Times New Roman" w:cs="Times New Roman" w:eastAsia="Times New Roman" w:hAnsi="Times New Roman"/>
          <w:sz w:val="16"/>
          <w:szCs w:val="16"/>
          <w:color w:val="auto"/>
        </w:rPr>
        <w:t>•risks and uncertainties associated with the other party to such a transaction, including the prospects of that party and their existing products or product candidates and regulatory approvals; and</w:t>
      </w:r>
    </w:p>
    <w:p>
      <w:pPr>
        <w:spacing w:after="0" w:line="118" w:lineRule="exact"/>
        <w:rPr>
          <w:sz w:val="20"/>
          <w:szCs w:val="20"/>
          <w:color w:val="auto"/>
        </w:rPr>
      </w:pPr>
    </w:p>
    <w:p>
      <w:pPr>
        <w:ind w:left="360" w:right="220"/>
        <w:spacing w:after="0" w:line="291" w:lineRule="auto"/>
        <w:rPr>
          <w:sz w:val="20"/>
          <w:szCs w:val="20"/>
          <w:color w:val="auto"/>
        </w:rPr>
      </w:pPr>
      <w:r>
        <w:rPr>
          <w:rFonts w:ascii="Times New Roman" w:cs="Times New Roman" w:eastAsia="Times New Roman" w:hAnsi="Times New Roman"/>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18"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6"/>
          <w:szCs w:val="16"/>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8" w:name="page89"/>
    <w:bookmarkEnd w:id="8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11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Our drug development programs and the potential commercialization of any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32"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4"/>
          <w:szCs w:val="14"/>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30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the ADC Therapies or any future product candidates or bring them to market, if approved, and generate product revenue.</w:t>
      </w:r>
    </w:p>
    <w:p>
      <w:pPr>
        <w:spacing w:after="0" w:line="131" w:lineRule="exact"/>
        <w:rPr>
          <w:sz w:val="20"/>
          <w:szCs w:val="20"/>
          <w:color w:val="auto"/>
        </w:rPr>
      </w:pPr>
    </w:p>
    <w:p>
      <w:pPr>
        <w:ind w:right="7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may enter into collaborations with third parties for the development and commercialization for any product candidates. If those collaborations are not successful, we may not be able to capitalize on the market potential of these product candidates.</w:t>
      </w:r>
    </w:p>
    <w:p>
      <w:pPr>
        <w:spacing w:after="0" w:line="11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6"/>
          <w:szCs w:val="16"/>
          <w:color w:val="auto"/>
        </w:rPr>
        <w:t>If we enter into any collaboration arrangements with any third parties, we will likely have limited control over the amount and timing of resources that our collaborators dedicate to the development or commercialization of any product candidates. Our ability to generate revenues from these arrangements will depend on our collaborators’ abilities and efforts to successfully perform the functions assigned to them in these arrangements. Collaborations involving any product candidates would pose numerous risks to us, including the following:</w:t>
      </w:r>
    </w:p>
    <w:p>
      <w:pPr>
        <w:spacing w:after="0" w:line="145" w:lineRule="exact"/>
        <w:rPr>
          <w:sz w:val="20"/>
          <w:szCs w:val="20"/>
          <w:color w:val="auto"/>
        </w:rPr>
      </w:pPr>
    </w:p>
    <w:p>
      <w:pPr>
        <w:ind w:left="360" w:right="60"/>
        <w:spacing w:after="0" w:line="291" w:lineRule="auto"/>
        <w:rPr>
          <w:sz w:val="20"/>
          <w:szCs w:val="20"/>
          <w:color w:val="auto"/>
        </w:rPr>
      </w:pPr>
      <w:r>
        <w:rPr>
          <w:rFonts w:ascii="Times New Roman" w:cs="Times New Roman" w:eastAsia="Times New Roman" w:hAnsi="Times New Roman"/>
          <w:sz w:val="16"/>
          <w:szCs w:val="16"/>
          <w:color w:val="auto"/>
        </w:rPr>
        <w:t>•collaborators have significant discretion in determining the efforts and resources that they will apply to these collaborations and may not perform their obligations as expected;</w:t>
      </w:r>
    </w:p>
    <w:p>
      <w:pPr>
        <w:spacing w:after="0" w:line="118" w:lineRule="exact"/>
        <w:rPr>
          <w:sz w:val="20"/>
          <w:szCs w:val="20"/>
          <w:color w:val="auto"/>
        </w:rPr>
      </w:pPr>
    </w:p>
    <w:p>
      <w:pPr>
        <w:ind w:left="360" w:right="40"/>
        <w:spacing w:after="0" w:line="278" w:lineRule="auto"/>
        <w:rPr>
          <w:sz w:val="20"/>
          <w:szCs w:val="20"/>
          <w:color w:val="auto"/>
        </w:rPr>
      </w:pPr>
      <w:r>
        <w:rPr>
          <w:rFonts w:ascii="Times New Roman" w:cs="Times New Roman" w:eastAsia="Times New Roman" w:hAnsi="Times New Roman"/>
          <w:sz w:val="16"/>
          <w:szCs w:val="16"/>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89" w:name="page90"/>
    <w:bookmarkEnd w:id="8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of a business unit or development function, or available funding or external factors such as an acquisition that diverts resources or creates competing priorities;</w:t>
      </w:r>
    </w:p>
    <w:p>
      <w:pPr>
        <w:spacing w:after="0" w:line="176" w:lineRule="exact"/>
        <w:rPr>
          <w:sz w:val="20"/>
          <w:szCs w:val="20"/>
          <w:color w:val="auto"/>
        </w:rPr>
      </w:pPr>
    </w:p>
    <w:p>
      <w:pPr>
        <w:ind w:left="360" w:right="420"/>
        <w:spacing w:after="0" w:line="291" w:lineRule="auto"/>
        <w:rPr>
          <w:sz w:val="20"/>
          <w:szCs w:val="20"/>
          <w:color w:val="auto"/>
        </w:rPr>
      </w:pPr>
      <w:r>
        <w:rPr>
          <w:rFonts w:ascii="Times New Roman" w:cs="Times New Roman" w:eastAsia="Times New Roman" w:hAnsi="Times New Roman"/>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18" w:lineRule="exact"/>
        <w:rPr>
          <w:sz w:val="20"/>
          <w:szCs w:val="20"/>
          <w:color w:val="auto"/>
        </w:rPr>
      </w:pPr>
    </w:p>
    <w:p>
      <w:pPr>
        <w:ind w:left="360" w:right="300"/>
        <w:spacing w:after="0" w:line="278" w:lineRule="auto"/>
        <w:rPr>
          <w:sz w:val="20"/>
          <w:szCs w:val="20"/>
          <w:color w:val="auto"/>
        </w:rPr>
      </w:pPr>
      <w:r>
        <w:rPr>
          <w:rFonts w:ascii="Times New Roman" w:cs="Times New Roman" w:eastAsia="Times New Roman" w:hAnsi="Times New Roman"/>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spacing w:after="0" w:line="129" w:lineRule="exact"/>
        <w:rPr>
          <w:sz w:val="20"/>
          <w:szCs w:val="20"/>
          <w:color w:val="auto"/>
        </w:rPr>
      </w:pPr>
    </w:p>
    <w:p>
      <w:pPr>
        <w:ind w:left="360" w:right="240"/>
        <w:spacing w:after="0" w:line="291" w:lineRule="auto"/>
        <w:rPr>
          <w:sz w:val="20"/>
          <w:szCs w:val="20"/>
          <w:color w:val="auto"/>
        </w:rPr>
      </w:pPr>
      <w:r>
        <w:rPr>
          <w:rFonts w:ascii="Times New Roman" w:cs="Times New Roman" w:eastAsia="Times New Roman" w:hAnsi="Times New Roman"/>
          <w:sz w:val="16"/>
          <w:szCs w:val="16"/>
          <w:color w:val="auto"/>
        </w:rPr>
        <w:t>•a collaborator with marketing and distribution rights to multiple products may not commit sufficient resources to the marketing and distribution of any product candidate that we may develop, if approved, relative to other products;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grant exclusive rights to our collaborators that would prevent us from collaborating with others;</w:t>
      </w:r>
    </w:p>
    <w:p>
      <w:pPr>
        <w:spacing w:after="0" w:line="176" w:lineRule="exact"/>
        <w:rPr>
          <w:sz w:val="20"/>
          <w:szCs w:val="20"/>
          <w:color w:val="auto"/>
        </w:rPr>
      </w:pPr>
    </w:p>
    <w:p>
      <w:pPr>
        <w:ind w:left="360" w:right="180"/>
        <w:spacing w:after="0" w:line="278" w:lineRule="auto"/>
        <w:rPr>
          <w:sz w:val="20"/>
          <w:szCs w:val="20"/>
          <w:color w:val="auto"/>
        </w:rPr>
      </w:pPr>
      <w:r>
        <w:rPr>
          <w:rFonts w:ascii="Times New Roman" w:cs="Times New Roman" w:eastAsia="Times New Roman" w:hAnsi="Times New Roman"/>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29" w:lineRule="exact"/>
        <w:rPr>
          <w:sz w:val="20"/>
          <w:szCs w:val="20"/>
          <w:color w:val="auto"/>
        </w:rPr>
      </w:pPr>
    </w:p>
    <w:p>
      <w:pPr>
        <w:ind w:left="360" w:right="420"/>
        <w:spacing w:after="0" w:line="291" w:lineRule="auto"/>
        <w:rPr>
          <w:sz w:val="20"/>
          <w:szCs w:val="20"/>
          <w:color w:val="auto"/>
        </w:rPr>
      </w:pPr>
      <w:r>
        <w:rPr>
          <w:rFonts w:ascii="Times New Roman" w:cs="Times New Roman" w:eastAsia="Times New Roman" w:hAnsi="Times New Roman"/>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18" w:lineRule="exact"/>
        <w:rPr>
          <w:sz w:val="20"/>
          <w:szCs w:val="20"/>
          <w:color w:val="auto"/>
        </w:rPr>
      </w:pPr>
    </w:p>
    <w:p>
      <w:pPr>
        <w:ind w:left="360" w:right="560"/>
        <w:spacing w:after="0" w:line="291" w:lineRule="auto"/>
        <w:rPr>
          <w:sz w:val="20"/>
          <w:szCs w:val="20"/>
          <w:color w:val="auto"/>
        </w:rPr>
      </w:pPr>
      <w:r>
        <w:rPr>
          <w:rFonts w:ascii="Times New Roman" w:cs="Times New Roman" w:eastAsia="Times New Roman" w:hAnsi="Times New Roman"/>
          <w:sz w:val="16"/>
          <w:szCs w:val="16"/>
          <w:color w:val="auto"/>
        </w:rPr>
        <w:t>•collaborations may be terminated and, if terminated, may result in a need for additional capital to pursue further development or commercialization of the applicable product candidates;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•collaboration agreements may not lead to development or commercialization of any product candidates that we may develop in the most efficient manner or at all;</w:t>
      </w:r>
    </w:p>
    <w:p>
      <w:pPr>
        <w:spacing w:after="0" w:line="199" w:lineRule="exact"/>
        <w:rPr>
          <w:sz w:val="20"/>
          <w:szCs w:val="20"/>
          <w:color w:val="auto"/>
        </w:rPr>
      </w:pPr>
    </w:p>
    <w:p>
      <w:pPr>
        <w:jc w:val="both"/>
        <w:ind w:left="360" w:right="280"/>
        <w:spacing w:after="0" w:line="278" w:lineRule="auto"/>
        <w:rPr>
          <w:sz w:val="20"/>
          <w:szCs w:val="20"/>
          <w:color w:val="auto"/>
        </w:rPr>
      </w:pPr>
      <w:r>
        <w:rPr>
          <w:rFonts w:ascii="Times New Roman" w:cs="Times New Roman" w:eastAsia="Times New Roman" w:hAnsi="Times New Roman"/>
          <w:sz w:val="16"/>
          <w:szCs w:val="16"/>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any product candidates that we may develop in the future;</w:t>
      </w:r>
    </w:p>
    <w:p>
      <w:pPr>
        <w:spacing w:after="0" w:line="129" w:lineRule="exact"/>
        <w:rPr>
          <w:sz w:val="20"/>
          <w:szCs w:val="20"/>
          <w:color w:val="auto"/>
        </w:rPr>
      </w:pPr>
    </w:p>
    <w:p>
      <w:pPr>
        <w:ind w:left="360" w:right="140"/>
        <w:spacing w:after="0" w:line="291" w:lineRule="auto"/>
        <w:rPr>
          <w:sz w:val="20"/>
          <w:szCs w:val="20"/>
          <w:color w:val="auto"/>
        </w:rPr>
      </w:pPr>
      <w:r>
        <w:rPr>
          <w:rFonts w:ascii="Times New Roman" w:cs="Times New Roman" w:eastAsia="Times New Roman" w:hAnsi="Times New Roman"/>
          <w:sz w:val="16"/>
          <w:szCs w:val="16"/>
          <w:color w:val="auto"/>
        </w:rPr>
        <w:t>•collaborators may own or co-own intellectual property covering our products that results from us collaborating with them, and in such cases, we would not have the exclusive right to develop or commercialize such intellectual property; and</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collaborator’s sales and marketing activities or other operations may not be in compliance with applicable laws, resulting in civil or criminal proceedings.</w:t>
      </w:r>
    </w:p>
    <w:p>
      <w:pPr>
        <w:spacing w:after="0" w:line="176"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4"/>
          <w:szCs w:val="14"/>
          <w:color w:val="auto"/>
        </w:rPr>
        <w:t>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Pharma (Hong Kong) Limited ("EOC") elected to terminate our license agreement with EOC ("EOC License Agreement"), effective immediately, due to alleged material breaches by us. On June 27, 2022, EOC filed a Request for Arbitration with the International Chamber of Commerce’s International Court of Arbitration against us. As a result, we became party to a lengthy arbitration process and, although we were found not liable for any damages to EOC in the arbitration panel’s final award in September 2024, we nevertheless experienced management distraction and incurred significant legal fees to defend ourselves.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0" w:name="page91"/>
    <w:bookmarkEnd w:id="9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Employee Matters, Managing Our Growth and Other Risks Related to our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success is highly dependent on our ability to attract and retain highly skilled executive officers, key scientific personnel and employees.</w:t>
      </w:r>
    </w:p>
    <w:p>
      <w:pPr>
        <w:spacing w:after="0" w:line="180"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4"/>
          <w:szCs w:val="14"/>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or key scientific personnel could be detrimental to us if we cannot recruit suitable replacements in a timely manner. Any leadership transitions, as well as future other senior management changes, could disrupt and have a detrimental effect on our business. We may need to hire additional personnel in connection with future clinical development and commercial activities. We could in the future have difficulty attracting and retaining experienced personnel and may be required to expend significant financial resources in our employee recruitment and retention efforts.</w:t>
      </w:r>
    </w:p>
    <w:p>
      <w:pPr>
        <w:spacing w:after="0" w:line="11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34"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4"/>
          <w:szCs w:val="14"/>
          <w:color w:val="auto"/>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spacing w:after="0" w:line="10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successfully establish and maintain sales or marketing capabilities or enter into agreements with third parties to sell or market product candidates that we may develop in the future, when approved, we may not be able to successfully sell or market our product candidates that obtain regulatory approval.</w:t>
      </w:r>
    </w:p>
    <w:p>
      <w:pPr>
        <w:spacing w:after="0" w:line="12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 order to commercialize any product candidate that we may develop, when approved, we must build and maintain marketing, sales, distribution, managerial and other non-technical capabilities or make arrangements with third parties to 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w:t>
      </w:r>
    </w:p>
    <w:p>
      <w:pPr>
        <w:spacing w:after="0" w:line="13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6"/>
          <w:szCs w:val="16"/>
          <w:color w:val="auto"/>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or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555" w:right="780" w:bottom="1440" w:gutter="0" w:footer="0" w:header="0"/>
        </w:sectPr>
      </w:pPr>
    </w:p>
    <w:bookmarkStart w:id="91" w:name="page92"/>
    <w:bookmarkEnd w:id="9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4"/>
          <w:szCs w:val="14"/>
          <w:color w:val="auto"/>
        </w:rPr>
        <w:t>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spacing w:after="0" w:line="106"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In order to successfully implement our plans and strategies, from time to time we may need to grow the size of our organization, and we may experience difficulties in managing this growth.</w:t>
      </w:r>
    </w:p>
    <w:p>
      <w:pPr>
        <w:spacing w:after="0" w:line="11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 xml:space="preserve">As of November 4, 2025, we have 22 full-time or part-time employees. </w:t>
      </w:r>
      <w:r>
        <w:rPr>
          <w:rFonts w:ascii="Times New Roman" w:cs="Times New Roman" w:eastAsia="Times New Roman" w:hAnsi="Times New Roman"/>
          <w:sz w:val="16"/>
          <w:szCs w:val="16"/>
          <w:color w:val="231F20"/>
        </w:rPr>
        <w:t>In order to successfully implement our plans and strategies, from time to time we may need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additional managerial, operational, development, financial and other personnel. </w:t>
      </w:r>
      <w:r>
        <w:rPr>
          <w:rFonts w:ascii="Times New Roman" w:cs="Times New Roman" w:eastAsia="Times New Roman" w:hAnsi="Times New Roman"/>
          <w:sz w:val="16"/>
          <w:szCs w:val="16"/>
          <w:color w:val="000000"/>
        </w:rPr>
        <w:t>In order to successfully implement our plans and strategies, from time to time we may</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need additional managerial, operational, development, sales, marketing, financial and other personnel. Future growth would impose significant added responsibilities on members of management, including:</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•identifying, recruiting, integrating, maintaining and motivating additional employees;</w:t>
      </w:r>
    </w:p>
    <w:p>
      <w:pPr>
        <w:spacing w:after="0" w:line="176" w:lineRule="exact"/>
        <w:rPr>
          <w:sz w:val="20"/>
          <w:szCs w:val="20"/>
          <w:color w:val="auto"/>
        </w:rPr>
      </w:pPr>
    </w:p>
    <w:p>
      <w:pPr>
        <w:ind w:left="360" w:right="160"/>
        <w:spacing w:after="0" w:line="366" w:lineRule="auto"/>
        <w:rPr>
          <w:sz w:val="20"/>
          <w:szCs w:val="20"/>
          <w:color w:val="auto"/>
        </w:rPr>
      </w:pPr>
      <w:r>
        <w:rPr>
          <w:rFonts w:ascii="Times New Roman" w:cs="Times New Roman" w:eastAsia="Times New Roman" w:hAnsi="Times New Roman"/>
          <w:sz w:val="14"/>
          <w:szCs w:val="14"/>
          <w:color w:val="auto"/>
        </w:rPr>
        <w:t>•managing our internal development efforts effectively, including the clinical, FDA, EMA and other comparable foreign regulatory agencies’ review process for any product candidates we may develop, while complying with any contractual obligations to contractors and other third parties that we may have; and</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•improving our operational, financial and management controls, reporting systems and procedures.</w:t>
      </w:r>
    </w:p>
    <w:p>
      <w:pPr>
        <w:spacing w:after="0" w:line="176" w:lineRule="exact"/>
        <w:rPr>
          <w:sz w:val="20"/>
          <w:szCs w:val="20"/>
          <w:color w:val="auto"/>
        </w:rPr>
      </w:pPr>
    </w:p>
    <w:p>
      <w:pPr>
        <w:jc w:val="both"/>
        <w:ind w:right="140"/>
        <w:spacing w:after="0" w:line="278" w:lineRule="auto"/>
        <w:rPr>
          <w:sz w:val="20"/>
          <w:szCs w:val="20"/>
          <w:color w:val="auto"/>
        </w:rPr>
      </w:pPr>
      <w:r>
        <w:rPr>
          <w:rFonts w:ascii="Times New Roman" w:cs="Times New Roman" w:eastAsia="Times New Roman" w:hAnsi="Times New Roman"/>
          <w:sz w:val="16"/>
          <w:szCs w:val="16"/>
          <w:color w:val="auto"/>
        </w:rPr>
        <w:t>Our future financial performance and our ability to successfully develop and commercialize any product candidates we may develop,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12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any product candidates that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136" w:lineRule="exact"/>
        <w:rPr>
          <w:sz w:val="20"/>
          <w:szCs w:val="20"/>
          <w:color w:val="auto"/>
        </w:rPr>
      </w:pPr>
    </w:p>
    <w:p>
      <w:pPr>
        <w:jc w:val="both"/>
        <w:ind w:right="440"/>
        <w:spacing w:after="0" w:line="278" w:lineRule="auto"/>
        <w:rPr>
          <w:sz w:val="20"/>
          <w:szCs w:val="20"/>
          <w:color w:val="auto"/>
        </w:rPr>
      </w:pPr>
      <w:r>
        <w:rPr>
          <w:rFonts w:ascii="Times New Roman" w:cs="Times New Roman" w:eastAsia="Times New Roman" w:hAnsi="Times New Roman"/>
          <w:sz w:val="16"/>
          <w:szCs w:val="16"/>
          <w:color w:val="auto"/>
        </w:rPr>
        <w:t>If we are not able to effectively expand our organization by hiring new employees and/or engaging additional third-party service providers, we may not be able to successfully implement the tasks necessary to develop product candidates that we may develop and, accordingly, may not achieve our research, development and commercialization goals.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92" w:name="page93"/>
    <w:bookmarkEnd w:id="9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or use or other processing of, or destruction of our proprietary or confidential data, employee data, or personal data, which could result in additional costs, loss of revenue, significant liabilities, harm to our brand and material disruption of our operations.</w:t>
      </w:r>
    </w:p>
    <w:p>
      <w:pPr>
        <w:spacing w:after="0" w:line="130"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4"/>
          <w:szCs w:val="14"/>
          <w:color w:val="auto"/>
        </w:rPr>
        <w:t>Despite the implementation of security measures in an effort to protect systems that store our information, given their size and complexity and the increasing amounts of information maintained on and processed by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systems and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These risks may be heightened due to the increasing number of our and our vendors’ and contractors’ personnel working remotely. Further geopolitical events such as wars and conflicts may increase the cybersecurity threats we and the third parties we work with face. Any disruption or security breach or incident resulting in a loss, destruction, unavailability, or unauthorized alteration, dissemination, or other processing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have prevented or will prevent significant breakdowns or breaches in systems or other cyber incidents that cause loss, destruction, unavailability, or unauthorized alteration, dissemination, or other processing of, or damage to, our data that could have a material adverse effect upon our reputation, business, operations or financial condition. For example, any such event that were to occur and cause interruptions in our operations could result in a material disruption of our programs and the development of our product candidates could be delayed. In addition, the loss, unauthorized alteration, or unavailability of clinical trial data for our product candidates could result in delays in our regulatory approval efforts and significantly increase our costs to recover or reproduce the data. Furthermore, interruptions or other disruptions of our internal information technology systems or security breaches or incidents could result in the loss, misappropriation, and/or unauthorized access, use, disclosure, or other processing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or is perceived to lead to unauthorized access, use, disclosure, or other processing of individually identifiable health information or personal information, including such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such information, which could result in significant legal and financial exposure and reputational damages that could potentially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Some federal, state and foreign governmental requirements include obligations of companies to notify individuals of security breaches involving particular information, which could result from breaches experienced by us or by our vendors, contractors or organizations with which we have relationships. Notifications and follow-up actions related to a security incident could impact our reputation and cause us to incur significant costs, including legal expenses and remediation costs. We expect to incur significant costs in an effort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computer systems could also have a material adverse effect on our business. Any disruption or security incident resulting or perceived to result, in any loss, destruction, or unauthorized alteration or other processing of, or damage to, our data (including personal information and other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3" w:name="page94"/>
    <w:bookmarkEnd w:id="9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information relating to individuals, and our confidential or proprietary information or that of third parties), we could be exposed to claims, demands, litigation and governmental investigations and other proceedings, the further development and commercialization of our product candidates could be delayed, and we could be subject to significant fines, penalties, and other liabilities.</w:t>
      </w:r>
    </w:p>
    <w:p>
      <w:pPr>
        <w:spacing w:after="0" w:line="129" w:lineRule="exact"/>
        <w:rPr>
          <w:sz w:val="20"/>
          <w:szCs w:val="20"/>
          <w:color w:val="auto"/>
        </w:rPr>
      </w:pPr>
    </w:p>
    <w:p>
      <w:pPr>
        <w:ind w:right="100"/>
        <w:spacing w:after="0" w:line="325" w:lineRule="auto"/>
        <w:rPr>
          <w:sz w:val="20"/>
          <w:szCs w:val="20"/>
          <w:color w:val="auto"/>
        </w:rPr>
      </w:pPr>
      <w:r>
        <w:rPr>
          <w:rFonts w:ascii="Times New Roman" w:cs="Times New Roman" w:eastAsia="Times New Roman" w:hAnsi="Times New Roman"/>
          <w:sz w:val="14"/>
          <w:szCs w:val="14"/>
          <w:color w:val="auto"/>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utilize our net operating loss (“NOL”) carryforwards and certain other tax attributes to offset future taxable income may be limited.</w:t>
      </w:r>
    </w:p>
    <w:p>
      <w:pPr>
        <w:spacing w:after="0" w:line="18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Our NOL carryforwards may be unavailable to offset future taxable income because of restrictions under United States tax law. Our federal NOLs generated in tax years beginning before January 1, 2018 are only permitted to be carried forward for 20 taxable years under applicable United States federal tax law, and therefore could expire unused. Our federal NOLs generated in tax years beginning after December 31, 2017 may be carried forward indefinitely, but the deductibility of such NOLs is generally limited to 80% of our current year taxable income.</w:t>
      </w:r>
    </w:p>
    <w:p>
      <w:pPr>
        <w:spacing w:after="0" w:line="13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6"/>
          <w:szCs w:val="16"/>
          <w:color w:val="231F20"/>
        </w:rPr>
        <w:t>As of December 31, 2024, after consideration of the NOLs that have been estimated to expire unused under Section 382 of the Internal Revenue Code of 1986, as amended (the “Code”), we had federal NOL carryforwards of approximately $207.0 million, $44.1 million of which will begin to expire in 2030, and the remaining $162.8 million do not expire. We also have state NOL carryforwards of approximately $118.2 million available as of December 31, 2024, of which $87.3 million will begin to expire in 2037.</w:t>
      </w:r>
    </w:p>
    <w:p>
      <w:pPr>
        <w:spacing w:after="0" w:line="132"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6"/>
          <w:szCs w:val="16"/>
          <w:color w:val="auto"/>
        </w:rPr>
        <w:t>Following the FYARRO Divestiture, the portion of our consolidated NOLs and other tax attributes that were allocable to Aadi Subsidiary generally remain with Aadi Subsidiary and no longer constitute our tax attributes.</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may be outside our control. To the extent such limitations will cause NOL and research and development credit carryforwards to expire unused, these tax attributes have been removed from our deferred tax assets.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Moreover, due to suspensions on the use of NOLs or other regulatory changes by certain jurisdictions, our NOLs could expire or otherwise be unavailable to offset future income tax liabilities. For example, in June 2024, California enacted legislation that limits the use of state NOLs for tax years beginning on or after January 1, 2024 and before January 1, 2027.</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tax laws could materially adversely affect our financial condition.</w:t>
      </w:r>
    </w:p>
    <w:p>
      <w:pPr>
        <w:spacing w:after="0" w:line="18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Legislation or other changes in United States and international tax laws could increase our tax liability and adversely affect after-tax profitability. For example, beginning in 2022, the legislation commonly known as the Tax Cuts and Jobs Act of 2017, or the Tax Act, requires U.S. research and experimental expenditures to be capitalized and amortized ratably over a five-year period. Any such expenditures attributable to research conducted outside of the United States must be capitalized and amortized over a 15-year period. Legislation commonly known as the “One Big Beautiful Bill Act” enacted in July 2025 eliminates capitalization of domestic research and experimental expenditures for taxable years beginning January 1, 2025, but retains the requirement to amortize foreign research and experimental expenditure over 15 years. Further, in August 2022,</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4" w:name="page95"/>
    <w:bookmarkEnd w:id="9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6"/>
          <w:szCs w:val="16"/>
          <w:color w:val="auto"/>
        </w:rPr>
        <w:t>the United States enacted the Inflation Reduction Act, which implemented a number of changes, including a 1% excise tax on stock 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174"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on our ability to protect and strengthen our intellectual property and our proprietary technologies, including our ability to obtain patent term extension for our product or any future product candidates.</w:t>
      </w:r>
    </w:p>
    <w:p>
      <w:pPr>
        <w:spacing w:after="0" w:line="11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spacing w:after="0" w:line="13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spacing w:after="0" w:line="13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spacing w:after="0" w:line="132"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14"/>
          <w:szCs w:val="14"/>
          <w:color w:val="auto"/>
        </w:rPr>
        <w:t>We cannot be certain that the claims in our licensed United States pending patent applications, corresponding international patent applications and patent applications in certain foreign territories,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spacing w:after="0" w:line="9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The patent application process is subject to numerous risks and uncertainties, and there can be no assurance that we or any of our current or potential future collaborators will be successful in protecting our product candidates by obtaining and defending patents. These risks and uncertainties include the following:</w:t>
      </w:r>
    </w:p>
    <w:p>
      <w:pPr>
        <w:spacing w:after="0" w:line="118" w:lineRule="exact"/>
        <w:rPr>
          <w:sz w:val="20"/>
          <w:szCs w:val="20"/>
          <w:color w:val="auto"/>
        </w:rPr>
      </w:pPr>
    </w:p>
    <w:p>
      <w:pPr>
        <w:ind w:left="360" w:right="20"/>
        <w:spacing w:after="0" w:line="278" w:lineRule="auto"/>
        <w:rPr>
          <w:sz w:val="20"/>
          <w:szCs w:val="20"/>
          <w:color w:val="auto"/>
        </w:rPr>
      </w:pPr>
      <w:r>
        <w:rPr>
          <w:rFonts w:ascii="Times New Roman" w:cs="Times New Roman" w:eastAsia="Times New Roman" w:hAnsi="Times New Roman"/>
          <w:sz w:val="16"/>
          <w:szCs w:val="16"/>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•patent applications may not result in any patents being issued;</w:t>
      </w:r>
    </w:p>
    <w:p>
      <w:pPr>
        <w:spacing w:after="0" w:line="176" w:lineRule="exact"/>
        <w:rPr>
          <w:sz w:val="20"/>
          <w:szCs w:val="20"/>
          <w:color w:val="auto"/>
        </w:rPr>
      </w:pPr>
    </w:p>
    <w:p>
      <w:pPr>
        <w:ind w:left="360" w:right="360"/>
        <w:spacing w:after="0" w:line="291" w:lineRule="auto"/>
        <w:rPr>
          <w:sz w:val="20"/>
          <w:szCs w:val="20"/>
          <w:color w:val="auto"/>
        </w:rPr>
      </w:pPr>
      <w:r>
        <w:rPr>
          <w:rFonts w:ascii="Times New Roman" w:cs="Times New Roman" w:eastAsia="Times New Roman" w:hAnsi="Times New Roman"/>
          <w:sz w:val="16"/>
          <w:szCs w:val="16"/>
          <w:color w:val="auto"/>
        </w:rPr>
        <w:t>•if clinical trials encounter delays, the period of time during which we could market our current or future product candidates under patent protection would be reduced;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5" w:name="page96"/>
    <w:bookmarkEnd w:id="9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right="200"/>
        <w:spacing w:after="0" w:line="291" w:lineRule="auto"/>
        <w:rPr>
          <w:sz w:val="20"/>
          <w:szCs w:val="20"/>
          <w:color w:val="auto"/>
        </w:rPr>
      </w:pPr>
      <w:r>
        <w:rPr>
          <w:rFonts w:ascii="Times New Roman" w:cs="Times New Roman" w:eastAsia="Times New Roman" w:hAnsi="Times New Roman"/>
          <w:sz w:val="16"/>
          <w:szCs w:val="16"/>
          <w:color w:val="auto"/>
        </w:rPr>
        <w:t>•patents may be challenged, invalidated, modified, narrowed, revoked, circumvented, found to be unenforceable, found to be not infringed or otherwise may not provide any competitive advantage;</w:t>
      </w:r>
    </w:p>
    <w:p>
      <w:pPr>
        <w:spacing w:after="0" w:line="118" w:lineRule="exact"/>
        <w:rPr>
          <w:sz w:val="20"/>
          <w:szCs w:val="20"/>
          <w:color w:val="auto"/>
        </w:rPr>
      </w:pPr>
    </w:p>
    <w:p>
      <w:pPr>
        <w:ind w:left="360"/>
        <w:spacing w:after="0" w:line="278" w:lineRule="auto"/>
        <w:rPr>
          <w:sz w:val="20"/>
          <w:szCs w:val="20"/>
          <w:color w:val="auto"/>
        </w:rPr>
      </w:pPr>
      <w:r>
        <w:rPr>
          <w:rFonts w:ascii="Times New Roman" w:cs="Times New Roman" w:eastAsia="Times New Roman" w:hAnsi="Times New Roman"/>
          <w:sz w:val="16"/>
          <w:szCs w:val="16"/>
          <w:color w:val="auto"/>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spacing w:after="0" w:line="129" w:lineRule="exact"/>
        <w:rPr>
          <w:sz w:val="20"/>
          <w:szCs w:val="20"/>
          <w:color w:val="auto"/>
        </w:rPr>
      </w:pPr>
    </w:p>
    <w:p>
      <w:pPr>
        <w:ind w:left="360" w:right="80"/>
        <w:spacing w:after="0" w:line="291" w:lineRule="auto"/>
        <w:rPr>
          <w:sz w:val="20"/>
          <w:szCs w:val="20"/>
          <w:color w:val="auto"/>
        </w:rPr>
      </w:pPr>
      <w:r>
        <w:rPr>
          <w:rFonts w:ascii="Times New Roman" w:cs="Times New Roman" w:eastAsia="Times New Roman" w:hAnsi="Times New Roman"/>
          <w:sz w:val="16"/>
          <w:szCs w:val="16"/>
          <w:color w:val="auto"/>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spacing w:after="0" w:line="118" w:lineRule="exact"/>
        <w:rPr>
          <w:sz w:val="20"/>
          <w:szCs w:val="20"/>
          <w:color w:val="auto"/>
        </w:rPr>
      </w:pPr>
    </w:p>
    <w:p>
      <w:pPr>
        <w:ind w:left="360" w:right="80"/>
        <w:spacing w:after="0" w:line="278" w:lineRule="auto"/>
        <w:rPr>
          <w:sz w:val="20"/>
          <w:szCs w:val="20"/>
          <w:color w:val="auto"/>
        </w:rPr>
      </w:pPr>
      <w:r>
        <w:rPr>
          <w:rFonts w:ascii="Times New Roman" w:cs="Times New Roman" w:eastAsia="Times New Roman" w:hAnsi="Times New Roman"/>
          <w:sz w:val="16"/>
          <w:szCs w:val="16"/>
          <w:color w:val="auto"/>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spacing w:after="0" w:line="129" w:lineRule="exact"/>
        <w:rPr>
          <w:sz w:val="20"/>
          <w:szCs w:val="20"/>
          <w:color w:val="auto"/>
        </w:rPr>
      </w:pPr>
    </w:p>
    <w:p>
      <w:pPr>
        <w:ind w:left="360" w:right="200"/>
        <w:spacing w:after="0" w:line="291" w:lineRule="auto"/>
        <w:rPr>
          <w:sz w:val="20"/>
          <w:szCs w:val="20"/>
          <w:color w:val="auto"/>
        </w:rPr>
      </w:pPr>
      <w:r>
        <w:rPr>
          <w:rFonts w:ascii="Times New Roman" w:cs="Times New Roman" w:eastAsia="Times New Roman" w:hAnsi="Times New Roman"/>
          <w:sz w:val="16"/>
          <w:szCs w:val="16"/>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18" w:lineRule="exact"/>
        <w:rPr>
          <w:sz w:val="20"/>
          <w:szCs w:val="20"/>
          <w:color w:val="auto"/>
        </w:rPr>
      </w:pPr>
    </w:p>
    <w:p>
      <w:pPr>
        <w:ind w:left="360" w:right="120"/>
        <w:spacing w:after="0" w:line="291" w:lineRule="auto"/>
        <w:rPr>
          <w:sz w:val="20"/>
          <w:szCs w:val="20"/>
          <w:color w:val="auto"/>
        </w:rPr>
      </w:pPr>
      <w:r>
        <w:rPr>
          <w:rFonts w:ascii="Times New Roman" w:cs="Times New Roman" w:eastAsia="Times New Roman" w:hAnsi="Times New Roman"/>
          <w:sz w:val="16"/>
          <w:szCs w:val="16"/>
          <w:color w:val="auto"/>
        </w:rPr>
        <w:t>•countries other than the United States may have patent laws less favorable to patentees than those upheld by United States courts, allowing foreign competitors a better opportunity to create, develop and market competing products or product candidates.</w:t>
      </w:r>
    </w:p>
    <w:p>
      <w:pPr>
        <w:spacing w:after="0" w:line="11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spacing w:after="0" w:line="134" w:lineRule="exact"/>
        <w:rPr>
          <w:sz w:val="20"/>
          <w:szCs w:val="20"/>
          <w:color w:val="auto"/>
        </w:rPr>
      </w:pPr>
    </w:p>
    <w:p>
      <w:pPr>
        <w:jc w:val="both"/>
        <w:ind w:right="160"/>
        <w:spacing w:after="0" w:line="278" w:lineRule="auto"/>
        <w:rPr>
          <w:sz w:val="20"/>
          <w:szCs w:val="20"/>
          <w:color w:val="auto"/>
        </w:rPr>
      </w:pPr>
      <w:r>
        <w:rPr>
          <w:rFonts w:ascii="Times New Roman" w:cs="Times New Roman" w:eastAsia="Times New Roman" w:hAnsi="Times New Roman"/>
          <w:sz w:val="16"/>
          <w:szCs w:val="16"/>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2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spacing w:after="0" w:line="125" w:lineRule="exact"/>
        <w:rPr>
          <w:sz w:val="20"/>
          <w:szCs w:val="20"/>
          <w:color w:val="auto"/>
        </w:rPr>
      </w:pPr>
    </w:p>
    <w:p>
      <w:pPr>
        <w:ind w:right="5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11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6" w:name="page97"/>
    <w:bookmarkEnd w:id="9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6"/>
          <w:szCs w:val="16"/>
          <w:color w:val="auto"/>
        </w:rPr>
        <w:t>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spacing w:after="0" w:line="11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spacing w:after="0" w:line="134"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118"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4"/>
          <w:szCs w:val="14"/>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rights do not necessarily address all potential threats to our competitive advantage.</w:t>
      </w:r>
    </w:p>
    <w:p>
      <w:pPr>
        <w:spacing w:after="0" w:line="180"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•others may be able to develop products that are similar to any product candidates but that are not covered by the claims of the patents that we own or license;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or our licensors or collaborators might not have been the first to make the inventions covered by the issued patents or patent application that we own or license;</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or our licensors or collaborators might not have been the first to file patent applications covering certain of our inventions;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97" w:name="page98"/>
    <w:bookmarkEnd w:id="9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right="340"/>
        <w:spacing w:after="0" w:line="469" w:lineRule="auto"/>
        <w:rPr>
          <w:sz w:val="20"/>
          <w:szCs w:val="20"/>
          <w:color w:val="auto"/>
        </w:rPr>
      </w:pPr>
      <w:r>
        <w:rPr>
          <w:rFonts w:ascii="Times New Roman" w:cs="Times New Roman" w:eastAsia="Times New Roman" w:hAnsi="Times New Roman"/>
          <w:sz w:val="16"/>
          <w:szCs w:val="16"/>
          <w:color w:val="auto"/>
        </w:rPr>
        <w:t>•others may independently develop similar or alternative technologies or duplicate any of our technologies without infringing our intellectual property rights; •it is possible that the pending patent applications we own or license will not lead to issued patents;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•issued patents that we own or license may be held invalid or unenforceable, as a result of legal challenges by our competitors;</w:t>
      </w:r>
    </w:p>
    <w:p>
      <w:pPr>
        <w:spacing w:after="0" w:line="176" w:lineRule="exact"/>
        <w:rPr>
          <w:sz w:val="20"/>
          <w:szCs w:val="20"/>
          <w:color w:val="auto"/>
        </w:rPr>
      </w:pPr>
    </w:p>
    <w:p>
      <w:pPr>
        <w:ind w:left="360" w:right="260"/>
        <w:spacing w:after="0" w:line="291" w:lineRule="auto"/>
        <w:rPr>
          <w:sz w:val="20"/>
          <w:szCs w:val="20"/>
          <w:color w:val="auto"/>
        </w:rPr>
      </w:pPr>
      <w:r>
        <w:rPr>
          <w:rFonts w:ascii="Times New Roman" w:cs="Times New Roman" w:eastAsia="Times New Roman" w:hAnsi="Times New Roman"/>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not develop additional proprietary technologies that are patentable;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patents of others may have an adverse effect on our business; and</w:t>
      </w:r>
    </w:p>
    <w:p>
      <w:pPr>
        <w:spacing w:after="0" w:line="176" w:lineRule="exact"/>
        <w:rPr>
          <w:sz w:val="20"/>
          <w:szCs w:val="20"/>
          <w:color w:val="auto"/>
        </w:rPr>
      </w:pPr>
    </w:p>
    <w:p>
      <w:pPr>
        <w:ind w:left="360" w:right="600"/>
        <w:spacing w:after="0" w:line="291" w:lineRule="auto"/>
        <w:rPr>
          <w:sz w:val="20"/>
          <w:szCs w:val="20"/>
          <w:color w:val="auto"/>
        </w:rPr>
      </w:pPr>
      <w:r>
        <w:rPr>
          <w:rFonts w:ascii="Times New Roman" w:cs="Times New Roman" w:eastAsia="Times New Roman" w:hAnsi="Times New Roman"/>
          <w:sz w:val="16"/>
          <w:szCs w:val="16"/>
          <w:color w:val="auto"/>
        </w:rPr>
        <w:t>•we may choose not to file a patent in order to maintain certain trade secrets or know-how, and a third party may subsequently file a patent covering such intellectual property.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Should any of these events occur, it could significantly harm our business, financial condition, results of operations and prospects.</w:t>
      </w:r>
    </w:p>
    <w:p>
      <w:pPr>
        <w:spacing w:after="0" w:line="172"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1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Our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spacing w:after="0" w:line="13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98" w:name="page99"/>
    <w:bookmarkEnd w:id="9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•result in costly litigation that may cause negative publicity;</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•divert the time and attention of our technical personnel and management;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•cause development delays;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•prevent us from commercializing any of our product candidates until the asserted patent expires or is held finally invalid or not infringed in a court of law;</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•require us to develop non-infringing technology, which may not be possible on a cost-effective basis;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•subject us to significant liability to third parties; or</w:t>
      </w:r>
    </w:p>
    <w:p>
      <w:pPr>
        <w:spacing w:after="0" w:line="176" w:lineRule="exact"/>
        <w:rPr>
          <w:sz w:val="20"/>
          <w:szCs w:val="20"/>
          <w:color w:val="auto"/>
        </w:rPr>
      </w:pPr>
    </w:p>
    <w:p>
      <w:pPr>
        <w:ind w:left="360" w:right="20"/>
        <w:spacing w:after="0" w:line="291" w:lineRule="auto"/>
        <w:rPr>
          <w:sz w:val="20"/>
          <w:szCs w:val="20"/>
          <w:color w:val="auto"/>
        </w:rPr>
      </w:pPr>
      <w:r>
        <w:rPr>
          <w:rFonts w:ascii="Times New Roman" w:cs="Times New Roman" w:eastAsia="Times New Roman" w:hAnsi="Times New Roman"/>
          <w:sz w:val="16"/>
          <w:szCs w:val="16"/>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18"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4"/>
          <w:szCs w:val="14"/>
          <w:color w:val="auto"/>
        </w:rPr>
        <w:t>Although no third party has asserted a claim of patent infringement against us as of the date of this Proxy Statement, others may hold proprietary rights that could prevent our product candidates that we may develop from being marketed. For example, various patent offices periodically grant mode of action patents and a third party may have or obtain a patent with claims covering modes of action relevant to our product candidates. While these mode of action patents may be difficult to enforce, the third party may assert a claim of patent infringement directed at any product candidates we may develop.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candidates, which could harm our business, financial condition and operating results. In addition, intellectual property litigation, regardless of our outcome, may cause negative publicity and could prohibit us from marketing or otherwise commercializing our product candidates and technology.</w:t>
      </w:r>
    </w:p>
    <w:p>
      <w:pPr>
        <w:spacing w:after="0" w:line="318"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114"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or maintaining necessary rights to our product or product candidates that we may develop in the future through acquisitions and in-licenses.</w:t>
      </w:r>
    </w:p>
    <w:p>
      <w:pPr>
        <w:spacing w:after="0" w:line="11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99" w:name="page100"/>
    <w:bookmarkEnd w:id="9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6"/>
          <w:szCs w:val="16"/>
          <w:color w:val="auto"/>
        </w:rPr>
        <w:t>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33" w:lineRule="exact"/>
        <w:rPr>
          <w:sz w:val="20"/>
          <w:szCs w:val="20"/>
          <w:color w:val="auto"/>
        </w:rPr>
      </w:pPr>
    </w:p>
    <w:p>
      <w:pPr>
        <w:jc w:val="both"/>
        <w:ind w:right="4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spacing w:after="0" w:line="12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spacing w:after="0" w:line="13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spacing w:after="0" w:line="13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spacing w:after="0" w:line="13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100" w:name="page101"/>
    <w:bookmarkEnd w:id="10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companies from collaborating with us to license, develop or commercialize current or future products or product candidates. Such a loss of patent protection would have a material adverse impact on our business.</w:t>
      </w:r>
    </w:p>
    <w:p>
      <w:pPr>
        <w:spacing w:after="0" w:line="118"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4"/>
          <w:szCs w:val="14"/>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10"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6"/>
          <w:szCs w:val="16"/>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29"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6"/>
          <w:szCs w:val="16"/>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litigation may lead to unfavorable publicity that harms our reputation and causes the market price of our common shares to decline.</w:t>
      </w:r>
    </w:p>
    <w:p>
      <w:pPr>
        <w:spacing w:after="0" w:line="180" w:lineRule="exact"/>
        <w:rPr>
          <w:sz w:val="20"/>
          <w:szCs w:val="20"/>
          <w:color w:val="auto"/>
        </w:rPr>
      </w:pPr>
    </w:p>
    <w:p>
      <w:pPr>
        <w:ind w:right="80"/>
        <w:spacing w:after="0" w:line="325" w:lineRule="auto"/>
        <w:rPr>
          <w:sz w:val="20"/>
          <w:szCs w:val="20"/>
          <w:color w:val="auto"/>
        </w:rPr>
      </w:pPr>
      <w:r>
        <w:rPr>
          <w:rFonts w:ascii="Times New Roman" w:cs="Times New Roman" w:eastAsia="Times New Roman" w:hAnsi="Times New Roman"/>
          <w:sz w:val="14"/>
          <w:szCs w:val="14"/>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9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1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spacing w:after="0" w:line="132" w:lineRule="exact"/>
        <w:rPr>
          <w:sz w:val="20"/>
          <w:szCs w:val="20"/>
          <w:color w:val="auto"/>
        </w:rPr>
      </w:pPr>
    </w:p>
    <w:p>
      <w:pPr>
        <w:ind w:right="5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Patent reform legislation could increase the uncertainties and costs surrounding the prosecution of our patent applications or those of our licensors and the enforcement or defense of our issued patents or those of our licensors.</w:t>
      </w:r>
    </w:p>
    <w:p>
      <w:pPr>
        <w:spacing w:after="0" w:line="114"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01" w:name="page102"/>
    <w:bookmarkEnd w:id="10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6"/>
          <w:szCs w:val="16"/>
          <w:color w:val="auto"/>
        </w:rPr>
        <w:t>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file any patent application related to our product or product candidates or invent any of the inventions claimed in the patents or patent applications.</w:t>
      </w:r>
    </w:p>
    <w:p>
      <w:pPr>
        <w:spacing w:after="0" w:line="13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6"/>
          <w:szCs w:val="16"/>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32"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4"/>
          <w:szCs w:val="14"/>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105"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Changes in United States patent law, or laws in other countries, could diminish the value of patents in general, thereby impairing our ability to protect our product or product candidates.</w:t>
      </w:r>
    </w:p>
    <w:p>
      <w:pPr>
        <w:spacing w:after="0" w:line="11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6"/>
          <w:szCs w:val="16"/>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34"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challenging the inventorship or ownership of our patents and other intellectual property.</w:t>
      </w:r>
    </w:p>
    <w:p>
      <w:pPr>
        <w:spacing w:after="0" w:line="18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w:t>
      </w:r>
    </w:p>
    <w:p>
      <w:pPr>
        <w:spacing w:after="0" w:line="1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5" w:right="620" w:bottom="1440" w:gutter="0" w:footer="0" w:header="0"/>
        </w:sectPr>
      </w:pPr>
    </w:p>
    <w:bookmarkStart w:id="102" w:name="page103"/>
    <w:bookmarkEnd w:id="10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6"/>
          <w:szCs w:val="16"/>
          <w:color w:val="auto"/>
        </w:rPr>
        <w:t>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Patent terms may be inadequate to protect our competitive position on our product or product candidates that we may develop for an adequate amount of time.</w:t>
      </w:r>
    </w:p>
    <w:p>
      <w:pPr>
        <w:spacing w:after="0" w:line="18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do not obtain patent term extension for our product or product candidates that we may develop in the future, our business may be materially harmed.</w:t>
      </w:r>
    </w:p>
    <w:p>
      <w:pPr>
        <w:spacing w:after="0" w:line="1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Depending upon the timing, duration and specifics of FDA regulatory approval of our product candidates that we may develop,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protect our intellectual property rights throughout the world.</w:t>
      </w:r>
    </w:p>
    <w:p>
      <w:pPr>
        <w:spacing w:after="0" w:line="18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Filing, prosecuting and defending patents on our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patent applications and we may not timely file foreign patent applications.</w:t>
      </w:r>
    </w:p>
    <w:p>
      <w:pPr>
        <w:spacing w:after="0" w:line="134" w:lineRule="exact"/>
        <w:rPr>
          <w:sz w:val="20"/>
          <w:szCs w:val="20"/>
          <w:color w:val="auto"/>
        </w:rPr>
      </w:pPr>
    </w:p>
    <w:p>
      <w:pPr>
        <w:jc w:val="both"/>
        <w:ind w:right="100"/>
        <w:spacing w:after="0" w:line="335" w:lineRule="auto"/>
        <w:rPr>
          <w:sz w:val="20"/>
          <w:szCs w:val="20"/>
          <w:color w:val="auto"/>
        </w:rPr>
      </w:pPr>
      <w:r>
        <w:rPr>
          <w:rFonts w:ascii="Times New Roman" w:cs="Times New Roman" w:eastAsia="Times New Roman" w:hAnsi="Times New Roman"/>
          <w:sz w:val="14"/>
          <w:szCs w:val="14"/>
          <w:color w:val="auto"/>
        </w:rPr>
        <w:t>Further, the complexity and uncertainty of European patent laws have increased in recent years.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03" w:name="page104"/>
    <w:bookmarkEnd w:id="10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these changes.</w:t>
      </w:r>
    </w:p>
    <w:p>
      <w:pPr>
        <w:spacing w:after="0" w:line="132"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3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28" w:lineRule="exact"/>
        <w:rPr>
          <w:sz w:val="20"/>
          <w:szCs w:val="20"/>
          <w:color w:val="auto"/>
        </w:rPr>
      </w:pPr>
    </w:p>
    <w:p>
      <w:pPr>
        <w:ind w:right="220"/>
        <w:spacing w:after="0" w:line="372"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4"/>
          <w:szCs w:val="14"/>
          <w:color w:val="auto"/>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04" w:name="page105"/>
    <w:bookmarkEnd w:id="10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would be harmed.</w:t>
      </w:r>
    </w:p>
    <w:p>
      <w:pPr>
        <w:spacing w:after="0" w:line="1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and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spacing w:after="0" w:line="13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05" w:name="page106"/>
    <w:bookmarkEnd w:id="10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we or our employees, consultants or advisors have wrongfully used or disclosed alleged confidential information or trade secrets.</w:t>
      </w:r>
    </w:p>
    <w:p>
      <w:pPr>
        <w:spacing w:after="0" w:line="20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spacing w:after="0" w:line="135"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1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As is common in the pharmaceutical industry, in addition to our employees, we engage the services of consultants to assist us in the development of our product or any future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32"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rights to develop and commercialize our technology and product candidates that we may develop may be subject, in part, to the terms and conditions of licenses granted to us by others.</w:t>
      </w:r>
    </w:p>
    <w:p>
      <w:pPr>
        <w:spacing w:after="0" w:line="1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We have entered into license agreements with third parties and we may enter into additional license agreements in the future with others to advance our research or allow commercialization of our product or product candidates that we may 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32"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spacing w:after="0" w:line="134"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6"/>
          <w:szCs w:val="16"/>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06" w:name="page107"/>
    <w:bookmarkEnd w:id="10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spacing w:after="0" w:line="135"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Disputes may arise between us and our licensors regarding intellectual property subject to a license agreement, including:</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scope of rights granted under the license agreement and other interpretation-related issues;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•whether and the extent to which our technology and processes infringe on intellectual property of the licensor that is not subject to the licensing agreement;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right to sublicense patents and other rights to third parties;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diligence obligations under the license agreement and what activities satisfy those diligence obligations; our right to transfer or assign the license;</w:t>
      </w:r>
    </w:p>
    <w:p>
      <w:pPr>
        <w:spacing w:after="0" w:line="176" w:lineRule="exact"/>
        <w:rPr>
          <w:sz w:val="20"/>
          <w:szCs w:val="20"/>
          <w:color w:val="auto"/>
        </w:rPr>
      </w:pPr>
    </w:p>
    <w:p>
      <w:pPr>
        <w:ind w:left="360" w:right="160"/>
        <w:spacing w:after="0" w:line="291" w:lineRule="auto"/>
        <w:rPr>
          <w:sz w:val="20"/>
          <w:szCs w:val="20"/>
          <w:color w:val="auto"/>
        </w:rPr>
      </w:pPr>
      <w:r>
        <w:rPr>
          <w:rFonts w:ascii="Times New Roman" w:cs="Times New Roman" w:eastAsia="Times New Roman" w:hAnsi="Times New Roman"/>
          <w:sz w:val="16"/>
          <w:szCs w:val="16"/>
          <w:color w:val="auto"/>
        </w:rPr>
        <w:t>•the inventorship and ownership of inventions and know-how resulting from the joint creation or use of intellectual property by us and our licensors and partners; and</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priority of invention of patented technology.</w:t>
      </w:r>
    </w:p>
    <w:p>
      <w:pPr>
        <w:spacing w:after="0" w:line="17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spacing w:after="0" w:line="13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6"/>
          <w:szCs w:val="16"/>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107" w:name="page108"/>
    <w:bookmarkEnd w:id="10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patent protection and patent prosecution for our product candidates that we may develop in the future may be dependent on third parties.</w:t>
      </w:r>
    </w:p>
    <w:p>
      <w:pPr>
        <w:spacing w:after="0" w:line="1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While we normally seek to obtain the right to control prosecution, maintenance and enforcement of the patents relating to our product or product candidates that we may develop in the future,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3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spacing w:after="0" w:line="12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08" w:name="page109"/>
    <w:bookmarkEnd w:id="10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the risks associated with doing business in China.</w:t>
      </w:r>
    </w:p>
    <w:p>
      <w:pPr>
        <w:spacing w:after="0" w:line="18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As a result of our reliance on WuXi Biologics and Hangzhou DAC, both located in China, our results of operations, financial condition, and prospects are subject to a significant degree to economic, political, and legal developments in China including government control over capital investments or changes in tax regulations that are applicable to us. China’s economy differs from the economies of most developed countries in many respects, including with respect to the amount of government involvement, level of development, growth rate and control of foreign exchange, and allocation of resources. Since we rely on an entity located in China, our business is subject to the risks associated with doing business in China, including:</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•adverse political and economic conditions, particularly those potentially negatively affecting the trade relationship between the United States and China;</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•trade protection measures, such as tariff increases, and import and export licensing and control requirements;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•potentially negative consequences from changes in tax laws;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•difficulties associated with the Chinese legal system, including increased costs and uncertainties associated with enforcing contractual obligations in China;</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•historically lower protection of intellectual property rights;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•requirements relating to China’s data security rules and regulations;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•requirements relating to China personal information protection laws;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•changes and volatility in currency exchange rates;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•unexpected or unfavorable changes in regulatory requirements; and</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•difficulties in managing foreign relationships and operations generally.</w:t>
      </w:r>
    </w:p>
    <w:p>
      <w:pPr>
        <w:spacing w:after="0" w:line="17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4"/>
          <w:szCs w:val="14"/>
          <w:color w:val="auto"/>
        </w:rPr>
        <w:t>For example, the BIOSECURE Act is currently included as a part of the 2026 NDAA which passed the Senate on October 9, 2025. This proposed law would limit certain U.S. biotechnology companies from using equipment or services produced or provided by select Chinese biotechnology companies (each, a “biotechnology company of concern”). Depending on whether the BIOSECURE Act becomes law, what the final language of the BIOSECURE Act includes, and how the law is interpreted by U.S. federal agencies, we could be potentially restricted from pursuing U.S. federal government business or grants in the future if we use any designated “biotechnology companies of concern” beyond the grandfathering period provided for in the current proposed version of the BIOSECURE Act. This legislation, or similar legislation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Foreign CMOs may be the target of U.S. legislation, including the proposed BIOSECURE Act, trade restrictions and other foreign regulatory requirements which could increase the cost or reduce the supply of material available to us, delay the procurement or supply of such material, restrict or even prohibit our ability to work with such CMOs, or have an adverse effect on our ability to secure significant commitments from governments to purchase potential therapies.</w:t>
      </w:r>
    </w:p>
    <w:p>
      <w:pPr>
        <w:spacing w:after="0" w:line="31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For example, the biopharmaceutical industry in China is strictly regulated by the Chinese government. Changes to Chinese regulations or government policies affecting biopharmaceutical companies are unpredictable and may have a material adverse effect on our partners, licensors, suppliers, manufacturers or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planned clinical</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109" w:name="page110"/>
    <w:bookmarkEnd w:id="10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trials or have an adverse effect on our ability to secure government funding, which could adversely affect our financial condition and cause us to delay our clinical development programs. Furthermore, if the BIOSECURE Act is passed and one or more of our manufacturers or suppliers in China, including WuXi Biologics, is deemed to be a biotechnology company of concern, our operations and financial condition may be negatively impacted as a result of any delays or increased costs arising from the trade restrictions and other foreign regulatory requirements affecting such third parties. In addition, while we may work to establish relationships with CROs and CMOs outside of China, moving to those suppliers in the event of a geopolitical instability affecting our collaborators in China could introduce delays into the development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U.S.-China trade relations may adversely impact our supply chain operations and business.</w:t>
      </w:r>
    </w:p>
    <w:p>
      <w:pPr>
        <w:spacing w:after="0" w:line="180"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4"/>
          <w:szCs w:val="14"/>
          <w:color w:val="auto"/>
        </w:rPr>
        <w:t>The U.S. and Chinese governments have taken certain actions that change trade policies, including tariffs that affect certain products which are manufactured in China and mutual exchange of certain types of data. Due to our reliance on WuXi Biologics and Hangzhou DAC to supply and manufacture our product candidates and their components, we are reliant on collaborating with a company with significant operations in China. It is unknown whether and to what extent new tariffs, laws or regulations will be adopted that increase the cost or feasibility of importing and/or exporting products, components and information from China to the United States and vice versa. Further, the effect of any such new tariffs or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clinical development plans, business, financial condition, results of operations 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 and legal proceedings may substantially increase our costs and harm our business.</w:t>
      </w:r>
    </w:p>
    <w:p>
      <w:pPr>
        <w:spacing w:after="0" w:line="18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4"/>
          <w:szCs w:val="14"/>
          <w:color w:val="auto"/>
        </w:rPr>
        <w:t>As described in Note 12 (Commitments and contingencies) to the financial statements in Part I, Item 1 of this Quarterly Report on Form 10-Q, we have been, are, and may in the future become, party to lawsuits and legal proceedings including, without limitation, actions and 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For example, in June 2022, EOC filed a Request for Arbitration with the International Chamber of Commerce’s International Court of Arbitration against us. In the Request for Arbitration, EOC claimed that we breached certain provisions of the EOC License Agreement, including failing to provide certain manufacturing information to EOC. As a result, we became party to a lengthy arbitration process and, although we were found not liable for any damages to EOC in the arbitration panel’s final award in September 2024, we nevertheless experienced management distraction and incurred significant legal fees to defend ourselves.</w:t>
      </w:r>
    </w:p>
    <w:p>
      <w:pPr>
        <w:spacing w:after="0" w:line="109" w:lineRule="exact"/>
        <w:rPr>
          <w:sz w:val="20"/>
          <w:szCs w:val="20"/>
          <w:color w:val="auto"/>
        </w:rPr>
      </w:pPr>
    </w:p>
    <w:p>
      <w:pPr>
        <w:ind w:right="120"/>
        <w:spacing w:after="0" w:line="314" w:lineRule="auto"/>
        <w:rPr>
          <w:sz w:val="20"/>
          <w:szCs w:val="20"/>
          <w:color w:val="auto"/>
        </w:rPr>
      </w:pPr>
      <w:r>
        <w:rPr>
          <w:rFonts w:ascii="Times New Roman" w:cs="Times New Roman" w:eastAsia="Times New Roman" w:hAnsi="Times New Roman"/>
          <w:sz w:val="14"/>
          <w:szCs w:val="14"/>
          <w:color w:val="auto"/>
        </w:rPr>
        <w:t>The expense of defending against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10" w:name="page111"/>
    <w:bookmarkEnd w:id="11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stock price is volatile.</w:t>
      </w:r>
    </w:p>
    <w:p>
      <w:pPr>
        <w:spacing w:after="0" w:line="180"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6"/>
          <w:szCs w:val="16"/>
          <w:color w:val="auto"/>
        </w:rPr>
        <w:t>The market price of our common stock could be subject to significant fluctuations. From the completion of our reverse merger with Aerpio Pharmaceuticals, Inc. on August 26, 2021 through November 4, 2025, the closing price for our common stock ranged from a low of $1.32 to a high of $33.00 per share.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results of current, and any future, nonclinical or clinical trials of the ADC Therapies or any of our product candidates that we may develop;</w:t>
      </w:r>
    </w:p>
    <w:p>
      <w:pPr>
        <w:spacing w:after="0" w:line="176" w:lineRule="exact"/>
        <w:rPr>
          <w:sz w:val="20"/>
          <w:szCs w:val="20"/>
          <w:color w:val="auto"/>
        </w:rPr>
      </w:pPr>
    </w:p>
    <w:p>
      <w:pPr>
        <w:ind w:left="360" w:right="360"/>
        <w:spacing w:after="0" w:line="291" w:lineRule="auto"/>
        <w:rPr>
          <w:sz w:val="20"/>
          <w:szCs w:val="20"/>
          <w:color w:val="auto"/>
        </w:rPr>
      </w:pPr>
      <w:r>
        <w:rPr>
          <w:rFonts w:ascii="Times New Roman" w:cs="Times New Roman" w:eastAsia="Times New Roman" w:hAnsi="Times New Roman"/>
          <w:sz w:val="16"/>
          <w:szCs w:val="16"/>
          <w:color w:val="auto"/>
        </w:rPr>
        <w:t>•our ability to obtain regulatory approvals for ADC Therapies or for any other product candidates that we may develop, and delays or failures to obtain such approvals;</w:t>
      </w:r>
    </w:p>
    <w:p>
      <w:pPr>
        <w:spacing w:after="0" w:line="118" w:lineRule="exact"/>
        <w:rPr>
          <w:sz w:val="20"/>
          <w:szCs w:val="20"/>
          <w:color w:val="auto"/>
        </w:rPr>
      </w:pPr>
    </w:p>
    <w:p>
      <w:pPr>
        <w:ind w:left="360" w:right="400"/>
        <w:spacing w:after="0" w:line="291" w:lineRule="auto"/>
        <w:rPr>
          <w:sz w:val="20"/>
          <w:szCs w:val="20"/>
          <w:color w:val="auto"/>
        </w:rPr>
      </w:pPr>
      <w:r>
        <w:rPr>
          <w:rFonts w:ascii="Times New Roman" w:cs="Times New Roman" w:eastAsia="Times New Roman" w:hAnsi="Times New Roman"/>
          <w:sz w:val="16"/>
          <w:szCs w:val="16"/>
          <w:color w:val="auto"/>
        </w:rPr>
        <w:t>•the failure of the ADC Products or any product candidates that we may develop, if approved, for marketing and commercialization, to achieve commercial success;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•any inability to obtain adequate supply of the ADC Therapies or any of our product candidates that we may develop or the inability to do so at acceptable prices;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entry into, or termination of, key agreements, including key licensing, supply or collaboration agreements;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•adverse regulatory authority decisions;</w:t>
      </w:r>
    </w:p>
    <w:p>
      <w:pPr>
        <w:spacing w:after="0" w:line="176" w:lineRule="exact"/>
        <w:rPr>
          <w:sz w:val="20"/>
          <w:szCs w:val="20"/>
          <w:color w:val="auto"/>
        </w:rPr>
      </w:pPr>
    </w:p>
    <w:p>
      <w:pPr>
        <w:ind w:left="360"/>
        <w:spacing w:after="0" w:line="291" w:lineRule="auto"/>
        <w:rPr>
          <w:sz w:val="20"/>
          <w:szCs w:val="20"/>
          <w:color w:val="auto"/>
        </w:rPr>
      </w:pPr>
      <w:r>
        <w:rPr>
          <w:rFonts w:ascii="Times New Roman" w:cs="Times New Roman" w:eastAsia="Times New Roman" w:hAnsi="Times New Roman"/>
          <w:sz w:val="16"/>
          <w:szCs w:val="16"/>
          <w:color w:val="auto"/>
        </w:rPr>
        <w:t>•the initiation of material developments in, or conclusion of, disputes or litigation to enforce or defend any of our intellectual property rights or defend against the intellectual property rights of others;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•changes in laws or regulations applicable to the ADC Therapies or any of our product candidates that we may develop;</w:t>
      </w:r>
    </w:p>
    <w:p>
      <w:pPr>
        <w:spacing w:after="0" w:line="164" w:lineRule="exact"/>
        <w:rPr>
          <w:sz w:val="20"/>
          <w:szCs w:val="20"/>
          <w:color w:val="auto"/>
        </w:rPr>
      </w:pPr>
    </w:p>
    <w:p>
      <w:pPr>
        <w:ind w:left="360" w:right="260"/>
        <w:spacing w:after="0" w:line="275" w:lineRule="auto"/>
        <w:rPr>
          <w:sz w:val="20"/>
          <w:szCs w:val="20"/>
          <w:color w:val="auto"/>
        </w:rPr>
      </w:pPr>
      <w:r>
        <w:rPr>
          <w:rFonts w:ascii="Times New Roman" w:cs="Times New Roman" w:eastAsia="Times New Roman" w:hAnsi="Times New Roman"/>
          <w:sz w:val="16"/>
          <w:szCs w:val="16"/>
          <w:color w:val="auto"/>
        </w:rPr>
        <w:t>•announcements by commercial partners or competitors, including, without limitation, with respect to new commercial products, clinical progress (or the lack thereof), significant contracts, commercial relationships, or capital commitments;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•failure to meet or exceed financial and development projections we may provide to the public;</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•failure to meet or exceed the financial and development projections of the investment community;</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perception of the pharmaceutical industry by the public, legislatures, regulators and the investment community;</w:t>
      </w:r>
    </w:p>
    <w:p>
      <w:pPr>
        <w:spacing w:after="0" w:line="164" w:lineRule="exact"/>
        <w:rPr>
          <w:sz w:val="20"/>
          <w:szCs w:val="20"/>
          <w:color w:val="auto"/>
        </w:rPr>
      </w:pPr>
    </w:p>
    <w:p>
      <w:pPr>
        <w:ind w:left="360" w:right="260"/>
        <w:spacing w:after="0" w:line="275" w:lineRule="auto"/>
        <w:rPr>
          <w:sz w:val="20"/>
          <w:szCs w:val="20"/>
          <w:color w:val="auto"/>
        </w:rPr>
      </w:pPr>
      <w:r>
        <w:rPr>
          <w:rFonts w:ascii="Times New Roman" w:cs="Times New Roman" w:eastAsia="Times New Roman" w:hAnsi="Times New Roman"/>
          <w:sz w:val="16"/>
          <w:szCs w:val="16"/>
          <w:color w:val="auto"/>
        </w:rPr>
        <w:t>•general market conditions and other factors unrelated to our operating performance or the operating performance of our competitors, including turmoil in the global banking system, deteriorating market conditions due to investor concerns regarding inflation and conflicts in Ukraine and the Middle East;</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•adverse publicity relating to our markets, including with respect to other products and potential products in such markets;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introduction of technological innovations or new therapies competing with our products and potential products;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•announcements of significant acquisitions, strategic collaborations, joint ventures or capital commitments by us or our competitors;</w:t>
      </w:r>
    </w:p>
    <w:p>
      <w:pPr>
        <w:spacing w:after="0" w:line="16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technologies;</w:t>
      </w:r>
    </w:p>
    <w:p>
      <w:pPr>
        <w:spacing w:after="0" w:line="1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555" w:right="780" w:bottom="1440" w:gutter="0" w:footer="0" w:header="0"/>
        </w:sectPr>
      </w:pPr>
    </w:p>
    <w:bookmarkStart w:id="111" w:name="page112"/>
    <w:bookmarkEnd w:id="11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hiring or loss of key employees;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•significant lawsuits, including patent or stockholder litigation;</w:t>
      </w:r>
    </w:p>
    <w:p>
      <w:pPr>
        <w:spacing w:after="0" w:line="164" w:lineRule="exact"/>
        <w:rPr>
          <w:sz w:val="20"/>
          <w:szCs w:val="20"/>
          <w:color w:val="auto"/>
        </w:rPr>
      </w:pPr>
    </w:p>
    <w:p>
      <w:pPr>
        <w:ind w:left="360"/>
        <w:spacing w:after="0" w:line="275" w:lineRule="auto"/>
        <w:rPr>
          <w:sz w:val="20"/>
          <w:szCs w:val="20"/>
          <w:color w:val="auto"/>
        </w:rPr>
      </w:pPr>
      <w:r>
        <w:rPr>
          <w:rFonts w:ascii="Times New Roman" w:cs="Times New Roman" w:eastAsia="Times New Roman" w:hAnsi="Times New Roman"/>
          <w:sz w:val="16"/>
          <w:szCs w:val="16"/>
          <w:color w:val="auto"/>
        </w:rPr>
        <w:t>•if securities or industry analysts do not publish research or reports about our business, or if they issue an adverse or misleading opinion regarding our business and stock;</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•changes in the market valuations of similar companies;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•general and industry-specific economic conditions potentially affecting our research and development expenditures;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•sales of our common stock by us or our stockholders in the future, or the anticipation thereof;</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•trading volume of our common stock;</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•changes in the structure of health care payment systems;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•adverse regulatory decisions;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•trading volume of our common stock; and</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•period-to-period fluctuations in our financial results.</w:t>
      </w:r>
    </w:p>
    <w:p>
      <w:pPr>
        <w:spacing w:after="0" w:line="176" w:lineRule="exact"/>
        <w:rPr>
          <w:sz w:val="20"/>
          <w:szCs w:val="20"/>
          <w:color w:val="auto"/>
        </w:rPr>
      </w:pPr>
    </w:p>
    <w:p>
      <w:pPr>
        <w:jc w:val="both"/>
        <w:ind w:right="60"/>
        <w:spacing w:after="0" w:line="291" w:lineRule="auto"/>
        <w:rPr>
          <w:sz w:val="20"/>
          <w:szCs w:val="20"/>
          <w:color w:val="auto"/>
        </w:rPr>
      </w:pPr>
      <w:r>
        <w:rPr>
          <w:rFonts w:ascii="Times New Roman" w:cs="Times New Roman" w:eastAsia="Times New Roman" w:hAnsi="Times New Roman"/>
          <w:sz w:val="16"/>
          <w:szCs w:val="16"/>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18"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spacing w:after="0" w:line="129"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color w:val="auto"/>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spacing w:after="0" w:line="125"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114" w:lineRule="exact"/>
        <w:rPr>
          <w:sz w:val="20"/>
          <w:szCs w:val="20"/>
          <w:color w:val="auto"/>
        </w:rPr>
      </w:pPr>
    </w:p>
    <w:p>
      <w:pPr>
        <w:ind w:right="20"/>
        <w:spacing w:after="0" w:line="319" w:lineRule="auto"/>
        <w:rPr>
          <w:sz w:val="20"/>
          <w:szCs w:val="20"/>
          <w:color w:val="auto"/>
        </w:rPr>
      </w:pPr>
      <w:r>
        <w:rPr>
          <w:rFonts w:ascii="Times New Roman" w:cs="Times New Roman" w:eastAsia="Times New Roman" w:hAnsi="Times New Roman"/>
          <w:sz w:val="14"/>
          <w:szCs w:val="14"/>
          <w:color w:val="auto"/>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We rely heavily on direct management oversight of transactions, along with the use of legal and outsourced accounting professionals. Although we may implement, document, and modify policies and procedures to maintain effective internal controls, we may identify significant deficiencies and material weaknesses or fail to remediate previously identified deficiencies in our internal controls.</w:t>
      </w:r>
    </w:p>
    <w:p>
      <w:pPr>
        <w:spacing w:after="0" w:line="106" w:lineRule="exact"/>
        <w:rPr>
          <w:sz w:val="20"/>
          <w:szCs w:val="20"/>
          <w:color w:val="auto"/>
        </w:rPr>
      </w:pPr>
    </w:p>
    <w:p>
      <w:pPr>
        <w:ind w:right="80"/>
        <w:spacing w:after="0" w:line="316" w:lineRule="auto"/>
        <w:rPr>
          <w:sz w:val="20"/>
          <w:szCs w:val="20"/>
          <w:color w:val="auto"/>
        </w:rPr>
      </w:pPr>
      <w:r>
        <w:rPr>
          <w:rFonts w:ascii="Times New Roman" w:cs="Times New Roman" w:eastAsia="Times New Roman" w:hAnsi="Times New Roman"/>
          <w:sz w:val="14"/>
          <w:szCs w:val="14"/>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2" w:name="page113"/>
    <w:bookmarkEnd w:id="11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price may decline. Furthermore, investor perceptions of us may be adversely affected, which could cause a decline in the market price of our common stock.</w:t>
      </w:r>
    </w:p>
    <w:p>
      <w:pPr>
        <w:spacing w:after="0" w:line="17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2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can be no assurance that we will be able to comply with the continued listing standards of Nasdaq.</w:t>
      </w:r>
    </w:p>
    <w:p>
      <w:pPr>
        <w:spacing w:after="0" w:line="180"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If Nasdaq delists our shares of common stock from trading on its exchange for failure to meet Nasdaq’s listing standards, we and our stockholders could face significant material adverse consequences including:</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limited availability of market quotations for our securities;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•reduced liquidity for our securities;</w:t>
      </w:r>
    </w:p>
    <w:p>
      <w:pPr>
        <w:spacing w:after="0" w:line="176" w:lineRule="exact"/>
        <w:rPr>
          <w:sz w:val="20"/>
          <w:szCs w:val="20"/>
          <w:color w:val="auto"/>
        </w:rPr>
      </w:pPr>
    </w:p>
    <w:p>
      <w:pPr>
        <w:ind w:left="360" w:right="120"/>
        <w:spacing w:after="0" w:line="291" w:lineRule="auto"/>
        <w:rPr>
          <w:sz w:val="20"/>
          <w:szCs w:val="20"/>
          <w:color w:val="auto"/>
        </w:rPr>
      </w:pPr>
      <w:r>
        <w:rPr>
          <w:rFonts w:ascii="Times New Roman" w:cs="Times New Roman" w:eastAsia="Times New Roman" w:hAnsi="Times New Roman"/>
          <w:sz w:val="16"/>
          <w:szCs w:val="16"/>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limited amount of new and analyst coverage; and</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decreased ability to issue additional securities or obtain additional financing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of a substantial number of shares of our common stock in the public market, including by our existing stockholders, could cause our stock price to fall.</w:t>
      </w:r>
    </w:p>
    <w:p>
      <w:pPr>
        <w:spacing w:after="0" w:line="180"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these sales and others may have on the prevailing market price of our common stock.</w:t>
      </w:r>
    </w:p>
    <w:p>
      <w:pPr>
        <w:spacing w:after="0" w:line="12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On February 12, 2024, we filed a universal shelf registration statement on Form S-3 (File No. 333-277018) (the “Shelf Registration Statement”), which became effective on April 30, 2024. No securities have yet been sold under the Shelf Registration Statement. We have established, and may in the future establish, “at-the-market” programs pursuant to which we may offer and sell shares of our common stock pursuant to the Shelf Registration Statement. Further, pursuant to the Registration Rights Agreement dated March 4, 2025, we filed a registration statement on Form S-3 to register the shares of common stock (including those subject to Pre-Funded Warrants) issued and sold in the PIPE Financing that closed on March 4, 2025, which registration statement was declared effective on April 8, 2025.</w:t>
      </w:r>
    </w:p>
    <w:p>
      <w:pPr>
        <w:spacing w:after="0" w:line="134" w:lineRule="exact"/>
        <w:rPr>
          <w:sz w:val="20"/>
          <w:szCs w:val="20"/>
          <w:color w:val="auto"/>
        </w:rPr>
      </w:pPr>
    </w:p>
    <w:p>
      <w:pPr>
        <w:ind w:right="100"/>
        <w:spacing w:after="0" w:line="335" w:lineRule="auto"/>
        <w:rPr>
          <w:sz w:val="20"/>
          <w:szCs w:val="20"/>
          <w:color w:val="auto"/>
        </w:rPr>
      </w:pPr>
      <w:r>
        <w:rPr>
          <w:rFonts w:ascii="Times New Roman" w:cs="Times New Roman" w:eastAsia="Times New Roman" w:hAnsi="Times New Roman"/>
          <w:sz w:val="14"/>
          <w:szCs w:val="14"/>
          <w:color w:val="auto"/>
        </w:rPr>
        <w:t>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on our common stock and cause a reduction in the price of our common stock as a result. We have also</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13" w:name="page114"/>
    <w:bookmarkEnd w:id="11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6"/>
          <w:szCs w:val="16"/>
          <w:color w:val="auto"/>
        </w:rPr>
        <w:t>registered shares of our common stock that we may issue under our employee equity incentive plans. These shares will be able to be sold freely in the public market upon issuance.</w:t>
      </w:r>
    </w:p>
    <w:p>
      <w:pPr>
        <w:spacing w:after="0" w:line="114"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principal stockholders and management own a significant percentage of our common stock and will be able to exert significant control over matters subject to stockholder approval.</w:t>
      </w:r>
    </w:p>
    <w:p>
      <w:pPr>
        <w:spacing w:after="0" w:line="114"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6"/>
          <w:szCs w:val="16"/>
          <w:color w:val="auto"/>
        </w:rPr>
        <w:t>Our executive officers, directors, holders of 5% or more of our capital stock and their respective affiliates beneficially own a significant portion of our outstanding voting stock.</w:t>
      </w:r>
    </w:p>
    <w:p>
      <w:pPr>
        <w:spacing w:after="0" w:line="118" w:lineRule="exact"/>
        <w:rPr>
          <w:sz w:val="20"/>
          <w:szCs w:val="20"/>
          <w:color w:val="auto"/>
        </w:rPr>
      </w:pPr>
    </w:p>
    <w:p>
      <w:pPr>
        <w:ind w:right="20"/>
        <w:spacing w:after="0" w:line="319" w:lineRule="auto"/>
        <w:rPr>
          <w:sz w:val="20"/>
          <w:szCs w:val="20"/>
          <w:color w:val="auto"/>
        </w:rPr>
      </w:pPr>
      <w:r>
        <w:rPr>
          <w:rFonts w:ascii="Times New Roman" w:cs="Times New Roman" w:eastAsia="Times New Roman" w:hAnsi="Times New Roman"/>
          <w:sz w:val="14"/>
          <w:szCs w:val="14"/>
          <w:color w:val="auto"/>
        </w:rPr>
        <w:t>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w:t>
      </w:r>
    </w:p>
    <w:p>
      <w:pPr>
        <w:spacing w:after="0" w:line="1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Unfavorable market and global economic conditions as a result of multiple global events, adverse developments affecting the financial services industry, the conflicts in Ukraine and the Middle East, potential uncertainty related to Taiwan and its relationship to China, fluctuations in interest rates, the implementation and suspension of tariffs, and general economic downturns, could adversely affect our business, financial condition or results of operations.</w:t>
      </w:r>
    </w:p>
    <w:p>
      <w:pPr>
        <w:spacing w:after="0" w:line="12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While the potential economic impact brought by multiple adverse global circumstances, such as conflicts in Ukraine and the Middle East, potential uncertainty related to Taiwan and its relationship with China, fluctuations in interest rates, the implementation of tariffs, adverse developments affecting the financial services industry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the Middle East, Russia, Belarus or Ukraine, but we do not and cannot know if the current uncertainties in these geopolitical areas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spacing w:after="0" w:line="14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and on March 27, 2023, First-Citizens Bank &amp; Trust Company assumed all of SVB’s customer deposits and certain other liabilities and acquired substantially all of SVB’s loans and certain other assets from the FDIC. Similarly, on March 12, 2023, Signature Bank and Silvergate Capital Corp. were each swept into receivership. While we only had a minimal amount of our cash directly at SVB and, since that date, the FDIC has stated that all depositors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4" w:name="page115"/>
    <w:bookmarkEnd w:id="11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of SVB would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w:t>
      </w:r>
    </w:p>
    <w:p>
      <w:pPr>
        <w:spacing w:after="0" w:line="1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36" w:lineRule="exact"/>
        <w:rPr>
          <w:sz w:val="20"/>
          <w:szCs w:val="20"/>
          <w:color w:val="auto"/>
        </w:rPr>
      </w:pPr>
    </w:p>
    <w:p>
      <w:pPr>
        <w:jc w:val="both"/>
        <w:ind w:right="140"/>
        <w:spacing w:after="0" w:line="278" w:lineRule="auto"/>
        <w:rPr>
          <w:sz w:val="20"/>
          <w:szCs w:val="20"/>
          <w:color w:val="auto"/>
        </w:rPr>
      </w:pPr>
      <w:r>
        <w:rPr>
          <w:rFonts w:ascii="Times New Roman" w:cs="Times New Roman" w:eastAsia="Times New Roman" w:hAnsi="Times New Roman"/>
          <w:sz w:val="16"/>
          <w:szCs w:val="16"/>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12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Our operations and performance may be affected by political or civil unrest or military action, including the current conflicts in Ukraine and the Middle East,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spacing w:after="0" w:line="13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September 30, 2025, we had cash, cash equivalents and short-term investments of $162.6 million, consisting of U.S. government treasury bills, commercial paper, and corporate debt securities. Any default by the U.S. government or credit downgrade of the securities we hold could impact the liquidity or valuation of our investments.</w:t>
      </w:r>
    </w:p>
    <w:p>
      <w:pPr>
        <w:spacing w:after="0" w:line="13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or the third parties upon whom we depend, may be adversely affected by earthquakes, wildfires (such as the Pacific Palisades fire, which burned near but did not reach our former headquarters) and other natural disasters, and our business continuity and disaster recovery plans may not adequately protect us from a serious disaster.</w:t>
      </w:r>
    </w:p>
    <w:p>
      <w:pPr>
        <w:spacing w:after="0" w:line="12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Any unplanned event, such as flood, fire, explosion, earthquake, extreme weather condition, medical epidemics, such as the COVID-19 pandemic, power shortage, telecommunication failure, cyberattacks, geopolitical tensions, including those related to the conflicts in Ukraine and the Middle East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115" w:name="page116"/>
    <w:bookmarkEnd w:id="11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32"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114"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4"/>
          <w:szCs w:val="14"/>
          <w:color w:val="auto"/>
        </w:rPr>
        <w:t>We are a “smaller reporting company” under applicable securities regulations. A smaller reporting company is a company that (i) as of the last business day of its most recently completed second fiscal quarter has an aggregate market value of the company’s voting stock held by non-affiliates, or public float, of less than $250 million or</w:t>
      </w:r>
    </w:p>
    <w:p>
      <w:pPr>
        <w:ind w:right="40" w:firstLine="6"/>
        <w:spacing w:after="0" w:line="272" w:lineRule="auto"/>
        <w:tabs>
          <w:tab w:leader="none" w:pos="23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most recently completed fiscal year has less than $100 million in revenue and as of the last business day of its most recently completed second fiscal quarter has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anticipate that we will pay any cash dividends in the foreseeable future.</w:t>
      </w:r>
    </w:p>
    <w:p>
      <w:pPr>
        <w:spacing w:after="0" w:line="180"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spacing w:after="0" w:line="11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1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30" w:lineRule="exact"/>
        <w:rPr>
          <w:sz w:val="20"/>
          <w:szCs w:val="20"/>
          <w:color w:val="auto"/>
        </w:rPr>
      </w:pPr>
    </w:p>
    <w:p>
      <w:pPr>
        <w:ind w:right="76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law could make an acquisition of us more difficult and may prevent attempts our stockholders to replace or remove our management.</w:t>
      </w:r>
    </w:p>
    <w:p>
      <w:pPr>
        <w:spacing w:after="0" w:line="114"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16" w:name="page117"/>
    <w:bookmarkEnd w:id="11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60"/>
        <w:spacing w:after="0" w:line="291" w:lineRule="auto"/>
        <w:rPr>
          <w:sz w:val="20"/>
          <w:szCs w:val="20"/>
          <w:color w:val="auto"/>
        </w:rPr>
      </w:pPr>
      <w:r>
        <w:rPr>
          <w:rFonts w:ascii="Times New Roman" w:cs="Times New Roman" w:eastAsia="Times New Roman" w:hAnsi="Times New Roman"/>
          <w:sz w:val="16"/>
          <w:szCs w:val="16"/>
          <w:color w:val="auto"/>
        </w:rPr>
        <w:t>replace or remove then current management by making it more difficult for stockholders to replace members of the board of directors, which is responsible for appointing the members of management.</w:t>
      </w:r>
    </w:p>
    <w:p>
      <w:pPr>
        <w:spacing w:after="0" w:line="114"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1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17" w:name="page118"/>
    <w:bookmarkEnd w:id="11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Trading Plans of Directors and Executive Officers</w:t>
      </w:r>
    </w:p>
    <w:p>
      <w:pPr>
        <w:spacing w:after="0" w:line="18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660" w:top="555" w:right="860" w:bottom="1440" w:gutter="0" w:footer="0" w:header="0"/>
        </w:sectPr>
      </w:pPr>
    </w:p>
    <w:bookmarkStart w:id="118" w:name="page119"/>
    <w:bookmarkEnd w:id="11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78"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6"/>
          <w:szCs w:val="16"/>
          <w:color w:val="auto"/>
        </w:rPr>
        <w:t>The exhibits listed on the Exhibit Index immediately preceding such exhibits, which is incorporated herein by reference, are filed or furnished as part of this Quarterly Report.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84"/>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20" w:type="dxa"/>
            <w:vAlign w:val="bottom"/>
            <w:tcBorders>
              <w:bottom w:val="single" w:sz="8" w:color="0000EE"/>
            </w:tcBorders>
            <w:gridSpan w:val="9"/>
          </w:tcPr>
          <w:p>
            <w:pPr>
              <w:spacing w:after="0"/>
              <w:rPr>
                <w:rFonts w:ascii="Times New Roman" w:cs="Times New Roman" w:eastAsia="Times New Roman" w:hAnsi="Times New Roman"/>
                <w:sz w:val="16"/>
                <w:szCs w:val="16"/>
                <w:color w:val="0000FF"/>
                <w:w w:val="97"/>
              </w:rPr>
            </w:pPr>
            <w:hyperlink r:id="rId136">
              <w:r>
                <w:rPr>
                  <w:rFonts w:ascii="Times New Roman" w:cs="Times New Roman" w:eastAsia="Times New Roman" w:hAnsi="Times New Roman"/>
                  <w:sz w:val="16"/>
                  <w:szCs w:val="16"/>
                  <w:color w:val="0000FF"/>
                  <w:w w:val="97"/>
                </w:rPr>
                <w:t>Amended and Restated Certificate of Incorporation of the Company (incorporated by reference to Exhibit 3.1 to the Registrant’s Current Report on</w:t>
              </w:r>
            </w:hyperlink>
          </w:p>
        </w:tc>
        <w:tc>
          <w:tcPr>
            <w:tcW w:w="40" w:type="dxa"/>
            <w:vAlign w:val="bottom"/>
            <w:gridSpan w:val="2"/>
          </w:tcPr>
          <w:p>
            <w:pPr>
              <w:spacing w:after="0"/>
              <w:rPr>
                <w:sz w:val="16"/>
                <w:szCs w:val="16"/>
                <w:color w:val="auto"/>
              </w:rPr>
            </w:pPr>
          </w:p>
        </w:tc>
      </w:tr>
      <w:tr>
        <w:trPr>
          <w:trHeight w:val="172"/>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560" w:type="dxa"/>
            <w:vAlign w:val="bottom"/>
            <w:tcBorders>
              <w:bottom w:val="single" w:sz="8" w:color="0000EE"/>
            </w:tcBorders>
            <w:gridSpan w:val="4"/>
          </w:tcPr>
          <w:p>
            <w:pPr>
              <w:spacing w:after="0" w:line="172" w:lineRule="exact"/>
              <w:rPr>
                <w:rFonts w:ascii="Times New Roman" w:cs="Times New Roman" w:eastAsia="Times New Roman" w:hAnsi="Times New Roman"/>
                <w:sz w:val="16"/>
                <w:szCs w:val="16"/>
                <w:color w:val="0000FF"/>
                <w:w w:val="98"/>
              </w:rPr>
            </w:pPr>
            <w:hyperlink r:id="rId136">
              <w:r>
                <w:rPr>
                  <w:rFonts w:ascii="Times New Roman" w:cs="Times New Roman" w:eastAsia="Times New Roman" w:hAnsi="Times New Roman"/>
                  <w:sz w:val="16"/>
                  <w:szCs w:val="16"/>
                  <w:color w:val="0000FF"/>
                  <w:w w:val="98"/>
                </w:rPr>
                <w:t>Form 8-K (File No. 001-38560) filed with the SEC on March 18, 2025).</w:t>
              </w:r>
            </w:hyperlink>
          </w:p>
        </w:tc>
        <w:tc>
          <w:tcPr>
            <w:tcW w:w="4700" w:type="dxa"/>
            <w:vAlign w:val="bottom"/>
            <w:gridSpan w:val="7"/>
          </w:tcPr>
          <w:p>
            <w:pPr>
              <w:spacing w:after="0"/>
              <w:rPr>
                <w:sz w:val="14"/>
                <w:szCs w:val="14"/>
                <w:color w:val="auto"/>
              </w:rPr>
            </w:pPr>
          </w:p>
        </w:tc>
      </w:tr>
      <w:tr>
        <w:trPr>
          <w:trHeight w:val="208"/>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40" w:type="dxa"/>
            <w:vAlign w:val="bottom"/>
            <w:tcBorders>
              <w:bottom w:val="single" w:sz="8" w:color="0000EE"/>
            </w:tcBorders>
            <w:gridSpan w:val="10"/>
          </w:tcPr>
          <w:p>
            <w:pPr>
              <w:spacing w:after="0"/>
              <w:rPr>
                <w:rFonts w:ascii="Times New Roman" w:cs="Times New Roman" w:eastAsia="Times New Roman" w:hAnsi="Times New Roman"/>
                <w:sz w:val="16"/>
                <w:szCs w:val="16"/>
                <w:color w:val="0000FF"/>
                <w:w w:val="97"/>
              </w:rPr>
            </w:pPr>
            <w:hyperlink r:id="rId137">
              <w:r>
                <w:rPr>
                  <w:rFonts w:ascii="Times New Roman" w:cs="Times New Roman" w:eastAsia="Times New Roman" w:hAnsi="Times New Roman"/>
                  <w:sz w:val="16"/>
                  <w:szCs w:val="16"/>
                  <w:color w:val="0000FF"/>
                  <w:w w:val="97"/>
                </w:rPr>
                <w:t>Amended and Restated Bylaws of the Company (incorporated by reference to Exhibit 3.2 to the Registrant’s Current Report on Form 8-K (File No.</w:t>
              </w:r>
            </w:hyperlink>
          </w:p>
        </w:tc>
        <w:tc>
          <w:tcPr>
            <w:tcW w:w="20" w:type="dxa"/>
            <w:vAlign w:val="bottom"/>
          </w:tcPr>
          <w:p>
            <w:pPr>
              <w:spacing w:after="0"/>
              <w:rPr>
                <w:sz w:val="18"/>
                <w:szCs w:val="18"/>
                <w:color w:val="auto"/>
              </w:rPr>
            </w:pPr>
          </w:p>
        </w:tc>
      </w:tr>
      <w:tr>
        <w:trPr>
          <w:trHeight w:val="172"/>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60" w:type="dxa"/>
            <w:vAlign w:val="bottom"/>
            <w:tcBorders>
              <w:bottom w:val="single" w:sz="8" w:color="0000EE"/>
            </w:tcBorders>
            <w:gridSpan w:val="2"/>
          </w:tcPr>
          <w:p>
            <w:pPr>
              <w:spacing w:after="0" w:line="172" w:lineRule="exact"/>
              <w:rPr>
                <w:rFonts w:ascii="Times New Roman" w:cs="Times New Roman" w:eastAsia="Times New Roman" w:hAnsi="Times New Roman"/>
                <w:sz w:val="16"/>
                <w:szCs w:val="16"/>
                <w:color w:val="0000FF"/>
                <w:w w:val="97"/>
              </w:rPr>
            </w:pPr>
            <w:hyperlink r:id="rId137">
              <w:r>
                <w:rPr>
                  <w:rFonts w:ascii="Times New Roman" w:cs="Times New Roman" w:eastAsia="Times New Roman" w:hAnsi="Times New Roman"/>
                  <w:sz w:val="16"/>
                  <w:szCs w:val="16"/>
                  <w:color w:val="0000FF"/>
                  <w:w w:val="97"/>
                </w:rPr>
                <w:t>001-38560) filed with the SEC on March 18, 2025).</w:t>
              </w:r>
            </w:hyperlink>
          </w:p>
        </w:tc>
        <w:tc>
          <w:tcPr>
            <w:tcW w:w="6000" w:type="dxa"/>
            <w:vAlign w:val="bottom"/>
            <w:gridSpan w:val="9"/>
          </w:tcPr>
          <w:p>
            <w:pPr>
              <w:spacing w:after="0"/>
              <w:rPr>
                <w:sz w:val="14"/>
                <w:szCs w:val="14"/>
                <w:color w:val="auto"/>
              </w:rPr>
            </w:pPr>
          </w:p>
        </w:tc>
      </w:tr>
      <w:tr>
        <w:trPr>
          <w:trHeight w:val="208"/>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96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Executive Officer Pursuant to Rules 13a-14(a) and 15d-14(a) under the Securities Exchange Act of 1934, as Adopted</w:t>
              </w:r>
            </w:hyperlink>
          </w:p>
        </w:tc>
        <w:tc>
          <w:tcPr>
            <w:tcW w:w="300" w:type="dxa"/>
            <w:vAlign w:val="bottom"/>
            <w:gridSpan w:val="5"/>
          </w:tcPr>
          <w:p>
            <w:pPr>
              <w:spacing w:after="0"/>
              <w:rPr>
                <w:sz w:val="18"/>
                <w:szCs w:val="18"/>
                <w:color w:val="auto"/>
              </w:rPr>
            </w:pPr>
          </w:p>
        </w:tc>
      </w:tr>
      <w:tr>
        <w:trPr>
          <w:trHeight w:val="172"/>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60" w:type="dxa"/>
            <w:vAlign w:val="bottom"/>
            <w:gridSpan w:val="11"/>
          </w:tcPr>
          <w:p>
            <w:pPr>
              <w:spacing w:after="0" w:line="172"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Pursuant to Section 302 of the Sarbanes-Oxley Act of 2002.</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8"/>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Financial Officer Pursuant to Rules 13a-14(a) and 15d-14(a) under the Securities Exchange Act of 1934, as Adopted</w:t>
              </w:r>
            </w:hyperlink>
          </w:p>
        </w:tc>
        <w:tc>
          <w:tcPr>
            <w:tcW w:w="360" w:type="dxa"/>
            <w:vAlign w:val="bottom"/>
            <w:gridSpan w:val="6"/>
          </w:tcPr>
          <w:p>
            <w:pPr>
              <w:spacing w:after="0"/>
              <w:rPr>
                <w:sz w:val="18"/>
                <w:szCs w:val="18"/>
                <w:color w:val="auto"/>
              </w:rPr>
            </w:pPr>
          </w:p>
        </w:tc>
      </w:tr>
      <w:tr>
        <w:trPr>
          <w:trHeight w:val="172"/>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60" w:type="dxa"/>
            <w:vAlign w:val="bottom"/>
            <w:gridSpan w:val="11"/>
          </w:tcPr>
          <w:p>
            <w:pPr>
              <w:spacing w:after="0" w:line="172"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Pursuant to Section 302 of the Sarbanes-Oxley Act of 2002.</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8"/>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180" w:type="dxa"/>
            <w:vAlign w:val="bottom"/>
            <w:tcBorders>
              <w:bottom w:val="single" w:sz="8" w:color="0000EE"/>
            </w:tcBorders>
            <w:gridSpan w:val="8"/>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Executive Officer Pursuant to 18 U.S.C. Section 1350, as Adopted Pursuant to Section 906 of the Sarbanes-Oxley Act of</w:t>
              </w:r>
            </w:hyperlink>
          </w:p>
        </w:tc>
        <w:tc>
          <w:tcPr>
            <w:tcW w:w="80" w:type="dxa"/>
            <w:vAlign w:val="bottom"/>
            <w:gridSpan w:val="3"/>
          </w:tcPr>
          <w:p>
            <w:pPr>
              <w:spacing w:after="0"/>
              <w:rPr>
                <w:sz w:val="18"/>
                <w:szCs w:val="18"/>
                <w:color w:val="auto"/>
              </w:rPr>
            </w:pPr>
          </w:p>
        </w:tc>
      </w:tr>
      <w:tr>
        <w:trPr>
          <w:trHeight w:val="172"/>
        </w:trPr>
        <w:tc>
          <w:tcPr>
            <w:tcW w:w="11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60" w:type="dxa"/>
            <w:vAlign w:val="bottom"/>
            <w:tcBorders>
              <w:bottom w:val="single" w:sz="8" w:color="0000EE"/>
            </w:tcBorders>
          </w:tcPr>
          <w:p>
            <w:pPr>
              <w:spacing w:after="0" w:line="172" w:lineRule="exact"/>
              <w:rPr>
                <w:rFonts w:ascii="Times New Roman" w:cs="Times New Roman" w:eastAsia="Times New Roman" w:hAnsi="Times New Roman"/>
                <w:sz w:val="16"/>
                <w:szCs w:val="16"/>
                <w:color w:val="0000FF"/>
                <w:w w:val="94"/>
              </w:rPr>
            </w:pPr>
            <w:hyperlink w:anchor="page1">
              <w:r>
                <w:rPr>
                  <w:rFonts w:ascii="Times New Roman" w:cs="Times New Roman" w:eastAsia="Times New Roman" w:hAnsi="Times New Roman"/>
                  <w:sz w:val="16"/>
                  <w:szCs w:val="16"/>
                  <w:color w:val="0000FF"/>
                  <w:w w:val="94"/>
                </w:rPr>
                <w:t>2002.</w:t>
              </w:r>
            </w:hyperlink>
          </w:p>
        </w:tc>
        <w:tc>
          <w:tcPr>
            <w:tcW w:w="2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8"/>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140" w:type="dxa"/>
            <w:vAlign w:val="bottom"/>
            <w:tcBorders>
              <w:bottom w:val="single" w:sz="8" w:color="0000EE"/>
            </w:tcBorders>
            <w:gridSpan w:val="7"/>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Financial Officer Pursuant to 18 U.S.C. Section 1350, as Adopted Pursuant to Section 906 of the Sarbanes-Oxley Act of</w:t>
              </w:r>
            </w:hyperlink>
          </w:p>
        </w:tc>
        <w:tc>
          <w:tcPr>
            <w:tcW w:w="120" w:type="dxa"/>
            <w:vAlign w:val="bottom"/>
            <w:gridSpan w:val="4"/>
          </w:tcPr>
          <w:p>
            <w:pPr>
              <w:spacing w:after="0"/>
              <w:rPr>
                <w:sz w:val="18"/>
                <w:szCs w:val="18"/>
                <w:color w:val="auto"/>
              </w:rPr>
            </w:pPr>
          </w:p>
        </w:tc>
      </w:tr>
      <w:tr>
        <w:trPr>
          <w:trHeight w:val="172"/>
        </w:trPr>
        <w:tc>
          <w:tcPr>
            <w:tcW w:w="11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60" w:type="dxa"/>
            <w:vAlign w:val="bottom"/>
            <w:tcBorders>
              <w:bottom w:val="single" w:sz="8" w:color="0000EE"/>
            </w:tcBorders>
          </w:tcPr>
          <w:p>
            <w:pPr>
              <w:spacing w:after="0" w:line="172" w:lineRule="exact"/>
              <w:rPr>
                <w:rFonts w:ascii="Times New Roman" w:cs="Times New Roman" w:eastAsia="Times New Roman" w:hAnsi="Times New Roman"/>
                <w:sz w:val="16"/>
                <w:szCs w:val="16"/>
                <w:color w:val="0000FF"/>
                <w:w w:val="94"/>
              </w:rPr>
            </w:pPr>
            <w:hyperlink w:anchor="page1">
              <w:r>
                <w:rPr>
                  <w:rFonts w:ascii="Times New Roman" w:cs="Times New Roman" w:eastAsia="Times New Roman" w:hAnsi="Times New Roman"/>
                  <w:sz w:val="16"/>
                  <w:szCs w:val="16"/>
                  <w:color w:val="0000FF"/>
                  <w:w w:val="94"/>
                </w:rPr>
                <w:t>2002.</w:t>
              </w:r>
            </w:hyperlink>
          </w:p>
        </w:tc>
        <w:tc>
          <w:tcPr>
            <w:tcW w:w="2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2"/>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101.INS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28"/>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101.SCH</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bl>
    <w:p>
      <w:pPr>
        <w:spacing w:after="0" w:line="25" w:lineRule="exact"/>
        <w:rPr>
          <w:sz w:val="20"/>
          <w:szCs w:val="20"/>
          <w:color w:val="auto"/>
        </w:rPr>
      </w:pPr>
    </w:p>
    <w:p>
      <w:pPr>
        <w:ind w:left="1300" w:hanging="1258"/>
        <w:spacing w:after="0"/>
        <w:tabs>
          <w:tab w:leader="none" w:pos="13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p>
      <w:pPr>
        <w:spacing w:after="0" w:line="2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176" w:lineRule="exact"/>
        <w:rPr>
          <w:rFonts w:ascii="Times New Roman" w:cs="Times New Roman" w:eastAsia="Times New Roman" w:hAnsi="Times New Roman"/>
          <w:sz w:val="16"/>
          <w:szCs w:val="16"/>
          <w:color w:val="auto"/>
        </w:rPr>
      </w:pPr>
    </w:p>
    <w:p>
      <w:pPr>
        <w:ind w:right="120" w:firstLine="6"/>
        <w:spacing w:after="0" w:line="366" w:lineRule="auto"/>
        <w:tabs>
          <w:tab w:leader="none" w:pos="19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Exhibits 32.1 and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9" w:name="page120"/>
    <w:bookmarkEnd w:id="11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WHITEHAWK THERAPEUTICS, INC.</w:t>
      </w:r>
    </w:p>
    <w:p>
      <w:pPr>
        <w:sectPr>
          <w:pgSz w:w="11900" w:h="16840" w:orient="portrait"/>
          <w:cols w:equalWidth="0" w:num="1">
            <w:col w:w="10340"/>
          </w:cols>
          <w:pgMar w:left="660" w:top="555" w:right="900" w:bottom="1440" w:gutter="0" w:footer="0" w:header="0"/>
        </w:sectPr>
      </w:pP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6, 2025</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Scott Giacobello</w:t>
      </w:r>
    </w:p>
    <w:p>
      <w:pPr>
        <w:spacing w:after="0" w:line="43" w:lineRule="exact"/>
        <w:rPr>
          <w:sz w:val="20"/>
          <w:szCs w:val="20"/>
          <w:color w:val="auto"/>
        </w:rPr>
      </w:pPr>
    </w:p>
    <w:p>
      <w:pPr>
        <w:sectPr>
          <w:pgSz w:w="11900" w:h="16840" w:orient="portrait"/>
          <w:cols w:equalWidth="0" w:num="3">
            <w:col w:w="4060" w:space="720"/>
            <w:col w:w="1800" w:space="720"/>
            <w:col w:w="3040"/>
          </w:cols>
          <w:pgMar w:left="660" w:top="555" w:right="900" w:bottom="1440" w:gutter="0" w:footer="0" w:header="0"/>
          <w:type w:val="continuous"/>
        </w:sectPr>
      </w:pPr>
    </w:p>
    <w:p>
      <w:pPr>
        <w:jc w:val="center"/>
        <w:ind w:left="5220"/>
        <w:spacing w:after="0"/>
        <w:rPr>
          <w:sz w:val="20"/>
          <w:szCs w:val="20"/>
          <w:color w:val="auto"/>
        </w:rPr>
      </w:pPr>
      <w:r>
        <w:rPr>
          <w:rFonts w:ascii="Times New Roman" w:cs="Times New Roman" w:eastAsia="Times New Roman" w:hAnsi="Times New Roman"/>
          <w:sz w:val="16"/>
          <w:szCs w:val="16"/>
          <w:b w:val="1"/>
          <w:bCs w:val="1"/>
          <w:color w:val="auto"/>
        </w:rPr>
        <w:t>Scott Giacobello</w:t>
      </w:r>
    </w:p>
    <w:p>
      <w:pPr>
        <w:spacing w:after="0" w:line="8"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8"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i w:val="1"/>
          <w:iCs w:val="1"/>
          <w:color w:val="auto"/>
        </w:rPr>
        <w:t>(Principal Financial Officer and Duly Authorized Officer)</w:t>
      </w: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660" w:top="555" w:right="900"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J. Lennon, certify that: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Form 10-Q of Whitehawk Therapeutics, Inc.</w:t>
      </w:r>
    </w:p>
    <w:p>
      <w:pPr>
        <w:spacing w:after="0" w:line="212"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16" w:lineRule="exact"/>
        <w:rPr>
          <w:sz w:val="20"/>
          <w:szCs w:val="20"/>
          <w:color w:val="auto"/>
        </w:rPr>
      </w:pPr>
    </w:p>
    <w:p>
      <w:pPr>
        <w:ind w:left="360" w:right="200"/>
        <w:spacing w:after="0" w:line="278"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sz w:val="20"/>
          <w:szCs w:val="20"/>
          <w:color w:val="auto"/>
        </w:rPr>
      </w:pPr>
    </w:p>
    <w:p>
      <w:pPr>
        <w:ind w:left="360" w:right="60"/>
        <w:spacing w:after="0" w:line="278"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sz w:val="20"/>
          <w:szCs w:val="20"/>
          <w:color w:val="auto"/>
        </w:rPr>
      </w:pPr>
    </w:p>
    <w:p>
      <w:pPr>
        <w:ind w:left="360" w:right="380"/>
        <w:spacing w:after="0" w:line="291"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sz w:val="20"/>
          <w:szCs w:val="20"/>
          <w:color w:val="auto"/>
        </w:rPr>
      </w:pPr>
    </w:p>
    <w:p>
      <w:pPr>
        <w:ind w:left="360" w:right="80"/>
        <w:spacing w:after="0" w:line="278"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sz w:val="20"/>
          <w:szCs w:val="20"/>
          <w:color w:val="auto"/>
        </w:rPr>
      </w:pPr>
    </w:p>
    <w:p>
      <w:pPr>
        <w:ind w:left="360" w:right="560"/>
        <w:spacing w:after="0" w:line="291"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sz w:val="20"/>
          <w:szCs w:val="20"/>
          <w:color w:val="auto"/>
        </w:rPr>
      </w:pPr>
    </w:p>
    <w:p>
      <w:pPr>
        <w:ind w:left="360" w:right="200"/>
        <w:spacing w:after="0" w:line="291"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Date: November 6, 2025</w:t>
            </w:r>
          </w:p>
        </w:tc>
        <w:tc>
          <w:tcPr>
            <w:tcW w:w="216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David Lennon, Ph.D.</w:t>
            </w:r>
          </w:p>
        </w:tc>
      </w:tr>
      <w:tr>
        <w:trPr>
          <w:trHeight w:val="157"/>
        </w:trPr>
        <w:tc>
          <w:tcPr>
            <w:tcW w:w="33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0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David J. Lennon, Ph.D.</w:t>
            </w:r>
          </w:p>
        </w:tc>
      </w:tr>
      <w:tr>
        <w:trPr>
          <w:trHeight w:val="180"/>
        </w:trPr>
        <w:tc>
          <w:tcPr>
            <w:tcW w:w="3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0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Chief Executive Officer and President</w:t>
            </w:r>
          </w:p>
        </w:tc>
      </w:tr>
      <w:tr>
        <w:trPr>
          <w:trHeight w:val="205"/>
        </w:trPr>
        <w:tc>
          <w:tcPr>
            <w:tcW w:w="3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(Principal Executive Officer)</w:t>
            </w:r>
          </w:p>
        </w:tc>
      </w:tr>
      <w:tr>
        <w:trPr>
          <w:trHeight w:val="1022"/>
        </w:trPr>
        <w:tc>
          <w:tcPr>
            <w:tcW w:w="3340" w:type="dxa"/>
            <w:vAlign w:val="bottom"/>
            <w:tcBorders>
              <w:bottom w:val="single" w:sz="8" w:color="EEEEEE"/>
            </w:tcBorders>
          </w:tcPr>
          <w:p>
            <w:pPr>
              <w:spacing w:after="0"/>
              <w:rPr>
                <w:sz w:val="24"/>
                <w:szCs w:val="24"/>
                <w:color w:val="auto"/>
              </w:rPr>
            </w:pPr>
          </w:p>
        </w:tc>
        <w:tc>
          <w:tcPr>
            <w:tcW w:w="2160" w:type="dxa"/>
            <w:vAlign w:val="bottom"/>
            <w:tcBorders>
              <w:bottom w:val="single" w:sz="8" w:color="EEEEEE"/>
            </w:tcBorders>
          </w:tcPr>
          <w:p>
            <w:pPr>
              <w:spacing w:after="0"/>
              <w:rPr>
                <w:sz w:val="24"/>
                <w:szCs w:val="24"/>
                <w:color w:val="auto"/>
              </w:rPr>
            </w:pPr>
          </w:p>
        </w:tc>
        <w:tc>
          <w:tcPr>
            <w:tcW w:w="5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91" w:right="66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Scott Giacobello, certify that: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Form 10-Q of Whitehawk Therapeutics, Inc.</w:t>
      </w:r>
    </w:p>
    <w:p>
      <w:pPr>
        <w:spacing w:after="0" w:line="212"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16" w:lineRule="exact"/>
        <w:rPr>
          <w:sz w:val="20"/>
          <w:szCs w:val="20"/>
          <w:color w:val="auto"/>
        </w:rPr>
      </w:pPr>
    </w:p>
    <w:p>
      <w:pPr>
        <w:ind w:left="360" w:right="200"/>
        <w:spacing w:after="0" w:line="278"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sz w:val="20"/>
          <w:szCs w:val="20"/>
          <w:color w:val="auto"/>
        </w:rPr>
      </w:pPr>
    </w:p>
    <w:p>
      <w:pPr>
        <w:ind w:left="360" w:right="60"/>
        <w:spacing w:after="0" w:line="278"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sz w:val="20"/>
          <w:szCs w:val="20"/>
          <w:color w:val="auto"/>
        </w:rPr>
      </w:pPr>
    </w:p>
    <w:p>
      <w:pPr>
        <w:ind w:left="360" w:right="380"/>
        <w:spacing w:after="0" w:line="291"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sz w:val="20"/>
          <w:szCs w:val="20"/>
          <w:color w:val="auto"/>
        </w:rPr>
      </w:pPr>
    </w:p>
    <w:p>
      <w:pPr>
        <w:ind w:left="360" w:right="80"/>
        <w:spacing w:after="0" w:line="278"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sz w:val="20"/>
          <w:szCs w:val="20"/>
          <w:color w:val="auto"/>
        </w:rPr>
      </w:pPr>
    </w:p>
    <w:p>
      <w:pPr>
        <w:ind w:left="360" w:right="560"/>
        <w:spacing w:after="0" w:line="291"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sz w:val="20"/>
          <w:szCs w:val="20"/>
          <w:color w:val="auto"/>
        </w:rPr>
      </w:pPr>
    </w:p>
    <w:p>
      <w:pPr>
        <w:ind w:left="360" w:right="200"/>
        <w:spacing w:after="0" w:line="291"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Date: November 6, 2025</w:t>
            </w:r>
          </w:p>
        </w:tc>
        <w:tc>
          <w:tcPr>
            <w:tcW w:w="216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Scott Giacobello</w:t>
            </w:r>
          </w:p>
        </w:tc>
      </w:tr>
      <w:tr>
        <w:trPr>
          <w:trHeight w:val="157"/>
        </w:trPr>
        <w:tc>
          <w:tcPr>
            <w:tcW w:w="33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0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6"/>
              </w:rPr>
              <w:t>Scott Giacobello</w:t>
            </w:r>
          </w:p>
        </w:tc>
      </w:tr>
      <w:tr>
        <w:trPr>
          <w:trHeight w:val="180"/>
        </w:trPr>
        <w:tc>
          <w:tcPr>
            <w:tcW w:w="3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0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Chief Financial Officer</w:t>
            </w:r>
          </w:p>
        </w:tc>
      </w:tr>
      <w:tr>
        <w:trPr>
          <w:trHeight w:val="205"/>
        </w:trPr>
        <w:tc>
          <w:tcPr>
            <w:tcW w:w="3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(Principal Financial Officer)</w:t>
            </w:r>
          </w:p>
        </w:tc>
      </w:tr>
      <w:tr>
        <w:trPr>
          <w:trHeight w:val="1022"/>
        </w:trPr>
        <w:tc>
          <w:tcPr>
            <w:tcW w:w="3340" w:type="dxa"/>
            <w:vAlign w:val="bottom"/>
            <w:tcBorders>
              <w:bottom w:val="single" w:sz="8" w:color="EEEEEE"/>
            </w:tcBorders>
          </w:tcPr>
          <w:p>
            <w:pPr>
              <w:spacing w:after="0"/>
              <w:rPr>
                <w:sz w:val="24"/>
                <w:szCs w:val="24"/>
                <w:color w:val="auto"/>
              </w:rPr>
            </w:pPr>
          </w:p>
        </w:tc>
        <w:tc>
          <w:tcPr>
            <w:tcW w:w="2160" w:type="dxa"/>
            <w:vAlign w:val="bottom"/>
            <w:tcBorders>
              <w:bottom w:val="single" w:sz="8" w:color="EEEEEE"/>
            </w:tcBorders>
          </w:tcPr>
          <w:p>
            <w:pPr>
              <w:spacing w:after="0"/>
              <w:rPr>
                <w:sz w:val="24"/>
                <w:szCs w:val="24"/>
                <w:color w:val="auto"/>
              </w:rPr>
            </w:pPr>
          </w:p>
        </w:tc>
        <w:tc>
          <w:tcPr>
            <w:tcW w:w="5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03" w:right="66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right="120" w:firstLine="348"/>
        <w:spacing w:after="0" w:line="278" w:lineRule="auto"/>
        <w:rPr>
          <w:sz w:val="20"/>
          <w:szCs w:val="20"/>
          <w:color w:val="auto"/>
        </w:rPr>
      </w:pPr>
      <w:r>
        <w:rPr>
          <w:rFonts w:ascii="Times New Roman" w:cs="Times New Roman" w:eastAsia="Times New Roman" w:hAnsi="Times New Roman"/>
          <w:sz w:val="16"/>
          <w:szCs w:val="16"/>
          <w:color w:val="auto"/>
        </w:rPr>
        <w:t>In connection with the Quarterly Report of Whitehawk Therapeutics, Inc. (the “Company”) on Form 10-Q for the period ended September 30, 2025 as filed with the Securities and Exchange Commission on the date hereof (the “Report”), I certify, pursuant to 18 U.S.C. § 1350, as adopted pursuant to § 906 of the Sarbanes-Oxley Act of 2002, that to my knowledge:</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Date: November 6, 2025</w:t>
            </w:r>
          </w:p>
        </w:tc>
        <w:tc>
          <w:tcPr>
            <w:tcW w:w="236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By:</w:t>
            </w: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David Lennon</w:t>
            </w:r>
          </w:p>
        </w:tc>
      </w:tr>
      <w:tr>
        <w:trPr>
          <w:trHeight w:val="169"/>
        </w:trPr>
        <w:tc>
          <w:tcPr>
            <w:tcW w:w="3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74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6"/>
              </w:rPr>
              <w:t>David J. Lennon, Ph.D.</w:t>
            </w:r>
          </w:p>
        </w:tc>
      </w:tr>
      <w:tr>
        <w:trPr>
          <w:trHeight w:val="180"/>
        </w:trPr>
        <w:tc>
          <w:tcPr>
            <w:tcW w:w="3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Chief Executive Officer and President</w:t>
            </w:r>
          </w:p>
        </w:tc>
      </w:tr>
      <w:tr>
        <w:trPr>
          <w:trHeight w:val="205"/>
        </w:trPr>
        <w:tc>
          <w:tcPr>
            <w:tcW w:w="34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(Principal Executive Officer)</w:t>
            </w:r>
          </w:p>
        </w:tc>
      </w:tr>
      <w:tr>
        <w:trPr>
          <w:trHeight w:val="1022"/>
        </w:trPr>
        <w:tc>
          <w:tcPr>
            <w:tcW w:w="3460" w:type="dxa"/>
            <w:vAlign w:val="bottom"/>
            <w:tcBorders>
              <w:bottom w:val="single" w:sz="8" w:color="EEEEEE"/>
            </w:tcBorders>
          </w:tcPr>
          <w:p>
            <w:pPr>
              <w:spacing w:after="0"/>
              <w:rPr>
                <w:sz w:val="24"/>
                <w:szCs w:val="24"/>
                <w:color w:val="auto"/>
              </w:rPr>
            </w:pPr>
          </w:p>
        </w:tc>
        <w:tc>
          <w:tcPr>
            <w:tcW w:w="2360" w:type="dxa"/>
            <w:vAlign w:val="bottom"/>
            <w:tcBorders>
              <w:bottom w:val="single" w:sz="8" w:color="EEEEEE"/>
            </w:tcBorders>
          </w:tcPr>
          <w:p>
            <w:pPr>
              <w:spacing w:after="0"/>
              <w:rPr>
                <w:sz w:val="24"/>
                <w:szCs w:val="24"/>
                <w:color w:val="auto"/>
              </w:rPr>
            </w:pPr>
          </w:p>
        </w:tc>
        <w:tc>
          <w:tcPr>
            <w:tcW w:w="47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87" w:right="66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right="120" w:firstLine="348"/>
        <w:spacing w:after="0" w:line="278" w:lineRule="auto"/>
        <w:rPr>
          <w:sz w:val="20"/>
          <w:szCs w:val="20"/>
          <w:color w:val="auto"/>
        </w:rPr>
      </w:pPr>
      <w:r>
        <w:rPr>
          <w:rFonts w:ascii="Times New Roman" w:cs="Times New Roman" w:eastAsia="Times New Roman" w:hAnsi="Times New Roman"/>
          <w:sz w:val="16"/>
          <w:szCs w:val="16"/>
          <w:color w:val="auto"/>
        </w:rPr>
        <w:t>In connection with the Quarterly Report of Whitehawk Therapeutics, Inc. (the “Company”) on Form 10-Q for the period ended September 30, 2025 as filed with the Securities and Exchange Commission on the date hereof (the “Report”), I certify, pursuant to 18 U.S.C. § 1350, as adopted pursuant to § 906 of the Sarbanes-Oxley Act of 2002, that to my knowledge:</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96" w:lineRule="exact"/>
        <w:rPr>
          <w:sz w:val="20"/>
          <w:szCs w:val="20"/>
          <w:color w:val="auto"/>
        </w:rPr>
      </w:pPr>
    </w:p>
    <w:p>
      <w:pPr>
        <w:ind w:left="40"/>
        <w:spacing w:after="0"/>
        <w:tabs>
          <w:tab w:leader="none" w:pos="5320" w:val="left"/>
          <w:tab w:leader="none" w:pos="7560" w:val="left"/>
        </w:tabs>
        <w:rPr>
          <w:sz w:val="20"/>
          <w:szCs w:val="20"/>
          <w:color w:val="auto"/>
        </w:rPr>
      </w:pPr>
      <w:r>
        <w:rPr>
          <w:rFonts w:ascii="Times New Roman" w:cs="Times New Roman" w:eastAsia="Times New Roman" w:hAnsi="Times New Roman"/>
          <w:sz w:val="16"/>
          <w:szCs w:val="16"/>
          <w:color w:val="auto"/>
        </w:rPr>
        <w:t>Date: November 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13335</wp:posOffset>
            </wp:positionV>
            <wp:extent cx="301053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010535" cy="7620"/>
                    </a:xfrm>
                    <a:prstGeom prst="rect">
                      <a:avLst/>
                    </a:prstGeom>
                    <a:noFill/>
                  </pic:spPr>
                </pic:pic>
              </a:graphicData>
            </a:graphic>
          </wp:anchor>
        </w:drawing>
      </w:r>
    </w:p>
    <w:p>
      <w:pPr>
        <w:spacing w:after="0" w:line="46"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6"/>
          <w:szCs w:val="16"/>
          <w:b w:val="1"/>
          <w:bCs w:val="1"/>
          <w:color w:val="auto"/>
        </w:rPr>
        <w:t>Scott Giacobello</w:t>
      </w:r>
    </w:p>
    <w:p>
      <w:pPr>
        <w:spacing w:after="0" w:line="2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8"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641350</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87" w:right="660" w:bottom="1440" w:gutter="0" w:footer="0" w:header="0"/>
        </w:sectPr>
      </w:pPr>
    </w:p>
    <w:bookmarkStart w:id="124" w:name="page125"/>
    <w:bookmarkEnd w:id="12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
      <w:numFmt w:val="bullet"/>
      <w:start w:val="1"/>
    </w:lvl>
    <w:lvl w:ilvl="1">
      <w:lvlJc w:val="left"/>
      <w:lvlText w:val="%2"/>
      <w:numFmt w:val="decimal"/>
      <w:start w:val="104"/>
    </w:lvl>
  </w:abstractNum>
  <w:abstractNum w:abstractNumId="5">
    <w:nsid w:val="507ED7A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36" Type="http://schemas.openxmlformats.org/officeDocument/2006/relationships/hyperlink" Target="https://www.sec.gov/Archives/edgar/data/1422142/000119312525056708/d839636dex31.htm" TargetMode="External"/><Relationship Id="rId137" Type="http://schemas.openxmlformats.org/officeDocument/2006/relationships/hyperlink" Target="https://www.sec.gov/Archives/edgar/data/1422142/000119312525056708/d83963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2025-11-06T12:59:39Z</dcterms:created>
  <dcterms:modified xsi:type="dcterms:W3CDTF">2025-11-06T12:59:39Z</dcterms:modified>
</cp:coreProperties>
</file>