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47625</wp:posOffset>
            </wp:positionV>
            <wp:extent cx="164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80645</wp:posOffset>
            </wp:positionV>
            <wp:extent cx="164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4260" w:right="3640" w:hanging="4252"/>
        <w:spacing w:after="0" w:line="330" w:lineRule="auto"/>
        <w:tabs>
          <w:tab w:leader="none" w:pos="58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w:t>
      </w:r>
    </w:p>
    <w:p>
      <w:pPr>
        <w:spacing w:after="0" w:line="3" w:lineRule="exact"/>
        <w:rPr>
          <w:rFonts w:ascii="MS PGothic" w:cs="MS PGothic" w:eastAsia="MS PGothic" w:hAnsi="MS PGothic"/>
          <w:sz w:val="14"/>
          <w:szCs w:val="14"/>
          <w:color w:val="auto"/>
        </w:rPr>
      </w:pPr>
    </w:p>
    <w:p>
      <w:pPr>
        <w:ind w:left="58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FROMTO</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66675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AADI BIOSCIENCE, INC.</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74930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0"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480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w w:val="94"/>
              </w:rPr>
              <w:t>Delaware</w:t>
            </w:r>
          </w:p>
        </w:tc>
        <w:tc>
          <w:tcPr>
            <w:tcW w:w="2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500" w:type="dxa"/>
            <w:vAlign w:val="bottom"/>
          </w:tcPr>
          <w:p>
            <w:pPr>
              <w:jc w:val="center"/>
              <w:ind w:right="2048"/>
              <w:spacing w:after="0"/>
              <w:rPr>
                <w:sz w:val="20"/>
                <w:szCs w:val="20"/>
                <w:color w:val="auto"/>
              </w:rPr>
            </w:pPr>
            <w:r>
              <w:rPr>
                <w:rFonts w:ascii="Arial" w:cs="Arial" w:eastAsia="Arial" w:hAnsi="Arial"/>
                <w:sz w:val="14"/>
                <w:szCs w:val="14"/>
                <w:b w:val="1"/>
                <w:bCs w:val="1"/>
                <w:color w:val="auto"/>
                <w:w w:val="96"/>
              </w:rPr>
              <w:t>EIN 61-1547850</w:t>
            </w:r>
          </w:p>
        </w:tc>
      </w:tr>
      <w:tr>
        <w:trPr>
          <w:trHeight w:val="192"/>
        </w:trPr>
        <w:tc>
          <w:tcPr>
            <w:tcW w:w="480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w w:val="93"/>
              </w:rPr>
              <w:t>(State or other jurisdiction of</w:t>
            </w:r>
          </w:p>
        </w:tc>
        <w:tc>
          <w:tcPr>
            <w:tcW w:w="2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500" w:type="dxa"/>
            <w:vAlign w:val="bottom"/>
          </w:tcPr>
          <w:p>
            <w:pPr>
              <w:jc w:val="center"/>
              <w:ind w:right="2028"/>
              <w:spacing w:after="0"/>
              <w:rPr>
                <w:sz w:val="20"/>
                <w:szCs w:val="20"/>
                <w:color w:val="auto"/>
              </w:rPr>
            </w:pPr>
            <w:r>
              <w:rPr>
                <w:rFonts w:ascii="Arial" w:cs="Arial" w:eastAsia="Arial" w:hAnsi="Arial"/>
                <w:sz w:val="14"/>
                <w:szCs w:val="14"/>
                <w:b w:val="1"/>
                <w:bCs w:val="1"/>
                <w:color w:val="auto"/>
                <w:w w:val="96"/>
              </w:rPr>
              <w:t>(I.R.S. Employer</w:t>
            </w:r>
          </w:p>
        </w:tc>
      </w:tr>
      <w:tr>
        <w:trPr>
          <w:trHeight w:val="148"/>
        </w:trPr>
        <w:tc>
          <w:tcPr>
            <w:tcW w:w="4800" w:type="dxa"/>
            <w:vAlign w:val="bottom"/>
            <w:gridSpan w:val="3"/>
          </w:tcPr>
          <w:p>
            <w:pPr>
              <w:jc w:val="center"/>
              <w:ind w:left="768"/>
              <w:spacing w:after="0" w:line="149" w:lineRule="exact"/>
              <w:rPr>
                <w:sz w:val="20"/>
                <w:szCs w:val="20"/>
                <w:color w:val="auto"/>
              </w:rPr>
            </w:pPr>
            <w:r>
              <w:rPr>
                <w:rFonts w:ascii="Arial" w:cs="Arial" w:eastAsia="Arial" w:hAnsi="Arial"/>
                <w:sz w:val="14"/>
                <w:szCs w:val="14"/>
                <w:b w:val="1"/>
                <w:bCs w:val="1"/>
                <w:color w:val="auto"/>
                <w:w w:val="94"/>
              </w:rPr>
              <w:t>incorporation or organization)</w:t>
            </w:r>
          </w:p>
        </w:tc>
        <w:tc>
          <w:tcPr>
            <w:tcW w:w="2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00" w:type="dxa"/>
            <w:vAlign w:val="bottom"/>
          </w:tcPr>
          <w:p>
            <w:pPr>
              <w:jc w:val="center"/>
              <w:ind w:right="2048"/>
              <w:spacing w:after="0" w:line="149" w:lineRule="exact"/>
              <w:rPr>
                <w:sz w:val="20"/>
                <w:szCs w:val="20"/>
                <w:color w:val="auto"/>
              </w:rPr>
            </w:pPr>
            <w:r>
              <w:rPr>
                <w:rFonts w:ascii="Arial" w:cs="Arial" w:eastAsia="Arial" w:hAnsi="Arial"/>
                <w:sz w:val="14"/>
                <w:szCs w:val="14"/>
                <w:b w:val="1"/>
                <w:bCs w:val="1"/>
                <w:color w:val="auto"/>
                <w:w w:val="96"/>
              </w:rPr>
              <w:t>Identification No.)</w:t>
            </w:r>
          </w:p>
        </w:tc>
      </w:tr>
      <w:tr>
        <w:trPr>
          <w:trHeight w:val="148"/>
        </w:trPr>
        <w:tc>
          <w:tcPr>
            <w:tcW w:w="4800" w:type="dxa"/>
            <w:vAlign w:val="bottom"/>
            <w:gridSpan w:val="3"/>
          </w:tcPr>
          <w:p>
            <w:pPr>
              <w:jc w:val="center"/>
              <w:ind w:left="768"/>
              <w:spacing w:after="0" w:line="149" w:lineRule="exact"/>
              <w:rPr>
                <w:sz w:val="20"/>
                <w:szCs w:val="20"/>
                <w:color w:val="auto"/>
              </w:rPr>
            </w:pPr>
            <w:r>
              <w:rPr>
                <w:rFonts w:ascii="Arial" w:cs="Arial" w:eastAsia="Arial" w:hAnsi="Arial"/>
                <w:sz w:val="14"/>
                <w:szCs w:val="14"/>
                <w:b w:val="1"/>
                <w:bCs w:val="1"/>
                <w:color w:val="auto"/>
                <w:w w:val="93"/>
              </w:rPr>
              <w:t>17383 Sunset Boulevard Suite A250, Pacific Palisades, CA</w:t>
            </w:r>
          </w:p>
        </w:tc>
        <w:tc>
          <w:tcPr>
            <w:tcW w:w="2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00" w:type="dxa"/>
            <w:vAlign w:val="bottom"/>
          </w:tcPr>
          <w:p>
            <w:pPr>
              <w:jc w:val="center"/>
              <w:ind w:right="2028"/>
              <w:spacing w:after="0" w:line="149" w:lineRule="exact"/>
              <w:rPr>
                <w:sz w:val="20"/>
                <w:szCs w:val="20"/>
                <w:color w:val="auto"/>
              </w:rPr>
            </w:pPr>
            <w:r>
              <w:rPr>
                <w:rFonts w:ascii="Arial" w:cs="Arial" w:eastAsia="Arial" w:hAnsi="Arial"/>
                <w:sz w:val="14"/>
                <w:szCs w:val="14"/>
                <w:b w:val="1"/>
                <w:bCs w:val="1"/>
                <w:color w:val="auto"/>
                <w:w w:val="92"/>
              </w:rPr>
              <w:t>90272</w:t>
            </w:r>
          </w:p>
        </w:tc>
      </w:tr>
      <w:tr>
        <w:trPr>
          <w:trHeight w:val="186"/>
        </w:trPr>
        <w:tc>
          <w:tcPr>
            <w:tcW w:w="480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500" w:type="dxa"/>
            <w:vAlign w:val="bottom"/>
          </w:tcPr>
          <w:p>
            <w:pPr>
              <w:jc w:val="center"/>
              <w:ind w:right="2048"/>
              <w:spacing w:after="0"/>
              <w:rPr>
                <w:sz w:val="20"/>
                <w:szCs w:val="20"/>
                <w:color w:val="auto"/>
              </w:rPr>
            </w:pPr>
            <w:r>
              <w:rPr>
                <w:rFonts w:ascii="Arial" w:cs="Arial" w:eastAsia="Arial" w:hAnsi="Arial"/>
                <w:sz w:val="14"/>
                <w:szCs w:val="14"/>
                <w:b w:val="1"/>
                <w:bCs w:val="1"/>
                <w:color w:val="auto"/>
                <w:w w:val="95"/>
              </w:rPr>
              <w:t>(Zip Code)</w:t>
            </w:r>
          </w:p>
        </w:tc>
      </w:tr>
      <w:tr>
        <w:trPr>
          <w:trHeight w:val="216"/>
        </w:trPr>
        <w:tc>
          <w:tcPr>
            <w:tcW w:w="7740" w:type="dxa"/>
            <w:vAlign w:val="bottom"/>
            <w:gridSpan w:val="5"/>
          </w:tcPr>
          <w:p>
            <w:pPr>
              <w:ind w:left="3560"/>
              <w:spacing w:after="0"/>
              <w:rPr>
                <w:sz w:val="20"/>
                <w:szCs w:val="20"/>
                <w:color w:val="auto"/>
              </w:rPr>
            </w:pPr>
            <w:r>
              <w:rPr>
                <w:rFonts w:ascii="Arial" w:cs="Arial" w:eastAsia="Arial" w:hAnsi="Arial"/>
                <w:sz w:val="14"/>
                <w:szCs w:val="14"/>
                <w:b w:val="1"/>
                <w:bCs w:val="1"/>
                <w:color w:val="auto"/>
                <w:w w:val="92"/>
              </w:rPr>
              <w:t>Registrant’s telephone number, including area code: (424) 473-8055</w:t>
            </w:r>
          </w:p>
        </w:tc>
        <w:tc>
          <w:tcPr>
            <w:tcW w:w="3500" w:type="dxa"/>
            <w:vAlign w:val="bottom"/>
          </w:tcPr>
          <w:p>
            <w:pPr>
              <w:spacing w:after="0"/>
              <w:rPr>
                <w:sz w:val="18"/>
                <w:szCs w:val="18"/>
                <w:color w:val="auto"/>
              </w:rPr>
            </w:pPr>
          </w:p>
        </w:tc>
      </w:tr>
      <w:tr>
        <w:trPr>
          <w:trHeight w:val="93"/>
        </w:trPr>
        <w:tc>
          <w:tcPr>
            <w:tcW w:w="4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3500" w:type="dxa"/>
            <w:vAlign w:val="bottom"/>
          </w:tcPr>
          <w:p>
            <w:pPr>
              <w:spacing w:after="0"/>
              <w:rPr>
                <w:sz w:val="8"/>
                <w:szCs w:val="8"/>
                <w:color w:val="auto"/>
              </w:rPr>
            </w:pPr>
          </w:p>
        </w:tc>
      </w:tr>
      <w:tr>
        <w:trPr>
          <w:trHeight w:val="211"/>
        </w:trPr>
        <w:tc>
          <w:tcPr>
            <w:tcW w:w="480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134"/>
        </w:trPr>
        <w:tc>
          <w:tcPr>
            <w:tcW w:w="4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r>
      <w:tr>
        <w:trPr>
          <w:trHeight w:val="142"/>
        </w:trPr>
        <w:tc>
          <w:tcPr>
            <w:tcW w:w="41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Title of each class</w:t>
            </w:r>
          </w:p>
        </w:tc>
        <w:tc>
          <w:tcPr>
            <w:tcW w:w="660" w:type="dxa"/>
            <w:vAlign w:val="bottom"/>
            <w:tcBorders>
              <w:bottom w:val="single" w:sz="8" w:color="auto"/>
            </w:tcBorders>
            <w:gridSpan w:val="2"/>
          </w:tcPr>
          <w:p>
            <w:pPr>
              <w:spacing w:after="0"/>
              <w:rPr>
                <w:sz w:val="12"/>
                <w:szCs w:val="12"/>
                <w:color w:val="auto"/>
              </w:rPr>
            </w:pPr>
          </w:p>
        </w:tc>
        <w:tc>
          <w:tcPr>
            <w:tcW w:w="2140" w:type="dxa"/>
            <w:vAlign w:val="bottom"/>
            <w:tcBorders>
              <w:bottom w:val="single" w:sz="8" w:color="auto"/>
              <w:right w:val="single" w:sz="8" w:color="auto"/>
            </w:tcBorders>
          </w:tcPr>
          <w:p>
            <w:pPr>
              <w:jc w:val="center"/>
              <w:ind w:right="628"/>
              <w:spacing w:after="0" w:line="142" w:lineRule="exact"/>
              <w:rPr>
                <w:sz w:val="20"/>
                <w:szCs w:val="20"/>
                <w:color w:val="auto"/>
              </w:rPr>
            </w:pPr>
            <w:r>
              <w:rPr>
                <w:rFonts w:ascii="Arial" w:cs="Arial" w:eastAsia="Arial" w:hAnsi="Arial"/>
                <w:sz w:val="14"/>
                <w:szCs w:val="14"/>
                <w:color w:val="auto"/>
                <w:w w:val="94"/>
              </w:rPr>
              <w:t>Trading Symbol(s)</w:t>
            </w:r>
          </w:p>
        </w:tc>
        <w:tc>
          <w:tcPr>
            <w:tcW w:w="800" w:type="dxa"/>
            <w:vAlign w:val="bottom"/>
            <w:tcBorders>
              <w:bottom w:val="single" w:sz="8" w:color="auto"/>
            </w:tcBorders>
          </w:tcPr>
          <w:p>
            <w:pPr>
              <w:spacing w:after="0"/>
              <w:rPr>
                <w:sz w:val="12"/>
                <w:szCs w:val="12"/>
                <w:color w:val="auto"/>
              </w:rPr>
            </w:pPr>
          </w:p>
        </w:tc>
        <w:tc>
          <w:tcPr>
            <w:tcW w:w="3500" w:type="dxa"/>
            <w:vAlign w:val="bottom"/>
            <w:tcBorders>
              <w:bottom w:val="single" w:sz="8" w:color="auto"/>
              <w:right w:val="single" w:sz="8" w:color="auto"/>
            </w:tcBorders>
          </w:tcPr>
          <w:p>
            <w:pPr>
              <w:jc w:val="center"/>
              <w:ind w:right="748"/>
              <w:spacing w:after="0" w:line="142" w:lineRule="exact"/>
              <w:rPr>
                <w:sz w:val="20"/>
                <w:szCs w:val="20"/>
                <w:color w:val="auto"/>
              </w:rPr>
            </w:pPr>
            <w:r>
              <w:rPr>
                <w:rFonts w:ascii="Arial" w:cs="Arial" w:eastAsia="Arial" w:hAnsi="Arial"/>
                <w:sz w:val="14"/>
                <w:szCs w:val="14"/>
                <w:color w:val="auto"/>
                <w:w w:val="92"/>
              </w:rPr>
              <w:t>Name of each exchange on which registered</w:t>
            </w:r>
          </w:p>
        </w:tc>
      </w:tr>
      <w:tr>
        <w:trPr>
          <w:trHeight w:val="224"/>
        </w:trPr>
        <w:tc>
          <w:tcPr>
            <w:tcW w:w="4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$0.0001 par value per share</w:t>
            </w:r>
          </w:p>
        </w:tc>
        <w:tc>
          <w:tcPr>
            <w:tcW w:w="660" w:type="dxa"/>
            <w:vAlign w:val="bottom"/>
            <w:gridSpan w:val="2"/>
          </w:tcPr>
          <w:p>
            <w:pPr>
              <w:spacing w:after="0"/>
              <w:rPr>
                <w:sz w:val="19"/>
                <w:szCs w:val="19"/>
                <w:color w:val="auto"/>
              </w:rPr>
            </w:pPr>
          </w:p>
        </w:tc>
        <w:tc>
          <w:tcPr>
            <w:tcW w:w="2140" w:type="dxa"/>
            <w:vAlign w:val="bottom"/>
            <w:tcBorders>
              <w:right w:val="single" w:sz="8" w:color="auto"/>
            </w:tcBorders>
          </w:tcPr>
          <w:p>
            <w:pPr>
              <w:jc w:val="center"/>
              <w:ind w:right="628"/>
              <w:spacing w:after="0"/>
              <w:rPr>
                <w:sz w:val="20"/>
                <w:szCs w:val="20"/>
                <w:color w:val="auto"/>
              </w:rPr>
            </w:pPr>
            <w:r>
              <w:rPr>
                <w:rFonts w:ascii="Arial" w:cs="Arial" w:eastAsia="Arial" w:hAnsi="Arial"/>
                <w:sz w:val="14"/>
                <w:szCs w:val="14"/>
                <w:color w:val="auto"/>
              </w:rPr>
              <w:t>AADI</w:t>
            </w:r>
          </w:p>
        </w:tc>
        <w:tc>
          <w:tcPr>
            <w:tcW w:w="800" w:type="dxa"/>
            <w:vAlign w:val="bottom"/>
          </w:tcPr>
          <w:p>
            <w:pPr>
              <w:spacing w:after="0"/>
              <w:rPr>
                <w:sz w:val="19"/>
                <w:szCs w:val="19"/>
                <w:color w:val="auto"/>
              </w:rPr>
            </w:pPr>
          </w:p>
        </w:tc>
        <w:tc>
          <w:tcPr>
            <w:tcW w:w="3500" w:type="dxa"/>
            <w:vAlign w:val="bottom"/>
            <w:tcBorders>
              <w:right w:val="single" w:sz="8" w:color="auto"/>
            </w:tcBorders>
          </w:tcPr>
          <w:p>
            <w:pPr>
              <w:jc w:val="center"/>
              <w:ind w:right="748"/>
              <w:spacing w:after="0"/>
              <w:rPr>
                <w:sz w:val="20"/>
                <w:szCs w:val="20"/>
                <w:color w:val="auto"/>
              </w:rPr>
            </w:pPr>
            <w:r>
              <w:rPr>
                <w:rFonts w:ascii="Arial" w:cs="Arial" w:eastAsia="Arial" w:hAnsi="Arial"/>
                <w:sz w:val="14"/>
                <w:szCs w:val="14"/>
                <w:color w:val="auto"/>
                <w:w w:val="96"/>
              </w:rPr>
              <w:t>The Nasdaq Stock Market LLC</w:t>
            </w:r>
          </w:p>
        </w:tc>
      </w:tr>
      <w:tr>
        <w:trPr>
          <w:trHeight w:val="26"/>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24"/>
        </w:trPr>
        <w:tc>
          <w:tcPr>
            <w:tcW w:w="4800" w:type="dxa"/>
            <w:vAlign w:val="bottom"/>
            <w:gridSpan w:val="3"/>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500" w:type="dxa"/>
            <w:vAlign w:val="bottom"/>
          </w:tcPr>
          <w:p>
            <w:pPr>
              <w:spacing w:after="0"/>
              <w:rPr>
                <w:sz w:val="19"/>
                <w:szCs w:val="19"/>
                <w:color w:val="auto"/>
              </w:rPr>
            </w:pPr>
          </w:p>
        </w:tc>
      </w:tr>
    </w:tbl>
    <w:p>
      <w:pPr>
        <w:spacing w:after="0" w:line="20" w:lineRule="exact"/>
        <w:rPr>
          <w:sz w:val="24"/>
          <w:szCs w:val="24"/>
          <w:color w:val="auto"/>
        </w:rPr>
      </w:pPr>
    </w:p>
    <w:p>
      <w:pPr>
        <w:ind w:right="3600"/>
        <w:spacing w:after="0" w:line="24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239" w:right="339" w:bottom="1440" w:gutter="0" w:footer="0" w:header="0"/>
        </w:sectPr>
      </w:pPr>
    </w:p>
    <w:p>
      <w:pPr>
        <w:spacing w:after="0" w:line="4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2760"/>
              <w:spacing w:after="0"/>
              <w:rPr>
                <w:sz w:val="20"/>
                <w:szCs w:val="20"/>
                <w:color w:val="auto"/>
              </w:rPr>
            </w:pPr>
            <w:r>
              <w:rPr>
                <w:rFonts w:ascii="Arial" w:cs="Arial" w:eastAsia="Arial" w:hAnsi="Arial"/>
                <w:sz w:val="14"/>
                <w:szCs w:val="14"/>
                <w:color w:val="auto"/>
              </w:rPr>
              <w:t>Accelerated filer</w:t>
            </w:r>
          </w:p>
        </w:tc>
      </w:tr>
      <w:tr>
        <w:trPr>
          <w:trHeight w:val="247"/>
        </w:trPr>
        <w:tc>
          <w:tcPr>
            <w:tcW w:w="2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2760"/>
              <w:spacing w:after="0"/>
              <w:rPr>
                <w:sz w:val="20"/>
                <w:szCs w:val="20"/>
                <w:color w:val="auto"/>
              </w:rPr>
            </w:pPr>
            <w:r>
              <w:rPr>
                <w:rFonts w:ascii="Arial" w:cs="Arial" w:eastAsia="Arial" w:hAnsi="Arial"/>
                <w:sz w:val="14"/>
                <w:szCs w:val="14"/>
                <w:color w:val="auto"/>
                <w:w w:val="93"/>
              </w:rPr>
              <w:t>Smaller reporting company</w:t>
            </w:r>
          </w:p>
        </w:tc>
      </w:tr>
      <w:tr>
        <w:trPr>
          <w:trHeight w:val="226"/>
        </w:trPr>
        <w:tc>
          <w:tcPr>
            <w:tcW w:w="24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2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46" w:lineRule="exact"/>
        <w:rPr>
          <w:sz w:val="24"/>
          <w:szCs w:val="24"/>
          <w:color w:val="auto"/>
        </w:rPr>
      </w:pPr>
    </w:p>
    <w:p>
      <w:pPr>
        <w:sectPr>
          <w:pgSz w:w="11900" w:h="16838" w:orient="portrait"/>
          <w:cols w:equalWidth="0" w:num="2">
            <w:col w:w="10800" w:space="260"/>
            <w:col w:w="180"/>
          </w:cols>
          <w:pgMar w:left="320" w:top="239" w:right="339" w:bottom="1440" w:gutter="0" w:footer="0" w:header="0"/>
          <w:type w:val="continuous"/>
        </w:sect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230"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Stock Market on June 30, 2021 was approximately $60,377,007.</w:t>
      </w:r>
    </w:p>
    <w:p>
      <w:pPr>
        <w:spacing w:after="0"/>
        <w:rPr>
          <w:sz w:val="20"/>
          <w:szCs w:val="20"/>
          <w:color w:val="auto"/>
        </w:rPr>
      </w:pPr>
      <w:r>
        <w:rPr>
          <w:rFonts w:ascii="Arial" w:cs="Arial" w:eastAsia="Arial" w:hAnsi="Arial"/>
          <w:sz w:val="14"/>
          <w:szCs w:val="14"/>
          <w:color w:val="auto"/>
        </w:rPr>
        <w:t>The number of shares of registrant’s common stock outstanding as of March 11, 2022 was 20,929,715.</w:t>
      </w:r>
    </w:p>
    <w:p>
      <w:pPr>
        <w:spacing w:after="0" w:line="80"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40" w:type="dxa"/>
            <w:vAlign w:val="bottom"/>
            <w:gridSpan w:val="11"/>
          </w:tcPr>
          <w:p>
            <w:pPr>
              <w:ind w:left="9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660" w:type="dxa"/>
            <w:vAlign w:val="bottom"/>
            <w:gridSpan w:val="20"/>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0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300" w:type="dxa"/>
            <w:vAlign w:val="bottom"/>
            <w:gridSpan w:val="21"/>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Properties</w:t>
              </w:r>
            </w:hyperlink>
          </w:p>
        </w:tc>
        <w:tc>
          <w:tcPr>
            <w:tcW w:w="72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1"/>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57"/>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line="190" w:lineRule="exact"/>
              <w:rPr>
                <w:rFonts w:ascii="Arial" w:cs="Arial" w:eastAsia="Arial" w:hAnsi="Arial"/>
                <w:sz w:val="18"/>
                <w:szCs w:val="18"/>
                <w:color w:val="0000EE"/>
              </w:rPr>
            </w:pPr>
            <w:hyperlink w:anchor="page108">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[Reserved]</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21">
              <w:r>
                <w:rPr>
                  <w:rFonts w:ascii="Arial" w:cs="Arial" w:eastAsia="Arial" w:hAnsi="Arial"/>
                  <w:sz w:val="18"/>
                  <w:szCs w:val="18"/>
                  <w:color w:val="0000EE"/>
                  <w:w w:val="92"/>
                </w:rPr>
                <w:t>Quantitative and Qualitative Disclosures About Market Risk</w:t>
              </w:r>
            </w:hyperlink>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43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21">
              <w:r>
                <w:rPr>
                  <w:rFonts w:ascii="Arial" w:cs="Arial" w:eastAsia="Arial" w:hAnsi="Arial"/>
                  <w:sz w:val="18"/>
                  <w:szCs w:val="18"/>
                  <w:color w:val="0000EE"/>
                  <w:w w:val="89"/>
                </w:rPr>
                <w:t>Consolidated Financial Statements and Supplementary Data</w:t>
              </w:r>
            </w:hyperlink>
          </w:p>
        </w:tc>
        <w:tc>
          <w:tcPr>
            <w:tcW w:w="498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51">
              <w:r>
                <w:rPr>
                  <w:rFonts w:ascii="Arial" w:cs="Arial" w:eastAsia="Arial" w:hAnsi="Arial"/>
                  <w:sz w:val="18"/>
                  <w:szCs w:val="18"/>
                  <w:color w:val="0000EE"/>
                  <w:w w:val="90"/>
                </w:rPr>
                <w:t>Changes in and Disagreements with Accountants on Accounting and Financial Disclosure</w:t>
              </w:r>
            </w:hyperlink>
          </w:p>
        </w:tc>
        <w:tc>
          <w:tcPr>
            <w:tcW w:w="28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300" w:type="dxa"/>
            <w:vAlign w:val="bottom"/>
            <w:gridSpan w:val="21"/>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Other Information</w:t>
              </w:r>
            </w:hyperlink>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9C.</w:t>
            </w:r>
          </w:p>
        </w:tc>
        <w:tc>
          <w:tcPr>
            <w:tcW w:w="9300" w:type="dxa"/>
            <w:vAlign w:val="bottom"/>
            <w:gridSpan w:val="21"/>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Disclosure Regarding Foreign Jurisdictions that Present Inspection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1"/>
          </w:tcPr>
          <w:p>
            <w:pPr>
              <w:spacing w:after="0" w:line="190" w:lineRule="exact"/>
              <w:rPr>
                <w:rFonts w:ascii="Arial" w:cs="Arial" w:eastAsia="Arial" w:hAnsi="Arial"/>
                <w:sz w:val="18"/>
                <w:szCs w:val="18"/>
                <w:color w:val="0000EE"/>
              </w:rPr>
            </w:pPr>
            <w:hyperlink w:anchor="page152">
              <w:r>
                <w:rPr>
                  <w:rFonts w:ascii="Arial" w:cs="Arial" w:eastAsia="Arial" w:hAnsi="Arial"/>
                  <w:sz w:val="18"/>
                  <w:szCs w:val="18"/>
                  <w:color w:val="0000EE"/>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52">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4"/>
          </w:tcPr>
          <w:p>
            <w:pPr>
              <w:spacing w:after="0"/>
              <w:rPr>
                <w:sz w:val="18"/>
                <w:szCs w:val="18"/>
                <w:color w:val="auto"/>
              </w:rPr>
            </w:pPr>
          </w:p>
        </w:tc>
        <w:tc>
          <w:tcPr>
            <w:tcW w:w="522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734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52">
              <w:r>
                <w:rPr>
                  <w:rFonts w:ascii="Arial" w:cs="Arial" w:eastAsia="Arial" w:hAnsi="Arial"/>
                  <w:sz w:val="18"/>
                  <w:szCs w:val="18"/>
                  <w:color w:val="0000EE"/>
                  <w:w w:val="91"/>
                </w:rPr>
                <w:t>Security Ownership of Certain Beneficial Owners and Management and Related Stockholder Matters</w:t>
              </w:r>
            </w:hyperlink>
          </w:p>
        </w:tc>
        <w:tc>
          <w:tcPr>
            <w:tcW w:w="19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54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52">
              <w:r>
                <w:rPr>
                  <w:rFonts w:ascii="Arial" w:cs="Arial" w:eastAsia="Arial" w:hAnsi="Arial"/>
                  <w:sz w:val="18"/>
                  <w:szCs w:val="18"/>
                  <w:color w:val="0000EE"/>
                  <w:w w:val="89"/>
                </w:rPr>
                <w:t>Certain Relationships and Related Transactions, and Director Independence</w:t>
              </w:r>
            </w:hyperlink>
          </w:p>
        </w:tc>
        <w:tc>
          <w:tcPr>
            <w:tcW w:w="382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300" w:type="dxa"/>
            <w:vAlign w:val="bottom"/>
            <w:gridSpan w:val="21"/>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Principal Accounting Fees and Services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357"/>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300" w:type="dxa"/>
            <w:vAlign w:val="bottom"/>
            <w:gridSpan w:val="21"/>
          </w:tcPr>
          <w:p>
            <w:pPr>
              <w:spacing w:after="0" w:line="190" w:lineRule="exact"/>
              <w:rPr>
                <w:rFonts w:ascii="Arial" w:cs="Arial" w:eastAsia="Arial" w:hAnsi="Arial"/>
                <w:sz w:val="18"/>
                <w:szCs w:val="18"/>
                <w:color w:val="0000EE"/>
              </w:rPr>
            </w:pPr>
            <w:hyperlink w:anchor="page153">
              <w:r>
                <w:rPr>
                  <w:rFonts w:ascii="Arial" w:cs="Arial" w:eastAsia="Arial" w:hAnsi="Arial"/>
                  <w:sz w:val="18"/>
                  <w:szCs w:val="18"/>
                  <w:color w:val="0000EE"/>
                </w:rPr>
                <w:t>Exhibits, Consolidated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156">
              <w:r>
                <w:rPr>
                  <w:rFonts w:ascii="Arial" w:cs="Arial" w:eastAsia="Arial" w:hAnsi="Arial"/>
                  <w:sz w:val="18"/>
                  <w:szCs w:val="18"/>
                  <w:color w:val="0000EE"/>
                  <w:w w:val="91"/>
                </w:rPr>
                <w:t>Form of 10-K Summary</w:t>
              </w:r>
            </w:hyperlink>
          </w:p>
        </w:tc>
        <w:tc>
          <w:tcPr>
            <w:tcW w:w="2140" w:type="dxa"/>
            <w:vAlign w:val="bottom"/>
            <w:tcBorders>
              <w:top w:val="single" w:sz="8" w:color="0000EE"/>
            </w:tcBorders>
            <w:gridSpan w:val="5"/>
          </w:tcPr>
          <w:p>
            <w:pPr>
              <w:spacing w:after="0"/>
              <w:rPr>
                <w:sz w:val="18"/>
                <w:szCs w:val="18"/>
                <w:color w:val="auto"/>
              </w:rPr>
            </w:pPr>
          </w:p>
        </w:tc>
        <w:tc>
          <w:tcPr>
            <w:tcW w:w="542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669"/>
        </w:trPr>
        <w:tc>
          <w:tcPr>
            <w:tcW w:w="1160" w:type="dxa"/>
            <w:vAlign w:val="bottom"/>
          </w:tcPr>
          <w:p>
            <w:pPr>
              <w:spacing w:after="0"/>
              <w:rPr>
                <w:sz w:val="24"/>
                <w:szCs w:val="24"/>
                <w:color w:val="auto"/>
              </w:rPr>
            </w:pPr>
          </w:p>
        </w:tc>
        <w:tc>
          <w:tcPr>
            <w:tcW w:w="4800" w:type="dxa"/>
            <w:vAlign w:val="bottom"/>
            <w:gridSpan w:val="15"/>
          </w:tcPr>
          <w:p>
            <w:pPr>
              <w:ind w:left="442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Annual Report on Form 10-K (“Annual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Annual Report include, but are not limited to, statements about:</w:t>
      </w:r>
    </w:p>
    <w:p>
      <w:pPr>
        <w:spacing w:after="0" w:line="69" w:lineRule="exact"/>
        <w:rPr>
          <w:sz w:val="20"/>
          <w:szCs w:val="20"/>
          <w:color w:val="auto"/>
        </w:rPr>
      </w:pPr>
    </w:p>
    <w:p>
      <w:pPr>
        <w:ind w:left="1020" w:right="40" w:hanging="432"/>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regulatory approval for FYARRO in advanced malignant perivascular epithelioid cell tumors (“PEComa”) or to obtain regulatory approval in additional indications, or any other product candidates we may develop in the future, and any related restrictions, limitations or warnings in the label of an approved product candidate;</w:t>
      </w:r>
    </w:p>
    <w:p>
      <w:pPr>
        <w:spacing w:after="0" w:line="75"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and potential for success relating to commercializing FYARRO, or any other product candidate that we may develop, if approved;</w:t>
      </w:r>
    </w:p>
    <w:p>
      <w:pPr>
        <w:spacing w:after="0" w:line="140" w:lineRule="exact"/>
        <w:rPr>
          <w:rFonts w:ascii="Arial" w:cs="Arial" w:eastAsia="Arial" w:hAnsi="Arial"/>
          <w:sz w:val="16"/>
          <w:szCs w:val="16"/>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related to the further development and manufacturing of FYARRO;</w:t>
      </w:r>
    </w:p>
    <w:p>
      <w:pPr>
        <w:spacing w:after="0" w:line="117" w:lineRule="exact"/>
        <w:rPr>
          <w:rFonts w:ascii="Arial" w:cs="Arial" w:eastAsia="Arial" w:hAnsi="Arial"/>
          <w:sz w:val="18"/>
          <w:szCs w:val="18"/>
          <w:color w:val="auto"/>
        </w:rPr>
      </w:pPr>
    </w:p>
    <w:p>
      <w:pPr>
        <w:ind w:left="1020" w:right="480" w:hanging="432"/>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or likelihood of regulatory filings and approvals for FYARRO for malignant PEComa in foreign jurisdictions and any additional indications we may pursue and any other product candidates we may develop in the future;</w:t>
      </w:r>
    </w:p>
    <w:p>
      <w:pPr>
        <w:spacing w:after="0" w:line="38" w:lineRule="exact"/>
        <w:rPr>
          <w:rFonts w:ascii="Arial" w:cs="Arial" w:eastAsia="Arial" w:hAnsi="Arial"/>
          <w:sz w:val="17"/>
          <w:szCs w:val="17"/>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FYARRO and any other product candidates we may develop in the future, if approved;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of FYARRO and any other product candidates we may develop in the future, if approved;</w:t>
      </w:r>
    </w:p>
    <w:p>
      <w:pPr>
        <w:spacing w:after="0" w:line="128" w:lineRule="exact"/>
        <w:rPr>
          <w:rFonts w:ascii="Arial" w:cs="Arial" w:eastAsia="Arial" w:hAnsi="Arial"/>
          <w:sz w:val="17"/>
          <w:szCs w:val="17"/>
          <w:color w:val="auto"/>
        </w:rPr>
      </w:pPr>
    </w:p>
    <w:p>
      <w:pPr>
        <w:ind w:left="1020" w:right="200" w:hanging="432"/>
        <w:spacing w:after="0" w:line="31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progress and results of preclinical studies and clinical trials for our programs and product candidates, including the anticipated impact of the COVID-19 pandemic, statements regarding the timing of initiation and completion of studies or trials and related preparatory work, the period during which the results of the trials will become available and our research and development programs;</w:t>
      </w:r>
    </w:p>
    <w:p>
      <w:pPr>
        <w:spacing w:after="0" w:line="40" w:lineRule="exact"/>
        <w:rPr>
          <w:rFonts w:ascii="Arial" w:cs="Arial" w:eastAsia="Arial" w:hAnsi="Arial"/>
          <w:sz w:val="16"/>
          <w:szCs w:val="16"/>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enroll suitable patients in our clinical trials;</w:t>
      </w:r>
    </w:p>
    <w:p>
      <w:pPr>
        <w:spacing w:after="0" w:line="117" w:lineRule="exact"/>
        <w:rPr>
          <w:rFonts w:ascii="Arial" w:cs="Arial" w:eastAsia="Arial" w:hAnsi="Arial"/>
          <w:sz w:val="18"/>
          <w:szCs w:val="18"/>
          <w:color w:val="auto"/>
        </w:rPr>
      </w:pPr>
    </w:p>
    <w:p>
      <w:pPr>
        <w:ind w:left="1020" w:right="20" w:hanging="43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expectations regarding the beneficial characteristics, safety, efficacy and therapeutic effects of FYARRO and any other product candidates that we may develop in the future;</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and our strategic plans for our business, product candidates, technology and our discovery engine;</w:t>
      </w:r>
    </w:p>
    <w:p>
      <w:pPr>
        <w:spacing w:after="0" w:line="140" w:lineRule="exact"/>
        <w:rPr>
          <w:rFonts w:ascii="Arial" w:cs="Arial" w:eastAsia="Arial" w:hAnsi="Arial"/>
          <w:sz w:val="16"/>
          <w:szCs w:val="16"/>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contract with and rely on third parties to assist in conducting our clinical trials and manufacturing our product candidates;</w:t>
      </w:r>
    </w:p>
    <w:p>
      <w:pPr>
        <w:spacing w:after="0" w:line="128" w:lineRule="exact"/>
        <w:rPr>
          <w:rFonts w:ascii="Arial" w:cs="Arial" w:eastAsia="Arial" w:hAnsi="Arial"/>
          <w:sz w:val="17"/>
          <w:szCs w:val="17"/>
          <w:color w:val="auto"/>
        </w:rPr>
      </w:pPr>
    </w:p>
    <w:p>
      <w:pPr>
        <w:ind w:left="1020" w:right="220" w:hanging="43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FYARRO and any other product candidates we may develop in the future, if approved, and our ability to serve those markets, either alone or in partnership with others;</w:t>
      </w:r>
    </w:p>
    <w:p>
      <w:pPr>
        <w:spacing w:after="0" w:line="62" w:lineRule="exact"/>
        <w:rPr>
          <w:rFonts w:ascii="Arial" w:cs="Arial" w:eastAsia="Arial" w:hAnsi="Arial"/>
          <w:sz w:val="18"/>
          <w:szCs w:val="18"/>
          <w:color w:val="auto"/>
        </w:rPr>
      </w:pPr>
    </w:p>
    <w:p>
      <w:pPr>
        <w:ind w:left="1020" w:right="160" w:hanging="432"/>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commercialize FYARRO and to complete further development, approval and, if approved, commercialization of FYARRO in additional indications and any other product candidates we may develop in the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1020" w:right="480" w:hanging="43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over which we anticipate our existing cash and cash equivalents will be sufficient to fund our operating expenses and capital expenditure requirements;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our business development efforts to maximize the potential value of our portfolio;</w:t>
      </w:r>
    </w:p>
    <w:p>
      <w:pPr>
        <w:spacing w:after="0" w:line="117" w:lineRule="exact"/>
        <w:rPr>
          <w:rFonts w:ascii="Arial" w:cs="Arial" w:eastAsia="Arial" w:hAnsi="Arial"/>
          <w:sz w:val="18"/>
          <w:szCs w:val="18"/>
          <w:color w:val="auto"/>
        </w:rPr>
      </w:pPr>
    </w:p>
    <w:p>
      <w:pPr>
        <w:ind w:left="1020" w:right="120" w:hanging="43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with other companies currently marketing or engaged in the development of treatments for the indications that we are pursuing for FYARRO and any other product candidates we may develop in the future;</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 and</w:t>
      </w:r>
    </w:p>
    <w:p>
      <w:pPr>
        <w:spacing w:after="0" w:line="128" w:lineRule="exact"/>
        <w:rPr>
          <w:rFonts w:ascii="Arial" w:cs="Arial" w:eastAsia="Arial" w:hAnsi="Arial"/>
          <w:sz w:val="17"/>
          <w:szCs w:val="17"/>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 Item 1A, Risk Factors of this Annual Report.</w:t>
      </w:r>
    </w:p>
    <w:p>
      <w:pPr>
        <w:spacing w:after="0" w:line="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and the documents that we reference in this Annual Report and have filed with or furnished to the U.S. Securities and Exchange Commission (the “SEC”) completely and with the understanding that our actual future results may be materially different from any future results expressed or implied by these forward-looking statements.</w:t>
      </w:r>
    </w:p>
    <w:p>
      <w:pPr>
        <w:spacing w:after="0" w:line="5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forward-looking statements in this Annual Report represent our views as of the date of this Annual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are a biopharmaceutical company focused on developing and commercializing precision therapies for genetically defined cancers with alterations in mTOR pathway genes. Our lead drug product, FYARRO</w:t>
      </w:r>
      <w:r>
        <w:rPr>
          <w:rFonts w:ascii="Arial" w:cs="Arial" w:eastAsia="Arial" w:hAnsi="Arial"/>
          <w:sz w:val="13"/>
          <w:szCs w:val="13"/>
          <w:color w:val="auto"/>
        </w:rPr>
        <w:t>TM</w:t>
      </w:r>
      <w:r>
        <w:rPr>
          <w:rFonts w:ascii="Arial" w:cs="Arial" w:eastAsia="Arial" w:hAnsi="Arial"/>
          <w:sz w:val="16"/>
          <w:szCs w:val="16"/>
          <w:color w:val="auto"/>
        </w:rPr>
        <w:t>, (</w:t>
      </w:r>
      <w:r>
        <w:rPr>
          <w:rFonts w:ascii="Arial" w:cs="Arial" w:eastAsia="Arial" w:hAnsi="Arial"/>
          <w:sz w:val="16"/>
          <w:szCs w:val="16"/>
          <w:i w:val="1"/>
          <w:iCs w:val="1"/>
          <w:color w:val="auto"/>
        </w:rPr>
        <w:t>nab</w:t>
      </w:r>
      <w:r>
        <w:rPr>
          <w:rFonts w:ascii="Arial" w:cs="Arial" w:eastAsia="Arial" w:hAnsi="Arial"/>
          <w:sz w:val="16"/>
          <w:szCs w:val="16"/>
          <w:color w:val="auto"/>
        </w:rPr>
        <w:t>-sirolimus) is a form of sirolimus bound to albumin. Sirolimus is a potent inhibitor of the mTOR biological pathway, the activation of which pathway can promote tumor growth, and inhibits downstream signaling from mTOR.</w:t>
      </w:r>
    </w:p>
    <w:p>
      <w:pPr>
        <w:spacing w:after="0" w:line="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have an exclusive license with Abraxis BioScience, LLC, a wholly owned subsidiary of Celgene Corporation, now Bristol Myers Squibb Company (“Celgene”), under which we obtained exclusive rights to develop, manufacture, and commercialize FYARRO, previously called ABI-009, </w:t>
      </w:r>
      <w:r>
        <w:rPr>
          <w:rFonts w:ascii="Arial" w:cs="Arial" w:eastAsia="Arial" w:hAnsi="Arial"/>
          <w:sz w:val="18"/>
          <w:szCs w:val="18"/>
          <w:i w:val="1"/>
          <w:iCs w:val="1"/>
          <w:color w:val="auto"/>
        </w:rPr>
        <w:t>nab</w:t>
      </w:r>
      <w:r>
        <w:rPr>
          <w:rFonts w:ascii="Arial" w:cs="Arial" w:eastAsia="Arial" w:hAnsi="Arial"/>
          <w:sz w:val="18"/>
          <w:szCs w:val="18"/>
          <w:color w:val="auto"/>
        </w:rPr>
        <w:t>-sirolimus, provided that we have granted to EOC Pharma (Hong Kong) Limited exclusive rights to develop and commercialize FYARRO for the Greater China region.</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Throughout this document we refer to FYARRO, (</w:t>
      </w:r>
      <w:r>
        <w:rPr>
          <w:rFonts w:ascii="Arial" w:cs="Arial" w:eastAsia="Arial" w:hAnsi="Arial"/>
          <w:sz w:val="18"/>
          <w:szCs w:val="18"/>
          <w:i w:val="1"/>
          <w:iCs w:val="1"/>
          <w:color w:val="auto"/>
        </w:rPr>
        <w:t>nab</w:t>
      </w:r>
      <w:r>
        <w:rPr>
          <w:rFonts w:ascii="Arial" w:cs="Arial" w:eastAsia="Arial" w:hAnsi="Arial"/>
          <w:sz w:val="18"/>
          <w:szCs w:val="18"/>
          <w:color w:val="auto"/>
        </w:rPr>
        <w:t>-sirolimus, sirolimus protein-bound particles for injectable suspension (albumin-bound)) as FYARRO in the context of commercialization for the treatment of advanced malignant perivascular epithelioid cell tumors (“PEComa”), investigational use, our clinical trials and our license agreement with Celgene, all further discussed below and throughout this document.</w:t>
      </w:r>
    </w:p>
    <w:p>
      <w:pPr>
        <w:spacing w:after="0" w:line="7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November 2019, we announced top-line results from the AMPECT study, including that the study achieved its primary endpoint of overall response rate (“ORR”), as determined by blinded independent central radiologic review using modified Response Evaluation Criteria in Solid Tumors, (“RECIST”) v1.1. In October 2021, the results of the AMPECT study with long-term follow up were published in the Journal of Clinical Oncology.</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2021, we completed the filing of a rolling new drug application (“NDA”) for FYARRO to the U.S. Food and Drug Administration (the “FDA”), for approval to treat patients with advanced malignant PEComa. The NDA was based on results from our Phase 2 registration-directed study, Advanced Malignant PEComa Trial, (“AMPECT”), in advanced malignant PEComa for which there were, prior to FYARRO, no approved therapies in the United States and for which there had never been a prior prospective clinical trial. The FDA accepted the NDA in July 2021, and we were granted approval for commercial sale on November 22, 2021.</w:t>
      </w:r>
    </w:p>
    <w:p>
      <w:pPr>
        <w:spacing w:after="0" w:line="8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During the first quarter of 2022, we launched FYARRO in the United States for treatment of advanced malignant PEComa and are evaluating in cancers with known mTOR pathway activation, including tumor agnostic indications targeting specific genomic alterations that activate the mTOR pathway.</w:t>
      </w:r>
    </w:p>
    <w:p>
      <w:pPr>
        <w:spacing w:after="0" w:line="1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advanced malignant PEComa, other than FYARRO, there are no existing FDA approved therapies or drugs that have been studied in prospective clinical trials. Following FDA approval, the National Comprehensive Cancer Network (“NCCN”) Sarcoma panel included FYARRO as the only preferred regimen for treatment of malignant PEComa.</w:t>
      </w:r>
    </w:p>
    <w:p>
      <w:pPr>
        <w:spacing w:after="0" w:line="7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have been actively engaged in commercial preparations to support the U.S. launch of FYARRO for the treatment of patients with advanced malignant PEComa. We have built a cross-functional commercial team consisting of marketing, market access, commercial operations, and sales. We have also built commercial infrastructure and capabilities designed to scale when necessary to support future commercial launches. The commercial team is hired and is educating the U.S. market.</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advanced malignant PEComa, based on data from the completed AMPECT trial and our expanded access program, we have initiated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registration-directed tumor-agnostic Phase 2 study (“PRECISION 1”) of FYARRO in patients with Tuberous Sclerosis Complex 1 and 2 (“</w:t>
      </w:r>
      <w:r>
        <w:rPr>
          <w:rFonts w:ascii="Arial" w:cs="Arial" w:eastAsia="Arial" w:hAnsi="Arial"/>
          <w:sz w:val="17"/>
          <w:szCs w:val="17"/>
          <w:i w:val="1"/>
          <w:iCs w:val="1"/>
          <w:color w:val="auto"/>
        </w:rPr>
        <w:t>TSC1”</w:t>
      </w:r>
      <w:r>
        <w:rPr>
          <w:rFonts w:ascii="Arial" w:cs="Arial" w:eastAsia="Arial" w:hAnsi="Arial"/>
          <w:sz w:val="17"/>
          <w:szCs w:val="17"/>
          <w:color w:val="auto"/>
        </w:rPr>
        <w:t xml:space="preserve"> &amp;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TSC2”</w:t>
      </w:r>
      <w:r>
        <w:rPr>
          <w:rFonts w:ascii="Arial" w:cs="Arial" w:eastAsia="Arial" w:hAnsi="Arial"/>
          <w:sz w:val="16"/>
          <w:szCs w:val="16"/>
          <w:color w:val="auto"/>
        </w:rPr>
        <w:t>) alterations. We have completed a Type B meeting with the FDA in which we discussed the initial trial design and the PRECISION 1 trial is now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open for enrollment in the United States.</w:t>
      </w:r>
    </w:p>
    <w:p>
      <w:pPr>
        <w:spacing w:after="0" w:line="103"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We have built a management team with extensive experience in the discovery, development, and commercialization of cancer therapeutics, including in senior roles at leading oncology companies. We are supported by our board of directors and specialized scientific advisors, who contribute their deep understanding of drug discovery and development, as well as expertise in building public companies and business development. Furthermore, our investor base includes top life science investors. We believe that our team is well positioned to develop and commercialize FYARRO and future pipeline assets to ultimately bring significant benefit to cancer patients worldwide.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objective is to develop and commercialize innovative drugs that address the serious unmet medical needs of cancer patients and patients with other diseases that are driven by alterations in the mTOR pathway. The principal components of our strategy include:</w:t>
      </w:r>
    </w:p>
    <w:p>
      <w:pPr>
        <w:spacing w:after="0" w:line="58" w:lineRule="exact"/>
        <w:rPr>
          <w:sz w:val="20"/>
          <w:szCs w:val="20"/>
          <w:color w:val="auto"/>
        </w:rPr>
      </w:pPr>
    </w:p>
    <w:p>
      <w:pPr>
        <w:ind w:left="1300" w:hanging="50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Commercialize FYARRO in advanced malignant PEComa</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1300" w:right="180"/>
        <w:spacing w:after="0" w:line="255" w:lineRule="auto"/>
        <w:rPr>
          <w:rFonts w:ascii="Arial" w:cs="Arial" w:eastAsia="Arial" w:hAnsi="Arial"/>
          <w:sz w:val="18"/>
          <w:szCs w:val="18"/>
          <w:color w:val="auto"/>
        </w:rPr>
      </w:pPr>
      <w:r>
        <w:rPr>
          <w:rFonts w:ascii="Arial" w:cs="Arial" w:eastAsia="Arial" w:hAnsi="Arial"/>
          <w:sz w:val="18"/>
          <w:szCs w:val="18"/>
          <w:color w:val="auto"/>
        </w:rPr>
        <w:t>For FYARRO, we are initially targeting advanced malignant PEComa, an ultra-rare sarcoma with no approved therapies. In May 2021, we completed the filing of a rolling NDA submission with the FDA for FYARRO for the treatment of advanced malignant PEComa based on the positive results from AMPECT, our pivotal Phase 2 study in this patient population, which met its primary endpoint. The FDA accepted the NDA in July 2021 and we were granted approval for commercial sale on November 22, 2021. We have built a cross functional commercial team and infrastructure and launched FYARRO for advanced malignant PEComa in the United States in the first quarter of 2022.</w:t>
      </w:r>
    </w:p>
    <w:p>
      <w:pPr>
        <w:spacing w:after="0" w:line="84" w:lineRule="exact"/>
        <w:rPr>
          <w:rFonts w:ascii="Arial" w:cs="Arial" w:eastAsia="Arial" w:hAnsi="Arial"/>
          <w:sz w:val="18"/>
          <w:szCs w:val="18"/>
          <w:color w:val="auto"/>
        </w:rPr>
      </w:pPr>
    </w:p>
    <w:p>
      <w:pPr>
        <w:ind w:left="1300" w:right="680" w:hanging="509"/>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Expand the market opportunity for FYARRO by pursuing development of a tumor-agnostic indication in cancer patients with alterations in the TSC1 or TSC2 genes.</w:t>
      </w:r>
    </w:p>
    <w:p>
      <w:pPr>
        <w:spacing w:after="0" w:line="62" w:lineRule="exact"/>
        <w:rPr>
          <w:rFonts w:ascii="Arial" w:cs="Arial" w:eastAsia="Arial" w:hAnsi="Arial"/>
          <w:sz w:val="18"/>
          <w:szCs w:val="18"/>
          <w:color w:val="auto"/>
        </w:rPr>
      </w:pPr>
    </w:p>
    <w:p>
      <w:pPr>
        <w:ind w:left="130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We have presented initial data for FYARRO in patients with different cancer types having alterations in the </w:t>
      </w:r>
      <w:r>
        <w:rPr>
          <w:rFonts w:ascii="Arial" w:cs="Arial" w:eastAsia="Arial" w:hAnsi="Arial"/>
          <w:sz w:val="18"/>
          <w:szCs w:val="18"/>
          <w:i w:val="1"/>
          <w:iCs w:val="1"/>
          <w:color w:val="auto"/>
        </w:rPr>
        <w:t>TSC1</w:t>
      </w:r>
      <w:r>
        <w:rPr>
          <w:rFonts w:ascii="Arial" w:cs="Arial" w:eastAsia="Arial" w:hAnsi="Arial"/>
          <w:sz w:val="18"/>
          <w:szCs w:val="18"/>
          <w:color w:val="auto"/>
        </w:rPr>
        <w:t xml:space="preserve"> or </w:t>
      </w:r>
      <w:r>
        <w:rPr>
          <w:rFonts w:ascii="Arial" w:cs="Arial" w:eastAsia="Arial" w:hAnsi="Arial"/>
          <w:sz w:val="18"/>
          <w:szCs w:val="18"/>
          <w:i w:val="1"/>
          <w:iCs w:val="1"/>
          <w:color w:val="auto"/>
        </w:rPr>
        <w:t>TSC2</w:t>
      </w:r>
      <w:r>
        <w:rPr>
          <w:rFonts w:ascii="Arial" w:cs="Arial" w:eastAsia="Arial" w:hAnsi="Arial"/>
          <w:sz w:val="18"/>
          <w:szCs w:val="18"/>
          <w:color w:val="auto"/>
        </w:rPr>
        <w:t xml:space="preserve"> genes as part of an expanded access program. Based on data in patients with </w:t>
      </w:r>
      <w:r>
        <w:rPr>
          <w:rFonts w:ascii="Arial" w:cs="Arial" w:eastAsia="Arial" w:hAnsi="Arial"/>
          <w:sz w:val="18"/>
          <w:szCs w:val="18"/>
          <w:i w:val="1"/>
          <w:iCs w:val="1"/>
          <w:color w:val="auto"/>
        </w:rPr>
        <w:t>TSC1</w:t>
      </w:r>
      <w:r>
        <w:rPr>
          <w:rFonts w:ascii="Arial" w:cs="Arial" w:eastAsia="Arial" w:hAnsi="Arial"/>
          <w:sz w:val="18"/>
          <w:szCs w:val="18"/>
          <w:color w:val="auto"/>
        </w:rPr>
        <w:t xml:space="preserve"> or </w:t>
      </w:r>
      <w:r>
        <w:rPr>
          <w:rFonts w:ascii="Arial" w:cs="Arial" w:eastAsia="Arial" w:hAnsi="Arial"/>
          <w:sz w:val="18"/>
          <w:szCs w:val="18"/>
          <w:i w:val="1"/>
          <w:iCs w:val="1"/>
          <w:color w:val="auto"/>
        </w:rPr>
        <w:t>TSC2</w:t>
      </w:r>
      <w:r>
        <w:rPr>
          <w:rFonts w:ascii="Arial" w:cs="Arial" w:eastAsia="Arial" w:hAnsi="Arial"/>
          <w:sz w:val="18"/>
          <w:szCs w:val="18"/>
          <w:color w:val="auto"/>
        </w:rPr>
        <w:t xml:space="preserve"> alterations from the completed AMPECT trial and the expanded access program, in the first quarter of 2022, we have initiated a registration-directed tumor-agnostic study called PRECISION 1 in patients with solid tumors driven by </w:t>
      </w:r>
      <w:r>
        <w:rPr>
          <w:rFonts w:ascii="Arial" w:cs="Arial" w:eastAsia="Arial" w:hAnsi="Arial"/>
          <w:sz w:val="18"/>
          <w:szCs w:val="18"/>
          <w:i w:val="1"/>
          <w:iCs w:val="1"/>
          <w:color w:val="auto"/>
        </w:rPr>
        <w:t>TSC1</w:t>
      </w:r>
      <w:r>
        <w:rPr>
          <w:rFonts w:ascii="Arial" w:cs="Arial" w:eastAsia="Arial" w:hAnsi="Arial"/>
          <w:sz w:val="18"/>
          <w:szCs w:val="18"/>
          <w:color w:val="auto"/>
        </w:rPr>
        <w:t xml:space="preserve"> or </w:t>
      </w:r>
      <w:r>
        <w:rPr>
          <w:rFonts w:ascii="Arial" w:cs="Arial" w:eastAsia="Arial" w:hAnsi="Arial"/>
          <w:sz w:val="18"/>
          <w:szCs w:val="18"/>
          <w:i w:val="1"/>
          <w:iCs w:val="1"/>
          <w:color w:val="auto"/>
        </w:rPr>
        <w:t>TSC2</w:t>
      </w:r>
      <w:r>
        <w:rPr>
          <w:rFonts w:ascii="Arial" w:cs="Arial" w:eastAsia="Arial" w:hAnsi="Arial"/>
          <w:sz w:val="18"/>
          <w:szCs w:val="18"/>
          <w:color w:val="auto"/>
        </w:rPr>
        <w:t xml:space="preserve"> alterations. We believe that this approach offers an opportunity to significantly expand the commercial potential of FYARRO over time.</w:t>
      </w:r>
    </w:p>
    <w:p>
      <w:pPr>
        <w:spacing w:after="0" w:line="79" w:lineRule="exact"/>
        <w:rPr>
          <w:rFonts w:ascii="Arial" w:cs="Arial" w:eastAsia="Arial" w:hAnsi="Arial"/>
          <w:sz w:val="18"/>
          <w:szCs w:val="18"/>
          <w:color w:val="auto"/>
        </w:rPr>
      </w:pPr>
    </w:p>
    <w:p>
      <w:pPr>
        <w:ind w:left="1300" w:hanging="50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Expand the application of FYARRO as a monotherapy and combination therapy with other agents.</w:t>
      </w:r>
    </w:p>
    <w:p>
      <w:pPr>
        <w:spacing w:after="0" w:line="117" w:lineRule="exact"/>
        <w:rPr>
          <w:rFonts w:ascii="Arial" w:cs="Arial" w:eastAsia="Arial" w:hAnsi="Arial"/>
          <w:sz w:val="18"/>
          <w:szCs w:val="18"/>
          <w:color w:val="auto"/>
        </w:rPr>
      </w:pPr>
    </w:p>
    <w:p>
      <w:pPr>
        <w:ind w:left="1300" w:right="180"/>
        <w:spacing w:after="0" w:line="255" w:lineRule="auto"/>
        <w:rPr>
          <w:rFonts w:ascii="Arial" w:cs="Arial" w:eastAsia="Arial" w:hAnsi="Arial"/>
          <w:sz w:val="18"/>
          <w:szCs w:val="18"/>
          <w:color w:val="auto"/>
        </w:rPr>
      </w:pPr>
      <w:r>
        <w:rPr>
          <w:rFonts w:ascii="Arial" w:cs="Arial" w:eastAsia="Arial" w:hAnsi="Arial"/>
          <w:sz w:val="18"/>
          <w:szCs w:val="18"/>
          <w:color w:val="auto"/>
        </w:rPr>
        <w:t>We believe there is a significant opportunity to utilize FYARRO in other indications as a monotherapy as well as in combination with other targeted therapies, particularly in mTOR adjacent signaling pathways. These additional indications may be important drivers of commercial value and we believe that strategic partnerships, particularly in combination therapies, may be an effective means of developing and commercializing these opportunities. While we are primarily focused on cancer, the mTOR pathway is also relevant in other indications and we may opportunistically study these indications to broaden the application of FYARRO or satisfy unmet medical needs.</w:t>
      </w:r>
    </w:p>
    <w:p>
      <w:pPr>
        <w:spacing w:after="0" w:line="84" w:lineRule="exact"/>
        <w:rPr>
          <w:rFonts w:ascii="Arial" w:cs="Arial" w:eastAsia="Arial" w:hAnsi="Arial"/>
          <w:sz w:val="18"/>
          <w:szCs w:val="18"/>
          <w:color w:val="auto"/>
        </w:rPr>
      </w:pPr>
    </w:p>
    <w:p>
      <w:pPr>
        <w:ind w:left="1300" w:hanging="50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capabilities and partnerships to effectively commercialize and maximize the value of FYARRO.</w:t>
      </w:r>
    </w:p>
    <w:p>
      <w:pPr>
        <w:spacing w:after="0" w:line="117" w:lineRule="exact"/>
        <w:rPr>
          <w:rFonts w:ascii="Arial" w:cs="Arial" w:eastAsia="Arial" w:hAnsi="Arial"/>
          <w:sz w:val="18"/>
          <w:szCs w:val="18"/>
          <w:color w:val="auto"/>
        </w:rPr>
      </w:pPr>
    </w:p>
    <w:p>
      <w:pPr>
        <w:ind w:left="1300" w:right="220"/>
        <w:spacing w:after="0" w:line="263" w:lineRule="auto"/>
        <w:rPr>
          <w:rFonts w:ascii="Arial" w:cs="Arial" w:eastAsia="Arial" w:hAnsi="Arial"/>
          <w:sz w:val="18"/>
          <w:szCs w:val="18"/>
          <w:color w:val="auto"/>
        </w:rPr>
      </w:pPr>
      <w:r>
        <w:rPr>
          <w:rFonts w:ascii="Arial" w:cs="Arial" w:eastAsia="Arial" w:hAnsi="Arial"/>
          <w:sz w:val="18"/>
          <w:szCs w:val="18"/>
          <w:color w:val="auto"/>
        </w:rPr>
        <w:t>We have built capabilities in the United States to commercialize our products. We have partnered FYARRO with EOC Pharma Limited for commercialization in Greater China. Outside the United States and China, we intend to selectively evaluate strategic partnerships with partners whose development and commercial capabilities complement our own.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Importance of the mTOR Pathway in Cancer</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mTOR is a serine–threonine kinase that is the key component of two multi-subunit complexes with non-overlapping downstream targets: mTOR Complex 1 (“mTORC1”) and mTOR Complex 2 (“mTORC2”). mTORC1 plays a vital role in the regulation of cell growth and division by controlling the balance between anabolic and catabolic cellular processes and facilitates the progression of cell-cycle from G1 to S phase. Due to its key role in anabolic processes needed for cell division, the majority of cancer cells have activation of mTORC1 through one mechanism or another. Thus, the effective inhibition of mTORC1 in cancer cells may inhibit their proliferation. Activation of mTORC1 may occur downstream of the PI3K/AKT or Ras/MEK/ERK pathways, or through inactivating alterations in negative regulators of the mTORC1 pathway, including </w:t>
      </w:r>
      <w:r>
        <w:rPr>
          <w:rFonts w:ascii="Arial" w:cs="Arial" w:eastAsia="Arial" w:hAnsi="Arial"/>
          <w:sz w:val="17"/>
          <w:szCs w:val="17"/>
          <w:i w:val="1"/>
          <w:iCs w:val="1"/>
          <w:color w:val="auto"/>
        </w:rPr>
        <w:t>TSC1</w:t>
      </w:r>
      <w:r>
        <w:rPr>
          <w:rFonts w:ascii="Arial" w:cs="Arial" w:eastAsia="Arial" w:hAnsi="Arial"/>
          <w:sz w:val="17"/>
          <w:szCs w:val="17"/>
          <w:color w:val="auto"/>
        </w:rPr>
        <w:t xml:space="preserve"> or </w:t>
      </w:r>
      <w:r>
        <w:rPr>
          <w:rFonts w:ascii="Arial" w:cs="Arial" w:eastAsia="Arial" w:hAnsi="Arial"/>
          <w:sz w:val="17"/>
          <w:szCs w:val="17"/>
          <w:i w:val="1"/>
          <w:iCs w:val="1"/>
          <w:color w:val="auto"/>
        </w:rPr>
        <w:t>TSC2</w:t>
      </w:r>
      <w:r>
        <w:rPr>
          <w:rFonts w:ascii="Arial" w:cs="Arial" w:eastAsia="Arial" w:hAnsi="Arial"/>
          <w:sz w:val="17"/>
          <w:szCs w:val="17"/>
          <w:color w:val="auto"/>
        </w:rPr>
        <w:t>. Downstream signaling nodes of mTORC1, specifically S6K and 4EBP1, are key drivers of mTORC1 activity. Decreased phosphorylation of S6K leads to decreased activity, while decreased phosphorylation of 4EBP1 leads to increased activity. Sirolimus (also known as rapamycin) is an allosteric inhibitor of mTOR, which binds to the 12-kDa FK506-binding protein 12 (FKBP12), and the complex directly and strongly inhibits mTORC1.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2033905</wp:posOffset>
            </wp:positionH>
            <wp:positionV relativeFrom="page">
              <wp:posOffset>294640</wp:posOffset>
            </wp:positionV>
            <wp:extent cx="3480435" cy="2503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48043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Currently approved mTOR inhibitors are limited in their applicability due to poor and variable absorption of the oral drugs (sirolimus and everolimus) or variable conversion from prodrug to active drug (temsirolimus) and premedication requirements (temsirolimus). These drugs have a narrow therapeutic index and a reduction from the labelled dose can result in a decrease in efficacy. Preclinical study comparisons with FYARRO showed significantly higher tumor uptake, greater downstream mTOR target suppression and increased suppression of tumor growth for FYARRO compared to the oral mTOR inhibitors. A literature comparison of the clinical pharmacokinetic profiles of the drugs shows that FYARRO has a longer half-life, higher peak blood concentration and greater total exposure than the other approved mTOR inhibitors. FYARRO is administered in cycles that are given weekly for two weeks followed by a week off and does not require therapeutic monitoring to ensure adequate blood levels.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Approach: The Nanoparticle Albumin-Bound (nab) Technology</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nanoparticle albumin-bound, or nab, technology was created and developed by Neil Desai, our founder and CEO, and former colleagues while at Abraxis Bioscience. This technology takes advantage of the protein albumin, a natural carrier of water insoluble molecules (e.g., various nutrients, vitamins and hormones) found in humans. Due to various active and passive transport processes in the body, albumin can accumulate preferentially in different tissues including tumors, areas of inflammation, or areas of tissue remodeling, i.e., at sites of disease. The nab technology takes advantage of these transport properties of albumin and its affinity of binding to certain drug molecules to increase the efficiency with which these molecules may be brought to these sites of disease. The first clinical and commercial validation of this technology is the drug Abraxane®, which is approved in the U.S. and worldwide for the treatment of breast cancer, non-small cell lung cancer and pancreatic cancer. Abraxane has generated &gt;$1.0 billion of sales in the U.S. every year since 2018.</w:t>
      </w:r>
    </w:p>
    <w:p>
      <w:pPr>
        <w:spacing w:after="0" w:line="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applying the nab technology to the molecule sirolimus, a potent inhibitor of the mTOR pathway that is hindered in large part by a poor pharmacologic profile (e.g., poor and variable absorption with incomplete target suppression). The relevance of albumin transport in cancer has been extensively studied and albumin is known to accumulate in tumor tissues due to the leaky capillary system within the tumor, defective lymphatic drainage of tumors, and active caveolae-mediated transport across tumor blood vessel endothelium. In addition, albumin can be taken up by proliferating tumor cells via endocytosis and macropinocytosis, then catabolized by lysosomal degradation to support de novo protein synthesis, energy, and tumor growth. Ultimately, nab technology allows FYARRO to take advantage of albumin transport pathways to accumulate at high levels in tumors and deliver sirolimus directly to cancer cells where it can effectively inhibit mTOR. The accumulation of albumin in tumors can be easily visualized by using the dye evans blue which has a high affinity for albumin. Intravenous injection of albumin-evans blue complex in animals bearing tumors resulted in rapid accumulation of the complex within the tumors which could be easily visualized in a few hours after injection. Similarly, a fluorescent labelled albumin when injected into human glioblastoma patients 24-48 hours before surgery resulted in excellent visualization of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ind w:right="940"/>
        <w:spacing w:after="0" w:line="402" w:lineRule="auto"/>
        <w:rPr>
          <w:sz w:val="20"/>
          <w:szCs w:val="20"/>
          <w:color w:val="auto"/>
        </w:rPr>
      </w:pPr>
      <w:r>
        <w:rPr>
          <w:rFonts w:ascii="Arial" w:cs="Arial" w:eastAsia="Arial" w:hAnsi="Arial"/>
          <w:sz w:val="18"/>
          <w:szCs w:val="18"/>
          <w:color w:val="auto"/>
        </w:rPr>
        <w:t xml:space="preserve">tumors during surgery under fluorescent light and allowed the complete resection of the tumor margins in the majority of the patients treated. </w:t>
      </w:r>
      <w:r>
        <w:rPr>
          <w:rFonts w:ascii="Arial" w:cs="Arial" w:eastAsia="Arial" w:hAnsi="Arial"/>
          <w:sz w:val="18"/>
          <w:szCs w:val="18"/>
          <w:b w:val="1"/>
          <w:bCs w:val="1"/>
          <w:color w:val="auto"/>
        </w:rPr>
        <w:t xml:space="preserve">Figure 2 </w:t>
      </w:r>
      <w:r>
        <w:rPr>
          <w:rFonts w:ascii="Arial" w:cs="Arial" w:eastAsia="Arial" w:hAnsi="Arial"/>
          <w:sz w:val="18"/>
          <w:szCs w:val="18"/>
          <w:color w:val="auto"/>
        </w:rPr>
        <w:t>– Albumin Accumulation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-19050</wp:posOffset>
            </wp:positionV>
            <wp:extent cx="4620260" cy="2219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2026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FYARRO</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FYARRO (</w:t>
      </w:r>
      <w:r>
        <w:rPr>
          <w:rFonts w:ascii="Arial" w:cs="Arial" w:eastAsia="Arial" w:hAnsi="Arial"/>
          <w:sz w:val="18"/>
          <w:szCs w:val="18"/>
          <w:i w:val="1"/>
          <w:iCs w:val="1"/>
          <w:color w:val="auto"/>
        </w:rPr>
        <w:t>nab</w:t>
      </w:r>
      <w:r>
        <w:rPr>
          <w:rFonts w:ascii="Arial" w:cs="Arial" w:eastAsia="Arial" w:hAnsi="Arial"/>
          <w:sz w:val="18"/>
          <w:szCs w:val="18"/>
          <w:color w:val="auto"/>
        </w:rPr>
        <w:t>-sirolimus, sirolimus protein-bound particles for injectable suspension (albumin-bound)), is a form of sirolimus (rapamycin) bound to albumin. Sirolimus is a potent inhibitor of the mTOR biological pathway and inhibits downstream signaling from mTOR, which can promote tumor growth. FYARRO is in the form of nanoparticles of sirolimus bound to human albumin with average size less than 100 nanometers. An artist’s impression of these nanoparticles is shown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3 – </w:t>
      </w:r>
      <w:r>
        <w:rPr>
          <w:rFonts w:ascii="Arial" w:cs="Arial" w:eastAsia="Arial" w:hAnsi="Arial"/>
          <w:sz w:val="18"/>
          <w:szCs w:val="18"/>
          <w:color w:val="auto"/>
        </w:rPr>
        <w:t>Nanoparticle artist impression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154305</wp:posOffset>
            </wp:positionV>
            <wp:extent cx="3300095" cy="1731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009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orally available mTOR inhibitors have poor and variable absorption, often require therapeutic drug monitoring, and have incomplete target suppression. The combination of sirolimus with human albumin in FYARRO achieves higher AUC, Cmax and longer half-life in humans at its clinical dose when compared with published clinical data for other mTOR inhibitors, demonstrating FYARRO’s differentiated clinical pharmacologic and pharmacokinetic profile.</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Figure 4 </w:t>
      </w:r>
      <w:r>
        <w:rPr>
          <w:rFonts w:ascii="Arial" w:cs="Arial" w:eastAsia="Arial" w:hAnsi="Arial"/>
          <w:sz w:val="18"/>
          <w:szCs w:val="18"/>
          <w:color w:val="auto"/>
        </w:rPr>
        <w:t>– FYARRO PK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85725</wp:posOffset>
            </wp:positionV>
            <wp:extent cx="5280660" cy="1465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8066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differences in pharmacology can result in advantageous differences in the clinical behavior of FYARRO when compared to the other mTOR inhibitors. This is effectively illustrated in comparative experiments in animals bearing bladder cancer tumors or liver cancer tumors. Data from these tumor-bearing animal models showed many-fold higher tumor drug levels for FYARRO at equal dose to the other mTOR inhibitors which was correlated with a greater degree of mTOR target suppression as indicated by inhibition of phosphorylation of S6 and 4EBP1 (downstream signaling nodes of mTORC1 that are known to play a role in downstream activity of mTOR as well as resistance to mTOR suppression), and a correspondingly higher suppression of tumor growth.</w:t>
      </w:r>
    </w:p>
    <w:p>
      <w:pPr>
        <w:spacing w:after="0" w:line="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believe that other mTOR inhibitors on the market or active in clinical development do not have the required favorable pharmacological profile to fully exploit the benefits of mTOR inhibition. We believe that FYARRO’s differentiated </w:t>
      </w:r>
      <w:r>
        <w:rPr>
          <w:rFonts w:ascii="Arial" w:cs="Arial" w:eastAsia="Arial" w:hAnsi="Arial"/>
          <w:sz w:val="18"/>
          <w:szCs w:val="18"/>
          <w:i w:val="1"/>
          <w:iCs w:val="1"/>
          <w:color w:val="auto"/>
        </w:rPr>
        <w:t>pharmacologic</w:t>
      </w:r>
      <w:r>
        <w:rPr>
          <w:rFonts w:ascii="Arial" w:cs="Arial" w:eastAsia="Arial" w:hAnsi="Arial"/>
          <w:sz w:val="18"/>
          <w:szCs w:val="18"/>
          <w:color w:val="auto"/>
        </w:rPr>
        <w:t xml:space="preserve"> profile, high tumor accumulation, and ability to effectively inhibit important targets in the mTOR pathway make it a well-positioned drug candidate to address resistance and suboptimal efficacy of existing mTOR inhibitors.</w:t>
      </w:r>
    </w:p>
    <w:p>
      <w:pPr>
        <w:spacing w:after="0" w:line="79"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We are studying FYARRO in cancers with known mTOR pathway activation, including tumor agnostic indications targeting specific genomic alterations that activate the mTOR pathway. In addition, we have ongoing studies as well as studies in planning for testing the safety and efficacy of FYARRO in combination with other targeted agents. Our ongoing studies and studies in planning are summarized in the figure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5 </w:t>
      </w:r>
      <w:r>
        <w:rPr>
          <w:rFonts w:ascii="Arial" w:cs="Arial" w:eastAsia="Arial" w:hAnsi="Arial"/>
          <w:sz w:val="18"/>
          <w:szCs w:val="18"/>
          <w:color w:val="auto"/>
        </w:rPr>
        <w: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17145</wp:posOffset>
            </wp:positionV>
            <wp:extent cx="5168900" cy="2383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890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2019, at the Connective Tissue Oncology Society (“CTOS”) Annual Meeting, we announced top-line results from the AMPECT study, including that the study achieved its primary endpoints of ORR, as determined by blinded independent central radiologic review using modified RECIST v1.1. In May 2021, we completed the filing of a rolling NDA for FYARRO to the FDA, for approval to treat patients with advanced malignant PEComa. The</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661" w:right="539" w:bottom="1440" w:gutter="0" w:footer="0" w:header="0"/>
        </w:sectPr>
      </w:pPr>
    </w:p>
    <w:bookmarkStart w:id="9" w:name="page10"/>
    <w:bookmarkEnd w:id="9"/>
    <w:p>
      <w:pPr>
        <w:ind w:right="100"/>
        <w:spacing w:after="0" w:line="277" w:lineRule="auto"/>
        <w:rPr>
          <w:sz w:val="20"/>
          <w:szCs w:val="20"/>
          <w:color w:val="auto"/>
        </w:rPr>
      </w:pPr>
      <w:r>
        <w:rPr>
          <w:rFonts w:ascii="Arial" w:cs="Arial" w:eastAsia="Arial" w:hAnsi="Arial"/>
          <w:sz w:val="18"/>
          <w:szCs w:val="18"/>
          <w:color w:val="auto"/>
        </w:rPr>
        <w:t>NDA was based on results from the AMPECT study, in patients for whom there were no FDA approved therapies in the United States. The FDA accepted the NDA in July 2021, and we were granted approval for commercial sale on November 22, 2021.</w:t>
      </w:r>
    </w:p>
    <w:p>
      <w:pPr>
        <w:spacing w:after="0" w:line="62" w:lineRule="exact"/>
        <w:rPr>
          <w:sz w:val="20"/>
          <w:szCs w:val="20"/>
          <w:color w:val="auto"/>
        </w:rPr>
      </w:pPr>
    </w:p>
    <w:p>
      <w:pPr>
        <w:jc w:val="both"/>
        <w:ind w:right="260"/>
        <w:spacing w:after="0" w:line="287" w:lineRule="auto"/>
        <w:rPr>
          <w:sz w:val="20"/>
          <w:szCs w:val="20"/>
          <w:color w:val="auto"/>
        </w:rPr>
      </w:pPr>
      <w:r>
        <w:rPr>
          <w:rFonts w:ascii="Arial" w:cs="Arial" w:eastAsia="Arial" w:hAnsi="Arial"/>
          <w:sz w:val="16"/>
          <w:szCs w:val="16"/>
          <w:color w:val="auto"/>
        </w:rPr>
        <w:t xml:space="preserve">PRECISION 1 is a tumor-agnostic registration-directed Phase 2 study of FYARRO in patients with </w:t>
      </w:r>
      <w:r>
        <w:rPr>
          <w:rFonts w:ascii="Arial" w:cs="Arial" w:eastAsia="Arial" w:hAnsi="Arial"/>
          <w:sz w:val="16"/>
          <w:szCs w:val="16"/>
          <w:i w:val="1"/>
          <w:iCs w:val="1"/>
          <w:color w:val="auto"/>
        </w:rPr>
        <w:t>TSC1</w:t>
      </w:r>
      <w:r>
        <w:rPr>
          <w:rFonts w:ascii="Arial" w:cs="Arial" w:eastAsia="Arial" w:hAnsi="Arial"/>
          <w:sz w:val="16"/>
          <w:szCs w:val="16"/>
          <w:color w:val="auto"/>
        </w:rPr>
        <w:t xml:space="preserve"> and </w:t>
      </w:r>
      <w:r>
        <w:rPr>
          <w:rFonts w:ascii="Arial" w:cs="Arial" w:eastAsia="Arial" w:hAnsi="Arial"/>
          <w:sz w:val="16"/>
          <w:szCs w:val="16"/>
          <w:i w:val="1"/>
          <w:iCs w:val="1"/>
          <w:color w:val="auto"/>
        </w:rPr>
        <w:t>TSC2</w:t>
      </w:r>
      <w:r>
        <w:rPr>
          <w:rFonts w:ascii="Arial" w:cs="Arial" w:eastAsia="Arial" w:hAnsi="Arial"/>
          <w:sz w:val="16"/>
          <w:szCs w:val="16"/>
          <w:color w:val="auto"/>
        </w:rPr>
        <w:t xml:space="preserve"> inactivating alterations that is based on evidence of activity seen in patients with </w:t>
      </w:r>
      <w:r>
        <w:rPr>
          <w:rFonts w:ascii="Arial" w:cs="Arial" w:eastAsia="Arial" w:hAnsi="Arial"/>
          <w:sz w:val="16"/>
          <w:szCs w:val="16"/>
          <w:i w:val="1"/>
          <w:iCs w:val="1"/>
          <w:color w:val="auto"/>
        </w:rPr>
        <w:t>TSC1</w:t>
      </w:r>
      <w:r>
        <w:rPr>
          <w:rFonts w:ascii="Arial" w:cs="Arial" w:eastAsia="Arial" w:hAnsi="Arial"/>
          <w:sz w:val="16"/>
          <w:szCs w:val="16"/>
          <w:color w:val="auto"/>
        </w:rPr>
        <w:t xml:space="preserve"> and </w:t>
      </w:r>
      <w:r>
        <w:rPr>
          <w:rFonts w:ascii="Arial" w:cs="Arial" w:eastAsia="Arial" w:hAnsi="Arial"/>
          <w:sz w:val="16"/>
          <w:szCs w:val="16"/>
          <w:i w:val="1"/>
          <w:iCs w:val="1"/>
          <w:color w:val="auto"/>
        </w:rPr>
        <w:t>TSC2</w:t>
      </w:r>
      <w:r>
        <w:rPr>
          <w:rFonts w:ascii="Arial" w:cs="Arial" w:eastAsia="Arial" w:hAnsi="Arial"/>
          <w:sz w:val="16"/>
          <w:szCs w:val="16"/>
          <w:color w:val="auto"/>
        </w:rPr>
        <w:t xml:space="preserve"> inactivating alterations from the completed AMPECT trial (presented at the CTOS Annual Meeting in 2020) and our Expanded Access Program (presented at the American Society of Clinical Oncology (“ASCO”) Annual Meeting in 2021).</w:t>
      </w:r>
    </w:p>
    <w:p>
      <w:pPr>
        <w:spacing w:after="0" w:line="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The PRECISION 1 study is now open for enrollment in the United States. We have completed a Type B meeting with the FDA in which we discussed the initial trial design with the FDA.</w:t>
      </w:r>
    </w:p>
    <w:p>
      <w:pPr>
        <w:spacing w:after="0" w:line="77" w:lineRule="exact"/>
        <w:rPr>
          <w:sz w:val="20"/>
          <w:szCs w:val="20"/>
          <w:color w:val="auto"/>
        </w:rPr>
      </w:pPr>
    </w:p>
    <w:p>
      <w:pPr>
        <w:jc w:val="both"/>
        <w:ind w:right="940"/>
        <w:spacing w:after="0" w:line="263" w:lineRule="auto"/>
        <w:rPr>
          <w:sz w:val="20"/>
          <w:szCs w:val="20"/>
          <w:color w:val="auto"/>
        </w:rPr>
      </w:pPr>
      <w:r>
        <w:rPr>
          <w:rFonts w:ascii="Arial" w:cs="Arial" w:eastAsia="Arial" w:hAnsi="Arial"/>
          <w:sz w:val="18"/>
          <w:szCs w:val="18"/>
          <w:color w:val="auto"/>
        </w:rPr>
        <w:t>An Expanded Access Program (“EAP”) was opened to bridge access to FYARRO until market authorization and has been closed in the United States following the commercial availability of FYARRO. The EAP is available for advanced malignant PEComa patients in certain countries outside the United States.</w:t>
      </w:r>
    </w:p>
    <w:p>
      <w:pPr>
        <w:spacing w:after="0" w:line="7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addition, we have other ongoing trials in early stages investigating the dose-finding of FYARRO in combination with various agents including tumor types such as colorectal cancer and sarcoma.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FYARRO for Advanced Malignant PEComa</w:t>
      </w:r>
    </w:p>
    <w:p>
      <w:pPr>
        <w:spacing w:after="0" w:line="117"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color w:val="auto"/>
        </w:rPr>
        <w:t>PEComas are mesenchymal neoplasms, composed of histologically and immunohistochemically distinctive cells, perivascular epithelioid cells (“PEC”s). Most PEComas are clinically benign and do not metastasize, but malignant PEComas can demonstrate local invasion and aggressive metastatic spread. PEComas show a wide anatomical distribution, but most often arise in the retroperitoneum, abdominopelvic region, uterus and gastrointestinal tract, and have a 4:1 female predominance. Malignant PEComas are classified as one of the ultra-rare soft-tissue sarcomas with an estimated annual incidence of roughly 100-300 patients per year in the United States, although formal epidemiology studies have yet to be conducted.</w:t>
      </w:r>
    </w:p>
    <w:p>
      <w:pPr>
        <w:spacing w:after="0" w:line="5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FYARRO is the first FDA approved treatment specifically for malignant PEComa. The disease is often treated with the cytotoxic chemotherapy regimens used in soft tissue sarcomas, which have shown only modest benefit for malignant PEComa. PEComas commonly show evidence of mTORC1 activation at least in part due to loss-of-function mutations in or deletions of the </w:t>
      </w:r>
      <w:r>
        <w:rPr>
          <w:rFonts w:ascii="Arial" w:cs="Arial" w:eastAsia="Arial" w:hAnsi="Arial"/>
          <w:sz w:val="16"/>
          <w:szCs w:val="16"/>
          <w:i w:val="1"/>
          <w:iCs w:val="1"/>
          <w:color w:val="auto"/>
        </w:rPr>
        <w:t>TSC1</w:t>
      </w:r>
      <w:r>
        <w:rPr>
          <w:rFonts w:ascii="Arial" w:cs="Arial" w:eastAsia="Arial" w:hAnsi="Arial"/>
          <w:sz w:val="16"/>
          <w:szCs w:val="16"/>
          <w:color w:val="auto"/>
        </w:rPr>
        <w:t xml:space="preserve"> or </w:t>
      </w:r>
      <w:r>
        <w:rPr>
          <w:rFonts w:ascii="Arial" w:cs="Arial" w:eastAsia="Arial" w:hAnsi="Arial"/>
          <w:sz w:val="16"/>
          <w:szCs w:val="16"/>
          <w:i w:val="1"/>
          <w:iCs w:val="1"/>
          <w:color w:val="auto"/>
        </w:rPr>
        <w:t>TSC2</w:t>
      </w:r>
      <w:r>
        <w:rPr>
          <w:rFonts w:ascii="Arial" w:cs="Arial" w:eastAsia="Arial" w:hAnsi="Arial"/>
          <w:sz w:val="16"/>
          <w:szCs w:val="16"/>
          <w:color w:val="auto"/>
        </w:rPr>
        <w:t xml:space="preserve"> genes. In a retrospective analysis, patients with malignant PEComa treated with available mTOR inhibitors (mTORi, sirolimus, everolimus, and temsirolimus) benefited from treatment suggesting that mTORC1 inhibition may be a promising therapeutic approach for malignant PEComa. As a result, available mTOR inhibitors may also be used to treat malignant PEComa.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AMPECT, a pivotal phase 2 open-label clinical trial of FYARRO in advanced malignant PEComa</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AMPECT trial was the first prospective clinical trial in advanced malignant PEComa. Patients with metastatic or inoperable locally advanced disease were treated with FYARRO at 100 mg/m2 administered as an intravenous (“IV”) infusion over 30 minutes on Days 1 and 8 of a 21-day cycle. The primary endpoint for the study was ORR evaluated by independent radiology review. Secondary efficacy endpoints included duration of response (“DOR”), progression free survival (“PFS”) and overall survival (“OS”). The sample size estimation assumed an observed ORR of 30% for a sample size of 30 patients, which would exclude values less than 14.7% for the lower bound of the 95% confidence interval.</w:t>
      </w:r>
    </w:p>
    <w:p>
      <w:pPr>
        <w:spacing w:after="0" w:line="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This registrational trial met its primary endpoint demonstrating the efficacy of </w:t>
      </w:r>
      <w:r>
        <w:rPr>
          <w:rFonts w:ascii="Arial" w:cs="Arial" w:eastAsia="Arial" w:hAnsi="Arial"/>
          <w:sz w:val="18"/>
          <w:szCs w:val="18"/>
          <w:i w:val="1"/>
          <w:iCs w:val="1"/>
          <w:color w:val="auto"/>
        </w:rPr>
        <w:t>nab-</w:t>
      </w:r>
      <w:r>
        <w:rPr>
          <w:rFonts w:ascii="Arial" w:cs="Arial" w:eastAsia="Arial" w:hAnsi="Arial"/>
          <w:sz w:val="18"/>
          <w:szCs w:val="18"/>
          <w:color w:val="auto"/>
        </w:rPr>
        <w:t>sirolimus in this rare disease for which there was no FDA approved treatment, with an independently assessed ORR of 39% (95% CI: 22%, 58%). Disease control (defined as complete or partial response (“CR” or “PR”) + stable disease ≥12 weeks) was achieved in 71% of patients. FYARRO (</w:t>
      </w:r>
      <w:r>
        <w:rPr>
          <w:rFonts w:ascii="Arial" w:cs="Arial" w:eastAsia="Arial" w:hAnsi="Arial"/>
          <w:sz w:val="18"/>
          <w:szCs w:val="18"/>
          <w:i w:val="1"/>
          <w:iCs w:val="1"/>
          <w:color w:val="auto"/>
        </w:rPr>
        <w:t>nab-</w:t>
      </w:r>
      <w:r>
        <w:rPr>
          <w:rFonts w:ascii="Arial" w:cs="Arial" w:eastAsia="Arial" w:hAnsi="Arial"/>
          <w:sz w:val="18"/>
          <w:szCs w:val="18"/>
          <w:color w:val="auto"/>
        </w:rPr>
        <w:t>sirolimus) was subsequently approved by the FDA for the treatment of advanced malignant PEComa on November 22, 2021.</w:t>
      </w:r>
    </w:p>
    <w:p>
      <w:pPr>
        <w:spacing w:after="0" w:line="79"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Sixty-seven percent (8 of 12) of responses were seen at the first scan after baseline at week six (median time to response 1.4 months, 95% CI: 1.3 to 2.8 months). At the time of the primary analysis (predefined as when all patients had an opportunity to be treated for 6 months), the median for the key secondary endpoint of DOR was not yet reached, with 9 of 12 responders still on treatment (DOR range 4.2+, 27.7+ months). At 1.5-years of follow-up after the primary analysis date (i.e., 2-years after the last patient-initiated treatment), 7 of 12 responders were still receiving treatment and the median DOR was still not reached, with 50% of patients exceeding 2.5 years (DOR range 5.6, 47.2+ months).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 w:name="page11"/>
    <w:bookmarkEnd w:id="10"/>
    <w:p>
      <w:pPr>
        <w:ind w:right="180"/>
        <w:spacing w:after="0" w:line="259" w:lineRule="auto"/>
        <w:rPr>
          <w:sz w:val="20"/>
          <w:szCs w:val="20"/>
          <w:color w:val="auto"/>
        </w:rPr>
      </w:pPr>
      <w:r>
        <w:rPr>
          <w:rFonts w:ascii="Arial" w:cs="Arial" w:eastAsia="Arial" w:hAnsi="Arial"/>
          <w:sz w:val="18"/>
          <w:szCs w:val="18"/>
          <w:color w:val="auto"/>
        </w:rPr>
        <w:t>Figure 6 shows the target tumor responses (waterfall plot). One patient with a primary renal PEComa metastatic to the lungs and lymph nodes had a PR for 10 months that converted to a CR. Responses were independent of the primary site and were observed in tumors originating in the uterus (3), kidney (3), retroperitoneum (2), pelvis (2), liver (1), and small bowel (1). Notably, 43% (3/7) of patients with uterine PEComa had a partial response. Responses were also observed in 3/4 patients who had previously received chemotherapy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6 </w:t>
      </w:r>
      <w:r>
        <w:rPr>
          <w:rFonts w:ascii="Arial" w:cs="Arial" w:eastAsia="Arial" w:hAnsi="Arial"/>
          <w:sz w:val="18"/>
          <w:szCs w:val="18"/>
          <w:color w:val="auto"/>
        </w:rPr>
        <w:t>– Waterfall plot of Maximum Reduction in Target Lesions, Two-year Follow-up (Wagner et al., JCO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85725</wp:posOffset>
            </wp:positionV>
            <wp:extent cx="4114800" cy="22371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48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 patient with unconfirmed PR is considered having SD as best response (trial required confirmation of responses per RECIST v1.1). Additionally, a patient with a complete response of target tumor reduction had a PR as best response because of unresolved nontarget lesions at the 2-year data cutoff (Wagner et al, JCO 2021); however, this patient later achieved a confirmed complete response (FYARRO Prescribing Information).</w:t>
      </w:r>
    </w:p>
    <w:p>
      <w:pPr>
        <w:spacing w:after="0" w:line="79"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Treatment-related adverse events (“TRAE”) were consistent with those reported for other mTOR inhibitors. The most common hematologic events were anemia and thrombocytopenia, and the most common nonhematologic events were mucositis, rash and fatigue. The details are provided in Table 1 below. There were no grade 4 or 5 TRAEs. Noninfectious pneumonitis occurred in 6/34 (18%) patients and all were low grade (G1/G2). Patient discontinuation due to adverse events occurred on 2/34 (6%) patients (one grade 2 anemia and one grade 1 cystitis). Dose reductions occurred in 13/34 (38%) patients; 11 patients had a one dose reduction from 100 mg/m2 to 75 mg/m2 and 2 patients had two dose reductions to 56 mg/m2.</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83185</wp:posOffset>
            </wp:positionV>
            <wp:extent cx="2665730" cy="2177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6573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11" w:name="page12"/>
    <w:bookmarkEnd w:id="11"/>
    <w:p>
      <w:pPr>
        <w:ind w:left="880" w:hanging="440"/>
        <w:spacing w:after="0"/>
        <w:tabs>
          <w:tab w:leader="none" w:pos="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Indicates groupings of preferred terms defined by standardized queries in the Medical Dictionary for Regulatory Activities.</w:t>
      </w:r>
    </w:p>
    <w:p>
      <w:pPr>
        <w:spacing w:after="0" w:line="55" w:lineRule="exact"/>
        <w:rPr>
          <w:rFonts w:ascii="Arial" w:cs="Arial" w:eastAsia="Arial" w:hAnsi="Arial"/>
          <w:sz w:val="14"/>
          <w:szCs w:val="14"/>
          <w:color w:val="auto"/>
        </w:rPr>
      </w:pPr>
    </w:p>
    <w:p>
      <w:pPr>
        <w:ind w:left="880" w:right="800" w:hanging="440"/>
        <w:spacing w:after="0" w:line="253" w:lineRule="auto"/>
        <w:tabs>
          <w:tab w:leader="none" w:pos="880" w:val="left"/>
        </w:tabs>
        <w:numPr>
          <w:ilvl w:val="0"/>
          <w:numId w:val="6"/>
        </w:numPr>
        <w:rPr>
          <w:rFonts w:ascii="Arial" w:cs="Arial" w:eastAsia="Arial" w:hAnsi="Arial"/>
          <w:sz w:val="14"/>
          <w:szCs w:val="14"/>
          <w:color w:val="231F20"/>
        </w:rPr>
      </w:pPr>
      <w:r>
        <w:rPr>
          <w:rFonts w:ascii="Arial" w:cs="Arial" w:eastAsia="Arial" w:hAnsi="Arial"/>
          <w:sz w:val="14"/>
          <w:szCs w:val="14"/>
          <w:color w:val="auto"/>
        </w:rPr>
        <w:t>Additional G3 TRAEs were 6% hypokalemia, and 3% each of AST/ALT, amylase, hypophosphatemia, insomnia, lipase, lymphocyte, skin infection, vomiting. No G4 TRAEs were reported</w:t>
      </w:r>
    </w:p>
    <w:p>
      <w:pPr>
        <w:spacing w:after="0" w:line="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December 2017, we received Orphan Drug Designation (“ODD”) for FYARRO for the treatment of patients with advanced malignant PEComa. In October 2018, the FDA granted Fast Track designation for FYARRO for the treatment of patients with advanced malignant PEComa. In December 2018, the FDA granted Breakthrough Therapy Designation (“BTD”) for FYARRO for the treatment of patients with advanced malignant PEComa. The FDA accepted the NDA in July 2021, and we were granted full approval on November 22,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FYARRO for TSC1 or TSC2 Alterations in Solid Tumors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TSC1</w:t>
      </w:r>
      <w:r>
        <w:rPr>
          <w:rFonts w:ascii="Arial" w:cs="Arial" w:eastAsia="Arial" w:hAnsi="Arial"/>
          <w:sz w:val="17"/>
          <w:szCs w:val="17"/>
          <w:color w:val="auto"/>
        </w:rPr>
        <w:t xml:space="preserve"> and </w:t>
      </w:r>
      <w:r>
        <w:rPr>
          <w:rFonts w:ascii="Arial" w:cs="Arial" w:eastAsia="Arial" w:hAnsi="Arial"/>
          <w:sz w:val="17"/>
          <w:szCs w:val="17"/>
          <w:i w:val="1"/>
          <w:iCs w:val="1"/>
          <w:color w:val="auto"/>
        </w:rPr>
        <w:t>TSC2</w:t>
      </w:r>
      <w:r>
        <w:rPr>
          <w:rFonts w:ascii="Arial" w:cs="Arial" w:eastAsia="Arial" w:hAnsi="Arial"/>
          <w:sz w:val="17"/>
          <w:szCs w:val="17"/>
          <w:color w:val="auto"/>
        </w:rPr>
        <w:t xml:space="preserve"> genes encode for proteins that form a tumor suppressor complex that down regulates mTORC1 activity. Inactivating alterations in the </w:t>
      </w:r>
      <w:r>
        <w:rPr>
          <w:rFonts w:ascii="Arial" w:cs="Arial" w:eastAsia="Arial" w:hAnsi="Arial"/>
          <w:sz w:val="17"/>
          <w:szCs w:val="17"/>
          <w:i w:val="1"/>
          <w:iCs w:val="1"/>
          <w:color w:val="auto"/>
        </w:rPr>
        <w:t xml:space="preserve">TSC1 </w:t>
      </w:r>
      <w:r>
        <w:rPr>
          <w:rFonts w:ascii="Arial" w:cs="Arial" w:eastAsia="Arial" w:hAnsi="Arial"/>
          <w:sz w:val="17"/>
          <w:szCs w:val="17"/>
          <w:color w:val="auto"/>
        </w:rPr>
        <w:t>or</w:t>
      </w:r>
      <w:r>
        <w:rPr>
          <w:rFonts w:ascii="Arial" w:cs="Arial" w:eastAsia="Arial" w:hAnsi="Arial"/>
          <w:sz w:val="17"/>
          <w:szCs w:val="17"/>
          <w:i w:val="1"/>
          <w:iCs w:val="1"/>
          <w:color w:val="auto"/>
        </w:rPr>
        <w:t xml:space="preserve"> TSC2 </w:t>
      </w:r>
      <w:r>
        <w:rPr>
          <w:rFonts w:ascii="Arial" w:cs="Arial" w:eastAsia="Arial" w:hAnsi="Arial"/>
          <w:sz w:val="17"/>
          <w:szCs w:val="17"/>
          <w:color w:val="auto"/>
        </w:rPr>
        <w:t>genes can result in activation of mTORC1.</w:t>
      </w:r>
      <w:r>
        <w:rPr>
          <w:rFonts w:ascii="Arial" w:cs="Arial" w:eastAsia="Arial" w:hAnsi="Arial"/>
          <w:sz w:val="17"/>
          <w:szCs w:val="17"/>
          <w:i w:val="1"/>
          <w:iCs w:val="1"/>
          <w:color w:val="auto"/>
        </w:rPr>
        <w:t xml:space="preserve"> TSC1 </w:t>
      </w:r>
      <w:r>
        <w:rPr>
          <w:rFonts w:ascii="Arial" w:cs="Arial" w:eastAsia="Arial" w:hAnsi="Arial"/>
          <w:sz w:val="17"/>
          <w:szCs w:val="17"/>
          <w:color w:val="auto"/>
        </w:rPr>
        <w:t>or</w:t>
      </w:r>
      <w:r>
        <w:rPr>
          <w:rFonts w:ascii="Arial" w:cs="Arial" w:eastAsia="Arial" w:hAnsi="Arial"/>
          <w:sz w:val="17"/>
          <w:szCs w:val="17"/>
          <w:i w:val="1"/>
          <w:iCs w:val="1"/>
          <w:color w:val="auto"/>
        </w:rPr>
        <w:t xml:space="preserve"> TSC2 </w:t>
      </w:r>
      <w:r>
        <w:rPr>
          <w:rFonts w:ascii="Arial" w:cs="Arial" w:eastAsia="Arial" w:hAnsi="Arial"/>
          <w:sz w:val="17"/>
          <w:szCs w:val="17"/>
          <w:color w:val="auto"/>
        </w:rPr>
        <w:t>alterations have been reported across a broad range of cancer types.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SEER cancer statistics database and an analysis of mutation frequency by cancer type using the TCGA and cBioPortal databases, we believe there is a significant number of new patients with </w:t>
      </w:r>
      <w:r>
        <w:rPr>
          <w:rFonts w:ascii="Arial" w:cs="Arial" w:eastAsia="Arial" w:hAnsi="Arial"/>
          <w:sz w:val="17"/>
          <w:szCs w:val="17"/>
          <w:i w:val="1"/>
          <w:iCs w:val="1"/>
          <w:color w:val="auto"/>
        </w:rPr>
        <w:t>TSC1</w:t>
      </w:r>
      <w:r>
        <w:rPr>
          <w:rFonts w:ascii="Arial" w:cs="Arial" w:eastAsia="Arial" w:hAnsi="Arial"/>
          <w:sz w:val="17"/>
          <w:szCs w:val="17"/>
          <w:color w:val="auto"/>
        </w:rPr>
        <w:t xml:space="preserve"> or </w:t>
      </w:r>
      <w:r>
        <w:rPr>
          <w:rFonts w:ascii="Arial" w:cs="Arial" w:eastAsia="Arial" w:hAnsi="Arial"/>
          <w:sz w:val="17"/>
          <w:szCs w:val="17"/>
          <w:i w:val="1"/>
          <w:iCs w:val="1"/>
          <w:color w:val="auto"/>
        </w:rPr>
        <w:t>TSC2</w:t>
      </w:r>
      <w:r>
        <w:rPr>
          <w:rFonts w:ascii="Arial" w:cs="Arial" w:eastAsia="Arial" w:hAnsi="Arial"/>
          <w:sz w:val="17"/>
          <w:szCs w:val="17"/>
          <w:color w:val="auto"/>
        </w:rPr>
        <w:t xml:space="preserve"> inactivating alterations per year in the U.S (see chart titled “Projected Annual Incidence of Cancers with </w:t>
      </w:r>
      <w:r>
        <w:rPr>
          <w:rFonts w:ascii="Arial" w:cs="Arial" w:eastAsia="Arial" w:hAnsi="Arial"/>
          <w:sz w:val="17"/>
          <w:szCs w:val="17"/>
          <w:i w:val="1"/>
          <w:iCs w:val="1"/>
          <w:color w:val="auto"/>
        </w:rPr>
        <w:t>TSC1</w:t>
      </w:r>
      <w:r>
        <w:rPr>
          <w:rFonts w:ascii="Arial" w:cs="Arial" w:eastAsia="Arial" w:hAnsi="Arial"/>
          <w:sz w:val="17"/>
          <w:szCs w:val="17"/>
          <w:color w:val="auto"/>
        </w:rPr>
        <w:t xml:space="preserve"> and </w:t>
      </w:r>
      <w:r>
        <w:rPr>
          <w:rFonts w:ascii="Arial" w:cs="Arial" w:eastAsia="Arial" w:hAnsi="Arial"/>
          <w:sz w:val="17"/>
          <w:szCs w:val="17"/>
          <w:i w:val="1"/>
          <w:iCs w:val="1"/>
          <w:color w:val="auto"/>
        </w:rPr>
        <w:t>TSC2</w:t>
      </w:r>
      <w:r>
        <w:rPr>
          <w:rFonts w:ascii="Arial" w:cs="Arial" w:eastAsia="Arial" w:hAnsi="Arial"/>
          <w:sz w:val="17"/>
          <w:szCs w:val="17"/>
          <w:color w:val="auto"/>
        </w:rPr>
        <w:t xml:space="preserve"> Alterations” below). While there are no therapies approved specifically for </w:t>
      </w:r>
      <w:r>
        <w:rPr>
          <w:rFonts w:ascii="Arial" w:cs="Arial" w:eastAsia="Arial" w:hAnsi="Arial"/>
          <w:sz w:val="17"/>
          <w:szCs w:val="17"/>
          <w:i w:val="1"/>
          <w:iCs w:val="1"/>
          <w:color w:val="auto"/>
        </w:rPr>
        <w:t>TSC1</w:t>
      </w:r>
      <w:r>
        <w:rPr>
          <w:rFonts w:ascii="Arial" w:cs="Arial" w:eastAsia="Arial" w:hAnsi="Arial"/>
          <w:sz w:val="17"/>
          <w:szCs w:val="17"/>
          <w:color w:val="auto"/>
        </w:rPr>
        <w:t xml:space="preserve"> or </w:t>
      </w:r>
      <w:r>
        <w:rPr>
          <w:rFonts w:ascii="Arial" w:cs="Arial" w:eastAsia="Arial" w:hAnsi="Arial"/>
          <w:sz w:val="17"/>
          <w:szCs w:val="17"/>
          <w:i w:val="1"/>
          <w:iCs w:val="1"/>
          <w:color w:val="auto"/>
        </w:rPr>
        <w:t>TSC2</w:t>
      </w:r>
      <w:r>
        <w:rPr>
          <w:rFonts w:ascii="Arial" w:cs="Arial" w:eastAsia="Arial" w:hAnsi="Arial"/>
          <w:sz w:val="17"/>
          <w:szCs w:val="17"/>
          <w:color w:val="auto"/>
        </w:rPr>
        <w:t xml:space="preserve"> alterations, numerous case reports show durable responses to mTOR inhibition in patients with these alterations.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291465</wp:posOffset>
            </wp:positionV>
            <wp:extent cx="4663440" cy="2339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6344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TSC1 and TSC2 Alterations in the AMPECT Study</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An exploratory mutational analysis was conducted on patients treated with FYARRO in the AMPECT study in advanced malignant PEComa. In 25 patients with available mutational analysis, </w:t>
      </w:r>
      <w:r>
        <w:rPr>
          <w:rFonts w:ascii="Arial" w:cs="Arial" w:eastAsia="Arial" w:hAnsi="Arial"/>
          <w:sz w:val="16"/>
          <w:szCs w:val="16"/>
          <w:i w:val="1"/>
          <w:iCs w:val="1"/>
          <w:color w:val="auto"/>
        </w:rPr>
        <w:t>TSC1</w:t>
      </w:r>
      <w:r>
        <w:rPr>
          <w:rFonts w:ascii="Arial" w:cs="Arial" w:eastAsia="Arial" w:hAnsi="Arial"/>
          <w:sz w:val="16"/>
          <w:szCs w:val="16"/>
          <w:color w:val="auto"/>
        </w:rPr>
        <w:t xml:space="preserve"> or </w:t>
      </w:r>
      <w:r>
        <w:rPr>
          <w:rFonts w:ascii="Arial" w:cs="Arial" w:eastAsia="Arial" w:hAnsi="Arial"/>
          <w:sz w:val="16"/>
          <w:szCs w:val="16"/>
          <w:i w:val="1"/>
          <w:iCs w:val="1"/>
          <w:color w:val="auto"/>
        </w:rPr>
        <w:t>TSC2</w:t>
      </w:r>
      <w:r>
        <w:rPr>
          <w:rFonts w:ascii="Arial" w:cs="Arial" w:eastAsia="Arial" w:hAnsi="Arial"/>
          <w:sz w:val="16"/>
          <w:szCs w:val="16"/>
          <w:color w:val="auto"/>
        </w:rPr>
        <w:t xml:space="preserve"> alterations were found in 14 patients (56%). In this subset of patients with </w:t>
      </w:r>
      <w:r>
        <w:rPr>
          <w:rFonts w:ascii="Arial" w:cs="Arial" w:eastAsia="Arial" w:hAnsi="Arial"/>
          <w:sz w:val="16"/>
          <w:szCs w:val="16"/>
          <w:i w:val="1"/>
          <w:iCs w:val="1"/>
          <w:color w:val="auto"/>
        </w:rPr>
        <w:t>TSC1</w:t>
      </w:r>
      <w:r>
        <w:rPr>
          <w:rFonts w:ascii="Arial" w:cs="Arial" w:eastAsia="Arial" w:hAnsi="Arial"/>
          <w:sz w:val="16"/>
          <w:szCs w:val="16"/>
          <w:color w:val="auto"/>
        </w:rPr>
        <w:t xml:space="preserve"> or </w:t>
      </w:r>
      <w:r>
        <w:rPr>
          <w:rFonts w:ascii="Arial" w:cs="Arial" w:eastAsia="Arial" w:hAnsi="Arial"/>
          <w:sz w:val="16"/>
          <w:szCs w:val="16"/>
          <w:i w:val="1"/>
          <w:iCs w:val="1"/>
          <w:color w:val="auto"/>
        </w:rPr>
        <w:t>TSC2</w:t>
      </w:r>
      <w:r>
        <w:rPr>
          <w:rFonts w:ascii="Arial" w:cs="Arial" w:eastAsia="Arial" w:hAnsi="Arial"/>
          <w:sz w:val="16"/>
          <w:szCs w:val="16"/>
          <w:color w:val="auto"/>
        </w:rPr>
        <w:t xml:space="preserve"> alterations, the response rate was 64% (9/14) (Figure 8). In particular, </w:t>
      </w:r>
      <w:r>
        <w:rPr>
          <w:rFonts w:ascii="Arial" w:cs="Arial" w:eastAsia="Arial" w:hAnsi="Arial"/>
          <w:sz w:val="16"/>
          <w:szCs w:val="16"/>
          <w:i w:val="1"/>
          <w:iCs w:val="1"/>
          <w:color w:val="auto"/>
        </w:rPr>
        <w:t>TSC2</w:t>
      </w:r>
      <w:r>
        <w:rPr>
          <w:rFonts w:ascii="Arial" w:cs="Arial" w:eastAsia="Arial" w:hAnsi="Arial"/>
          <w:sz w:val="16"/>
          <w:szCs w:val="16"/>
          <w:color w:val="auto"/>
        </w:rPr>
        <w:t xml:space="preserve"> mutations were significantly associated with response (89% of patients) to FYARRO.</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Figure 8 – </w:t>
      </w:r>
      <w:r>
        <w:rPr>
          <w:rFonts w:ascii="Arial" w:cs="Arial" w:eastAsia="Arial" w:hAnsi="Arial"/>
          <w:sz w:val="18"/>
          <w:szCs w:val="18"/>
          <w:color w:val="auto"/>
        </w:rPr>
        <w:t>Spider plot demonstrating change in the sum of target tumor measurements over time, based on mutation status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85725</wp:posOffset>
            </wp:positionV>
            <wp:extent cx="3823335" cy="2108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2333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40" w:hanging="49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Arrowheads indicate patients who were still on treatment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TSC1 and TSC2 Alterations in the Expanded Access Program</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An Expanded Access Program was opened to bridge access to FYARRO until market authorization for patients with advanced malignant PEComa; this program also included patients with various other malignancies having relevant genetic mutations in the mTOR pathway. Preliminary data was presented at ASCO Annual Meeting in 2021 showing the early results in tumors bearing </w:t>
      </w:r>
      <w:r>
        <w:rPr>
          <w:rFonts w:ascii="Arial" w:cs="Arial" w:eastAsia="Arial" w:hAnsi="Arial"/>
          <w:sz w:val="16"/>
          <w:szCs w:val="16"/>
          <w:i w:val="1"/>
          <w:iCs w:val="1"/>
          <w:color w:val="auto"/>
        </w:rPr>
        <w:t>TSC1</w:t>
      </w:r>
      <w:r>
        <w:rPr>
          <w:rFonts w:ascii="Arial" w:cs="Arial" w:eastAsia="Arial" w:hAnsi="Arial"/>
          <w:sz w:val="16"/>
          <w:szCs w:val="16"/>
          <w:color w:val="auto"/>
        </w:rPr>
        <w:t xml:space="preserve"> or </w:t>
      </w:r>
      <w:r>
        <w:rPr>
          <w:rFonts w:ascii="Arial" w:cs="Arial" w:eastAsia="Arial" w:hAnsi="Arial"/>
          <w:sz w:val="16"/>
          <w:szCs w:val="16"/>
          <w:i w:val="1"/>
          <w:iCs w:val="1"/>
          <w:color w:val="auto"/>
        </w:rPr>
        <w:t>TSC2</w:t>
      </w:r>
      <w:r>
        <w:rPr>
          <w:rFonts w:ascii="Arial" w:cs="Arial" w:eastAsia="Arial" w:hAnsi="Arial"/>
          <w:sz w:val="16"/>
          <w:szCs w:val="16"/>
          <w:color w:val="auto"/>
        </w:rPr>
        <w:t xml:space="preserve"> inactivating alterations in patients with histologies other than advanced malignant PEComa. Of the 8 patients treated with FYARRO, 7 patients were evaluable for response analysis and 1 patient progressed before the first scan. Five of 8 patients (63%, 95% CI: 25%-92%) achieved a confirmed PR. Amongst the patients who were mTOR inhibitor-naïve, 5 of 6 (83%, 95% CI: 36%-99+%) achieved a confirmed PR. Duration of response at data cutoff ranged from 3.1 to 9.7+ months and 3 of 5 responders continue on treatment. A waterfall plot of tumor response is provided below Figure 9. Figure 10 shows the prior therapy and duration of treatment for each patient. Patients with inactivating alterations in either </w:t>
      </w:r>
      <w:r>
        <w:rPr>
          <w:rFonts w:ascii="Arial" w:cs="Arial" w:eastAsia="Arial" w:hAnsi="Arial"/>
          <w:sz w:val="16"/>
          <w:szCs w:val="16"/>
          <w:i w:val="1"/>
          <w:iCs w:val="1"/>
          <w:color w:val="auto"/>
        </w:rPr>
        <w:t>TSC1</w:t>
      </w:r>
      <w:r>
        <w:rPr>
          <w:rFonts w:ascii="Arial" w:cs="Arial" w:eastAsia="Arial" w:hAnsi="Arial"/>
          <w:sz w:val="16"/>
          <w:szCs w:val="16"/>
          <w:color w:val="auto"/>
        </w:rPr>
        <w:t xml:space="preserve"> or </w:t>
      </w:r>
      <w:r>
        <w:rPr>
          <w:rFonts w:ascii="Arial" w:cs="Arial" w:eastAsia="Arial" w:hAnsi="Arial"/>
          <w:sz w:val="16"/>
          <w:szCs w:val="16"/>
          <w:i w:val="1"/>
          <w:iCs w:val="1"/>
          <w:color w:val="auto"/>
        </w:rPr>
        <w:t>TSC2</w:t>
      </w:r>
      <w:r>
        <w:rPr>
          <w:rFonts w:ascii="Arial" w:cs="Arial" w:eastAsia="Arial" w:hAnsi="Arial"/>
          <w:sz w:val="16"/>
          <w:szCs w:val="16"/>
          <w:color w:val="auto"/>
        </w:rPr>
        <w:t xml:space="preserve"> achieved tumor shrinkage and clinical benefit.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154305</wp:posOffset>
            </wp:positionV>
            <wp:extent cx="3291840" cy="25114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9184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Figure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85725</wp:posOffset>
            </wp:positionV>
            <wp:extent cx="5177790" cy="2434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7779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Treatment-emergent adverse events (“TEAE”) (30%) included edema, infections, mucositis, and pain (71% each), nail changes and vomiting (57% each), and hypertension and nausea (43% each). The majority of the events were G1/G2. Treatment-related serious adverse events (“TESAE”) were reported in 2 patients and included hyperglycemia and infection (patients #4 and #5) and acute kidney injury (patient #7) possibly also related to administration of contrast. Dose reductions occurred in 3/8 patients (38%) from 100 mg/m2 to 75 mg/m2.</w:t>
      </w:r>
    </w:p>
    <w:p>
      <w:pPr>
        <w:spacing w:after="0" w:line="7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 xml:space="preserve">A recent published case report summarized the results of a patient with malignant PEComa patient with a </w:t>
      </w:r>
      <w:r>
        <w:rPr>
          <w:rFonts w:ascii="Arial" w:cs="Arial" w:eastAsia="Arial" w:hAnsi="Arial"/>
          <w:sz w:val="18"/>
          <w:szCs w:val="18"/>
          <w:i w:val="1"/>
          <w:iCs w:val="1"/>
          <w:color w:val="auto"/>
        </w:rPr>
        <w:t>TSC1</w:t>
      </w:r>
      <w:r>
        <w:rPr>
          <w:rFonts w:ascii="Arial" w:cs="Arial" w:eastAsia="Arial" w:hAnsi="Arial"/>
          <w:sz w:val="18"/>
          <w:szCs w:val="18"/>
          <w:color w:val="auto"/>
        </w:rPr>
        <w:t xml:space="preserve"> alteration who enrolled in the Expanded Access Program after having progressed through treatment with the mTOR inhibitor everolimus. The patient demonstrated a rapid and durable response to FYARRO.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FYARRO in patients with prior mTOR inhibitors</w:t>
      </w:r>
    </w:p>
    <w:p>
      <w:pPr>
        <w:spacing w:after="0" w:line="117"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 xml:space="preserve">A post hoc electronic medical record review provided evidence of clinical benefit of </w:t>
      </w:r>
      <w:r>
        <w:rPr>
          <w:rFonts w:ascii="Arial" w:cs="Arial" w:eastAsia="Arial" w:hAnsi="Arial"/>
          <w:sz w:val="17"/>
          <w:szCs w:val="17"/>
          <w:i w:val="1"/>
          <w:iCs w:val="1"/>
          <w:color w:val="auto"/>
        </w:rPr>
        <w:t>nab</w:t>
      </w:r>
      <w:r>
        <w:rPr>
          <w:rFonts w:ascii="Arial" w:cs="Arial" w:eastAsia="Arial" w:hAnsi="Arial"/>
          <w:sz w:val="17"/>
          <w:szCs w:val="17"/>
          <w:color w:val="auto"/>
        </w:rPr>
        <w:t xml:space="preserve">-sirolimus in patients with malignant PEComa who had prior mTOR inhibitor exposure: 25% achieved a response (duration of response range: 1.3+–25.2+ months, 3 ongoing), and 50% had stable disease as best response as best response. Of patients with </w:t>
      </w:r>
      <w:r>
        <w:rPr>
          <w:rFonts w:ascii="Arial" w:cs="Arial" w:eastAsia="Arial" w:hAnsi="Arial"/>
          <w:sz w:val="17"/>
          <w:szCs w:val="17"/>
          <w:i w:val="1"/>
          <w:iCs w:val="1"/>
          <w:color w:val="auto"/>
        </w:rPr>
        <w:t>TSC1 or TSC2</w:t>
      </w:r>
      <w:r>
        <w:rPr>
          <w:rFonts w:ascii="Arial" w:cs="Arial" w:eastAsia="Arial" w:hAnsi="Arial"/>
          <w:sz w:val="17"/>
          <w:szCs w:val="17"/>
          <w:color w:val="auto"/>
        </w:rPr>
        <w:t xml:space="preserve"> inactivating alterations, 44% had a response.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FYARRO for other indications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FYARRO is currently being tested in early-stage, dose-finding studies to determine the appropriate dose of FYARRO in combination with various agents in tumor types including colorectal cancer, sarcoma and other indications. We expect to report data from one or more of these combination studies in the second half of 2022. We believe there is a significant opportunity to utilize FYARRO in other indications as a monotherapy, e.g., in other mTOR pathway mutations, as well as in combination with other targeted therapies, particularly in mTOR adjacent signaling pathways. These additional indications may be important drivers of commercial value and will be evaluated in the future.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profile FYARRO</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demonstrated the antitumor activity of FYARRO in a series of nonclinical pharmacology studies. FYARRO exhibited antitumor activity as a single agent and in combination with other therapeutic agents in a wide range of tumor types. As a single agent, FYARRO significantly inhibited tumor growth of multiple human and mouse tumor models with known mTOR pathway activation including colon, breast, ovarian, bladder, and liver human tumor xenograft models, and in a melanoma mouse tumor model. In addition, the antitumor activity of FYARRO was significantly increased in combination with an EGFR tyrosine kinase inhibitor, an AKT inhibitor, doxorubicin, a Hsp90 inhibitor, gemcitabine, and anti-PD1 (programmed cell death protein 1) antibody. In nonclinical PK studies, we have shown that FYARRO intravenous (“IV”) administration resulted in significant, rapid, and prolonged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4" w:name="page15"/>
    <w:bookmarkEnd w:id="14"/>
    <w:p>
      <w:pPr>
        <w:ind w:right="400"/>
        <w:spacing w:after="0" w:line="277" w:lineRule="auto"/>
        <w:rPr>
          <w:sz w:val="20"/>
          <w:szCs w:val="20"/>
          <w:color w:val="auto"/>
        </w:rPr>
      </w:pPr>
      <w:r>
        <w:rPr>
          <w:rFonts w:ascii="Arial" w:cs="Arial" w:eastAsia="Arial" w:hAnsi="Arial"/>
          <w:sz w:val="18"/>
          <w:szCs w:val="18"/>
          <w:color w:val="auto"/>
        </w:rPr>
        <w:t>sirolimus distribution to different organs and in tumors. As a single agent monotherapy and in combination with other therapies, FYARRO was well tolerated with limited body weight loss.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March 2019, at the American Association for Cancer Research Annual Meeting, we presented preclinical data that describes the tumor accumulation, mTOR target inhibition, and antitumor activity of FYARRO IV in comparison to oral sirolimus and oral everolimus in athymic mice bearing UMUC3 human bladder tumor xenografts. At a clinically relevant dose of 15 mg/kg/week for all agents, FYARRO resulted in higher drug accumulation in tumors and stronger suppression of mTOR target pS6, which correlated with significantly greater tumor growth inhibition and prolonged survival compared with equal weekly dose of oral sirolimus and everolimus.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222885</wp:posOffset>
            </wp:positionV>
            <wp:extent cx="4663440" cy="1885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6344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also determined the antitumor activity of FYARRO in comparison to oral Rapamune against TSC2-null SNU-398 human liver tumor xenografts. At equal weekly dose of 15 mg/kg/week, FYARRO IV resulted in significantly greater tumor growth inhibition and longer animal survival, which correlated with stronger suppression of mTOR downstream targets pS6K, pS6, and p4EBP1 as measured by western blot.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222885</wp:posOffset>
            </wp:positionV>
            <wp:extent cx="4663440" cy="1148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6344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Taken together, the nonclinical studies support the clinical development of FYARRO as an anticancer therapy.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We strive to protect the proprietary technologies that we believe are important to our business, including pursuing and maintaining patent protection intended to cover formulations of FYARRO, its methods of use, related technologies, and other inventions that are important to our business. In addition to patent protection, we also rely on trade secrets to protect aspects of our business that are not amenable to, or that we do not consider appropriate for, patent protection, including our proprietary method of manufacturing FYARRO.</w:t>
      </w:r>
    </w:p>
    <w:p>
      <w:pPr>
        <w:spacing w:after="0" w:line="6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Our commercial success depends in part upon our ability to obtain and maintain patent and other proprietary protection for FYARRO and other commercially important technologies, inventions, and know-how related to our</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15" w:name="page16"/>
    <w:bookmarkEnd w:id="15"/>
    <w:p>
      <w:pPr>
        <w:ind w:right="280"/>
        <w:spacing w:after="0" w:line="277" w:lineRule="auto"/>
        <w:rPr>
          <w:sz w:val="20"/>
          <w:szCs w:val="20"/>
          <w:color w:val="auto"/>
        </w:rPr>
      </w:pPr>
      <w:r>
        <w:rPr>
          <w:rFonts w:ascii="Arial" w:cs="Arial" w:eastAsia="Arial" w:hAnsi="Arial"/>
          <w:sz w:val="18"/>
          <w:szCs w:val="18"/>
          <w:color w:val="auto"/>
        </w:rPr>
        <w:t>business, defend and enforce our intellectual property rights, in particular, our patent rights, preserve the confidentiality of our trade secrets, and operate without infringing valid and enforceable intellectual property rights of others.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patent positions for biotechnology and pharmaceutical companies like us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In addition, the coverage claimed in a patent application can be significantly reduced before a patent is issued, and its scope can be reinterpreted and even challenged after issuance. As a result, we cannot guarantee that FYARRO will be protected or remain protectable by enforceable patents. Moreover, any patents that we hold may be challenged, circumvented, or invalidated by third parties. For more information regarding the risks related to our intellectual property please see “Risk Factors— Risks Related to Our Intellectual Property”.</w:t>
      </w:r>
    </w:p>
    <w:p>
      <w:pPr>
        <w:spacing w:after="0" w:line="8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exclusively license 10 patents from Celgene, by which Celgene granted us an exclusive, sublicensable license under Celgene’s rights to certain patents and patent applications relating to FYARRO. With regard to FYARRO, as of December 31, 2021, we licensed 4 issued U.S. patents with composition of matter and method of use claims covering this product. The first issued U.S. patent is expected to expire in 2029, and the other three are expected to expire in 2030, 2036, and 2036 respectively. In addition, we licensed related patents in Europe, Australia, North America, South America, and Asia that are expected to expire between 2022 and 2037. We also licensed 174 pending U.S. applications and related pending applications in Europe, Australia, North America, South America, Africa, and Asia. In addition, we also licensed two pending Patent Cooperation Treaty (“PCT”) patent applications directed to composition of matter and new uses related to this product, which if granted, are expected to expire in 2040.</w:t>
      </w:r>
    </w:p>
    <w:p>
      <w:pPr>
        <w:spacing w:after="0" w:line="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U.S., the term of a patent covering an FDA approved drug may, in certain cases, be eligible for a patent term extension under the Drug Price Competition and Patent Term Restoration Act of 1984, commonly referred to as the Hatch-Waxman Act, as compensation for the loss of patent term during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In January 2022, we filed an application for patent term extension based on the approval of FYARRO. We also intend to seek patent term extensions in any jurisdictions where they are available, however, there is no guarantee that the applicable authorities, including the FDA, will agree with our assessment of whether such extensions should be granted, and even if granted, the length of such extensions.</w:t>
      </w:r>
    </w:p>
    <w:p>
      <w:pPr>
        <w:spacing w:after="0" w:line="5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to patent protection, we also rely on trade secret protection for our proprietary information that is not amenable to, or that we do not consider appropriate for, patent protection, including, for example, certain aspects of our manufacturing processes for the nanoparticle compositions. However, trade secrets can be difficult to protect. Although we take steps to protect our proprietary information, including restricting access to our premises and our confidential information, as well as entering into agreements with our employees, consultants, advisors, and potential collaborators, such individuals may breach such agreements and disclose our proprietary information including our trade secrets, and we may not be able to obtain adequate remedies for such breaches. In addition, third parties may independently develop the same or similar proprietary information or may otherwise gain access to our proprietary information. As a result, we may be unable to meaningfully protect our trade secrets and proprietary information. For more information regarding the risks related to our intellectual property please see “Risk Factors—Risks Related to Our Intellectual Property.”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Operations</w:t>
      </w:r>
    </w:p>
    <w:p>
      <w:pPr>
        <w:spacing w:after="0" w:line="12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have built a cross-functional commercial organization and infrastructure to support the launch of FYARRO for advanced malignant PEComa in the United States and will continue to evaluate potential partners in markets outside the United States. In December 2020, we entered into a License Agreement with EOC Pharma Limited pursuant to which we granted EOC Pharma Limited exclusive rights to develop and commercialize FYARRO in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180"/>
        <w:spacing w:after="0" w:line="293" w:lineRule="auto"/>
        <w:rPr>
          <w:sz w:val="20"/>
          <w:szCs w:val="20"/>
          <w:color w:val="auto"/>
        </w:rPr>
      </w:pPr>
      <w:r>
        <w:rPr>
          <w:rFonts w:ascii="Arial" w:cs="Arial" w:eastAsia="Arial" w:hAnsi="Arial"/>
          <w:sz w:val="16"/>
          <w:szCs w:val="16"/>
          <w:color w:val="auto"/>
        </w:rPr>
        <w:t>Greater China. We have hired an experienced oncology commercial team including marketing, market access, commercial operations and sales personnel to educate physicians who are prescribers of treatments for advanced malignant PEComa. Our sales team will be supported by marketing, commercial operations, and market access functions. We have assembled a network of specialty distributors and specialty pharmacies to distribute FYARRO across multiple sites of care in the United States. Additionally, the sales and marketing teams will manage relationships with key accounts such as managed care organizations, group purchasing organizations, hospital systems, physician group networks, and government accounts. To continue the development of commercial capabilities and infrastructure, we are investing significant amounts of financial and management resources.</w:t>
      </w:r>
    </w:p>
    <w:p>
      <w:pPr>
        <w:spacing w:after="0" w:line="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future approvals of FYARRO in other oncology indications, we intend to retain commercialization rights in the United States and leverage our commercial and marketing organization for FYARRO, with appropriate additions or modifications as necessitated by the specific indications pursued, assuming we obtain regulatory approval in the United States, and consider whether to build our own commercial and marketing organization in select markets outside the United States, or selectively establish partnerships. Accordingly, we will consider entering into relationships with strategic partners that enable the expansion of the ongoing clinical development and/or licenses for development and commercialization or distribution, while retaining significant value for our shareholders. These partnerships could focus on specific patient populations and their caregivers, on regional development, or on distribution and sales.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Any drug candidates that we successfully develop and commercialize will compete with existing drugs and new drugs that may become available in the future. We compete in the segments of the pharmaceutical, biotechnology, and other related markets that address inhibition of kinases in cancer and other rare genetic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Many of the companies against which we are competing against or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6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could see a reduction or elimination in our commercial opportunity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FYARRO are likely to be its efficacy, safety, convenience, price, the effectiveness of companion diagnostics, the level of generic competition, and the availability of reimbursement from government and other third-party payors.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FYARRO in Advanced Malignant PEComa</w:t>
      </w:r>
    </w:p>
    <w:p>
      <w:pPr>
        <w:spacing w:after="0" w:line="117"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In advanced malignant PEComa, other than FYARRO, there are no existing FDA approved therapies or drugs that have been studied in prospective clinical trials. Following FDA approval, the National Comprehensive Cancer Network (“NCCN”) Sarcoma panel included FYARRO as the only preferred regimen for treatment of malignant PEComa. As of today, we are not aware of any other companies pursuing FDA approval for drugs to treat advanced malignant PEComa.</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Competition for FYARRO in Tumor Agnostic TSC1 and TSC2 Inactivating Alterations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For tumor agnostic </w:t>
      </w:r>
      <w:r>
        <w:rPr>
          <w:rFonts w:ascii="Arial" w:cs="Arial" w:eastAsia="Arial" w:hAnsi="Arial"/>
          <w:sz w:val="18"/>
          <w:szCs w:val="18"/>
          <w:i w:val="1"/>
          <w:iCs w:val="1"/>
          <w:color w:val="auto"/>
        </w:rPr>
        <w:t>TSC1</w:t>
      </w:r>
      <w:r>
        <w:rPr>
          <w:rFonts w:ascii="Arial" w:cs="Arial" w:eastAsia="Arial" w:hAnsi="Arial"/>
          <w:sz w:val="18"/>
          <w:szCs w:val="18"/>
          <w:color w:val="auto"/>
        </w:rPr>
        <w:t xml:space="preserve"> or </w:t>
      </w:r>
      <w:r>
        <w:rPr>
          <w:rFonts w:ascii="Arial" w:cs="Arial" w:eastAsia="Arial" w:hAnsi="Arial"/>
          <w:sz w:val="18"/>
          <w:szCs w:val="18"/>
          <w:i w:val="1"/>
          <w:iCs w:val="1"/>
          <w:color w:val="auto"/>
        </w:rPr>
        <w:t>TSC2</w:t>
      </w:r>
      <w:r>
        <w:rPr>
          <w:rFonts w:ascii="Arial" w:cs="Arial" w:eastAsia="Arial" w:hAnsi="Arial"/>
          <w:sz w:val="18"/>
          <w:szCs w:val="18"/>
          <w:color w:val="auto"/>
        </w:rPr>
        <w:t xml:space="preserve"> inactivating alterations, there are no existing FDA approved drugs. If FYARRO receives marketing approval, it may face competition from available mTOR inhibitors including sirolimus, everolimus, and temsirolimus or other drug candidates in clinical trials that target the mTOR pathway, such as dual mTORC1/2 inhibitors or other next-generation mTOR inhibitors.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do not own or operate, and have no plans to establish, any manufacturing facilities. We currently rely on third parties to manufacture FYARRO for preclinical and clinical testing, as well as for our commercial supply of FYARRO.</w:t>
      </w:r>
    </w:p>
    <w:p>
      <w:pPr>
        <w:spacing w:after="0" w:line="62" w:lineRule="exact"/>
        <w:rPr>
          <w:sz w:val="20"/>
          <w:szCs w:val="20"/>
          <w:color w:val="auto"/>
        </w:rPr>
      </w:pPr>
    </w:p>
    <w:p>
      <w:pPr>
        <w:ind w:right="940"/>
        <w:spacing w:after="0" w:line="311" w:lineRule="auto"/>
        <w:rPr>
          <w:sz w:val="20"/>
          <w:szCs w:val="20"/>
          <w:color w:val="auto"/>
        </w:rPr>
      </w:pPr>
      <w:r>
        <w:rPr>
          <w:rFonts w:ascii="Arial" w:cs="Arial" w:eastAsia="Arial" w:hAnsi="Arial"/>
          <w:sz w:val="16"/>
          <w:szCs w:val="16"/>
          <w:color w:val="auto"/>
        </w:rPr>
        <w:t>The Amended and Restated License Agreement for FYARRO with Celgene dated November 2019, transferred the responsibility for manufacturing of FYARRO to us. FYARRO was previously manufactured for us by Celgene through their third-party manufacturer, Fresenius-Kabi, USA. As a result of the amendment to the License Agreement, we now obtain FYARRO directly from Fresenius-Kabi, USA.</w:t>
      </w:r>
    </w:p>
    <w:p>
      <w:pPr>
        <w:spacing w:after="0" w:line="4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To date, we have obtained drug substance and drug product from third-party manufacturers to support pre-clinical and clinical testing of FYARRO. On January 13, 2022, we entered into a Negotiated Purchase Order Terms and Conditions for Clinical and Commercial Product (the “Fresenius Agreement”) with Fresenius Kabi, LLC (“Fresenius Kab</w:t>
      </w:r>
      <w:r>
        <w:rPr>
          <w:rFonts w:ascii="Arial" w:cs="Arial" w:eastAsia="Arial" w:hAnsi="Arial"/>
          <w:sz w:val="17"/>
          <w:szCs w:val="17"/>
          <w:b w:val="1"/>
          <w:bCs w:val="1"/>
          <w:color w:val="auto"/>
        </w:rPr>
        <w:t>i</w:t>
      </w:r>
      <w:r>
        <w:rPr>
          <w:rFonts w:ascii="Arial" w:cs="Arial" w:eastAsia="Arial" w:hAnsi="Arial"/>
          <w:sz w:val="17"/>
          <w:szCs w:val="17"/>
          <w:color w:val="auto"/>
        </w:rPr>
        <w:t>”) pursuant to which Fresenius Kabi will manufacture FYARRO for us, and we will purchase FYARRO as a finished drug product from Fresenius Kabi, on a purchase-order basis. Under the Fresenius Agreement, which is effective through December 22, 2022 (or such later date as may be agreed between the parties in writing and currently being discussed), we may purchase FYARRO for either clinical or commercial purposes for use in the United States and Canada. In addition to manufacturing, Fresenius Kabi will perform specified labeling, packaging and serialization activities in respect of FYARRO for our benefit. The price of FYARRO will be fixed, subject to the ability of Fresenius Kabi to increase pricing under specified circumstances. We have an obligation to purchase certain minimum quantities of FYARRO. Failure to purchase those minimum quantities will result in an additional payment from us to Fresenius Kabi.</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Future purchases of FYARRO for all purposes will utilize the Fresenius-Kabi Grand Island, New York clinical and commercial supply agreement effective through December 2022. We have a fully validated commercial manufacturing process in place for FYARRO at the Fresenius-Kabi Grand Island Manufacturing facility. We are evaluating options with Fresenius Kabi to create redundant supply of FYARRO beyond 2022. We have supply agreements in place for key raw materials used in the manufacture of FYARRO such as the drug substance sirolimus and for human albumin, which are key ingredients in the drug product. We do not currently have arrangements in place for redundant supply of the key raw materials used in the manufacture of FYARRO. We expect to continue to evaluate options to cost-effectively produce FYARRO at contract manufacturing facilities.</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generally expect to rely on third parties for the manufacture or development of any companion diagnostics if we are required to do so in the future for FYARRO.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pharmaceutical and biological products, such as those we are developing. In addition, some government authorities regulate the pricing of such products. The process of obtaining regulatory approvals and the subsequent compliance with appropriate federal, state, local and foreign statutes and regulations require the expenditure of substantial time and financial resources.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ind w:right="560"/>
        <w:spacing w:after="0" w:line="342" w:lineRule="auto"/>
        <w:rPr>
          <w:sz w:val="20"/>
          <w:szCs w:val="20"/>
          <w:color w:val="auto"/>
        </w:rPr>
      </w:pPr>
      <w:r>
        <w:rPr>
          <w:rFonts w:ascii="Arial" w:cs="Arial" w:eastAsia="Arial" w:hAnsi="Arial"/>
          <w:sz w:val="16"/>
          <w:szCs w:val="16"/>
          <w:color w:val="auto"/>
        </w:rPr>
        <w:t>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1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U.S., the FDA regulates drugs under the Federal Food, Drug, and Cosmetic Act (“FDCA”) and its implementing regulations. Drugs are also subject to other federal, state, and local statutes and regulations. Drugs must be approved by the FDA through the NDA process before they may be legally marketed in the U.S. The process required by the FDA before a drug may be marketed in the U.S. generally involves the following:</w:t>
      </w:r>
    </w:p>
    <w:p>
      <w:pPr>
        <w:spacing w:after="0" w:line="57" w:lineRule="exact"/>
        <w:rPr>
          <w:sz w:val="20"/>
          <w:szCs w:val="20"/>
          <w:color w:val="auto"/>
        </w:rPr>
      </w:pPr>
    </w:p>
    <w:p>
      <w:pPr>
        <w:ind w:left="1080" w:right="58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completion of extensive preclinical, sometimes referred to as nonclinical, laboratory tests, animal studies, and formulation studies all performed in accordance with applicable regulations, including the FDA’s good laboratory practice (“GLP”) regulations;</w:t>
      </w:r>
    </w:p>
    <w:p>
      <w:pPr>
        <w:spacing w:after="0" w:line="15"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which must become effective before human clinical trials may begin and must be updated annually and amended in accordance with the regulations;</w:t>
      </w:r>
    </w:p>
    <w:p>
      <w:pPr>
        <w:spacing w:after="0" w:line="62" w:lineRule="exact"/>
        <w:rPr>
          <w:rFonts w:ascii="Arial" w:cs="Arial" w:eastAsia="Arial" w:hAnsi="Arial"/>
          <w:sz w:val="18"/>
          <w:szCs w:val="18"/>
          <w:color w:val="auto"/>
        </w:rPr>
      </w:pPr>
    </w:p>
    <w:p>
      <w:pPr>
        <w:ind w:left="1080" w:right="56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and other clinical trial-related regulations, sometimes referred to as good clinical practices (“GCPs”) to establish the safety and efficacy of the proposed drug for its proposed indication(s);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117"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active pharmaceutical ingredient (“API”) and finished drug product are produced to assess compliance with the FDA’s current good manufacturing practice requirements (“cGMP”);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FDA audit of the testing laboratories and clinical trial sites that generated the data in support of the NDA;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Prior to beginning a clinical trial with a product candidate in the United States, companies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8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line="269" w:lineRule="auto"/>
        <w:rPr>
          <w:sz w:val="20"/>
          <w:szCs w:val="20"/>
          <w:color w:val="auto"/>
        </w:rPr>
      </w:pPr>
      <w:r>
        <w:rPr>
          <w:rFonts w:ascii="Arial" w:cs="Arial" w:eastAsia="Arial" w:hAnsi="Arial"/>
          <w:sz w:val="17"/>
          <w:szCs w:val="17"/>
          <w:color w:val="auto"/>
        </w:rPr>
        <w:t>detailing, among other things, the objectives of the study, the parameters to be used in monitoring safety and the effectiveness criteria to be evaluated. A new IND, or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80" w:right="180" w:hanging="424"/>
        <w:spacing w:after="0" w:line="25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79" w:lineRule="exact"/>
        <w:rPr>
          <w:rFonts w:ascii="Arial" w:cs="Arial" w:eastAsia="Arial" w:hAnsi="Arial"/>
          <w:sz w:val="18"/>
          <w:szCs w:val="18"/>
          <w:color w:val="auto"/>
        </w:rPr>
      </w:pPr>
    </w:p>
    <w:p>
      <w:pPr>
        <w:ind w:left="1080" w:right="180" w:hanging="424"/>
        <w:spacing w:after="0" w:line="286"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57" w:lineRule="exact"/>
        <w:rPr>
          <w:rFonts w:ascii="Arial" w:cs="Arial" w:eastAsia="Arial" w:hAnsi="Arial"/>
          <w:sz w:val="17"/>
          <w:szCs w:val="17"/>
          <w:color w:val="auto"/>
        </w:rPr>
      </w:pPr>
    </w:p>
    <w:p>
      <w:pPr>
        <w:ind w:left="1080" w:right="30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7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 pivotal study is a clinical study that adequately meets regulatory agency requirements for the evaluation of a drug candidate’s efficacy and safety such that it can serve as the primary basis for approval of the drug. Generally, pivotal studies are also Phase 3 studies but may be Phase 2 studies if the trial design provides a well-controlled and reliable assessment of clinical benefit, particularly in situations where there is an unmet medical need. 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w:t>
      </w:r>
    </w:p>
    <w:p>
      <w:pPr>
        <w:spacing w:after="0" w:line="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in vitro testing that suggests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trials may not be completed successfully within any specified period, if at all. The FDA, the IRB,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7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may also suspend or terminate a clinical trial based on evolving business objectives and/or competitive climate. Concurrent with clinical trials, companies usually complete additional animal studies and must also develop</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0" w:name="page21"/>
    <w:bookmarkEnd w:id="20"/>
    <w:p>
      <w:pPr>
        <w:ind w:right="40"/>
        <w:spacing w:after="0" w:line="275" w:lineRule="auto"/>
        <w:rPr>
          <w:sz w:val="20"/>
          <w:szCs w:val="20"/>
          <w:color w:val="auto"/>
        </w:rPr>
      </w:pPr>
      <w:r>
        <w:rPr>
          <w:rFonts w:ascii="Arial" w:cs="Arial" w:eastAsia="Arial" w:hAnsi="Arial"/>
          <w:sz w:val="17"/>
          <w:szCs w:val="17"/>
          <w:color w:val="auto"/>
        </w:rPr>
        <w:t>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Additionally, appropriate packaging must be selected and tested, and stability studies must be conducted to demonstrate that the drug candidate does not undergo unacceptable deterioration over its shelf life.</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w:t>
      </w:r>
    </w:p>
    <w:p>
      <w:pPr>
        <w:spacing w:after="0" w:line="7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may be required to develop and implement additional clinical trial policies and procedures designed to help protect subjects from the COVID-19 virus. For example, in March 2020, the FDA issued guidance, which has been subsequently updated, on conducting clinical trials during the COVID-19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among other. Other COVID-19 related guidance documents issued by FDA include a guidance on good manufacturing practice considerations for responding to COVID-19 infection in employees in drug products manufacturing; manufacturing, supply chain, and drug and biological product inspections during COVID-19 public health emergency; and remote interactive evaluations of drug manufacturing and bioresearch monitoring facilities during the COVID-19 public health emergency. Changes in FDA’s operations and policies, including delays in providing regulatory review or feedback to sponsors or delays in pre-approval inspections, as a result of the COVID-19 public health emergency can materially impact our clinical development plans and regulatory approval.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NDA and the FDA Review Process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Following trial completion, trial data are analyzed to assess safety and efficacy. The results of preclinical studies and clinical trials are then submitted to the FDA as part of a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sufficient evidence of drug product quality, safety and efficacy, which is demonstrated by extensive analytical, preclinical and clinical testing. Data may come from company-sponsored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for a particular indication or indications to the satisfaction of the FDA. FDA approval of an NDA must be obtained before a drug may be offered for sale in the United States.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submission of an NDA is subject to the payment of substantial user fees; a waiver of such fees may be obtained under certain limited circumstances.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Additionally, no user fees are assessed on NDAs for products designated as orphan drugs, unless the product also includes a non-orphan indication.</w:t>
      </w:r>
    </w:p>
    <w:p>
      <w:pPr>
        <w:spacing w:after="0" w:line="11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FDA reviews an NDA to determine, among other things, whether a product is safe and effective for its intended use and whether its manufacturing is cGMP-compliant to assure and preserve the product’s identity, strength, quality, and purity. Under the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does not always meet its PDUFA goal dates for standard and priority NDAs, and the review process is often significantly extended by FDA requests for additional information or clarification. In such event, the NDA must be resubmitted with the additional information. The resubmitted application is also subject to review before the FDA accepts it for filing.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80"/>
        <w:spacing w:after="0" w:line="271" w:lineRule="auto"/>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In the course of its review, the FDA may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pacing w:after="0" w:line="7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Before approving an NDA, the FDA typically conducts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to ensure compliance with GCP requirements. After the FDA evaluates the application, manufacturing process, and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challenge the determination set forth in the letter by requesting a hearing, or withdraw the application. Even if such data and information are submitted, the FDA may ultimately decide that the NDA does not satisfy the criteria for approval. Data obtained from clinical trials are not always conclusive and the FDA may interpret data differently than we interpret the same data.</w:t>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is no assurance that the FDA will ultimately approve a drug product for marketing in the United States and we may encounter significant difficulties or costs during the review process. If a drug receives marketing approval, the approval may be significantly limited to specific diseases, dosages, or patient subgroups, or the indications for use may otherwise be limited, which could restrict the commercial value of the drug. Further, the FDA may require that certain contraindications, warnings, precautions, or adverse events be included in the drug labeling or may condition the approval of the NDA on other changes to the proposed labeling, development of adequate controls and specifications, or a commitment to conduct post-marketing testing or clinical trials, and surveillance to monitor the effects of approved drugs.</w:t>
      </w:r>
    </w:p>
    <w:p>
      <w:pPr>
        <w:spacing w:after="0" w:line="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w:t>
      </w:r>
    </w:p>
    <w:p>
      <w:pPr>
        <w:spacing w:after="0" w:line="5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5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Any of these limitations on approval or marketing could restrict the commercial promotion, distribution, prescription, or dispensing of drugs. Drug approvals may be withdrawn for non-compliance with regulatory standards or if problems occur following initial marketing.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ind w:right="280"/>
        <w:spacing w:after="0" w:line="263" w:lineRule="auto"/>
        <w:rPr>
          <w:sz w:val="20"/>
          <w:szCs w:val="20"/>
          <w:color w:val="auto"/>
        </w:rPr>
      </w:pPr>
      <w:r>
        <w:rPr>
          <w:rFonts w:ascii="Arial" w:cs="Arial" w:eastAsia="Arial" w:hAnsi="Arial"/>
          <w:sz w:val="18"/>
          <w:szCs w:val="18"/>
          <w:color w:val="auto"/>
        </w:rPr>
        <w:t>In November 2021, we received approval for the commercial sale of FYARRO from the FDA to treat patients with advanced (metastatic or locally advanced) PEComas. The NDA submission was based on results from our Phase 2 registrational study AMPECT, in patients with advanced malignant PEComa, for whom there are currently no approved therapies in the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Expedited Development and Review Programs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FDA has various programs, including fast track designation, priority review, accelerated approval, and breakthrough therapy designation, which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w:t>
      </w:r>
    </w:p>
    <w:p>
      <w:pPr>
        <w:spacing w:after="0" w:line="7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to submit promotional materials for preapproval and pre-use review, which could adversely impact the timing of the commercial launch of the product. In addition, the drug may be subject to accelerated withdrawal procedures.</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70"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In addition, the FDA may review new drug applications under the Oncology Center of Excellence Real-Time Oncology Review (“RTOR”), which, according to the FDA, aims to explore a more efficient review process to ensure that safe and effective treatments are available to patients as early as possible, while maintaining and improving review quality. Drugs considered for review under RTOR must be likely to demonstrate substantial improvements over available therapy, which may include drugs previously granted breakthrough therapy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23" w:name="page24"/>
    <w:bookmarkEnd w:id="23"/>
    <w:p>
      <w:pPr>
        <w:ind w:right="160"/>
        <w:spacing w:after="0" w:line="279" w:lineRule="auto"/>
        <w:rPr>
          <w:sz w:val="20"/>
          <w:szCs w:val="20"/>
          <w:color w:val="auto"/>
        </w:rPr>
      </w:pPr>
      <w:r>
        <w:rPr>
          <w:rFonts w:ascii="Arial" w:cs="Arial" w:eastAsia="Arial" w:hAnsi="Arial"/>
          <w:sz w:val="17"/>
          <w:szCs w:val="17"/>
          <w:color w:val="auto"/>
        </w:rPr>
        <w:t>designation for the same or other indications, and must have straight-forward study designs and endpoints that can be easily interpreted. RTOR allows the FDA to review much of the data in an NDA earlier, before the applicant formally submits the complete application. This analysis of the pre-submission package gives the FDA and applicants an early opportunity to address data quality and potential review issues and allows the FDA to provide early feedback regarding the most effective way to analyze data to properly address key regulatory questions.</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FYARRO as appropriate.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Following approval of a new drug, a pharmaceutical company and the approved drug are subject to continuing regulation by the FDA, including, among other things, establishment registration and drug listing,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limitations on industry-sponsored scientific and educational activities, and requirements for promotional activities involving the internet.</w:t>
      </w:r>
    </w:p>
    <w:p>
      <w:pPr>
        <w:spacing w:after="0" w:line="7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particular,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 Modifications or enhancements to the drug or its labeling or changes of the site or process of manufacture are often subject to the approval of the FDA and other regulators, which may or may not be received or may result in a lengthy review process.</w:t>
      </w:r>
    </w:p>
    <w:p>
      <w:pPr>
        <w:spacing w:after="0" w:line="7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Prescription drug advertising is subject to federal, state, and foreign regulations. In the U.S., the FDA regulates prescription drug promotion, including direct-to-consumer advertising. Prescription drug promotional materials must be submitted to the FDA in conjunction with their first use. Any distribution of prescription drugs and pharmaceutical samples must comply with the U.S. Prescription Drug Marketing Act (“PDMA”), a part of the FDCA. The Drug Supply Chain Security Act (“DSCSA”), enacted in 2013, aims to build an electronic system to identify and trace certain prescription drugs distributed in the U.S. The DSCSA mandates phased-in and resource-intensive obligations for pharmaceutical manufacturers, wholesale distributors, and dispensers over a 10-year period that is expected to culminate in November 2023. The law’s requirements include the quarantine and prompt investigation of a suspect product to determine if it is illegitimate and notifying trading partners and the FDA of any illegitimate product. Drug manufacturers and their collaborators are also required to place a unique product identifier on prescription drug packages. This identifier consists of the National Drug Code, serial number, lot number, and expiration date, in the form of a 2-dimensional data matrix barcode that can be read by humans and machines.</w:t>
      </w:r>
    </w:p>
    <w:p>
      <w:pPr>
        <w:spacing w:after="0" w:line="5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the U.S., once a drug is approved, its manufacture is subject to comprehensive and continuing regulation by the FDA. FDA regulations require that drugs be manufactured in specific facilities per the NDA approval and in accordance with cGMP. We rely, and expect to continue to rely, on third parties for the production of clinical and commercial quantities of its drugs in accordance with cGMP regulations. cGMP regulations require among other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line="287" w:lineRule="auto"/>
        <w:rPr>
          <w:sz w:val="20"/>
          <w:szCs w:val="20"/>
          <w:color w:val="auto"/>
        </w:rPr>
      </w:pPr>
      <w:r>
        <w:rPr>
          <w:rFonts w:ascii="Arial" w:cs="Arial" w:eastAsia="Arial" w:hAnsi="Arial"/>
          <w:sz w:val="16"/>
          <w:szCs w:val="16"/>
          <w:color w:val="auto"/>
        </w:rPr>
        <w:t>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64" w:lineRule="exact"/>
        <w:rPr>
          <w:sz w:val="20"/>
          <w:szCs w:val="20"/>
          <w:color w:val="auto"/>
        </w:rPr>
      </w:pPr>
    </w:p>
    <w:p>
      <w:pPr>
        <w:ind w:right="500"/>
        <w:spacing w:after="0" w:line="299" w:lineRule="auto"/>
        <w:rPr>
          <w:sz w:val="20"/>
          <w:szCs w:val="20"/>
          <w:color w:val="auto"/>
        </w:rPr>
      </w:pPr>
      <w:r>
        <w:rPr>
          <w:rFonts w:ascii="Arial" w:cs="Arial" w:eastAsia="Arial" w:hAnsi="Arial"/>
          <w:sz w:val="16"/>
          <w:szCs w:val="16"/>
          <w:color w:val="auto"/>
        </w:rPr>
        <w:t>The FDA also may require post-approval testing, sometimes referred to as Phase 4 testing, risk minimization action plans, and post- 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actions. Other potential consequences include, among other things:</w:t>
      </w:r>
    </w:p>
    <w:p>
      <w:pPr>
        <w:spacing w:after="0" w:line="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74"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63"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holds on post-approval or Phase 4 clinical studies, if applicable;</w:t>
      </w:r>
    </w:p>
    <w:p>
      <w:pPr>
        <w:spacing w:after="0" w:line="63"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8"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63"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63"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63"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8" w:lineRule="exact"/>
        <w:rPr>
          <w:rFonts w:ascii="Arial" w:cs="Arial" w:eastAsia="Arial" w:hAnsi="Arial"/>
          <w:sz w:val="18"/>
          <w:szCs w:val="18"/>
          <w:color w:val="auto"/>
        </w:rPr>
      </w:pPr>
    </w:p>
    <w:p>
      <w:pPr>
        <w:ind w:left="1300" w:hanging="442"/>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FDA may withdraw approval if compliance with regulatory requirements and standards is not maintained or if problems occur after the product reaches the market. Newly discovered or developed safety or effectiveness data may require changes to a drug’s approved labeling, including the addition of new warnings and contraindications, and also may require the implementation of other risk management measures, including a REMS or the conduct of post-marketing studies to assess a newly discovered safety issue. Also, new government requirements, including those resulting from new legislation, may be established, or the FDA’s policies may change, which could delay or prevent regulatory approval of our drugs under development.</w:t>
      </w:r>
    </w:p>
    <w:p>
      <w:pPr>
        <w:spacing w:after="0" w:line="5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a condition of the approval of the NDA for FYARRO, we are required to conduct certain post-marketing requirements (“PMR”) and post-marketing commitments (“PMC”). If we fail to comply with the PMR and PMC, the FDA may take enforcement actions, which may include, among other things, the issuance of a Warning Letter and assessing civil monetary penalties. The product may also be deemed misbranded.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marketing the drug for this type of disease or condition will be recovered from sales in the United States. Orphan drug designation must be requested before submitting an application for marketing approval. Orphan drug designation does not convey any advantage in,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line="286" w:lineRule="auto"/>
        <w:rPr>
          <w:sz w:val="20"/>
          <w:szCs w:val="20"/>
          <w:color w:val="auto"/>
        </w:rPr>
      </w:pPr>
      <w:r>
        <w:rPr>
          <w:rFonts w:ascii="Arial" w:cs="Arial" w:eastAsia="Arial" w:hAnsi="Arial"/>
          <w:sz w:val="17"/>
          <w:szCs w:val="17"/>
          <w:color w:val="auto"/>
        </w:rPr>
        <w:t>shorten the duration of, the regulatory review and approval process. After the grant of an orphan drug designation, FDA may revoke the designation if FDA finds that the request for designation contained an untrue statement of material fact, omitted required material information, or if FDA subsequently finds that the drug had not been eligible for the orphan drug designation at the time of the submission of the request.</w:t>
      </w:r>
    </w:p>
    <w:p>
      <w:pPr>
        <w:spacing w:after="0" w:line="5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European Union, the European Commission, after receiving the opinion of the European Medicines Agency’s (“EMA”) Committee for Orphan Medicinal Products (“COMP”), grants Orphan Drug Designation to also promote the development of products. The relevant European legislation provides that a product can be designated as an orphan drug by the European Commission if its sponsor can establish: that the product is intended for the diagnosis, prevention, or treatment of (1) a life-threatening or chronically debilitating condition affecting not more than 5 in 10,000 persons in the European Union when the application is made, or (2)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applicant must also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biological product.</w:t>
      </w:r>
    </w:p>
    <w:p>
      <w:pPr>
        <w:spacing w:after="0" w:line="7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European Union, Orphan Drug Designation also entitles a party to financial incentives such as reduction of fees or fee waivers and ten years of market exclusivity is granted following drug or biological product approval. During this market exclusivity period, neither the EMA nor the European Commission or the 27 member states that comprise the European Union can accept an application or grant a marketing authorization for the same therapeutic indication in respect of a “similar medicinal product.” A “similar medicinal product” is defined as a medicinal product containing a similar active substance or substances as contained in an authorized orphan medicinal product, and which is intended for the same therapeutic indication. This period may be reduced to six years if, after five years, the Orphan Drug Designation criteria are no longer met, including where it is shown that the product is sufficiently profitable not to justify maintenance of market exclusivity.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Depending upon the timing, duration, and specifics of the FDA approval of our drug candidate, some of our United States patents may be eligible for limited patent term extension under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The U.S. Patent and Trademark Office (“USPTO”), in consultation with the FDA, reviews and approves the application for any patent term extension or restoration.</w:t>
      </w:r>
    </w:p>
    <w:p>
      <w:pPr>
        <w:spacing w:after="0" w:line="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Marketing exclusivity provisions under the FDCA can also delay the submission or the approval of certain marketing applications for competing products. The FDCA provides a five-year period of non-patent marketing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drug based on the same active moiety, regardless of whether the drug is intended for the same indication as the original innovator drug or for another indication. However, an application may be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ind w:right="240"/>
        <w:spacing w:after="0" w:line="277" w:lineRule="auto"/>
        <w:rPr>
          <w:sz w:val="20"/>
          <w:szCs w:val="20"/>
          <w:color w:val="auto"/>
        </w:rPr>
      </w:pPr>
      <w:r>
        <w:rPr>
          <w:rFonts w:ascii="Arial" w:cs="Arial" w:eastAsia="Arial" w:hAnsi="Arial"/>
          <w:sz w:val="18"/>
          <w:szCs w:val="18"/>
          <w:color w:val="auto"/>
        </w:rPr>
        <w:t>submitted after four years if it contains a certification of patent invalidity or non-infringement to one of the patents listed with the FDA by the innovator NDA holder.</w:t>
      </w:r>
    </w:p>
    <w:p>
      <w:pPr>
        <w:spacing w:after="0" w:line="6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applications for drugs containing the active agent for the original indication or condition of use.</w:t>
      </w:r>
    </w:p>
    <w:p>
      <w:pPr>
        <w:spacing w:after="0" w:line="80"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These five-year and three-year exclusivities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76"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Orphan drug exclusivity, as described above, may offer a seven-year period of marketing exclusivity, except in certain circumstances. Pediatric exclusivity is another type of regulatory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a pediatric trial.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Regulatory Matters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Manufacturing, sales, promotion, and other activities following drug approval are also subject to regulation by numerous regulatory authorities in addition to the FDA, including, in the United States, the Centers for Medicare &amp; Medicaid Services (“CMS”), other divisions of the U.S. Department of Health and Human Services (“HHS”), the Drug Enforcement Administration for controlled substances,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(the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6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subject to numerous foreign, federal, state, and local environmental, health, and safety laws and regulations, including those governing laboratory procedures and the handling, use, storage, treatment, and disposal of hazardous materials and wastes. In addition, our leasing and operation of real property may subject us to liability pursuant to certain U.S. environmental laws and regulations, under which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5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distribution of pharmaceutical drugs is subject to additional requirements and regulations, including extensive record-keeping, licensing, storage, and security requirements intended to prevent the unauthorized sale of pharmaceutical drugs. The failure to comply with regulatory requirements subjects firms to possible legal or regulatory action. Depending on the circumstances, failure to meet applicable regulatory requirements can result in criminal prosecution, fines, or other penalties, injunctions, voluntary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Changes in regulations, statutes, or the interpretation of existing regulations could impact our business in the future by requiring, for example: (i) changes to our manufacturing arrangements; (ii) additions or modifications to product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7" w:name="page28"/>
    <w:bookmarkEnd w:id="27"/>
    <w:p>
      <w:pPr>
        <w:ind w:right="260"/>
        <w:spacing w:after="0" w:line="277" w:lineRule="auto"/>
        <w:rPr>
          <w:sz w:val="20"/>
          <w:szCs w:val="20"/>
          <w:color w:val="auto"/>
        </w:rPr>
      </w:pPr>
      <w:r>
        <w:rPr>
          <w:rFonts w:ascii="Arial" w:cs="Arial" w:eastAsia="Arial" w:hAnsi="Arial"/>
          <w:sz w:val="18"/>
          <w:szCs w:val="18"/>
          <w:color w:val="auto"/>
        </w:rPr>
        <w:t>labeling; (iii) the recall or discontinuation of our products; or (iv) additional record-keeping requirements. If any such changes were to be imposed, they could adversely affect the operation of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w:t>
      </w:r>
    </w:p>
    <w:p>
      <w:pPr>
        <w:spacing w:after="0" w:line="117"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Sales of our drugs will depend, in part, on the extent to which our drugs will be covered by third-party payors, such as government health programs, commercial insurers, and managed healthcare organizations, as well as the level of reimbursement such third-party payors provide for our products. Patients and providers are unlikely to use our products unless coverage is provided and reimbursement is adequate to cover a significant portion of the cost of our products in which our products are used. These third-party payors are increasingly reducing reimbursements for medical drugs and services.</w:t>
      </w:r>
    </w:p>
    <w:p>
      <w:pPr>
        <w:spacing w:after="0" w:line="4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the U.S., no uniform policy of coverage and reimbursement for drugs or biological products exists, and one payor’s determination to provide coverage and adequate reimbursement for a product does not assure that other payors will make a similar determination. In the U.S., the principal decisions about reimbursement for new medicines are typically made by the CMS, an agency within the HHS, as the CMS decides whether and to what extent a new medicine will be covered and reimbursed under Medicare. Private third-party payors tend to follow Medicare coverage and reimbursement limitations to a substantial degree, but also have their own methods and approval process apart from Medicare determinations. Accordingly, decisions regarding the extent of coverage and amount of reimbursement to be provided for FYARRO will be made on a payor-by-payor basis. As a result, the coverage determination process may be a time-consuming and costly process that will require us to provide scientific and clinical support for the use of our products to each payor separately,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w:t>
      </w:r>
    </w:p>
    <w:p>
      <w:pPr>
        <w:spacing w:after="0" w:line="7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FYARRO or a decision by a third-party payor to not cover FYARRO could reduce physician usage of such drug and have a material adverse effect on our sales, results of operations and financial condition.</w:t>
      </w:r>
    </w:p>
    <w:p>
      <w:pPr>
        <w:spacing w:after="0" w:line="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Medicaid Drug Rebate Program (“MDRP”) requires pharmaceutical manufacturers to enter into and have in effect a national rebate agreement with the Secretary of the HHS as a condition for states to receive federal matching funds for the manufacturer’s outpatient drugs furnished to Medicaid patients. The ACA made several changes to the MDRP, including increasing pharmaceutical manufacturers’ rebate liability by raising the minimum basic Medicaid rebate percentage on most branded prescription drugs of average manufacturer price (“AMP”) and adding a new rebate calculation for “line extensions” (i.e., new formulations, such as extended release formulations) of solid oral dosage forms of branded products, creating a new methodology by which rebates owed are calculated for drugs that are inhaled, infused, instilled, implanted, or injected,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Pricing and rebate programs must also comply with the Medicaid rebate requirements of the U.S. Omnibus Budget Reconciliation Act of 1990. Under the American Rescue Plan Act of 2021, effective January 1, 2024, the statutory cap on Medicaid Drug Rebate Program rebates that manufactures pay to state Medicaid programs will be eliminated. Elimination of this cap may require pharmaceutical manufacturers to pay more in rebates than it receives on the sale of products, which could have a material impact on our business.</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 However, while all Medicare drug plans must give at least a standard level of coverage set by Medicare, Part D prescription drug plan sponsors are not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spacing w:after="0" w:line="271" w:lineRule="auto"/>
        <w:rPr>
          <w:sz w:val="20"/>
          <w:szCs w:val="20"/>
          <w:color w:val="auto"/>
        </w:rPr>
      </w:pPr>
      <w:r>
        <w:rPr>
          <w:rFonts w:ascii="Arial" w:cs="Arial" w:eastAsia="Arial" w:hAnsi="Arial"/>
          <w:sz w:val="17"/>
          <w:szCs w:val="17"/>
          <w:color w:val="auto"/>
        </w:rPr>
        <w:t>required to pay for all covered Part D drugs, and each drug plan can develop its own drug formulary that identifies which drugs it will cover and at what tier or level. These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may obtain marketing approval. However, any negotiated prices for our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7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5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American Recovery and Reinvestment Act of 2009 provides funding for the federal government to compare the effectiveness of different treatments for the same illness. The plan for the research was published in 2012 by the HHS,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FYARRO, if any such drug or the condition that they are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as a benefit under their plans or, if they do, the level of payment may not be sufficient to allow us to sell our drugs on a profitable basis.</w:t>
      </w:r>
    </w:p>
    <w:p>
      <w:pPr>
        <w:spacing w:after="0" w:line="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recent years, additional laws have resulted in direct or indirect reimbursement reductions for certain Medicare providers. For example, the Budget Control Act of 2011, among other things, created measures for spending reductions by Congress. These changes included aggregate reductions to Medicare payments to providers of up to 2% per fiscal year, which went into effect in April 2013 and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3% in the final fiscal year of this sequester. The American Taxpayer Relief Act of 2012, among other things, reduced Medicare payments to several providers, and increased the statute of limitations period for the government to recover overpayments to providers from three to five years. These laws, and future state and federal healthcare reform measures, as discussed further below, may be adopted in the future, any of which may result in additional reductions in Medicare and other healthcare funding and otherwise affect the prices we may obtain for any indication of FYARRO for which it may obtain regulatory approval or the frequency with which any such product candidate is prescribed or used.</w:t>
      </w:r>
    </w:p>
    <w:p>
      <w:pPr>
        <w:spacing w:after="0" w:line="7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July 2021, the Biden administration released an executive order, “Promoting Competition in the American Economy,” with multiple provisions aimed at increasing competition for prescription drugs. The HHS has released a Comprehensive Plan for Addressing High Drug Prices that outlines principles for drug pricing reform and potential legislative policies that Congress could pursue to advance these principles. While no legislation or administrative actions have been finalized to implement these principles, Congress is considering legislation that, if passed, could have significant impact on prices of prescription drugs covered by Medicare, including limitations on drug price increases and allowing Medicare to negotiate pricing for certain covered drug products. The impact of these legislative, executive, and administrative actions and any future healthcare measures and agency rules implemented by the Biden administration on us and the pharmaceutical industry as a whole is unclear. The</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29" w:name="page30"/>
    <w:bookmarkEnd w:id="29"/>
    <w:p>
      <w:pPr>
        <w:ind w:right="500"/>
        <w:spacing w:after="0" w:line="277" w:lineRule="auto"/>
        <w:rPr>
          <w:sz w:val="20"/>
          <w:szCs w:val="20"/>
          <w:color w:val="auto"/>
        </w:rPr>
      </w:pPr>
      <w:r>
        <w:rPr>
          <w:rFonts w:ascii="Arial" w:cs="Arial" w:eastAsia="Arial" w:hAnsi="Arial"/>
          <w:sz w:val="18"/>
          <w:szCs w:val="18"/>
          <w:color w:val="auto"/>
        </w:rPr>
        <w:t>implementation of cost containment measures or other healthcare reforms may prevent us from being able to generate revenue, attain profitability, or commercialize any of the product candidates for which we receive approval.</w:t>
      </w:r>
    </w:p>
    <w:p>
      <w:pPr>
        <w:spacing w:after="0" w:line="6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noted above, the marketability of any products for which we receive regulatory approval for commercial sale may suffer if the government and other third-party payors fail to provide adequate coverage and reimbursement. We expect that an increasing emphasis on cost containment measures in the U.S.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8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U.S. and generally tend to be significantly lower.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Healthcare Reform</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ACA has had a significant impact on the healthcare industry. The ACA expanded coverage for the uninsured while at the same time containing overall healthcare costs. With regard to pharmaceutical products, the ACA, among other things, addressed a new methodology by which rebates owed by manufacturers under the MDRP are calculated for drugs that are inhaled, infused, instilled, implanted, or injected, increased the minimum Medicaid rebates owed by manufacturers under the MDRP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ACA requires pharmaceutical manufacturers of branded prescription drugs to pay a branded prescription drug fee to the federal government. Each such manufacturer is required to pay a prorated share of the branded prescription drug fee based on the dollar value of its branded prescription drug sales to certain federal programs identified in the law. The ACA also expanded the 340B program to include additional types of covered entities. Federal law requires that any company that participates in the Medicaid rebate program also participate in the 340B program in order for federal funds to be available for the manufacturer’s drugs under Medicaid. The 340B program requires participating manufacturers to agree to charge statutorily defined covered entities no more than the 340B “ceiling price” for the manufacturer’s covered outpatient drugs. In addition, in order to be eligible to have its products paid for with federal funds under the Medicaid programs and purchased by certain federal grantees and agencies, a manufacturer also must participate in the Department of Veterans Affairs Federal Supply Schedule (“FSS”) pricing program, established by Section 603 of the Veterans Health Care Act of 1992. Under this program, the manufacturer is obligated to make products available for procurement on an FSS contract and charge a price to four federal agencies—the Department of Veterans Affairs, the Department of Defense, the Public Health Service, and the Coast Guard—that is at least 24% less than the Non-Federal Average Manufacturing Price for the prior fiscal year.</w:t>
      </w:r>
    </w:p>
    <w:p>
      <w:pPr>
        <w:spacing w:after="0" w:line="7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Since the enactment of the ACA, there have been judicial and Congressional challenges to certain aspects of the ACA. In June 2021, the Supreme Court held that Texas and other challengers had no legal standing to challenge the ACA, upholding the ACA. In January 2021, President Biden also issued an executive order to initiate a special enrollment period to allow people to obtain health insurance coverage through the ACA marketplace and instructs certain governmental agencies to review and reconsider their existing policies and rules that limit access 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right="180"/>
        <w:spacing w:after="0" w:line="342" w:lineRule="auto"/>
        <w:rPr>
          <w:sz w:val="20"/>
          <w:szCs w:val="20"/>
          <w:color w:val="auto"/>
        </w:rPr>
      </w:pPr>
      <w:r>
        <w:rPr>
          <w:rFonts w:ascii="Arial" w:cs="Arial" w:eastAsia="Arial" w:hAnsi="Arial"/>
          <w:sz w:val="16"/>
          <w:szCs w:val="16"/>
          <w:color w:val="auto"/>
        </w:rPr>
        <w:t>healthcare, among others. We cannot predict how future litigation, healthcare reform measures of the Biden administration, or what other regulations will ultimately be implemented at the federal or state level, or the effect of any future legislation or regulation may have on our business.</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for example, in September 2018, CMS announced that it will allow Medicare Advantage Plans the option to use step therapy for Part B drugs beginning January 1, 2019. Additionally, CMS issued a final rule, effective on July 9, 2019, that requires direct-to-consumer television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w:t>
      </w:r>
    </w:p>
    <w:p>
      <w:pPr>
        <w:spacing w:after="0" w:line="8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In 2020, at the federal level, under the Trump administration, HHS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new rules. As a result, the Biden administration and HHS have delayed the implementation or published rules rescinding some of these Trump-era policies. The impact of legislative, executive, and administrative actions of the current administration on us and the biopharmaceutical industry as a whole is unclear.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expect that additional federal and state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 and may increase our regulatory burdens and operating costs.</w:t>
      </w:r>
    </w:p>
    <w:p>
      <w:pPr>
        <w:spacing w:after="0" w:line="76"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Moreover,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our product and any product candidates that obtain regulatory approval and are marketed in the United States, our arrangements, directly or indirectly, with third-party payors, healthcare providers, and customers may expose us to broadly applicable fraud and abuse and other healthcare laws and regulations that may constrain the business or financial arrangements and relationships through which we markets, sells, and distributes any products for which it obtains marketing approval. Our employees, consultants, and commercial partners may engage in misconduct or other improper activities, including non-compliance with regulatory standards and requirements. Federal and state healthcare laws and regulations that may affect our ability to conduct business, include, without limitation:</w:t>
      </w:r>
    </w:p>
    <w:p>
      <w:pPr>
        <w:spacing w:after="0" w:line="84" w:lineRule="exact"/>
        <w:rPr>
          <w:sz w:val="20"/>
          <w:szCs w:val="20"/>
          <w:color w:val="auto"/>
        </w:rPr>
      </w:pPr>
    </w:p>
    <w:p>
      <w:pPr>
        <w:ind w:left="1080" w:right="7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Department of Justice, and other government authority prohibitions against the advertisement, promotion and labeling of our products for off-label uses, or uses outside the specific indications approved by the FDA;</w:t>
      </w:r>
    </w:p>
    <w:p>
      <w:pPr>
        <w:spacing w:after="0" w:line="62"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Anti-Kickback Statute, which broadly prohibits, among other things, any person from knowingly and willfully offering, soliciting, receiving or providing remuneration, directly or indirectly,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jc w:val="both"/>
        <w:ind w:left="424" w:right="220"/>
        <w:spacing w:after="0" w:line="263" w:lineRule="auto"/>
        <w:rPr>
          <w:sz w:val="20"/>
          <w:szCs w:val="20"/>
          <w:color w:val="auto"/>
        </w:rPr>
      </w:pPr>
      <w:r>
        <w:rPr>
          <w:rFonts w:ascii="Arial" w:cs="Arial" w:eastAsia="Arial" w:hAnsi="Arial"/>
          <w:sz w:val="18"/>
          <w:szCs w:val="18"/>
          <w:color w:val="auto"/>
        </w:rPr>
        <w:t>in exchange for or to induce either the referral of an individual for, or the purchase, order or recommendation of, any good or service for which payment may be made under federal healthcare programs, such as Medicare or Medicaid. A person or entity does not need to have actual knowledge of the statute or specific intent to violate it to have committed a violation;</w:t>
      </w:r>
    </w:p>
    <w:p>
      <w:pPr>
        <w:spacing w:after="0" w:line="76" w:lineRule="exact"/>
        <w:rPr>
          <w:sz w:val="20"/>
          <w:szCs w:val="20"/>
          <w:color w:val="auto"/>
        </w:rPr>
      </w:pPr>
    </w:p>
    <w:p>
      <w:pPr>
        <w:ind w:left="424" w:hanging="424"/>
        <w:spacing w:after="0" w:line="270"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False Claims Act, which prohibits, among other things, individuals or entities from knowingly presenting, or causing to be presented, false claims, or knowingly using false statements, to obtain payment from the federal government. These laws have been interpreted to apply to arrangements between manufacturers, on the one hand, and prescribers, purchasers, and other healthcare-related professionals on the other. They can apply to manufacturers who provide inaccurate information on coverage, coding, and reimbursement of their products to persons who bill third-party payers. In addition, manufacturers have been prosecuted or faced civil and criminal liability under these laws for a variety of alleged promotional and marketing activities, including violations of the federal Anti-Kickback Statute and engaging in off-label promotion that caused claims to be submitted for non-covered off-label uses. Private individuals can bring False Claims Act “qui tam” actions, on behalf of the government and such individuals, commonly known as “whistleblowers,” may share in amounts paid by the entity to the government in fines or settlement;</w:t>
      </w:r>
    </w:p>
    <w:p>
      <w:pPr>
        <w:spacing w:after="0" w:line="72" w:lineRule="exact"/>
        <w:rPr>
          <w:rFonts w:ascii="Arial" w:cs="Arial" w:eastAsia="Arial" w:hAnsi="Arial"/>
          <w:sz w:val="17"/>
          <w:szCs w:val="17"/>
          <w:color w:val="auto"/>
        </w:rPr>
      </w:pPr>
    </w:p>
    <w:p>
      <w:pPr>
        <w:ind w:left="424" w:right="140" w:hanging="424"/>
        <w:spacing w:after="0" w:line="279"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of 1996 (“HIPAA”), as amended, which among other things, also created criminal liability for knowingly and willfully falsifying or concealing a material fact or making a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3" w:lineRule="exact"/>
        <w:rPr>
          <w:rFonts w:ascii="Arial" w:cs="Arial" w:eastAsia="Arial" w:hAnsi="Arial"/>
          <w:sz w:val="17"/>
          <w:szCs w:val="17"/>
          <w:color w:val="auto"/>
        </w:rPr>
      </w:pPr>
    </w:p>
    <w:p>
      <w:pPr>
        <w:ind w:left="424" w:right="20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or causing to be made, false statements relating to healthcare matters;</w:t>
      </w:r>
    </w:p>
    <w:p>
      <w:pPr>
        <w:spacing w:after="0" w:line="62" w:lineRule="exact"/>
        <w:rPr>
          <w:rFonts w:ascii="Arial" w:cs="Arial" w:eastAsia="Arial" w:hAnsi="Arial"/>
          <w:sz w:val="18"/>
          <w:szCs w:val="18"/>
          <w:color w:val="auto"/>
        </w:rPr>
      </w:pPr>
    </w:p>
    <w:p>
      <w:pPr>
        <w:ind w:left="424" w:right="4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Arial" w:cs="Arial" w:eastAsia="Arial" w:hAnsi="Arial"/>
          <w:sz w:val="18"/>
          <w:szCs w:val="18"/>
          <w:color w:val="auto"/>
        </w:rPr>
      </w:pPr>
    </w:p>
    <w:p>
      <w:pPr>
        <w:ind w:left="424" w:right="62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Foreign Corrupt Practices Act, the U.K. Bribery Act of 2010, and other local anti-corruption laws that apply to our international activities;</w:t>
      </w:r>
    </w:p>
    <w:p>
      <w:pPr>
        <w:spacing w:after="0" w:line="62" w:lineRule="exact"/>
        <w:rPr>
          <w:rFonts w:ascii="Arial" w:cs="Arial" w:eastAsia="Arial" w:hAnsi="Arial"/>
          <w:sz w:val="18"/>
          <w:szCs w:val="18"/>
          <w:color w:val="auto"/>
        </w:rPr>
      </w:pPr>
    </w:p>
    <w:p>
      <w:pPr>
        <w:ind w:left="424" w:right="120" w:hanging="424"/>
        <w:spacing w:after="0" w:line="254"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Physician Payment Sunshine Act (“Open Payments”), and implementing regulations, which require applicable group purchasing organizations and manufacturers of covered drugs, medical devices, biologicals and medical supplies for which payment is available under Medicare, Medicaid, or the Children’s Health Insurance Program to report annually to the CMS information related to certain payments and other transfers of value made to covered recipients, including licensed physicians (defined to include doctors, dentists, optometrists, podiatrists and chiropractors), certain non-physician healthcare professionals (such as physician assistants and nurse practitioners, among others), and teaching hospitals, and information regarding ownership and investment interests held by physicians and their immediate family members;</w:t>
      </w:r>
    </w:p>
    <w:p>
      <w:pPr>
        <w:spacing w:after="0" w:line="86" w:lineRule="exact"/>
        <w:rPr>
          <w:rFonts w:ascii="Arial" w:cs="Arial" w:eastAsia="Arial" w:hAnsi="Arial"/>
          <w:sz w:val="18"/>
          <w:szCs w:val="18"/>
          <w:color w:val="auto"/>
        </w:rPr>
      </w:pPr>
    </w:p>
    <w:p>
      <w:pPr>
        <w:ind w:left="424" w:right="20" w:hanging="424"/>
        <w:spacing w:after="0" w:line="269"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pharmaceutical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foreign and state laws, including the E.U. General Data Protection Regulation (“GDPR”), governing the privacy and security of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18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4"/>
          </w:cols>
          <w:pgMar w:left="976" w:top="449" w:right="399" w:bottom="1440" w:gutter="0" w:footer="0" w:header="0"/>
        </w:sectPr>
      </w:pPr>
    </w:p>
    <w:bookmarkStart w:id="32" w:name="page33"/>
    <w:bookmarkEnd w:id="32"/>
    <w:p>
      <w:pPr>
        <w:ind w:right="40"/>
        <w:spacing w:after="0" w:line="268" w:lineRule="auto"/>
        <w:rPr>
          <w:sz w:val="20"/>
          <w:szCs w:val="20"/>
          <w:color w:val="auto"/>
        </w:rPr>
      </w:pPr>
      <w:r>
        <w:rPr>
          <w:rFonts w:ascii="Arial" w:cs="Arial" w:eastAsia="Arial" w:hAnsi="Arial"/>
          <w:sz w:val="17"/>
          <w:szCs w:val="17"/>
          <w:color w:val="auto"/>
        </w:rPr>
        <w:t>The scope and enforcement of each of these laws are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If our operations, including those of our contractors or agents who conduct business for or on our behalf, are found to be in violation of any of these laws or any other related governmental regulations that may apply to us, we may be subject to significant civil, criminal, and administrative penalties, damages, fines, imprisonment, disgorgement, exclusion of drugs from government funded healthcare programs, such as Medicare and Medicaid, reputational harm, additional oversight, and reporting obligations if we becomes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which may also adversely affect our business. Ensuring business arrangements comply with applicable healthcare laws, as well as responding to possible investigations by government authorities, can be time- and resource-consuming and can divert a company’s attention from the business.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 Laws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subject to laws and regulations covering data privacy and the protection of health-related and other personal information. Federal, state, and foreign laws also govern the privacy and security of health information in some circumstances. These data privacy and security laws may differ from each other in significant ways and often are not pre-empted by HIPAA, which may complicate compliance efforts in states or jurisdictions we conduct business. For example, California recently enacted the California Consumer Privacy Act (“CCPA”), which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became enforceable by the California Attorney General on July 1, 2020. While there is currently an exception for protected health information that is subject to HIPAA and clinical trial regulations, as currently written, the CCPA may impact our business activities. California also passed the California Privacy Rights Act, which imposes additional data protection obligations on companies doing business in California. These and other applicable state and foreign privacy laws, as well as uncertain changes in future regulation and legislation, could impact our business strategies, increase our potential liability, increase our compliance costs, and adversely affect our business.</w:t>
      </w:r>
    </w:p>
    <w:p>
      <w:pPr>
        <w:spacing w:after="0" w:line="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collection and use of personal health data in the European Union are governed by the provisions of the Data Protection Directive, and as of May 2018, the General Data Protection Regulation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Data Protection Directive and GDPR also impose strict rules on the transfer of personal data out of the European Union to the U.S.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 new data protection rules. This may be onerous and adversely affect our business, financial condition, results of operations, and prospects.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Regulatory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Drug Development</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Europe, any future drug products for which we receive marketing authorization will also be subject to extensive regulatory requirements. As in the United States, medicinal products can only be marketed if a marketing authorization from the competent regulatory agencies has been obtained. Similar to the United States, the various phases of preclinical and clinical research in Europe are subject to significant regulatory controls. Although the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3" w:name="page34"/>
    <w:bookmarkEnd w:id="33"/>
    <w:p>
      <w:pPr>
        <w:ind w:right="120"/>
        <w:spacing w:after="0" w:line="293" w:lineRule="auto"/>
        <w:rPr>
          <w:sz w:val="20"/>
          <w:szCs w:val="20"/>
          <w:color w:val="auto"/>
        </w:rPr>
      </w:pPr>
      <w:r>
        <w:rPr>
          <w:rFonts w:ascii="Arial" w:cs="Arial" w:eastAsia="Arial" w:hAnsi="Arial"/>
          <w:sz w:val="16"/>
          <w:szCs w:val="16"/>
          <w:color w:val="auto"/>
        </w:rPr>
        <w:t>European Union Clinical Trials Directive 2001/20/EC (“Clinical Trials Directive”) has sought to harmonize the EU clinical trials regulatory framework, setting out common rules for the control and authorization of clinical trials in the EU, the EU member states have transposed and applied the provisions of the Clinical Trials Directive differently. This has led to significant variations in the member state regimes. Under the current regime, before a clinical trial can be initiated, it must be approved in each of the EU member states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w:t>
      </w:r>
    </w:p>
    <w:p>
      <w:pPr>
        <w:spacing w:after="0" w:line="5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2014, a new Clinical Trials Regulation 536/2014 (“Clinical Trials Regulation”), replacing the current Directive, was adopted. The Clinical Trials Regulation will become directly applicable in all EU member states (without national implementation) once the EU Portal and Database are fully functional. The implementation of the Clinical Trials Regulation depends on confirmation of full functionality of the Clinical Trials Information System through an independent audit, which commenced in September 2020. This system went into application in first quarter of 2022. The Clinical Trials Regulation seeks to simplify and streamline the approval of clinical trials in the European Union. For example, the sponsor can submit a single application for approval of a clinical trial via the EU Portal. As part of the application process, the sponsor will propose a reporting member state, which will coordinate the validation and evaluation of the application. The reporting member state shall consult and coordinate with the other member states in which the clinical trial will take place, also referred to as the Member States Concerned. If an application is rejected, it can be amended and resubmitted through the EU Portal. If an approval is issued, the sponsor can start the clinical trial in all Member States Concerned. However, a Member State Concerned can in limited circumstances declare an “opt-out” from an approval. In such a case, the clinical trial cannot be conducted in that member state. The Clinical Trials Regulation also aims to streamline and simplify the rules on safety reporting and introduces enhanced transparency requirements such as mandatory submission of a summary of the clinical trial results to the EU Database.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Drug Review and Approval</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European Economic Area (“EEA”), which is comprised of the 27 EU member states plus Norway, Iceland, and Liechtenstein, medicinal products can only be commercialized after obtaining approval of an EU marketing authorization application (“MAA”). There are two types of marketing authorizations. The first is the community or centralized EU MAA, which is issued by the European Commission through the Centralized Procedure, based on the opinion of the Committee for Medicinal Products for Human Use (“CHMP”) of the European Medicines Agency and which is valid 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w:t>
      </w:r>
    </w:p>
    <w:p>
      <w:pPr>
        <w:spacing w:after="0" w:line="5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National EU MAAs,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EU MAA can be recognized in another member states through the Mutual Recognition Procedure. If the drug has not received a National EU MAA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EU MAA is sought, one of which is selected by the applicant as the Reference Member State (“RMS”). The competent authority of the RMS prepares a draft assessment report, a draft summary of the drug characteristics (“SPC”), and a draft of the labeling and package leaflet, which are sent to the other member states, or the Member States Concerned, for their approval. If the Member States Concerned raise no objections, based on a potential serious risk to public health, to the assessment, SPC, labeling, or packaging proposed by the RMS, the drug is subsequently granted a national EU MAA in all the member states, i.e., in the RMS and the Member States Concerned.</w:t>
      </w:r>
    </w:p>
    <w:p>
      <w:pPr>
        <w:spacing w:after="0" w:line="7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Under the above-described procedures, before granting the EU MAA, the EMA or the competent authorities of the member states of the EEA make an assessment of the risk-benefit balance of the drug on the basis of scientific criteria concerning its quality, safety, and efficacy.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Chemical Entity Exclusivity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right="80"/>
        <w:spacing w:after="0" w:line="293" w:lineRule="auto"/>
        <w:rPr>
          <w:sz w:val="20"/>
          <w:szCs w:val="20"/>
          <w:color w:val="auto"/>
        </w:rPr>
      </w:pPr>
      <w:r>
        <w:rPr>
          <w:rFonts w:ascii="Arial" w:cs="Arial" w:eastAsia="Arial" w:hAnsi="Arial"/>
          <w:sz w:val="16"/>
          <w:szCs w:val="16"/>
          <w:color w:val="auto"/>
        </w:rPr>
        <w:t>In Europe, new chemical entities, sometimes referred to as new active substances, qualify for eight years of data exclusivity upon marketing authorization and an additional two years of market exclusivity. This data exclusivity, if granted, prevents regulatory authorities in the EU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23, 2016, the electorate in the United Kingdom (“UK”) voted in favor of leaving the EU, commonly referred to as Brexit. Thereafter, on March 29, 2017, the country formally notified the EU of its intention to withdraw pursuant to Article 50 of the Lisbon Treaty. The UK formally left the EU on January 31, 2020. A transition period began on February 1, 2020, during which EU pharmaceutical law remains applicable to the UK and ends on December 31, 2020. Although the UK is no longer a member of the EU, EU law remains applicable in Northern Ireland. There are a number of new marketing authorization routes available in the UK, Great Britain (England, Scotland and Wales) or Northern Ireland, in addition to the national procedure. As with the EU position, a company can only start to market a medicine in the UK once it has received a marketing authorization. The main legislation that applies to clinical trials in the UK is the UK Medicines for Human Use (Clinical Trials) Regulations 2004, which transposes the Clinical Trials Directive into domestic law. Consequently, the requirements and obligations that relate to the conduct of clinical trials in the UK currently remain largely aligned with the EU position. It is unclear how future regulatory regime in the UK will impact regulations of products, manufacturers, and approval of product candidates in the UK.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Foreign Countries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other countries outside of the United States and the European Union, the requirements governing the conduct of clinical trials, drug approval or marketing authorization, pricing, and reimbursement vary from country to country. In all cases, clinical trials must be conducted in accordance with GCP requirements and the applicable regulatory requirements and the ethical principles that have their origin in the Declaration of Helsinki, which is a statement of ethical principles for medical research involving human subjects, including research on identifiable human material and data, developed by the World Medical Association.</w:t>
      </w:r>
    </w:p>
    <w:p>
      <w:pPr>
        <w:spacing w:after="0" w:line="8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2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We have operated by leveraging skilled experts, consultants, contract research organizations, and contractors to manage our clinical operations, manufacturing, research and development, and other functions under the leadership and direction of our management. We will continue to expand our infrastructure to manage our operations, including commercial with additional full-time employees.</w:t>
      </w:r>
    </w:p>
    <w:p>
      <w:pPr>
        <w:spacing w:after="0" w:line="7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As of December 31, 2021, we had 39 full-time or part-time employees. Of these employees, 22 employees are engaged in research and development activities and 17 employees are engaged in general and administrative activities. None of our employees are represented by labor unions or covered by collective bargaining agreements. We consider the relationship with our employees to be good.</w:t>
      </w:r>
    </w:p>
    <w:p>
      <w:pPr>
        <w:spacing w:after="0" w:line="7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advisors and consultants, while being committed to a diverse and dynamic workplace.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We (formerly known as “Aerpio Pharmaceuticals, Inc.”) were originally incorporated in the State of Delaware in November 2007 under the name “Zeta Acquisition Corp. II.” Prior to the merger with Aerpio Pharmaceuticals, Inc., Zeta Acquisition Corp. II was a “shell” company registered under the Exchange Act with no specific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320"/>
        <w:spacing w:after="0" w:line="257" w:lineRule="auto"/>
        <w:rPr>
          <w:sz w:val="20"/>
          <w:szCs w:val="20"/>
          <w:color w:val="auto"/>
        </w:rPr>
      </w:pPr>
      <w:r>
        <w:rPr>
          <w:rFonts w:ascii="Arial" w:cs="Arial" w:eastAsia="Arial" w:hAnsi="Arial"/>
          <w:sz w:val="18"/>
          <w:szCs w:val="18"/>
          <w:color w:val="auto"/>
        </w:rPr>
        <w:t>business plan or purpose until it began operating the business of Aerpio Pharmaceuticals, Inc. through a merger in March 2017. In August 2021, we effected a reverse merger pursuant to which a wholly owned subsidiary of ours, merged with and into Aadi Subsidiary, Inc. (formerly Aadi Bioscience, Inc.) (“Private Aadi”), with Private Aadi surviving as a wholly owned subsidiary of ours. Upon the closing of the Merger, we changed our name from “Aerpio Pharmaceuticals, Inc.” to “Aadi Bioscience, Inc.” and the name of Private Aadi was changed from “Aadi Bioscience, Inc.” to “Aadi Subsidiary, Inc.”</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principal executive offices are located at 17383 Sunset Boulevard, Suite A250, Pacific Palisades, California 90272. We maintain a website at www.aadibio.com, to which we regularly post copies of our press releases as well as additional information about us. Our filings with the Securities and Exchange Commission (the “SEC”) will be available free of charge through the website as soon as reasonably practicable after being electronically filed with or furnished to the SEC. Information contained in our website does not constitute a part of this Annual Report on Form 10-K or any of our other filings with the SEC unless specifically incorporated herein by reference.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Please see page 2 of this Annual Report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8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subject to numerous risks and uncertainties that you should be aware of in evaluating our business, including those described in Part I, Item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1A. “Risk Factors” in this Annual Report. These risks include, but are not limited to, the following:</w:t>
      </w:r>
    </w:p>
    <w:p>
      <w:pPr>
        <w:spacing w:after="0" w:line="49" w:lineRule="exact"/>
        <w:rPr>
          <w:sz w:val="20"/>
          <w:szCs w:val="20"/>
          <w:color w:val="auto"/>
        </w:rPr>
      </w:pPr>
    </w:p>
    <w:p>
      <w:pPr>
        <w:jc w:val="both"/>
        <w:ind w:left="880" w:right="40" w:hanging="440"/>
        <w:spacing w:after="0" w:line="26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an early commercial stage biopharmaceutical company, have a limited operating history, have not initiated or completed any large-scale clinical trials, and have a single product approved for commercial sale, which may make it difficult for you to evaluate our current business and likelihood of success and viability.</w:t>
      </w:r>
    </w:p>
    <w:p>
      <w:pPr>
        <w:spacing w:after="0" w:line="21"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incurred significant net losses since our inception, and we expect to continue to incur significant net losses for the foreseeable future.</w:t>
      </w:r>
    </w:p>
    <w:p>
      <w:pPr>
        <w:spacing w:after="0" w:line="86" w:lineRule="exact"/>
        <w:rPr>
          <w:rFonts w:ascii="Arial" w:cs="Arial" w:eastAsia="Arial" w:hAnsi="Arial"/>
          <w:sz w:val="16"/>
          <w:szCs w:val="16"/>
          <w:color w:val="auto"/>
        </w:rPr>
      </w:pPr>
    </w:p>
    <w:p>
      <w:pPr>
        <w:ind w:left="880" w:right="5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development and commercialization of our product candidates.</w:t>
      </w:r>
    </w:p>
    <w:p>
      <w:pPr>
        <w:spacing w:after="0" w:line="8" w:lineRule="exact"/>
        <w:rPr>
          <w:rFonts w:ascii="Arial" w:cs="Arial" w:eastAsia="Arial" w:hAnsi="Arial"/>
          <w:sz w:val="18"/>
          <w:szCs w:val="18"/>
          <w:color w:val="auto"/>
        </w:rPr>
      </w:pPr>
    </w:p>
    <w:p>
      <w:pPr>
        <w:ind w:left="880" w:right="120" w:hanging="440"/>
        <w:spacing w:after="0" w:line="26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 following approval and commercialization of FYARRO for the PEComa indication,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21" w:lineRule="exact"/>
        <w:rPr>
          <w:rFonts w:ascii="Arial" w:cs="Arial" w:eastAsia="Arial" w:hAnsi="Arial"/>
          <w:sz w:val="18"/>
          <w:szCs w:val="18"/>
          <w:color w:val="auto"/>
        </w:rPr>
      </w:pPr>
    </w:p>
    <w:p>
      <w:pPr>
        <w:ind w:left="880" w:hanging="440"/>
        <w:spacing w:after="0" w:line="279"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early in our development efforts and have only one product which has completed development and obtained regulatory approval by the FDA for a single indication, FYARRO. We are substantially dependent on the success of our lead product candidate, FYARRO. If we are unable to successfully commercialize FYARRO for the PEComa indication or complete development of, obtain approval for and commercialize FYARRO for one or more other indications in a timely manner, our business will be harmed.</w:t>
      </w:r>
    </w:p>
    <w:p>
      <w:pPr>
        <w:spacing w:after="0" w:line="9" w:lineRule="exact"/>
        <w:rPr>
          <w:rFonts w:ascii="Arial" w:cs="Arial" w:eastAsia="Arial" w:hAnsi="Arial"/>
          <w:sz w:val="17"/>
          <w:szCs w:val="17"/>
          <w:color w:val="auto"/>
        </w:rPr>
      </w:pPr>
    </w:p>
    <w:p>
      <w:pPr>
        <w:ind w:left="880" w:right="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addition to FYARRO, our prospects depend in part upon discovering, developing and commercializing additional product candidates, which may fail in development or suffer delays that adversely affect their commercial viability.</w:t>
      </w:r>
    </w:p>
    <w:p>
      <w:pPr>
        <w:spacing w:after="0" w:line="8" w:lineRule="exact"/>
        <w:rPr>
          <w:rFonts w:ascii="Arial" w:cs="Arial" w:eastAsia="Arial" w:hAnsi="Arial"/>
          <w:sz w:val="18"/>
          <w:szCs w:val="18"/>
          <w:color w:val="auto"/>
        </w:rPr>
      </w:pPr>
    </w:p>
    <w:p>
      <w:pPr>
        <w:ind w:left="880" w:right="40" w:hanging="440"/>
        <w:spacing w:after="0" w:line="259"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from early preclinical studies and clinical trials of our product candidates are not necessarily predictive of the results of later preclinical studies and clinical trials of our product candidates. 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spacing w:after="0" w:line="24"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and/or maintenance of patients in clinical trials, our regulatory submissions or receipt of necessary regulatory approvals could be delayed or prevented.</w:t>
      </w:r>
    </w:p>
    <w:p>
      <w:pPr>
        <w:spacing w:after="0" w:line="8" w:lineRule="exact"/>
        <w:rPr>
          <w:rFonts w:ascii="Arial" w:cs="Arial" w:eastAsia="Arial" w:hAnsi="Arial"/>
          <w:sz w:val="18"/>
          <w:szCs w:val="18"/>
          <w:color w:val="auto"/>
        </w:rPr>
      </w:pPr>
    </w:p>
    <w:p>
      <w:pPr>
        <w:jc w:val="both"/>
        <w:ind w:left="880" w:right="120" w:hanging="440"/>
        <w:spacing w:after="0" w:line="26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spacing w:after="0" w:line="21" w:lineRule="exact"/>
        <w:rPr>
          <w:rFonts w:ascii="Arial" w:cs="Arial" w:eastAsia="Arial" w:hAnsi="Arial"/>
          <w:sz w:val="18"/>
          <w:szCs w:val="18"/>
          <w:color w:val="auto"/>
        </w:rPr>
      </w:pPr>
    </w:p>
    <w:p>
      <w:pPr>
        <w:ind w:left="880" w:right="20" w:hanging="440"/>
        <w:spacing w:after="0" w:line="26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21" w:lineRule="exact"/>
        <w:rPr>
          <w:rFonts w:ascii="Arial" w:cs="Arial" w:eastAsia="Arial" w:hAnsi="Arial"/>
          <w:sz w:val="18"/>
          <w:szCs w:val="18"/>
          <w:color w:val="auto"/>
        </w:rPr>
      </w:pPr>
    </w:p>
    <w:p>
      <w:pPr>
        <w:ind w:left="880" w:right="16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opportunities for FYARRO and any other product candidates we may develop in the future, if approved, may be limited to certain smaller patient subsets.</w:t>
      </w:r>
    </w:p>
    <w:p>
      <w:pPr>
        <w:spacing w:after="0" w:line="8"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global COVID-19 pandemic has affected and is expected to continue to affect our business and operations.</w:t>
      </w:r>
    </w:p>
    <w:p>
      <w:pPr>
        <w:spacing w:after="0" w:line="63" w:lineRule="exact"/>
        <w:rPr>
          <w:rFonts w:ascii="Arial" w:cs="Arial" w:eastAsia="Arial" w:hAnsi="Arial"/>
          <w:sz w:val="18"/>
          <w:szCs w:val="18"/>
          <w:color w:val="auto"/>
        </w:rPr>
      </w:pPr>
    </w:p>
    <w:p>
      <w:pPr>
        <w:ind w:left="880" w:right="60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obtain United States approval for FYARRO for additional indications or our other product candidates that we may develop in the future or foreign regulatory approval for FYARRO or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ind w:left="880" w:right="760"/>
        <w:spacing w:after="0" w:line="277" w:lineRule="auto"/>
        <w:rPr>
          <w:sz w:val="20"/>
          <w:szCs w:val="20"/>
          <w:color w:val="auto"/>
        </w:rPr>
      </w:pPr>
      <w:r>
        <w:rPr>
          <w:rFonts w:ascii="Arial" w:cs="Arial" w:eastAsia="Arial" w:hAnsi="Arial"/>
          <w:sz w:val="18"/>
          <w:szCs w:val="18"/>
          <w:color w:val="auto"/>
        </w:rPr>
        <w:t>other product candidates that we may develop in the future and, as a result, may be unable to commercialize FYARRO or our product candidates and our business will be substantially harmed.</w:t>
      </w:r>
    </w:p>
    <w:p>
      <w:pPr>
        <w:spacing w:after="0" w:line="8" w:lineRule="exact"/>
        <w:rPr>
          <w:sz w:val="20"/>
          <w:szCs w:val="20"/>
          <w:color w:val="auto"/>
        </w:rPr>
      </w:pPr>
    </w:p>
    <w:p>
      <w:pPr>
        <w:ind w:left="880" w:right="20" w:hanging="440"/>
        <w:spacing w:after="0" w:line="259"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spacing w:after="0" w:line="24"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face difficulties from changes to current regulations and future legislation.</w:t>
      </w:r>
    </w:p>
    <w:p>
      <w:pPr>
        <w:spacing w:after="0" w:line="63"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success is highly dependent on our ability to attract and retain highly skilled executive officers, key scientific personnel and employees.</w:t>
      </w:r>
    </w:p>
    <w:p>
      <w:pPr>
        <w:spacing w:after="0" w:line="86" w:lineRule="exact"/>
        <w:rPr>
          <w:rFonts w:ascii="Arial" w:cs="Arial" w:eastAsia="Arial" w:hAnsi="Arial"/>
          <w:sz w:val="16"/>
          <w:szCs w:val="16"/>
          <w:color w:val="auto"/>
        </w:rPr>
      </w:pPr>
    </w:p>
    <w:p>
      <w:pPr>
        <w:ind w:left="880" w:right="10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8"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63" w:lineRule="exact"/>
        <w:rPr>
          <w:rFonts w:ascii="Arial" w:cs="Arial" w:eastAsia="Arial" w:hAnsi="Arial"/>
          <w:sz w:val="18"/>
          <w:szCs w:val="18"/>
          <w:color w:val="auto"/>
        </w:rPr>
      </w:pPr>
    </w:p>
    <w:p>
      <w:pPr>
        <w:ind w:left="880" w:right="480" w:hanging="440"/>
        <w:spacing w:after="0" w:line="263"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21"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do not obtain patent term extension for our product candidates, our business may be materially harmed.</w:t>
      </w:r>
    </w:p>
    <w:p>
      <w:pPr>
        <w:spacing w:after="0" w:line="63" w:lineRule="exact"/>
        <w:rPr>
          <w:rFonts w:ascii="Arial" w:cs="Arial" w:eastAsia="Arial" w:hAnsi="Arial"/>
          <w:sz w:val="18"/>
          <w:szCs w:val="18"/>
          <w:color w:val="auto"/>
        </w:rPr>
      </w:pPr>
    </w:p>
    <w:p>
      <w:pPr>
        <w:jc w:val="both"/>
        <w:ind w:left="880" w:right="400" w:hanging="440"/>
        <w:spacing w:after="0" w:line="263"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manufacture of drugs is complex, and our third-party manufacturers may encounter difficulties in production. If any of our third-party manufacturers encounter such difficulties, our ability to provide adequate supply of FYARRO for patients or for clinical trials or any other product candidate that we may develop in the future, if approved, could be delayed or prevented.</w:t>
      </w:r>
    </w:p>
    <w:p>
      <w:pPr>
        <w:spacing w:after="0" w:line="21" w:lineRule="exact"/>
        <w:rPr>
          <w:rFonts w:ascii="Arial" w:cs="Arial" w:eastAsia="Arial" w:hAnsi="Arial"/>
          <w:sz w:val="18"/>
          <w:szCs w:val="18"/>
          <w:color w:val="auto"/>
        </w:rPr>
      </w:pPr>
    </w:p>
    <w:p>
      <w:pPr>
        <w:ind w:left="880" w:right="34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depend on intellectual property licensed from third parties and termination of any of these licenses could result in the loss of significant rights, which would harm our business.</w:t>
      </w:r>
    </w:p>
    <w:p>
      <w:pPr>
        <w:spacing w:after="0" w:line="8" w:lineRule="exact"/>
        <w:rPr>
          <w:rFonts w:ascii="Arial" w:cs="Arial" w:eastAsia="Arial" w:hAnsi="Arial"/>
          <w:sz w:val="18"/>
          <w:szCs w:val="18"/>
          <w:color w:val="auto"/>
        </w:rPr>
      </w:pPr>
    </w:p>
    <w:p>
      <w:pPr>
        <w:ind w:left="880" w:right="160" w:hanging="440"/>
        <w:spacing w:after="0" w:line="259"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or such quantities at an acceptable cost, which could delay, prevent or impair our development or commercialization efforts.</w:t>
      </w:r>
    </w:p>
    <w:p>
      <w:pPr>
        <w:spacing w:after="0" w:line="24"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dependent on a single-source supplier for the drug product FYARRO, and the loss of such supplier could harm our business.</w:t>
      </w:r>
    </w:p>
    <w:p>
      <w:pPr>
        <w:spacing w:after="0" w:line="74" w:lineRule="exact"/>
        <w:rPr>
          <w:rFonts w:ascii="Arial" w:cs="Arial" w:eastAsia="Arial" w:hAnsi="Arial"/>
          <w:sz w:val="17"/>
          <w:szCs w:val="17"/>
          <w:color w:val="auto"/>
        </w:rPr>
      </w:pPr>
    </w:p>
    <w:p>
      <w:pPr>
        <w:ind w:left="880" w:right="440" w:hanging="440"/>
        <w:spacing w:after="0" w:line="298"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ind w:left="880" w:hanging="440"/>
        <w:spacing w:after="0" w:line="263"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entered into a collaboration agreement with EOC Pharma (“EOC”), and we may form or seek additional strategic alliances or collaborations in the future. Such alliances and collaborations may inhibit future opportunities, or we may not realize the benefits of such collaborations or alliances.</w:t>
      </w:r>
    </w:p>
    <w:p>
      <w:pPr>
        <w:spacing w:after="0" w:line="21" w:lineRule="exact"/>
        <w:rPr>
          <w:rFonts w:ascii="Arial" w:cs="Arial" w:eastAsia="Arial" w:hAnsi="Arial"/>
          <w:sz w:val="18"/>
          <w:szCs w:val="18"/>
          <w:color w:val="auto"/>
        </w:rPr>
      </w:pPr>
    </w:p>
    <w:p>
      <w:pPr>
        <w:ind w:left="880" w:right="58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depend on EOC to develop and commercialize FYARRO within the EOC Territory, and we have limited control over how EOC will conduct development and commercialization activities for FYARRO.</w:t>
      </w:r>
    </w:p>
    <w:p>
      <w:pPr>
        <w:spacing w:after="0" w:line="8"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stock price is expected to be volatile.</w:t>
      </w:r>
    </w:p>
    <w:p>
      <w:pPr>
        <w:spacing w:after="0" w:line="63" w:lineRule="exact"/>
        <w:rPr>
          <w:rFonts w:ascii="Arial" w:cs="Arial" w:eastAsia="Arial" w:hAnsi="Arial"/>
          <w:sz w:val="18"/>
          <w:szCs w:val="18"/>
          <w:color w:val="auto"/>
        </w:rPr>
      </w:pPr>
    </w:p>
    <w:p>
      <w:pPr>
        <w:ind w:left="880" w:right="28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attract and retain management and other key personnel, we may be unable to continue to successfully develop or commercialize our product candidates or otherwise implement our business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 Financial Condition and Capital Requirements</w:t>
      </w:r>
    </w:p>
    <w:p>
      <w:pPr>
        <w:spacing w:after="0" w:line="121"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231F20"/>
        </w:rPr>
        <w:t>We are an early commercial stage biopharmaceutical company, have a limited operating history, have not initiated or completed any large-scale clinical trials, and have a single product approved for commercial sale, which may make it difficult for you to evaluate our current business and likelihood of success and viability.</w:t>
      </w:r>
    </w:p>
    <w:p>
      <w:pPr>
        <w:spacing w:after="0" w:line="76"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231F20"/>
        </w:rPr>
        <w:t>We are an early commercial-stage biopharmaceutical company with a limited operating history upon which you can evaluate our business and prospects. We have a single product, FYARRO, approved for commercial sale by the FDA in November 2021 and have not generated any revenue as of December 31, 2021, and we continue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8" w:name="page39"/>
    <w:bookmarkEnd w:id="38"/>
    <w:p>
      <w:pPr>
        <w:ind w:right="500"/>
        <w:spacing w:after="0" w:line="259" w:lineRule="auto"/>
        <w:rPr>
          <w:sz w:val="20"/>
          <w:szCs w:val="20"/>
          <w:color w:val="auto"/>
        </w:rPr>
      </w:pPr>
      <w:r>
        <w:rPr>
          <w:rFonts w:ascii="Arial" w:cs="Arial" w:eastAsia="Arial" w:hAnsi="Arial"/>
          <w:sz w:val="18"/>
          <w:szCs w:val="18"/>
          <w:color w:val="231F20"/>
        </w:rPr>
        <w:t>incur significant research and development and other expenses related to our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79" w:lineRule="exact"/>
        <w:rPr>
          <w:sz w:val="20"/>
          <w:szCs w:val="20"/>
          <w:color w:val="auto"/>
        </w:rPr>
      </w:pPr>
    </w:p>
    <w:p>
      <w:pPr>
        <w:ind w:right="320"/>
        <w:spacing w:after="0" w:line="284" w:lineRule="auto"/>
        <w:rPr>
          <w:sz w:val="20"/>
          <w:szCs w:val="20"/>
          <w:color w:val="auto"/>
        </w:rPr>
      </w:pPr>
      <w:r>
        <w:rPr>
          <w:rFonts w:ascii="Arial" w:cs="Arial" w:eastAsia="Arial" w:hAnsi="Arial"/>
          <w:sz w:val="16"/>
          <w:szCs w:val="16"/>
          <w:color w:val="231F20"/>
        </w:rPr>
        <w:t xml:space="preserve">To date, we have devoted substantially all of our resources to research and development activities, business planning, establishing and maintaining our intellectual property portfolio, preparing for commercialization of FYARRO, hiring personnel, raising capital and providing general and administrative support for these operations. Our Phase 2 registrational study of our drug </w:t>
      </w:r>
      <w:r>
        <w:rPr>
          <w:rFonts w:ascii="Arial" w:cs="Arial" w:eastAsia="Arial" w:hAnsi="Arial"/>
          <w:sz w:val="16"/>
          <w:szCs w:val="16"/>
          <w:color w:val="000000"/>
        </w:rPr>
        <w:t>FYARRO</w:t>
      </w:r>
      <w:r>
        <w:rPr>
          <w:rFonts w:ascii="Arial" w:cs="Arial" w:eastAsia="Arial" w:hAnsi="Arial"/>
          <w:sz w:val="16"/>
          <w:szCs w:val="16"/>
          <w:color w:val="231F20"/>
        </w:rPr>
        <w:t xml:space="preserve"> (</w:t>
      </w:r>
      <w:r>
        <w:rPr>
          <w:rFonts w:ascii="Arial" w:cs="Arial" w:eastAsia="Arial" w:hAnsi="Arial"/>
          <w:sz w:val="16"/>
          <w:szCs w:val="16"/>
          <w:i w:val="1"/>
          <w:iCs w:val="1"/>
          <w:color w:val="231F20"/>
        </w:rPr>
        <w:t>nab</w:t>
      </w:r>
      <w:r>
        <w:rPr>
          <w:rFonts w:ascii="Arial" w:cs="Arial" w:eastAsia="Arial" w:hAnsi="Arial"/>
          <w:sz w:val="16"/>
          <w:szCs w:val="16"/>
          <w:color w:val="231F20"/>
        </w:rPr>
        <w:t xml:space="preserve">-sirolimus) (the “AMPECT trial”) for advanced (metastatic or locally advanced) malignant perivascular epithelioid sarcoma (“PEComa”) has been completed. A rolling New Drug Application (an “NDA”) submission for our lead product candidate, </w:t>
      </w:r>
      <w:r>
        <w:rPr>
          <w:rFonts w:ascii="Arial" w:cs="Arial" w:eastAsia="Arial" w:hAnsi="Arial"/>
          <w:sz w:val="16"/>
          <w:szCs w:val="16"/>
          <w:color w:val="000000"/>
        </w:rPr>
        <w:t>FYARRO</w:t>
      </w:r>
      <w:r>
        <w:rPr>
          <w:rFonts w:ascii="Arial" w:cs="Arial" w:eastAsia="Arial" w:hAnsi="Arial"/>
          <w:sz w:val="16"/>
          <w:szCs w:val="16"/>
          <w:color w:val="231F20"/>
        </w:rPr>
        <w:t xml:space="preserve">, was completed in May 2021, and the U.S. Food and Drug Administration (the “FDA”) accepted our NDA in July 2021 and approved FYARRO for the treatment of advanced malignant PEComa in November 2021. Based on the AMPECT trial and emerging data for </w:t>
      </w:r>
      <w:r>
        <w:rPr>
          <w:rFonts w:ascii="Arial" w:cs="Arial" w:eastAsia="Arial" w:hAnsi="Arial"/>
          <w:sz w:val="16"/>
          <w:szCs w:val="16"/>
          <w:color w:val="000000"/>
        </w:rPr>
        <w:t>FYARRO</w:t>
      </w:r>
      <w:r>
        <w:rPr>
          <w:rFonts w:ascii="Arial" w:cs="Arial" w:eastAsia="Arial" w:hAnsi="Arial"/>
          <w:sz w:val="16"/>
          <w:szCs w:val="16"/>
          <w:color w:val="231F20"/>
        </w:rPr>
        <w:t xml:space="preserve"> in other solid tumors with tumor-agnostic Tuberous Sclerosis Complex 1 and 2 (“</w:t>
      </w:r>
      <w:r>
        <w:rPr>
          <w:rFonts w:ascii="Arial" w:cs="Arial" w:eastAsia="Arial" w:hAnsi="Arial"/>
          <w:sz w:val="16"/>
          <w:szCs w:val="16"/>
          <w:i w:val="1"/>
          <w:iCs w:val="1"/>
          <w:color w:val="231F20"/>
        </w:rPr>
        <w:t>TSC1</w:t>
      </w:r>
    </w:p>
    <w:p>
      <w:pPr>
        <w:spacing w:after="0" w:line="2" w:lineRule="exact"/>
        <w:rPr>
          <w:sz w:val="20"/>
          <w:szCs w:val="20"/>
          <w:color w:val="auto"/>
        </w:rPr>
      </w:pPr>
    </w:p>
    <w:p>
      <w:pPr>
        <w:ind w:right="600" w:firstLine="8"/>
        <w:spacing w:after="0" w:line="323" w:lineRule="auto"/>
        <w:tabs>
          <w:tab w:leader="none" w:pos="185" w:val="left"/>
        </w:tabs>
        <w:numPr>
          <w:ilvl w:val="0"/>
          <w:numId w:val="15"/>
        </w:numPr>
        <w:rPr>
          <w:rFonts w:ascii="Arial" w:cs="Arial" w:eastAsia="Arial" w:hAnsi="Arial"/>
          <w:sz w:val="16"/>
          <w:szCs w:val="16"/>
          <w:color w:val="231F20"/>
        </w:rPr>
      </w:pPr>
      <w:r>
        <w:rPr>
          <w:rFonts w:ascii="Arial" w:cs="Arial" w:eastAsia="Arial" w:hAnsi="Arial"/>
          <w:sz w:val="16"/>
          <w:szCs w:val="16"/>
          <w:i w:val="1"/>
          <w:iCs w:val="1"/>
          <w:color w:val="231F20"/>
        </w:rPr>
        <w:t xml:space="preserve">TSC2”) </w:t>
      </w:r>
      <w:r>
        <w:rPr>
          <w:rFonts w:ascii="Arial" w:cs="Arial" w:eastAsia="Arial" w:hAnsi="Arial"/>
          <w:sz w:val="16"/>
          <w:szCs w:val="16"/>
          <w:color w:val="231F20"/>
        </w:rPr>
        <w:t>alterations, and following discussions with the FDA, we opened enrollment for our tumor-agnostic registration-directed trial in cancers</w:t>
      </w:r>
      <w:r>
        <w:rPr>
          <w:rFonts w:ascii="Arial" w:cs="Arial" w:eastAsia="Arial" w:hAnsi="Arial"/>
          <w:sz w:val="16"/>
          <w:szCs w:val="16"/>
          <w:i w:val="1"/>
          <w:iCs w:val="1"/>
          <w:color w:val="231F20"/>
        </w:rPr>
        <w:t xml:space="preserve"> </w:t>
      </w:r>
      <w:r>
        <w:rPr>
          <w:rFonts w:ascii="Arial" w:cs="Arial" w:eastAsia="Arial" w:hAnsi="Arial"/>
          <w:sz w:val="16"/>
          <w:szCs w:val="16"/>
          <w:color w:val="231F20"/>
        </w:rPr>
        <w:t>harboring TSC1 &amp; TSC2 inactivating alterations in the first quarter of 2022. Our other programs are in early clinical research stages.</w:t>
      </w:r>
    </w:p>
    <w:p>
      <w:pPr>
        <w:spacing w:after="0" w:line="3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231F20"/>
        </w:rPr>
        <w:t>We have not yet demonstrated our ability to successfully manufacture a commercial-scale product, although we have arranged for a third party to do so on our behalf, or conducted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57" w:lineRule="exact"/>
        <w:rPr>
          <w:sz w:val="20"/>
          <w:szCs w:val="20"/>
          <w:color w:val="auto"/>
        </w:rPr>
      </w:pPr>
    </w:p>
    <w:p>
      <w:pPr>
        <w:ind w:right="540"/>
        <w:spacing w:after="0" w:line="301" w:lineRule="auto"/>
        <w:rPr>
          <w:sz w:val="20"/>
          <w:szCs w:val="20"/>
          <w:color w:val="auto"/>
        </w:rPr>
      </w:pPr>
      <w:r>
        <w:rPr>
          <w:rFonts w:ascii="Arial" w:cs="Arial" w:eastAsia="Arial" w:hAnsi="Arial"/>
          <w:sz w:val="16"/>
          <w:szCs w:val="16"/>
          <w:color w:val="231F20"/>
        </w:rPr>
        <w:t>In addition, we may encounter unforeseen expenses, difficulties, complications, delays and other known and unknown factors and risks frequently experienced by early commercial-stage biopharmaceutical companies in rapidly evolving fields. We also are transitioning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have incurred significant net losses since our inception, and we expect to continue to incur significant net losses for the foreseeable future.</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We have incurred significant net losses since our inception, have not generated any revenue from product sales to date and have financed our operations principally through private placements of our convertible preferred stock, federal grants and proceeds from licenses. Our net losses were $110.1 million for the year ended December 31, 2021, and $3.5 million for the year ended December 31, 2020. We had an accumulated deficit of $142.7 million as of December 31, 2021, and $32.6 million as of December 31, 2020. These losses have resulted primarily from a non-cash impairment charge of $74.2 million related to an acquired contract intangible asset, costs incurred in connection with research and development activities, costs incurred in connection with commercializing FYARRO and general and administrative costs associated with our operations. We have only one product approved for commercial sale and have not generated any product revenue as of December 31, 2021, and we continue to incur significant research and development and other expenses related to our ongoing operations. As a result, we expect to continue to incur significant operating expenses for the foreseeable future due to the cost of commercializing FYARRO, research and development, including identifying and designing additional product candidates and conducting preclinical studies and clinical trials, and the regulatory approval process for our product candidates. We expect our expenses, and the potential for losses, to increase substantially as we commercialize FYARRO, continue to conduct clinical trials of our product candidates and seek to expand our pipeline. The amount of our future expenses and potential losses is uncertain.</w:t>
      </w:r>
    </w:p>
    <w:p>
      <w:pPr>
        <w:spacing w:after="0" w:line="6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231F20"/>
        </w:rPr>
        <w:t>Even if we succeed in commercializing FYARRO for its approved PEComa indication, and if we succeed in receiving regulatory approval for and commercializing one or more of our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39" w:name="page40"/>
    <w:bookmarkEnd w:id="39"/>
    <w:p>
      <w:pPr>
        <w:ind w:right="560"/>
        <w:spacing w:after="0" w:line="277" w:lineRule="auto"/>
        <w:rPr>
          <w:sz w:val="20"/>
          <w:szCs w:val="20"/>
          <w:color w:val="auto"/>
        </w:rPr>
      </w:pPr>
      <w:r>
        <w:rPr>
          <w:rFonts w:ascii="Arial" w:cs="Arial" w:eastAsia="Arial" w:hAnsi="Arial"/>
          <w:sz w:val="18"/>
          <w:szCs w:val="18"/>
          <w:color w:val="231F20"/>
        </w:rPr>
        <w:t>working capital, our ability to fund the commercialization of FYARRO, the development of our other product candidates, our ability to achieve and maintain profitability and the performance of our stock.</w:t>
      </w:r>
    </w:p>
    <w:p>
      <w:pPr>
        <w:spacing w:after="0" w:line="62"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231F20"/>
        </w:rPr>
        <w:t>We have one product approved for commercialization in the U.S., FYARRO, for the treatment of advanced malignant PEComa, which was approved by the FDA in November 2021 and launched commercially in the U.S. in February 2022. Our ability to generate substantial product revenue sufficient to achieve profitability depends on our ability, alone or with strategic collaboration partners, to obtain the regulatory and marketing approvals necessary to commercialize FYARRO in foreign jurisdictions and to successfully complete discovery, development and eventual commercialization of additional indications or one or more of our other current and future product candidates. We do not anticipate generating revenue from product sales significant enough to achieve profitability for the foreseeable future. Our ability to generate future revenue and achieve profitability depends significantly on our ability, or any current or future collaborator’s ability, to achieve several objectives, including, but not limited to:</w:t>
      </w:r>
    </w:p>
    <w:p>
      <w:pPr>
        <w:spacing w:after="0" w:line="126" w:lineRule="exact"/>
        <w:rPr>
          <w:sz w:val="20"/>
          <w:szCs w:val="20"/>
          <w:color w:val="auto"/>
        </w:rPr>
      </w:pPr>
    </w:p>
    <w:p>
      <w:pPr>
        <w:ind w:left="1080" w:right="500" w:hanging="424"/>
        <w:spacing w:after="0" w:line="298" w:lineRule="auto"/>
        <w:tabs>
          <w:tab w:leader="none" w:pos="108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 xml:space="preserve">demonstrating the safety and efficacy of </w:t>
      </w:r>
      <w:r>
        <w:rPr>
          <w:rFonts w:ascii="Arial" w:cs="Arial" w:eastAsia="Arial" w:hAnsi="Arial"/>
          <w:sz w:val="17"/>
          <w:szCs w:val="17"/>
          <w:color w:val="000000"/>
        </w:rPr>
        <w:t>FYARRO</w:t>
      </w:r>
      <w:r>
        <w:rPr>
          <w:rFonts w:ascii="Arial" w:cs="Arial" w:eastAsia="Arial" w:hAnsi="Arial"/>
          <w:sz w:val="17"/>
          <w:szCs w:val="17"/>
          <w:color w:val="231F20"/>
        </w:rPr>
        <w:t xml:space="preserve"> to the satisfaction of the FDA and obtaining regulatory approval for </w:t>
      </w:r>
      <w:r>
        <w:rPr>
          <w:rFonts w:ascii="Arial" w:cs="Arial" w:eastAsia="Arial" w:hAnsi="Arial"/>
          <w:sz w:val="17"/>
          <w:szCs w:val="17"/>
          <w:color w:val="000000"/>
        </w:rPr>
        <w:t>FYARRO for</w:t>
      </w:r>
      <w:r>
        <w:rPr>
          <w:rFonts w:ascii="Arial" w:cs="Arial" w:eastAsia="Arial" w:hAnsi="Arial"/>
          <w:sz w:val="17"/>
          <w:szCs w:val="17"/>
          <w:color w:val="231F20"/>
        </w:rPr>
        <w:t xml:space="preserve"> </w:t>
      </w:r>
      <w:r>
        <w:rPr>
          <w:rFonts w:ascii="Arial" w:cs="Arial" w:eastAsia="Arial" w:hAnsi="Arial"/>
          <w:sz w:val="17"/>
          <w:szCs w:val="17"/>
          <w:color w:val="000000"/>
        </w:rPr>
        <w:t xml:space="preserve">other indications </w:t>
      </w:r>
      <w:r>
        <w:rPr>
          <w:rFonts w:ascii="Arial" w:cs="Arial" w:eastAsia="Arial" w:hAnsi="Arial"/>
          <w:sz w:val="17"/>
          <w:szCs w:val="17"/>
          <w:color w:val="231F20"/>
        </w:rPr>
        <w:t>and for other current and future product candidates, if any, for which there is a commercial market;</w:t>
      </w:r>
    </w:p>
    <w:p>
      <w:pPr>
        <w:ind w:left="1080" w:right="7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launching and successfully commercializing FYARRO or any product candidates following any regulatory approval, including the development of a commercial infrastructure, whether in-house or with one or more collaborators;</w:t>
      </w:r>
    </w:p>
    <w:p>
      <w:pPr>
        <w:spacing w:after="0" w:line="8" w:lineRule="exact"/>
        <w:rPr>
          <w:rFonts w:ascii="Arial" w:cs="Arial" w:eastAsia="Arial" w:hAnsi="Arial"/>
          <w:sz w:val="18"/>
          <w:szCs w:val="18"/>
          <w:color w:val="auto"/>
        </w:rPr>
      </w:pPr>
    </w:p>
    <w:p>
      <w:pPr>
        <w:jc w:val="both"/>
        <w:ind w:left="1080" w:right="16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maintaining commercially viable supply and manufacturing relationships with third parties that can provide adequate, in both amount and quality, products and services to support clinical development and meet the market demand for FYARRO or any other product candidates we may develop, if approved;</w:t>
      </w:r>
    </w:p>
    <w:p>
      <w:pPr>
        <w:spacing w:after="0" w:line="21"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 xml:space="preserve">completing development activities, including planned clinical trials for </w:t>
      </w:r>
      <w:r>
        <w:rPr>
          <w:rFonts w:ascii="Arial" w:cs="Arial" w:eastAsia="Arial" w:hAnsi="Arial"/>
          <w:sz w:val="17"/>
          <w:szCs w:val="17"/>
          <w:color w:val="000000"/>
        </w:rPr>
        <w:t>FYARRO for</w:t>
      </w:r>
      <w:r>
        <w:rPr>
          <w:rFonts w:ascii="Arial" w:cs="Arial" w:eastAsia="Arial" w:hAnsi="Arial"/>
          <w:sz w:val="17"/>
          <w:szCs w:val="17"/>
          <w:color w:val="231F20"/>
        </w:rPr>
        <w:t xml:space="preserve"> </w:t>
      </w:r>
      <w:r>
        <w:rPr>
          <w:rFonts w:ascii="Arial" w:cs="Arial" w:eastAsia="Arial" w:hAnsi="Arial"/>
          <w:sz w:val="17"/>
          <w:szCs w:val="17"/>
          <w:i w:val="1"/>
          <w:iCs w:val="1"/>
          <w:color w:val="000000"/>
        </w:rPr>
        <w:t>TSC1 &amp; TSC2</w:t>
      </w:r>
      <w:r>
        <w:rPr>
          <w:rFonts w:ascii="Arial" w:cs="Arial" w:eastAsia="Arial" w:hAnsi="Arial"/>
          <w:sz w:val="17"/>
          <w:szCs w:val="17"/>
          <w:color w:val="231F20"/>
        </w:rPr>
        <w:t>, successfully and on a timely basis;</w:t>
      </w:r>
    </w:p>
    <w:p>
      <w:pPr>
        <w:spacing w:after="0" w:line="74" w:lineRule="exact"/>
        <w:rPr>
          <w:rFonts w:ascii="Arial" w:cs="Arial" w:eastAsia="Arial" w:hAnsi="Arial"/>
          <w:sz w:val="17"/>
          <w:szCs w:val="17"/>
          <w:color w:val="231F20"/>
        </w:rPr>
      </w:pPr>
    </w:p>
    <w:p>
      <w:pPr>
        <w:ind w:left="1080" w:hanging="424"/>
        <w:spacing w:after="0"/>
        <w:tabs>
          <w:tab w:leader="none" w:pos="10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obtaining additional regulatory and marketing approvals for FYARRO for additional indications;</w:t>
      </w:r>
    </w:p>
    <w:p>
      <w:pPr>
        <w:spacing w:after="0" w:line="63" w:lineRule="exact"/>
        <w:rPr>
          <w:rFonts w:ascii="Arial" w:cs="Arial" w:eastAsia="Arial" w:hAnsi="Arial"/>
          <w:sz w:val="18"/>
          <w:szCs w:val="18"/>
          <w:color w:val="231F20"/>
        </w:rPr>
      </w:pPr>
    </w:p>
    <w:p>
      <w:pPr>
        <w:ind w:left="1080" w:right="140" w:hanging="424"/>
        <w:spacing w:after="0" w:line="263" w:lineRule="auto"/>
        <w:tabs>
          <w:tab w:leader="none" w:pos="10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our ability to complete investigational new drug application (an “IND”) enabling studies and successfully submit INDs or IND supplements or comparable applications, which become effective without any objections by the FDA or comparable regulatory authorities before commencing a clinical trial for any of our product candidates;</w:t>
      </w:r>
    </w:p>
    <w:p>
      <w:pPr>
        <w:spacing w:after="0" w:line="21" w:lineRule="exact"/>
        <w:rPr>
          <w:rFonts w:ascii="Arial" w:cs="Arial" w:eastAsia="Arial" w:hAnsi="Arial"/>
          <w:sz w:val="18"/>
          <w:szCs w:val="18"/>
          <w:color w:val="231F20"/>
        </w:rPr>
      </w:pPr>
    </w:p>
    <w:p>
      <w:pPr>
        <w:ind w:left="1080" w:right="1300" w:hanging="424"/>
        <w:spacing w:after="0" w:line="298" w:lineRule="auto"/>
        <w:tabs>
          <w:tab w:leader="none" w:pos="108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 xml:space="preserve">establishing and maintaining relationships with contract research organizations (“CROs”) and clinical sites for the clinical development of </w:t>
      </w:r>
      <w:r>
        <w:rPr>
          <w:rFonts w:ascii="Arial" w:cs="Arial" w:eastAsia="Arial" w:hAnsi="Arial"/>
          <w:sz w:val="17"/>
          <w:szCs w:val="17"/>
          <w:color w:val="000000"/>
        </w:rPr>
        <w:t>FYARRO in other indications</w:t>
      </w:r>
      <w:r>
        <w:rPr>
          <w:rFonts w:ascii="Arial" w:cs="Arial" w:eastAsia="Arial" w:hAnsi="Arial"/>
          <w:sz w:val="17"/>
          <w:szCs w:val="17"/>
          <w:color w:val="231F20"/>
        </w:rPr>
        <w:t xml:space="preserve"> and any other future product candidates that we may develop;</w:t>
      </w:r>
    </w:p>
    <w:p>
      <w:pPr>
        <w:ind w:left="1080" w:hanging="424"/>
        <w:spacing w:after="0" w:line="277" w:lineRule="auto"/>
        <w:tabs>
          <w:tab w:leader="none" w:pos="10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timely receipt of regulatory approvals from applicable regulatory authorities for any product candidates for which we successfully complete clinical development;</w:t>
      </w:r>
    </w:p>
    <w:p>
      <w:pPr>
        <w:spacing w:after="0" w:line="8" w:lineRule="exact"/>
        <w:rPr>
          <w:rFonts w:ascii="Arial" w:cs="Arial" w:eastAsia="Arial" w:hAnsi="Arial"/>
          <w:sz w:val="18"/>
          <w:szCs w:val="18"/>
          <w:color w:val="231F20"/>
        </w:rPr>
      </w:pPr>
    </w:p>
    <w:p>
      <w:pPr>
        <w:ind w:left="1080" w:right="1080" w:hanging="424"/>
        <w:spacing w:after="0" w:line="277" w:lineRule="auto"/>
        <w:tabs>
          <w:tab w:leader="none" w:pos="10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developing or contracting for an efficient and scalable manufacturing process for our product candidates, including obtaining finished products that are appropriately packaged for sale;</w:t>
      </w:r>
    </w:p>
    <w:p>
      <w:pPr>
        <w:spacing w:after="0" w:line="8" w:lineRule="exact"/>
        <w:rPr>
          <w:rFonts w:ascii="Arial" w:cs="Arial" w:eastAsia="Arial" w:hAnsi="Arial"/>
          <w:sz w:val="18"/>
          <w:szCs w:val="18"/>
          <w:color w:val="231F20"/>
        </w:rPr>
      </w:pPr>
    </w:p>
    <w:p>
      <w:pPr>
        <w:ind w:left="1080" w:right="420" w:hanging="424"/>
        <w:spacing w:after="0" w:line="277" w:lineRule="auto"/>
        <w:tabs>
          <w:tab w:leader="none" w:pos="10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negotiating and maintaining an adequate price for our product candidates, both in the United States and in foreign countries where our products are commercialized;</w:t>
      </w:r>
    </w:p>
    <w:p>
      <w:pPr>
        <w:spacing w:after="0" w:line="8" w:lineRule="exact"/>
        <w:rPr>
          <w:rFonts w:ascii="Arial" w:cs="Arial" w:eastAsia="Arial" w:hAnsi="Arial"/>
          <w:sz w:val="18"/>
          <w:szCs w:val="18"/>
          <w:color w:val="231F20"/>
        </w:rPr>
      </w:pPr>
    </w:p>
    <w:p>
      <w:pPr>
        <w:ind w:left="1080" w:hanging="424"/>
        <w:spacing w:after="0"/>
        <w:tabs>
          <w:tab w:leader="none" w:pos="10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 continued acceptable safety profile following any regulatory approval of our product candidates;</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commercial acceptance of our product candidates by patients, the medical community and third-party payors;</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satisfying any required post-regulatory approval commitments to applicable regulatory authorities;</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identifying, assessing and developing new product candidates;</w:t>
      </w:r>
    </w:p>
    <w:p>
      <w:pPr>
        <w:spacing w:after="0" w:line="63" w:lineRule="exact"/>
        <w:rPr>
          <w:rFonts w:ascii="Arial" w:cs="Arial" w:eastAsia="Arial" w:hAnsi="Arial"/>
          <w:sz w:val="18"/>
          <w:szCs w:val="18"/>
          <w:color w:val="231F20"/>
        </w:rPr>
      </w:pPr>
    </w:p>
    <w:p>
      <w:pPr>
        <w:ind w:left="1080" w:right="1100" w:hanging="424"/>
        <w:spacing w:after="0" w:line="277" w:lineRule="auto"/>
        <w:tabs>
          <w:tab w:leader="none" w:pos="10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obtaining, maintaining and expanding patent protection, trade secret protection and regulatory exclusivity, both in the United States and internationally;</w:t>
      </w:r>
    </w:p>
    <w:p>
      <w:pPr>
        <w:spacing w:after="0" w:line="8" w:lineRule="exact"/>
        <w:rPr>
          <w:rFonts w:ascii="Arial" w:cs="Arial" w:eastAsia="Arial" w:hAnsi="Arial"/>
          <w:sz w:val="18"/>
          <w:szCs w:val="18"/>
          <w:color w:val="231F20"/>
        </w:rPr>
      </w:pPr>
    </w:p>
    <w:p>
      <w:pPr>
        <w:ind w:left="1080" w:hanging="424"/>
        <w:spacing w:after="0"/>
        <w:tabs>
          <w:tab w:leader="none" w:pos="10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protecting our rights in our intellectual property portfolio;</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defending against third-party interference or infringement claims, if any;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0" w:name="page41"/>
    <w:bookmarkEnd w:id="40"/>
    <w:p>
      <w:pPr>
        <w:ind w:left="1080" w:right="220" w:hanging="424"/>
        <w:spacing w:after="0" w:line="277" w:lineRule="auto"/>
        <w:tabs>
          <w:tab w:leader="none" w:pos="10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entering into and maintaining, on favorable terms, any collaboration, licensing or other arrangements that may be necessary or desirable to develop, manufacture or commercialize our product candidates;</w:t>
      </w:r>
    </w:p>
    <w:p>
      <w:pPr>
        <w:spacing w:after="0" w:line="8" w:lineRule="exact"/>
        <w:rPr>
          <w:rFonts w:ascii="Arial" w:cs="Arial" w:eastAsia="Arial" w:hAnsi="Arial"/>
          <w:sz w:val="18"/>
          <w:szCs w:val="18"/>
          <w:color w:val="231F20"/>
        </w:rPr>
      </w:pPr>
    </w:p>
    <w:p>
      <w:pPr>
        <w:ind w:left="1080" w:hanging="424"/>
        <w:spacing w:after="0"/>
        <w:tabs>
          <w:tab w:leader="none" w:pos="10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obtaining coverage and adequate reimbursement by third-party payors for our product candidates;</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addressing any competing therapies and technological and market developments; and</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attracting, hiring and retaining qualified personnel.</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231F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spacing w:after="0" w:line="49"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231F20"/>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231F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and planned activities, particularly as we seek additional regulatory approval of FYARRO for additional indications, and the commercialization of </w:t>
      </w:r>
      <w:r>
        <w:rPr>
          <w:rFonts w:ascii="Arial" w:cs="Arial" w:eastAsia="Arial" w:hAnsi="Arial"/>
          <w:sz w:val="17"/>
          <w:szCs w:val="17"/>
          <w:color w:val="000000"/>
        </w:rPr>
        <w:t>FYARRO for its approved indications</w:t>
      </w:r>
      <w:r>
        <w:rPr>
          <w:rFonts w:ascii="Arial" w:cs="Arial" w:eastAsia="Arial" w:hAnsi="Arial"/>
          <w:sz w:val="17"/>
          <w:szCs w:val="17"/>
          <w:color w:val="231F20"/>
        </w:rPr>
        <w:t xml:space="preserve">.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of our product candidates. Other unanticipated costs may also arise. In addition, even if we obtain regulatory approval for any of our other product candidates, including additional indications for </w:t>
      </w:r>
      <w:r>
        <w:rPr>
          <w:rFonts w:ascii="Arial" w:cs="Arial" w:eastAsia="Arial" w:hAnsi="Arial"/>
          <w:sz w:val="17"/>
          <w:szCs w:val="17"/>
          <w:color w:val="000000"/>
        </w:rPr>
        <w:t>FYARRO</w:t>
      </w:r>
      <w:r>
        <w:rPr>
          <w:rFonts w:ascii="Arial" w:cs="Arial" w:eastAsia="Arial" w:hAnsi="Arial"/>
          <w:sz w:val="17"/>
          <w:szCs w:val="17"/>
          <w:color w:val="231F20"/>
        </w:rPr>
        <w:t>, we expect to incur significant commercialization expenses related to sales, marketing, manufacturing and distribution activities and ongoing</w:t>
      </w:r>
      <w:r>
        <w:rPr>
          <w:rFonts w:ascii="Arial" w:cs="Arial" w:eastAsia="Arial" w:hAnsi="Arial"/>
          <w:sz w:val="17"/>
          <w:szCs w:val="17"/>
          <w:color w:val="000000"/>
        </w:rPr>
        <w:t xml:space="preserve"> </w:t>
      </w:r>
      <w:r>
        <w:rPr>
          <w:rFonts w:ascii="Arial" w:cs="Arial" w:eastAsia="Arial" w:hAnsi="Arial"/>
          <w:sz w:val="17"/>
          <w:szCs w:val="17"/>
          <w:color w:val="231F20"/>
        </w:rPr>
        <w:t xml:space="preserve">compliance activities. We cannot reasonably estimate the actual amount of resources and funding that will be necessary to successfully complete the development and commercialization of </w:t>
      </w:r>
      <w:r>
        <w:rPr>
          <w:rFonts w:ascii="Arial" w:cs="Arial" w:eastAsia="Arial" w:hAnsi="Arial"/>
          <w:sz w:val="17"/>
          <w:szCs w:val="17"/>
          <w:color w:val="000000"/>
        </w:rPr>
        <w:t>FYARRO</w:t>
      </w:r>
      <w:r>
        <w:rPr>
          <w:rFonts w:ascii="Arial" w:cs="Arial" w:eastAsia="Arial" w:hAnsi="Arial"/>
          <w:sz w:val="17"/>
          <w:szCs w:val="17"/>
          <w:color w:val="231F20"/>
        </w:rPr>
        <w:t xml:space="preserve"> for the PEComa indication, or for any other additional indications, if approved, or any other product candidates or other indications we may develop. Upon receiving regulatory approval for FYARRO from the FDA in November 2021, we are only permitted to market or promote </w:t>
      </w:r>
      <w:r>
        <w:rPr>
          <w:rFonts w:ascii="Arial" w:cs="Arial" w:eastAsia="Arial" w:hAnsi="Arial"/>
          <w:sz w:val="17"/>
          <w:szCs w:val="17"/>
          <w:color w:val="000000"/>
        </w:rPr>
        <w:t>FYARRO for the PEComa indication</w:t>
      </w:r>
      <w:r>
        <w:rPr>
          <w:rFonts w:ascii="Arial" w:cs="Arial" w:eastAsia="Arial" w:hAnsi="Arial"/>
          <w:sz w:val="17"/>
          <w:szCs w:val="17"/>
          <w:color w:val="231F20"/>
        </w:rPr>
        <w:t>, and not for any other indication, or any other product candidate, in the United States. In addition, we will incur additional costs associated with operating as a public company. Accordingly, we will need to obtain substantial additional funding in order to continue our operations.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231F20"/>
        </w:rPr>
        <w:t>As of December 31, 2021, we had $149.0 million in cash and cash equivalents. Based on our current operating plan, we believe that our cash and cash equivalents will enable us to fund our planned operating expenses and capital expenditures into 2024. Our estimate as to how long we expect our cash and cash equivalents to be able to continue to fund our operations is based on assumptions that may prove to be wrong, and we could exhaust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231F20"/>
        </w:rPr>
        <w:t xml:space="preserve">We plan to use our cash and cash equivalents to fund the commercialization of </w:t>
      </w:r>
      <w:r>
        <w:rPr>
          <w:rFonts w:ascii="Arial" w:cs="Arial" w:eastAsia="Arial" w:hAnsi="Arial"/>
          <w:sz w:val="18"/>
          <w:szCs w:val="18"/>
          <w:color w:val="000000"/>
        </w:rPr>
        <w:t>FYARRO</w:t>
      </w:r>
      <w:r>
        <w:rPr>
          <w:rFonts w:ascii="Arial" w:cs="Arial" w:eastAsia="Arial" w:hAnsi="Arial"/>
          <w:sz w:val="18"/>
          <w:szCs w:val="18"/>
          <w:color w:val="231F20"/>
        </w:rPr>
        <w:t xml:space="preserve"> for the PEComa indication, ongoing and planned clinical trials of </w:t>
      </w:r>
      <w:r>
        <w:rPr>
          <w:rFonts w:ascii="Arial" w:cs="Arial" w:eastAsia="Arial" w:hAnsi="Arial"/>
          <w:sz w:val="18"/>
          <w:szCs w:val="18"/>
          <w:color w:val="000000"/>
        </w:rPr>
        <w:t>FYARRO</w:t>
      </w:r>
      <w:r>
        <w:rPr>
          <w:rFonts w:ascii="Arial" w:cs="Arial" w:eastAsia="Arial" w:hAnsi="Arial"/>
          <w:sz w:val="18"/>
          <w:szCs w:val="18"/>
          <w:color w:val="231F20"/>
        </w:rPr>
        <w:t xml:space="preserve"> for other indications such as the </w:t>
      </w:r>
      <w:r>
        <w:rPr>
          <w:rFonts w:ascii="Arial" w:cs="Arial" w:eastAsia="Arial" w:hAnsi="Arial"/>
          <w:sz w:val="18"/>
          <w:szCs w:val="18"/>
          <w:i w:val="1"/>
          <w:iCs w:val="1"/>
          <w:color w:val="231F20"/>
        </w:rPr>
        <w:t>TSC1 &amp; TSC2</w:t>
      </w:r>
      <w:r>
        <w:rPr>
          <w:rFonts w:ascii="Arial" w:cs="Arial" w:eastAsia="Arial" w:hAnsi="Arial"/>
          <w:sz w:val="18"/>
          <w:szCs w:val="18"/>
          <w:color w:val="231F20"/>
        </w:rPr>
        <w:t xml:space="preserve"> indications, for manufacturing operations and to fund our other research for other product candidates and development activities, as well as for working capital and other general corporate purposes. Advancing the development of </w:t>
      </w:r>
      <w:r>
        <w:rPr>
          <w:rFonts w:ascii="Arial" w:cs="Arial" w:eastAsia="Arial" w:hAnsi="Arial"/>
          <w:sz w:val="18"/>
          <w:szCs w:val="18"/>
          <w:color w:val="000000"/>
        </w:rPr>
        <w:t>FYARRO</w:t>
      </w:r>
      <w:r>
        <w:rPr>
          <w:rFonts w:ascii="Arial" w:cs="Arial" w:eastAsia="Arial" w:hAnsi="Arial"/>
          <w:sz w:val="18"/>
          <w:szCs w:val="18"/>
          <w:color w:val="231F20"/>
        </w:rPr>
        <w:t xml:space="preserve"> and any other product candidate will require a significant amount of capital. Our existing cash and cash equivalents will not be sufficient to fund all of the activities that are necessary to complete the development of </w:t>
      </w:r>
      <w:r>
        <w:rPr>
          <w:rFonts w:ascii="Arial" w:cs="Arial" w:eastAsia="Arial" w:hAnsi="Arial"/>
          <w:sz w:val="18"/>
          <w:szCs w:val="18"/>
          <w:color w:val="000000"/>
        </w:rPr>
        <w:t>FYARRO</w:t>
      </w:r>
      <w:r>
        <w:rPr>
          <w:rFonts w:ascii="Arial" w:cs="Arial" w:eastAsia="Arial" w:hAnsi="Arial"/>
          <w:sz w:val="18"/>
          <w:szCs w:val="18"/>
          <w:color w:val="231F20"/>
        </w:rPr>
        <w:t>.</w:t>
      </w:r>
    </w:p>
    <w:p>
      <w:pPr>
        <w:spacing w:after="0" w:line="8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31F20"/>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develop and commercialize FYARRO or</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11" w:right="459" w:bottom="1440" w:gutter="0" w:footer="0" w:header="0"/>
        </w:sectPr>
      </w:pPr>
    </w:p>
    <w:bookmarkStart w:id="41" w:name="page42"/>
    <w:bookmarkEnd w:id="41"/>
    <w:p>
      <w:pPr>
        <w:ind w:right="20"/>
        <w:spacing w:after="0" w:line="253" w:lineRule="auto"/>
        <w:rPr>
          <w:sz w:val="20"/>
          <w:szCs w:val="20"/>
          <w:color w:val="auto"/>
        </w:rPr>
      </w:pPr>
      <w:r>
        <w:rPr>
          <w:rFonts w:ascii="Arial" w:cs="Arial" w:eastAsia="Arial" w:hAnsi="Arial"/>
          <w:sz w:val="18"/>
          <w:szCs w:val="18"/>
          <w:color w:val="231F20"/>
        </w:rPr>
        <w:t>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will depend on financial, economic and other factors, many of which are beyond our control. In addition, we may seek additional capital due to favorable market conditions or strategic considerations even if we believe we have sufficient funds for our current or future operating plans.</w:t>
      </w:r>
    </w:p>
    <w:p>
      <w:pPr>
        <w:spacing w:after="0" w:line="8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231F20"/>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 programs, clinical trials or future commercialization efforts.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the Discovery, Development and Commercialization of Our Product Candidates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231F20"/>
        </w:rPr>
        <w:t xml:space="preserve">We are early in our development efforts and have only one product which has completed development and obtained regulatory approval by the FDA for a single indication, FYARRO. We are substantially dependent on the success of </w:t>
      </w:r>
      <w:r>
        <w:rPr>
          <w:rFonts w:ascii="Arial" w:cs="Arial" w:eastAsia="Arial" w:hAnsi="Arial"/>
          <w:sz w:val="18"/>
          <w:szCs w:val="18"/>
          <w:b w:val="1"/>
          <w:bCs w:val="1"/>
          <w:i w:val="1"/>
          <w:iCs w:val="1"/>
          <w:color w:val="000000"/>
        </w:rPr>
        <w:t>FYARRO</w:t>
      </w:r>
      <w:r>
        <w:rPr>
          <w:rFonts w:ascii="Arial" w:cs="Arial" w:eastAsia="Arial" w:hAnsi="Arial"/>
          <w:sz w:val="18"/>
          <w:szCs w:val="18"/>
          <w:b w:val="1"/>
          <w:bCs w:val="1"/>
          <w:i w:val="1"/>
          <w:iCs w:val="1"/>
          <w:color w:val="231F20"/>
        </w:rPr>
        <w:t xml:space="preserve">. If we are unable to commercialize </w:t>
      </w:r>
      <w:r>
        <w:rPr>
          <w:rFonts w:ascii="Arial" w:cs="Arial" w:eastAsia="Arial" w:hAnsi="Arial"/>
          <w:sz w:val="18"/>
          <w:szCs w:val="18"/>
          <w:b w:val="1"/>
          <w:bCs w:val="1"/>
          <w:i w:val="1"/>
          <w:iCs w:val="1"/>
          <w:color w:val="000000"/>
        </w:rPr>
        <w:t>FYARRO for</w:t>
      </w:r>
      <w:r>
        <w:rPr>
          <w:rFonts w:ascii="Arial" w:cs="Arial" w:eastAsia="Arial" w:hAnsi="Arial"/>
          <w:sz w:val="18"/>
          <w:szCs w:val="18"/>
          <w:b w:val="1"/>
          <w:bCs w:val="1"/>
          <w:i w:val="1"/>
          <w:iCs w:val="1"/>
          <w:color w:val="231F20"/>
        </w:rPr>
        <w:t xml:space="preserve"> </w:t>
      </w:r>
      <w:r>
        <w:rPr>
          <w:rFonts w:ascii="Arial" w:cs="Arial" w:eastAsia="Arial" w:hAnsi="Arial"/>
          <w:sz w:val="18"/>
          <w:szCs w:val="18"/>
          <w:b w:val="1"/>
          <w:bCs w:val="1"/>
          <w:i w:val="1"/>
          <w:iCs w:val="1"/>
          <w:color w:val="000000"/>
        </w:rPr>
        <w:t xml:space="preserve">the PEComa indication or complete development of, obtain approval for and commercialize FYARRO </w:t>
      </w:r>
      <w:r>
        <w:rPr>
          <w:rFonts w:ascii="Arial" w:cs="Arial" w:eastAsia="Arial" w:hAnsi="Arial"/>
          <w:sz w:val="18"/>
          <w:szCs w:val="18"/>
          <w:b w:val="1"/>
          <w:bCs w:val="1"/>
          <w:i w:val="1"/>
          <w:iCs w:val="1"/>
          <w:color w:val="231F20"/>
        </w:rPr>
        <w:t>for one or more other indications in a timely</w:t>
      </w:r>
      <w:r>
        <w:rPr>
          <w:rFonts w:ascii="Arial" w:cs="Arial" w:eastAsia="Arial" w:hAnsi="Arial"/>
          <w:sz w:val="18"/>
          <w:szCs w:val="18"/>
          <w:b w:val="1"/>
          <w:bCs w:val="1"/>
          <w:i w:val="1"/>
          <w:iCs w:val="1"/>
          <w:color w:val="000000"/>
        </w:rPr>
        <w:t xml:space="preserve"> </w:t>
      </w:r>
      <w:r>
        <w:rPr>
          <w:rFonts w:ascii="Arial" w:cs="Arial" w:eastAsia="Arial" w:hAnsi="Arial"/>
          <w:sz w:val="18"/>
          <w:szCs w:val="18"/>
          <w:b w:val="1"/>
          <w:bCs w:val="1"/>
          <w:i w:val="1"/>
          <w:iCs w:val="1"/>
          <w:color w:val="231F20"/>
        </w:rPr>
        <w:t>manner, our business will be harmed.</w:t>
      </w:r>
    </w:p>
    <w:p>
      <w:pPr>
        <w:spacing w:after="0" w:line="7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231F20"/>
        </w:rPr>
        <w:t xml:space="preserve">We are early in our development efforts and have only one product that has completed development and been approved by the FDA, FYARRO, our lead product. Our future success is dependent on our ability to commercialize FYARRO, and to timely and successfully obtain regulatory approval for additional indications for FYARRO. We are investing the majority of our efforts and financial resources to commercialize FYARRO for the PEComa indication and in the research and development of </w:t>
      </w:r>
      <w:r>
        <w:rPr>
          <w:rFonts w:ascii="Arial" w:cs="Arial" w:eastAsia="Arial" w:hAnsi="Arial"/>
          <w:sz w:val="17"/>
          <w:szCs w:val="17"/>
          <w:color w:val="000000"/>
        </w:rPr>
        <w:t>FYARRO</w:t>
      </w:r>
      <w:r>
        <w:rPr>
          <w:rFonts w:ascii="Arial" w:cs="Arial" w:eastAsia="Arial" w:hAnsi="Arial"/>
          <w:sz w:val="17"/>
          <w:szCs w:val="17"/>
          <w:color w:val="231F20"/>
        </w:rPr>
        <w:t xml:space="preserve"> for multiple additional indications. </w:t>
      </w:r>
      <w:r>
        <w:rPr>
          <w:rFonts w:ascii="Arial" w:cs="Arial" w:eastAsia="Arial" w:hAnsi="Arial"/>
          <w:sz w:val="17"/>
          <w:szCs w:val="17"/>
          <w:color w:val="000000"/>
        </w:rPr>
        <w:t>FYARRO</w:t>
      </w:r>
      <w:r>
        <w:rPr>
          <w:rFonts w:ascii="Arial" w:cs="Arial" w:eastAsia="Arial" w:hAnsi="Arial"/>
          <w:sz w:val="17"/>
          <w:szCs w:val="17"/>
          <w:color w:val="231F20"/>
        </w:rPr>
        <w:t xml:space="preserve"> (sirolimus protein-bound particles for injectable suspension (albumin-bound)), a form of sirolimus bound to albumin, for the treatment of malignant PEComa, as well as other cancer types with mTOR pathway alterations in the </w:t>
      </w:r>
      <w:r>
        <w:rPr>
          <w:rFonts w:ascii="Arial" w:cs="Arial" w:eastAsia="Arial" w:hAnsi="Arial"/>
          <w:sz w:val="17"/>
          <w:szCs w:val="17"/>
          <w:i w:val="1"/>
          <w:iCs w:val="1"/>
          <w:color w:val="231F20"/>
        </w:rPr>
        <w:t>TSC1</w:t>
      </w:r>
      <w:r>
        <w:rPr>
          <w:rFonts w:ascii="Arial" w:cs="Arial" w:eastAsia="Arial" w:hAnsi="Arial"/>
          <w:sz w:val="17"/>
          <w:szCs w:val="17"/>
          <w:color w:val="231F20"/>
        </w:rPr>
        <w:t xml:space="preserve"> &amp; </w:t>
      </w:r>
      <w:r>
        <w:rPr>
          <w:rFonts w:ascii="Arial" w:cs="Arial" w:eastAsia="Arial" w:hAnsi="Arial"/>
          <w:sz w:val="17"/>
          <w:szCs w:val="17"/>
          <w:i w:val="1"/>
          <w:iCs w:val="1"/>
          <w:color w:val="231F20"/>
        </w:rPr>
        <w:t>TSC2</w:t>
      </w:r>
      <w:r>
        <w:rPr>
          <w:rFonts w:ascii="Arial" w:cs="Arial" w:eastAsia="Arial" w:hAnsi="Arial"/>
          <w:sz w:val="17"/>
          <w:szCs w:val="17"/>
          <w:color w:val="231F20"/>
        </w:rPr>
        <w:t xml:space="preserve"> genes that are most likely to respond to mTOR treatment.</w:t>
      </w:r>
    </w:p>
    <w:p>
      <w:pPr>
        <w:spacing w:after="0" w:line="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231F20"/>
        </w:rPr>
        <w:t xml:space="preserve">In May 2021, we completed the filing of a rolling NDA for </w:t>
      </w:r>
      <w:r>
        <w:rPr>
          <w:rFonts w:ascii="Arial" w:cs="Arial" w:eastAsia="Arial" w:hAnsi="Arial"/>
          <w:sz w:val="16"/>
          <w:szCs w:val="16"/>
          <w:color w:val="000000"/>
        </w:rPr>
        <w:t>FYARRO</w:t>
      </w:r>
      <w:r>
        <w:rPr>
          <w:rFonts w:ascii="Arial" w:cs="Arial" w:eastAsia="Arial" w:hAnsi="Arial"/>
          <w:sz w:val="16"/>
          <w:szCs w:val="16"/>
          <w:color w:val="231F20"/>
        </w:rPr>
        <w:t xml:space="preserve"> to the FDA for approval to treat patients with advanced malignant PEComa, and the FDA accepted our NDA in July 2021 and approved FYARRO for advanced malignant PEComa in November 2021. Our NDA was based on results from our AMPECT trial, involving patients for whom there were no approved therapies in the United States. In November 2019, we announced top-line results from the AMPECT trial, including that the study achieved its primary endpoint of objective response rate (the “ORR”) as determined by blinded independent central radiologic review using modified Response Evaluation Criteria in Solid Tumors (“RECIST”). </w:t>
      </w:r>
      <w:r>
        <w:rPr>
          <w:rFonts w:ascii="Arial" w:cs="Arial" w:eastAsia="Arial" w:hAnsi="Arial"/>
          <w:sz w:val="16"/>
          <w:szCs w:val="16"/>
          <w:color w:val="000000"/>
        </w:rPr>
        <w:t>FYARRO</w:t>
      </w:r>
      <w:r>
        <w:rPr>
          <w:rFonts w:ascii="Arial" w:cs="Arial" w:eastAsia="Arial" w:hAnsi="Arial"/>
          <w:sz w:val="16"/>
          <w:szCs w:val="16"/>
          <w:color w:val="231F20"/>
        </w:rPr>
        <w:t xml:space="preserve"> will require additional clinical development, expansion of manufacturing capabilities, regulatory approval from foreign regulatory authorities in jurisdictions outside of the U.S. where we plan to market </w:t>
      </w:r>
      <w:r>
        <w:rPr>
          <w:rFonts w:ascii="Arial" w:cs="Arial" w:eastAsia="Arial" w:hAnsi="Arial"/>
          <w:sz w:val="16"/>
          <w:szCs w:val="16"/>
          <w:color w:val="000000"/>
        </w:rPr>
        <w:t>FYARRO for malignant PEComa and potentially in additional indications</w:t>
      </w:r>
      <w:r>
        <w:rPr>
          <w:rFonts w:ascii="Arial" w:cs="Arial" w:eastAsia="Arial" w:hAnsi="Arial"/>
          <w:sz w:val="16"/>
          <w:szCs w:val="16"/>
          <w:color w:val="231F20"/>
        </w:rPr>
        <w:t xml:space="preserve">, if approved, substantial investment and significant marketing efforts before we can generate any revenues from product sales. We are not permitted to market or promote </w:t>
      </w:r>
      <w:r>
        <w:rPr>
          <w:rFonts w:ascii="Arial" w:cs="Arial" w:eastAsia="Arial" w:hAnsi="Arial"/>
          <w:sz w:val="16"/>
          <w:szCs w:val="16"/>
          <w:color w:val="000000"/>
        </w:rPr>
        <w:t>FYARRO for non-PEComa indications</w:t>
      </w:r>
      <w:r>
        <w:rPr>
          <w:rFonts w:ascii="Arial" w:cs="Arial" w:eastAsia="Arial" w:hAnsi="Arial"/>
          <w:sz w:val="16"/>
          <w:szCs w:val="16"/>
          <w:color w:val="231F20"/>
        </w:rPr>
        <w:t>, before we receive regulatory approval from the FDA and comparable foreign regulatory authorities, and we may never receive such regulatory approvals.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success of </w:t>
      </w:r>
      <w:r>
        <w:rPr>
          <w:rFonts w:ascii="Arial" w:cs="Arial" w:eastAsia="Arial" w:hAnsi="Arial"/>
          <w:sz w:val="18"/>
          <w:szCs w:val="18"/>
          <w:color w:val="000000"/>
        </w:rPr>
        <w:t>FYARRO</w:t>
      </w:r>
      <w:r>
        <w:rPr>
          <w:rFonts w:ascii="Arial" w:cs="Arial" w:eastAsia="Arial" w:hAnsi="Arial"/>
          <w:sz w:val="18"/>
          <w:szCs w:val="18"/>
          <w:color w:val="231F20"/>
        </w:rPr>
        <w:t xml:space="preserve"> will depend on several factors, including the following:</w:t>
      </w:r>
    </w:p>
    <w:p>
      <w:pPr>
        <w:spacing w:after="0" w:line="63"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6"/>
          <w:szCs w:val="16"/>
          <w:color w:val="231F20"/>
        </w:rPr>
      </w:pPr>
      <w:r>
        <w:rPr>
          <w:rFonts w:ascii="Arial" w:cs="Arial" w:eastAsia="Arial" w:hAnsi="Arial"/>
          <w:sz w:val="16"/>
          <w:szCs w:val="16"/>
          <w:color w:val="auto"/>
        </w:rPr>
        <w:t>the efficacy and safety of FYARRO in a larger number of patients in a non-clinical trial setting that those demonstrated in our clinical trials;</w:t>
      </w:r>
    </w:p>
    <w:p>
      <w:pPr>
        <w:spacing w:after="0" w:line="86" w:lineRule="exact"/>
        <w:rPr>
          <w:rFonts w:ascii="Arial" w:cs="Arial" w:eastAsia="Arial" w:hAnsi="Arial"/>
          <w:sz w:val="16"/>
          <w:szCs w:val="16"/>
          <w:color w:val="231F20"/>
        </w:rPr>
      </w:pPr>
    </w:p>
    <w:p>
      <w:pPr>
        <w:ind w:left="1080" w:hanging="424"/>
        <w:spacing w:after="0"/>
        <w:tabs>
          <w:tab w:leader="none" w:pos="108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effectiveness of our sales, marketing and distribution efforts, particularly during the remote, COVID-19 environment;</w:t>
      </w:r>
    </w:p>
    <w:p>
      <w:pPr>
        <w:spacing w:after="0" w:line="63" w:lineRule="exact"/>
        <w:rPr>
          <w:rFonts w:ascii="Arial" w:cs="Arial" w:eastAsia="Arial" w:hAnsi="Arial"/>
          <w:sz w:val="18"/>
          <w:szCs w:val="18"/>
          <w:color w:val="231F20"/>
        </w:rPr>
      </w:pPr>
    </w:p>
    <w:p>
      <w:pPr>
        <w:ind w:left="1080" w:hanging="424"/>
        <w:spacing w:after="0" w:line="277" w:lineRule="auto"/>
        <w:tabs>
          <w:tab w:leader="none" w:pos="10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maintenance of existing or the establishment of new supply arrangements with third-party drug product suppliers and manufacturers for sufficient commercial supplies and additional clinical development of FYARRO;</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42" w:name="page43"/>
    <w:bookmarkEnd w:id="42"/>
    <w:p>
      <w:pPr>
        <w:ind w:left="1080" w:hanging="424"/>
        <w:spacing w:after="0" w:line="277" w:lineRule="auto"/>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successful launch of commercial sales, including the development of a commercial infrastructure, whether in-house or with one or more collaborators;</w:t>
      </w:r>
    </w:p>
    <w:p>
      <w:pPr>
        <w:spacing w:after="0" w:line="8" w:lineRule="exact"/>
        <w:rPr>
          <w:rFonts w:ascii="Arial" w:cs="Arial" w:eastAsia="Arial" w:hAnsi="Arial"/>
          <w:sz w:val="18"/>
          <w:szCs w:val="18"/>
          <w:color w:val="231F20"/>
        </w:rPr>
      </w:pPr>
    </w:p>
    <w:p>
      <w:pPr>
        <w:ind w:left="1080" w:hanging="424"/>
        <w:spacing w:after="0"/>
        <w:tabs>
          <w:tab w:leader="none" w:pos="1080" w:val="left"/>
        </w:tabs>
        <w:numPr>
          <w:ilvl w:val="0"/>
          <w:numId w:val="19"/>
        </w:numPr>
        <w:rPr>
          <w:rFonts w:ascii="Arial" w:cs="Arial" w:eastAsia="Arial" w:hAnsi="Arial"/>
          <w:sz w:val="17"/>
          <w:szCs w:val="17"/>
          <w:color w:val="231F20"/>
        </w:rPr>
      </w:pPr>
      <w:r>
        <w:rPr>
          <w:rFonts w:ascii="Arial" w:cs="Arial" w:eastAsia="Arial" w:hAnsi="Arial"/>
          <w:sz w:val="17"/>
          <w:szCs w:val="17"/>
          <w:color w:val="231F20"/>
        </w:rPr>
        <w:t xml:space="preserve">the timely receipt of regulatory approval for </w:t>
      </w:r>
      <w:r>
        <w:rPr>
          <w:rFonts w:ascii="Arial" w:cs="Arial" w:eastAsia="Arial" w:hAnsi="Arial"/>
          <w:sz w:val="17"/>
          <w:szCs w:val="17"/>
          <w:color w:val="000000"/>
        </w:rPr>
        <w:t>FYARRO</w:t>
      </w:r>
      <w:r>
        <w:rPr>
          <w:rFonts w:ascii="Arial" w:cs="Arial" w:eastAsia="Arial" w:hAnsi="Arial"/>
          <w:sz w:val="17"/>
          <w:szCs w:val="17"/>
          <w:color w:val="231F20"/>
        </w:rPr>
        <w:t xml:space="preserve"> from applicable foreign regulatory authorities for advanced malignant PEComa;</w:t>
      </w:r>
    </w:p>
    <w:p>
      <w:pPr>
        <w:spacing w:after="0" w:line="74" w:lineRule="exact"/>
        <w:rPr>
          <w:rFonts w:ascii="Arial" w:cs="Arial" w:eastAsia="Arial" w:hAnsi="Arial"/>
          <w:sz w:val="17"/>
          <w:szCs w:val="17"/>
          <w:color w:val="231F20"/>
        </w:rPr>
      </w:pPr>
    </w:p>
    <w:p>
      <w:pPr>
        <w:ind w:left="1080" w:right="260" w:hanging="424"/>
        <w:spacing w:after="0" w:line="277" w:lineRule="auto"/>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 xml:space="preserve">the successful </w:t>
      </w:r>
      <w:r>
        <w:rPr>
          <w:rFonts w:ascii="Arial" w:cs="Arial" w:eastAsia="Arial" w:hAnsi="Arial"/>
          <w:sz w:val="18"/>
          <w:szCs w:val="18"/>
          <w:color w:val="231F20"/>
        </w:rPr>
        <w:t>completion of any clinical trials, regulatory approval and commercialization of FYARRO for one or more label expansion</w:t>
      </w:r>
      <w:r>
        <w:rPr>
          <w:rFonts w:ascii="Arial" w:cs="Arial" w:eastAsia="Arial" w:hAnsi="Arial"/>
          <w:sz w:val="18"/>
          <w:szCs w:val="18"/>
          <w:color w:val="auto"/>
        </w:rPr>
        <w:t xml:space="preserve"> </w:t>
      </w:r>
      <w:r>
        <w:rPr>
          <w:rFonts w:ascii="Arial" w:cs="Arial" w:eastAsia="Arial" w:hAnsi="Arial"/>
          <w:sz w:val="18"/>
          <w:szCs w:val="18"/>
          <w:color w:val="231F20"/>
        </w:rPr>
        <w:t>indications;</w:t>
      </w:r>
    </w:p>
    <w:p>
      <w:pPr>
        <w:spacing w:after="0" w:line="8" w:lineRule="exact"/>
        <w:rPr>
          <w:rFonts w:ascii="Arial" w:cs="Arial" w:eastAsia="Arial" w:hAnsi="Arial"/>
          <w:sz w:val="18"/>
          <w:szCs w:val="18"/>
          <w:color w:val="231F20"/>
        </w:rPr>
      </w:pPr>
    </w:p>
    <w:p>
      <w:pPr>
        <w:ind w:left="1080" w:hanging="424"/>
        <w:spacing w:after="0"/>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extent of any required post-regulatory approval commitments to applicable regulatory authorities;</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willingness of medical professionals to prescribe and patients to use FYARRO and continue to use FYARRO;</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prevalence and severity of adverse side effects;</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convenience of prescribing, administrating and initiating patients on FYARRO;</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potential and perceived value and relative cost of FYARRO;</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availability of coverage and adequate reimbursement and pricing by private and government payors;</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9"/>
        </w:numPr>
        <w:rPr>
          <w:rFonts w:ascii="Arial" w:cs="Arial" w:eastAsia="Arial" w:hAnsi="Arial"/>
          <w:sz w:val="17"/>
          <w:szCs w:val="17"/>
          <w:color w:val="231F20"/>
        </w:rPr>
      </w:pPr>
      <w:r>
        <w:rPr>
          <w:rFonts w:ascii="Arial" w:cs="Arial" w:eastAsia="Arial" w:hAnsi="Arial"/>
          <w:sz w:val="17"/>
          <w:szCs w:val="17"/>
          <w:color w:val="231F20"/>
        </w:rPr>
        <w:t xml:space="preserve">the successful and timely completion of the required preclinical studies and clinical trials of </w:t>
      </w:r>
      <w:r>
        <w:rPr>
          <w:rFonts w:ascii="Arial" w:cs="Arial" w:eastAsia="Arial" w:hAnsi="Arial"/>
          <w:sz w:val="17"/>
          <w:szCs w:val="17"/>
          <w:color w:val="000000"/>
        </w:rPr>
        <w:t>FYARRO</w:t>
      </w:r>
      <w:r>
        <w:rPr>
          <w:rFonts w:ascii="Arial" w:cs="Arial" w:eastAsia="Arial" w:hAnsi="Arial"/>
          <w:sz w:val="17"/>
          <w:szCs w:val="17"/>
          <w:color w:val="231F20"/>
        </w:rPr>
        <w:t xml:space="preserve"> for current and future indications;</w:t>
      </w:r>
    </w:p>
    <w:p>
      <w:pPr>
        <w:spacing w:after="0" w:line="74" w:lineRule="exact"/>
        <w:rPr>
          <w:rFonts w:ascii="Arial" w:cs="Arial" w:eastAsia="Arial" w:hAnsi="Arial"/>
          <w:sz w:val="17"/>
          <w:szCs w:val="17"/>
          <w:color w:val="231F20"/>
        </w:rPr>
      </w:pPr>
    </w:p>
    <w:p>
      <w:pPr>
        <w:ind w:left="1080" w:hanging="424"/>
        <w:spacing w:after="0"/>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INDs going into effect with the FDA for our planned and future clinical trials;</w:t>
      </w:r>
    </w:p>
    <w:p>
      <w:pPr>
        <w:spacing w:after="0" w:line="63" w:lineRule="exact"/>
        <w:rPr>
          <w:rFonts w:ascii="Arial" w:cs="Arial" w:eastAsia="Arial" w:hAnsi="Arial"/>
          <w:sz w:val="18"/>
          <w:szCs w:val="18"/>
          <w:color w:val="231F20"/>
        </w:rPr>
      </w:pPr>
    </w:p>
    <w:p>
      <w:pPr>
        <w:ind w:left="1080" w:right="360" w:hanging="424"/>
        <w:spacing w:after="0" w:line="316" w:lineRule="auto"/>
        <w:tabs>
          <w:tab w:leader="none" w:pos="1080" w:val="left"/>
        </w:tabs>
        <w:numPr>
          <w:ilvl w:val="0"/>
          <w:numId w:val="19"/>
        </w:numPr>
        <w:rPr>
          <w:rFonts w:ascii="Arial" w:cs="Arial" w:eastAsia="Arial" w:hAnsi="Arial"/>
          <w:sz w:val="16"/>
          <w:szCs w:val="16"/>
          <w:color w:val="231F20"/>
        </w:rPr>
      </w:pPr>
      <w:r>
        <w:rPr>
          <w:rFonts w:ascii="Arial" w:cs="Arial" w:eastAsia="Arial" w:hAnsi="Arial"/>
          <w:sz w:val="16"/>
          <w:szCs w:val="16"/>
          <w:color w:val="231F20"/>
        </w:rPr>
        <w:t xml:space="preserve">the initiation and successful patient enrollment and completion of additional clinical trials of </w:t>
      </w:r>
      <w:r>
        <w:rPr>
          <w:rFonts w:ascii="Arial" w:cs="Arial" w:eastAsia="Arial" w:hAnsi="Arial"/>
          <w:sz w:val="16"/>
          <w:szCs w:val="16"/>
          <w:color w:val="000000"/>
        </w:rPr>
        <w:t>FYARRO</w:t>
      </w:r>
      <w:r>
        <w:rPr>
          <w:rFonts w:ascii="Arial" w:cs="Arial" w:eastAsia="Arial" w:hAnsi="Arial"/>
          <w:sz w:val="16"/>
          <w:szCs w:val="16"/>
          <w:color w:val="231F20"/>
        </w:rPr>
        <w:t xml:space="preserve"> on a timely basis, including the planned registration-directed Phase 2 study (“PRECISION 1”) of </w:t>
      </w:r>
      <w:r>
        <w:rPr>
          <w:rFonts w:ascii="Arial" w:cs="Arial" w:eastAsia="Arial" w:hAnsi="Arial"/>
          <w:sz w:val="16"/>
          <w:szCs w:val="16"/>
          <w:color w:val="000000"/>
        </w:rPr>
        <w:t>FYARRO</w:t>
      </w:r>
      <w:r>
        <w:rPr>
          <w:rFonts w:ascii="Arial" w:cs="Arial" w:eastAsia="Arial" w:hAnsi="Arial"/>
          <w:sz w:val="16"/>
          <w:szCs w:val="16"/>
          <w:color w:val="231F20"/>
        </w:rPr>
        <w:t xml:space="preserve"> in patients with tumor-agnostic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alterations;</w:t>
      </w:r>
    </w:p>
    <w:p>
      <w:pPr>
        <w:spacing w:after="0" w:line="1" w:lineRule="exact"/>
        <w:rPr>
          <w:rFonts w:ascii="Arial" w:cs="Arial" w:eastAsia="Arial" w:hAnsi="Arial"/>
          <w:sz w:val="16"/>
          <w:szCs w:val="16"/>
          <w:color w:val="231F20"/>
        </w:rPr>
      </w:pPr>
    </w:p>
    <w:p>
      <w:pPr>
        <w:ind w:left="1080" w:right="380" w:hanging="424"/>
        <w:spacing w:after="0" w:line="277" w:lineRule="auto"/>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maintaining and establishing relationships with CROs and clinical sites for the development of FYARRO both in the United States and internationally;</w:t>
      </w:r>
    </w:p>
    <w:p>
      <w:pPr>
        <w:spacing w:after="0" w:line="8" w:lineRule="exact"/>
        <w:rPr>
          <w:rFonts w:ascii="Arial" w:cs="Arial" w:eastAsia="Arial" w:hAnsi="Arial"/>
          <w:sz w:val="18"/>
          <w:szCs w:val="18"/>
          <w:color w:val="231F20"/>
        </w:rPr>
      </w:pPr>
    </w:p>
    <w:p>
      <w:pPr>
        <w:ind w:left="1080" w:hanging="424"/>
        <w:spacing w:after="0"/>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type, frequency and severity of adverse events in clinical trials;</w:t>
      </w:r>
    </w:p>
    <w:p>
      <w:pPr>
        <w:spacing w:after="0" w:line="63" w:lineRule="exact"/>
        <w:rPr>
          <w:rFonts w:ascii="Arial" w:cs="Arial" w:eastAsia="Arial" w:hAnsi="Arial"/>
          <w:sz w:val="18"/>
          <w:szCs w:val="18"/>
          <w:color w:val="231F20"/>
        </w:rPr>
      </w:pPr>
    </w:p>
    <w:p>
      <w:pPr>
        <w:ind w:left="1080" w:right="160" w:hanging="424"/>
        <w:spacing w:after="0" w:line="263" w:lineRule="auto"/>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demonstrating efficacy and safety profiles that are satisfactory to the FDA and any comparable foreign regulatory authority for regulatory approval obtaining and maintaining patent protection, trade secret protection and regulatory exclusivity, both in the United States and internationally;</w:t>
      </w:r>
    </w:p>
    <w:p>
      <w:pPr>
        <w:spacing w:after="0" w:line="21" w:lineRule="exact"/>
        <w:rPr>
          <w:rFonts w:ascii="Arial" w:cs="Arial" w:eastAsia="Arial" w:hAnsi="Arial"/>
          <w:sz w:val="18"/>
          <w:szCs w:val="18"/>
          <w:color w:val="231F20"/>
        </w:rPr>
      </w:pPr>
    </w:p>
    <w:p>
      <w:pPr>
        <w:ind w:left="1080" w:hanging="424"/>
        <w:spacing w:after="0"/>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protection of our rights in our intellectual property portfolio;</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a continued acceptable safety profile following our current and future regulatory approval;</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commercial acceptance by patients, the medical community and third-party payors; and</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our ability to compete with other therapies.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231F20"/>
        </w:rPr>
        <w:t xml:space="preserve">In addition to advanced malignant PEComa, based on data from the completed AMPECT trial and our ongoing expanded access program, we have initiated a registration-directed tumor-agnostic Phase 2 study, PRECISION 1, of </w:t>
      </w:r>
      <w:r>
        <w:rPr>
          <w:rFonts w:ascii="Arial" w:cs="Arial" w:eastAsia="Arial" w:hAnsi="Arial"/>
          <w:sz w:val="17"/>
          <w:szCs w:val="17"/>
          <w:color w:val="000000"/>
        </w:rPr>
        <w:t>FYARRO</w:t>
      </w:r>
      <w:r>
        <w:rPr>
          <w:rFonts w:ascii="Arial" w:cs="Arial" w:eastAsia="Arial" w:hAnsi="Arial"/>
          <w:sz w:val="17"/>
          <w:szCs w:val="17"/>
          <w:color w:val="231F20"/>
        </w:rPr>
        <w:t xml:space="preserve"> in patients with </w:t>
      </w:r>
      <w:r>
        <w:rPr>
          <w:rFonts w:ascii="Arial" w:cs="Arial" w:eastAsia="Arial" w:hAnsi="Arial"/>
          <w:sz w:val="17"/>
          <w:szCs w:val="17"/>
          <w:i w:val="1"/>
          <w:iCs w:val="1"/>
          <w:color w:val="231F20"/>
        </w:rPr>
        <w:t>TSC1 &amp; TSC2</w:t>
      </w:r>
      <w:r>
        <w:rPr>
          <w:rFonts w:ascii="Arial" w:cs="Arial" w:eastAsia="Arial" w:hAnsi="Arial"/>
          <w:sz w:val="17"/>
          <w:szCs w:val="17"/>
          <w:color w:val="231F20"/>
        </w:rPr>
        <w:t xml:space="preserve"> alterations. We completed a Type B meeting with the FDA in which we discussed the initial trial design. The PRECISION 1 trial is now open for enrollment in the United States. Our product development costs could increase if we experience delays. Significant trial delays also could shorten any periods during which we may have the exclusive right to commercialize </w:t>
      </w:r>
      <w:r>
        <w:rPr>
          <w:rFonts w:ascii="Arial" w:cs="Arial" w:eastAsia="Arial" w:hAnsi="Arial"/>
          <w:sz w:val="17"/>
          <w:szCs w:val="17"/>
          <w:color w:val="000000"/>
        </w:rPr>
        <w:t>FYARRO</w:t>
      </w:r>
      <w:r>
        <w:rPr>
          <w:rFonts w:ascii="Arial" w:cs="Arial" w:eastAsia="Arial" w:hAnsi="Arial"/>
          <w:sz w:val="17"/>
          <w:szCs w:val="17"/>
          <w:color w:val="231F20"/>
        </w:rPr>
        <w:t xml:space="preserve"> or allow our competitors to bring products to market before we do, which would impair our ability to successfully capitalize on </w:t>
      </w:r>
      <w:r>
        <w:rPr>
          <w:rFonts w:ascii="Arial" w:cs="Arial" w:eastAsia="Arial" w:hAnsi="Arial"/>
          <w:sz w:val="17"/>
          <w:szCs w:val="17"/>
          <w:color w:val="000000"/>
        </w:rPr>
        <w:t>FYARRO</w:t>
      </w:r>
      <w:r>
        <w:rPr>
          <w:rFonts w:ascii="Arial" w:cs="Arial" w:eastAsia="Arial" w:hAnsi="Arial"/>
          <w:sz w:val="17"/>
          <w:szCs w:val="17"/>
          <w:color w:val="231F20"/>
        </w:rPr>
        <w:t xml:space="preserve"> and may harm our business, results of operations and prospects. Events that may result in a delay or unsuccessful completion of additional clinical development of FYARRO include, among other things:</w:t>
      </w:r>
    </w:p>
    <w:p>
      <w:pPr>
        <w:spacing w:after="0" w:line="15"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unexpectedly high rate of patients withdrawing consent or being lost to follow-up;</w:t>
      </w:r>
    </w:p>
    <w:p>
      <w:pPr>
        <w:spacing w:after="0" w:line="63" w:lineRule="exact"/>
        <w:rPr>
          <w:rFonts w:ascii="Arial" w:cs="Arial" w:eastAsia="Arial" w:hAnsi="Arial"/>
          <w:sz w:val="18"/>
          <w:szCs w:val="18"/>
          <w:color w:val="231F20"/>
        </w:rPr>
      </w:pPr>
    </w:p>
    <w:p>
      <w:pPr>
        <w:ind w:left="1080" w:right="460" w:hanging="424"/>
        <w:spacing w:after="0" w:line="277" w:lineRule="auto"/>
        <w:tabs>
          <w:tab w:leader="none" w:pos="10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feedback from the FDA and foreign regulatory authorities, institutional review boards (“IRBs”), or a data safety monitoring board, or results from clinical trials that might require modification to a clinical trial protocol;</w:t>
      </w:r>
    </w:p>
    <w:p>
      <w:pPr>
        <w:spacing w:after="0" w:line="8" w:lineRule="exact"/>
        <w:rPr>
          <w:rFonts w:ascii="Arial" w:cs="Arial" w:eastAsia="Arial" w:hAnsi="Arial"/>
          <w:sz w:val="18"/>
          <w:szCs w:val="18"/>
          <w:color w:val="231F20"/>
        </w:rPr>
      </w:pPr>
    </w:p>
    <w:p>
      <w:pPr>
        <w:ind w:left="1080" w:right="280" w:hanging="424"/>
        <w:spacing w:after="0" w:line="263" w:lineRule="auto"/>
        <w:tabs>
          <w:tab w:leader="none" w:pos="10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imposition of a clinical hold by the FDA or other regulatory authorities, a decision by the FDA, other regulatory authorities, IRBs or us, or a recommendation by a data safety monitoring board to suspend or terminate trials at any time for safety issues or for any other reason;</w:t>
      </w:r>
    </w:p>
    <w:p>
      <w:pPr>
        <w:spacing w:after="0" w:line="21" w:lineRule="exact"/>
        <w:rPr>
          <w:rFonts w:ascii="Arial" w:cs="Arial" w:eastAsia="Arial" w:hAnsi="Arial"/>
          <w:sz w:val="18"/>
          <w:szCs w:val="18"/>
          <w:color w:val="231F20"/>
        </w:rPr>
      </w:pPr>
    </w:p>
    <w:p>
      <w:pPr>
        <w:ind w:left="1080" w:right="620" w:hanging="424"/>
        <w:spacing w:after="0" w:line="277" w:lineRule="auto"/>
        <w:tabs>
          <w:tab w:leader="none" w:pos="10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deviations from the trial protocol by clinical trial sites and investigators or failure to conduct the trial in accordance with regulatory requirements;</w:t>
      </w:r>
    </w:p>
    <w:p>
      <w:pPr>
        <w:spacing w:after="0" w:line="8" w:lineRule="exact"/>
        <w:rPr>
          <w:rFonts w:ascii="Arial" w:cs="Arial" w:eastAsia="Arial" w:hAnsi="Arial"/>
          <w:sz w:val="18"/>
          <w:szCs w:val="18"/>
          <w:color w:val="231F20"/>
        </w:rPr>
      </w:pPr>
    </w:p>
    <w:p>
      <w:pPr>
        <w:ind w:left="1080" w:hanging="424"/>
        <w:spacing w:after="0"/>
        <w:tabs>
          <w:tab w:leader="none" w:pos="10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failure of third parties, such as CROs, to satisfy their contractual duties or meet expected deadlines;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95" w:right="419" w:bottom="1440" w:gutter="0" w:footer="0" w:header="0"/>
        </w:sectPr>
      </w:pPr>
    </w:p>
    <w:bookmarkStart w:id="43" w:name="page44"/>
    <w:bookmarkEnd w:id="43"/>
    <w:p>
      <w:pPr>
        <w:ind w:left="1080" w:hanging="424"/>
        <w:spacing w:after="0"/>
        <w:tabs>
          <w:tab w:leader="none" w:pos="108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delays in the testing, validation, manufacturing and delivery of FYARRO to customers or the clinical trial sites;</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delays caused by patients dropping out of a trial due to side effects, disease progression or other reasons;</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unacceptable risk-benefit profile or unforeseen safety issues or adverse drug reactions;</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failure to demonstrate the efficacy of FYARRO in this clinical trial;</w:t>
      </w:r>
    </w:p>
    <w:p>
      <w:pPr>
        <w:spacing w:after="0" w:line="63" w:lineRule="exact"/>
        <w:rPr>
          <w:rFonts w:ascii="Arial" w:cs="Arial" w:eastAsia="Arial" w:hAnsi="Arial"/>
          <w:sz w:val="18"/>
          <w:szCs w:val="18"/>
          <w:color w:val="231F20"/>
        </w:rPr>
      </w:pPr>
    </w:p>
    <w:p>
      <w:pPr>
        <w:ind w:left="1080" w:hanging="424"/>
        <w:spacing w:after="0"/>
        <w:tabs>
          <w:tab w:leader="none" w:pos="108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changes in government regulations or administrative actions or lack of adequate funding to continue the trials; or</w:t>
      </w:r>
    </w:p>
    <w:p>
      <w:pPr>
        <w:spacing w:after="0" w:line="63" w:lineRule="exact"/>
        <w:rPr>
          <w:rFonts w:ascii="Arial" w:cs="Arial" w:eastAsia="Arial" w:hAnsi="Arial"/>
          <w:sz w:val="18"/>
          <w:szCs w:val="18"/>
          <w:color w:val="231F20"/>
        </w:rPr>
      </w:pPr>
    </w:p>
    <w:p>
      <w:pPr>
        <w:ind w:left="1080" w:right="720" w:hanging="424"/>
        <w:spacing w:after="0" w:line="277" w:lineRule="auto"/>
        <w:tabs>
          <w:tab w:leader="none" w:pos="108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business interruptions resulting from geo-political actions, including war and terrorism, such as the Russia-Ukraine conflict, or natural disasters and public health epidemics, such as the COVID-19 pandemic.</w:t>
      </w:r>
    </w:p>
    <w:p>
      <w:pPr>
        <w:spacing w:after="0" w:line="6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231F20"/>
        </w:rPr>
        <w:t>An inability by us to timely complete clinical development could result in additional costs to us or impair our ability to generate substantial product revenues or development, regulatory, commercialization and sales milestone payments and royalties on product sales.</w:t>
      </w:r>
    </w:p>
    <w:p>
      <w:pPr>
        <w:spacing w:after="0" w:line="3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231F20"/>
        </w:rPr>
        <w:t>We do not have complete control over many of these factors, including certain aspects of clinical development and the regulatory submission process, potential threats to our intellectual property rights and the manufacturing, marketing, distribution and sales efforts of our current or any future collaborators. If we are not successful with respect to one or more of these factors in a timely manner or at all, we could experience significant delays or an inability to successfully commercialize FYARRO for multiple indications, which would materially harm our business. If we do not receive regulatory approvals for FYARRO in additional indications or for other product candidates, we may not be able to continue our operations.</w:t>
      </w:r>
    </w:p>
    <w:p>
      <w:pPr>
        <w:spacing w:after="0" w:line="5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In addition to FYARRO, our prospects depend in part upon discovering, developing and commercializing additional product candidates, which may fail in development or suffer delays that adversely affect their commercial viability.</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Our future operating results are dependent on our ability to successfully discover, develop, obtain regulatory approval for and commercialize product candidates other than FYARRO. All of our current product candidates other than FYARRO are in research or preclinical development. Prior to initiating clinical trials with our other product candidates, we will need to file an IND or similar application to the FDA or regulatory authorities in other jurisdictions. We may not be able to file future INDs for our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our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231F20"/>
        </w:rPr>
        <w:t>The success of other product candidates we may develop will depend on many factors, including the following:</w:t>
      </w:r>
    </w:p>
    <w:p>
      <w:pPr>
        <w:spacing w:after="0" w:line="104" w:lineRule="exact"/>
        <w:rPr>
          <w:sz w:val="20"/>
          <w:szCs w:val="20"/>
          <w:color w:val="auto"/>
        </w:rPr>
      </w:pPr>
    </w:p>
    <w:p>
      <w:pPr>
        <w:ind w:left="1600" w:hanging="872"/>
        <w:spacing w:after="0"/>
        <w:tabs>
          <w:tab w:leader="none" w:pos="16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generating sufficient preclinical data to support the initiation of clinical trials;</w:t>
      </w:r>
    </w:p>
    <w:p>
      <w:pPr>
        <w:spacing w:after="0" w:line="130" w:lineRule="exact"/>
        <w:rPr>
          <w:rFonts w:ascii="Arial" w:cs="Arial" w:eastAsia="Arial" w:hAnsi="Arial"/>
          <w:sz w:val="18"/>
          <w:szCs w:val="18"/>
          <w:color w:val="231F20"/>
        </w:rPr>
      </w:pPr>
    </w:p>
    <w:p>
      <w:pPr>
        <w:ind w:left="1600" w:hanging="872"/>
        <w:spacing w:after="0"/>
        <w:tabs>
          <w:tab w:leader="none" w:pos="16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obtaining regulatory permission to initiate clinical trials;</w:t>
      </w:r>
    </w:p>
    <w:p>
      <w:pPr>
        <w:spacing w:after="0" w:line="130" w:lineRule="exact"/>
        <w:rPr>
          <w:rFonts w:ascii="Arial" w:cs="Arial" w:eastAsia="Arial" w:hAnsi="Arial"/>
          <w:sz w:val="18"/>
          <w:szCs w:val="18"/>
          <w:color w:val="231F20"/>
        </w:rPr>
      </w:pPr>
    </w:p>
    <w:p>
      <w:pPr>
        <w:ind w:left="1600" w:hanging="872"/>
        <w:spacing w:after="0"/>
        <w:tabs>
          <w:tab w:leader="none" w:pos="16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contracting with the necessary parties to conduct preclinical studies and clinical trials;</w:t>
      </w:r>
    </w:p>
    <w:p>
      <w:pPr>
        <w:spacing w:after="0" w:line="130" w:lineRule="exact"/>
        <w:rPr>
          <w:rFonts w:ascii="Arial" w:cs="Arial" w:eastAsia="Arial" w:hAnsi="Arial"/>
          <w:sz w:val="18"/>
          <w:szCs w:val="18"/>
          <w:color w:val="231F20"/>
        </w:rPr>
      </w:pPr>
    </w:p>
    <w:p>
      <w:pPr>
        <w:ind w:left="1600" w:hanging="872"/>
        <w:spacing w:after="0"/>
        <w:tabs>
          <w:tab w:leader="none" w:pos="16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successful enrollment of patients in, and the completion of, clinical trials on a timely basis;</w:t>
      </w:r>
    </w:p>
    <w:p>
      <w:pPr>
        <w:spacing w:after="0" w:line="130" w:lineRule="exact"/>
        <w:rPr>
          <w:rFonts w:ascii="Arial" w:cs="Arial" w:eastAsia="Arial" w:hAnsi="Arial"/>
          <w:sz w:val="18"/>
          <w:szCs w:val="18"/>
          <w:color w:val="231F20"/>
        </w:rPr>
      </w:pPr>
    </w:p>
    <w:p>
      <w:pPr>
        <w:ind w:left="1600" w:hanging="872"/>
        <w:spacing w:after="0"/>
        <w:tabs>
          <w:tab w:leader="none" w:pos="16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timely manufacture of sufficient quantities of a product candidate for use in clinical trials; and</w:t>
      </w: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611" w:right="539" w:bottom="1440" w:gutter="0" w:footer="0" w:header="0"/>
        </w:sectPr>
      </w:pPr>
    </w:p>
    <w:bookmarkStart w:id="44" w:name="page45"/>
    <w:bookmarkEnd w:id="44"/>
    <w:p>
      <w:pPr>
        <w:ind w:left="1080" w:right="880" w:hanging="357"/>
        <w:spacing w:after="0" w:line="277" w:lineRule="auto"/>
        <w:tabs>
          <w:tab w:leader="none" w:pos="108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generating sufficient safety and efficacy data to warrant continued development and which are satisfactory to the FDA or any other regulatory authority for marketing approval.</w:t>
      </w:r>
    </w:p>
    <w:p>
      <w:pPr>
        <w:spacing w:after="0" w:line="6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231F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additional product candidates beyond FYARRO for advanced malignant PEComa.</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FYARRO or any other product candidates we may develop in the future may not achieve adequate market acceptance among physicians, patients, healthcare payors and others in the medical community necessary for commercial success, which would limit the revenue that we generate from our sales.</w:t>
      </w:r>
    </w:p>
    <w:p>
      <w:pPr>
        <w:spacing w:after="0" w:line="7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Even though FYARRO has been approved for advanced malignant PEComa, and even if any other product candidates that we may develop in the future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spacing w:after="0" w:line="25"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63"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63"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63" w:lineRule="exact"/>
        <w:rPr>
          <w:rFonts w:ascii="Arial" w:cs="Arial" w:eastAsia="Arial" w:hAnsi="Arial"/>
          <w:sz w:val="18"/>
          <w:szCs w:val="18"/>
          <w:color w:val="auto"/>
        </w:rPr>
      </w:pPr>
    </w:p>
    <w:p>
      <w:pPr>
        <w:jc w:val="both"/>
        <w:ind w:left="880" w:right="20" w:hanging="440"/>
        <w:spacing w:after="0" w:line="316"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1"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63"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63" w:lineRule="exact"/>
        <w:rPr>
          <w:rFonts w:ascii="Arial" w:cs="Arial" w:eastAsia="Arial" w:hAnsi="Arial"/>
          <w:sz w:val="18"/>
          <w:szCs w:val="18"/>
          <w:color w:val="auto"/>
        </w:rPr>
      </w:pPr>
    </w:p>
    <w:p>
      <w:pPr>
        <w:ind w:left="880" w:right="46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 or the willingness of patients to pay out-of-pocket in the absence of third-party payor coverage;</w:t>
      </w:r>
    </w:p>
    <w:p>
      <w:pPr>
        <w:spacing w:after="0" w:line="8"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63"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 associated with any approved product candidate;</w:t>
      </w:r>
    </w:p>
    <w:p>
      <w:pPr>
        <w:spacing w:after="0" w:line="63"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63"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63" w:lineRule="exact"/>
        <w:rPr>
          <w:rFonts w:ascii="Arial" w:cs="Arial" w:eastAsia="Arial" w:hAnsi="Arial"/>
          <w:sz w:val="18"/>
          <w:szCs w:val="18"/>
          <w:color w:val="auto"/>
        </w:rPr>
      </w:pPr>
    </w:p>
    <w:p>
      <w:pPr>
        <w:ind w:left="880" w:right="50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8"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63"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63"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Even though FYARRO is approved for advanced malignant PEComa,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our product candidates, in addition to treating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6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market opportunities for FYARRO and any other product candidates we may develop in the future, if approved, may be limited to certain smaller patient subsets.</w:t>
      </w:r>
    </w:p>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FYARRO for malignant PEComa</w:t>
      </w:r>
    </w:p>
    <w:p>
      <w:pPr>
        <w:spacing w:after="0" w:line="1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557" w:right="599" w:bottom="1440" w:gutter="0" w:footer="0" w:header="0"/>
        </w:sectPr>
      </w:pPr>
    </w:p>
    <w:bookmarkStart w:id="45" w:name="page46"/>
    <w:bookmarkEnd w:id="45"/>
    <w:p>
      <w:pPr>
        <w:ind w:right="160"/>
        <w:spacing w:after="0" w:line="296" w:lineRule="auto"/>
        <w:rPr>
          <w:sz w:val="20"/>
          <w:szCs w:val="20"/>
          <w:color w:val="auto"/>
        </w:rPr>
      </w:pPr>
      <w:r>
        <w:rPr>
          <w:rFonts w:ascii="Arial" w:cs="Arial" w:eastAsia="Arial" w:hAnsi="Arial"/>
          <w:sz w:val="16"/>
          <w:szCs w:val="16"/>
          <w:color w:val="auto"/>
        </w:rPr>
        <w:t>has been approved as a first-line therapy. Second line therapies often consist of more chemotherapy, radiation, antibody drugs, tumor-targeted small molecules, or a combination of these. Third line therapies can include chemotherapy, antibody drugs and small molecule tumor- targeted therapies, more invasive forms of surgery and new technologies. Our completed and planned clinical trials for FYARRO are with patients who may have received one or more prior treatments.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spacing w:after="0" w:line="5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number of patients who have the cancers we are targeting may turn out to be lower than expected. Our projections of addressable patient populations that may benefit from treatment with our product candidates are based on our estimates, which may prove to be incorrect. Additionally, the potentially addressable patient population for FYARRO and other product candidates may be limited or may not be amenable to treatment with our product candidates.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or our strategic partners develop could be significantly diminished and have an adverse material impact on our business.</w:t>
      </w:r>
    </w:p>
    <w:p>
      <w:pPr>
        <w:spacing w:after="0" w:line="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Even if we obtain significant market share for any approved product, if the potential target populations are small, we may never achieve profitability without obtaining regulatory approval for additional indications.</w:t>
      </w:r>
    </w:p>
    <w:p>
      <w:pPr>
        <w:spacing w:after="0" w:line="62" w:lineRule="exact"/>
        <w:rPr>
          <w:sz w:val="20"/>
          <w:szCs w:val="20"/>
          <w:color w:val="auto"/>
        </w:rPr>
      </w:pPr>
    </w:p>
    <w:p>
      <w:pPr>
        <w:ind w:right="1360"/>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FYARRO or any other product candidate we may develop in the future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FYARRO or any other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FYARRO or any other product candidate that we may develop in the future for which we obtain regulatory approval. If coverage and reimbursement are not available or reimbursement is available only to limited levels, we may not successfully commercialize FYARRO or any other product candidate that we may develop in the future for which we obtain regulatory approval.</w:t>
      </w:r>
    </w:p>
    <w:p>
      <w:pPr>
        <w:spacing w:after="0" w:line="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products, which would include FYARRO and any other product candidate we may develop in the future for which we may obtain regulatory approval. Market acceptance and sales of FYARRO or any other product candidates we may develop in the future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6" w:name="page47"/>
    <w:bookmarkEnd w:id="46"/>
    <w:p>
      <w:pPr>
        <w:ind w:right="60"/>
        <w:spacing w:after="0" w:line="269"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such as FYARRO.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 “ASP”)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Nonetheless, FYARRO or any other product candidate we may develop in the future may not be considered medically necessary or cost effective. We cannot be sure that coverage and reimbursement will be available for FYARRO or any other product that we commercialize and, if reimbursement is available, what the level of reimbursement will be.</w:t>
      </w:r>
    </w:p>
    <w:p>
      <w:pPr>
        <w:spacing w:after="0" w:line="7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effective January 1, 2024 (the “American Rescue Plan”),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A number of states are considering or have recently enacted state drug price transparency and reporting laws that could substantially increase our compliance burdens and expose us to greater liability under such laws once we begin commercialization for FYARRO or, after obtaining regulatory approval, any of our other product candidates that we may develop in the future. The implementation of cost containment measures or other healthcare reforms may prevent us from being able to generate revenue, attain profitability, or commercialize FYARRO or any other product candidates that we may develop in the future if approved. Complying with any new legislation and regulatory changes could be time-intensive and expensive, resulting in a material adverse effect on our business.</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FYARRO or any other product candidates that we may develop in the future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FYARRO or any other product candidate that we may develop in the future if approved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FYARRO or any other product candidates that we may develop in the future if approved. Accordingly, in markets outside the United States, the reimbursement for FYARRO or any other products that we may develop in the future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7" w:name="page48"/>
    <w:bookmarkEnd w:id="47"/>
    <w:p>
      <w:pPr>
        <w:ind w:right="200"/>
        <w:spacing w:after="0" w:line="289" w:lineRule="auto"/>
        <w:rPr>
          <w:sz w:val="20"/>
          <w:szCs w:val="20"/>
          <w:color w:val="auto"/>
        </w:rPr>
      </w:pPr>
      <w:r>
        <w:rPr>
          <w:rFonts w:ascii="Arial" w:cs="Arial" w:eastAsia="Arial" w:hAnsi="Arial"/>
          <w:sz w:val="16"/>
          <w:szCs w:val="16"/>
          <w:color w:val="auto"/>
        </w:rPr>
        <w:t>If we are unable to establish or sustain coverage and adequate reimbursement for FYARRO or any other product candidates that we may develop in the future if approved from third-party payors, the adoption of FYARRO or those other products if approved, the prices of FYARRO or those other products if approved and sales revenue from FYARRO or those other products if approved will be adversely affected, which, in turn, could adversely affect the ability to market or sell FYARRO or any other product candidates that we may develop in the future, if approved. Coverage policies and third-party payor reimbursement rates may change at any time. Further, due to the COVID-19 pandemic, millions of individuals have lost/will be losing employer-based insurance coverage, which may adversely affect our ability to commercialize FYARRO or any other products candidates that we may develop in the future if approved. It is unclear what effect, if any, the American Rescue Plan will have on the number of covered individuals. Even if favorable coverage and reimbursement status is attained for FYARRO or one or more product candidates that we may develop in the future for which we receive regulatory approval, less favorable coverage policies and reimbursement rates may be implemented in the future.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obtain FDA approval of any future NDA for FYARRO or any other product candidates we may develop in the future.</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and distribution and other possible activities relating to FYARRO and any other product candidate that we may develop in the future are subject to extensive regulation in the United States. Prior to the recent approval of our NDA for FYARRO for advanced malignant PEComa, we had not submitted an application for approval or obtained FDA approval for any product.</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Approval of an NDA is not guaranteed, and the approval process is an expensive and uncertain process that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w:t>
      </w:r>
    </w:p>
    <w:p>
      <w:pPr>
        <w:spacing w:after="0" w:line="7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w:t>
      </w:r>
    </w:p>
    <w:p>
      <w:pPr>
        <w:spacing w:after="0" w:line="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FYARRO and any other product candidates we may develop in the future from being marketed abroad.</w:t>
      </w:r>
    </w:p>
    <w:p>
      <w:pPr>
        <w:spacing w:after="0" w:line="6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8" w:name="page49"/>
    <w:bookmarkEnd w:id="48"/>
    <w:p>
      <w:pPr>
        <w:ind w:right="10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marketing FYARRO and any other product candidates we may develop in the future internationally could affect our business.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seek regulatory approval for FYARRO and our product candidates outside of the United States and, accordingly, we expect that we will be subject to additional risks related to operating in foreign countries if we obtain the necessary approvals, including:</w:t>
      </w:r>
    </w:p>
    <w:p>
      <w:pPr>
        <w:spacing w:after="0" w:line="8"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differing regulatory requirements in foreign countries;</w:t>
      </w:r>
    </w:p>
    <w:p>
      <w:pPr>
        <w:spacing w:after="0" w:line="63" w:lineRule="exact"/>
        <w:rPr>
          <w:rFonts w:ascii="Arial" w:cs="Arial" w:eastAsia="Arial" w:hAnsi="Arial"/>
          <w:sz w:val="18"/>
          <w:szCs w:val="18"/>
          <w:color w:val="231F20"/>
        </w:rPr>
      </w:pPr>
    </w:p>
    <w:p>
      <w:pPr>
        <w:ind w:left="880" w:right="120" w:hanging="440"/>
        <w:spacing w:after="0" w:line="277" w:lineRule="auto"/>
        <w:tabs>
          <w:tab w:leader="none" w:pos="8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potential for so-called parallel importing, which is what happens when a local seller, faced with high or higher local prices, opts to import goods from a foreign market with low or lower prices rather than buying them locally;</w:t>
      </w:r>
    </w:p>
    <w:p>
      <w:pPr>
        <w:spacing w:after="0" w:line="8" w:lineRule="exact"/>
        <w:rPr>
          <w:rFonts w:ascii="Arial" w:cs="Arial" w:eastAsia="Arial" w:hAnsi="Arial"/>
          <w:sz w:val="18"/>
          <w:szCs w:val="18"/>
          <w:color w:val="231F20"/>
        </w:rPr>
      </w:pPr>
    </w:p>
    <w:p>
      <w:pPr>
        <w:ind w:left="880" w:hanging="440"/>
        <w:spacing w:after="0"/>
        <w:tabs>
          <w:tab w:leader="none" w:pos="8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unexpected changes in tariffs, trade barriers, price and exchange controls and other regulatory requirements;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economic weakness, including inflation, or political instability in particular foreign economies and markets;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compliance with tax, employment, immigration and labor laws for employees living or traveling abroad;</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foreign taxes, including withholding of payroll taxes;</w:t>
      </w:r>
    </w:p>
    <w:p>
      <w:pPr>
        <w:spacing w:after="0" w:line="63" w:lineRule="exact"/>
        <w:rPr>
          <w:rFonts w:ascii="Arial" w:cs="Arial" w:eastAsia="Arial" w:hAnsi="Arial"/>
          <w:sz w:val="18"/>
          <w:szCs w:val="18"/>
          <w:color w:val="231F20"/>
        </w:rPr>
      </w:pPr>
    </w:p>
    <w:p>
      <w:pPr>
        <w:ind w:left="880" w:right="500" w:hanging="440"/>
        <w:spacing w:after="0" w:line="277" w:lineRule="auto"/>
        <w:tabs>
          <w:tab w:leader="none" w:pos="8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8" w:lineRule="exact"/>
        <w:rPr>
          <w:rFonts w:ascii="Arial" w:cs="Arial" w:eastAsia="Arial" w:hAnsi="Arial"/>
          <w:sz w:val="18"/>
          <w:szCs w:val="18"/>
          <w:color w:val="231F20"/>
        </w:rPr>
      </w:pPr>
    </w:p>
    <w:p>
      <w:pPr>
        <w:ind w:left="880" w:hanging="440"/>
        <w:spacing w:after="0"/>
        <w:tabs>
          <w:tab w:leader="none" w:pos="8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difficulties staffing and managing foreign operations;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workforce uncertainty in countries where labor unrest is more common than in the United States;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potential liability under the FCPA or comparable foreign regulations;</w:t>
      </w:r>
    </w:p>
    <w:p>
      <w:pPr>
        <w:spacing w:after="0" w:line="63" w:lineRule="exact"/>
        <w:rPr>
          <w:rFonts w:ascii="Arial" w:cs="Arial" w:eastAsia="Arial" w:hAnsi="Arial"/>
          <w:sz w:val="18"/>
          <w:szCs w:val="18"/>
          <w:color w:val="231F20"/>
        </w:rPr>
      </w:pPr>
    </w:p>
    <w:p>
      <w:pPr>
        <w:ind w:left="880" w:right="500" w:hanging="440"/>
        <w:spacing w:after="0" w:line="277" w:lineRule="auto"/>
        <w:tabs>
          <w:tab w:leader="none" w:pos="8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8" w:lineRule="exact"/>
        <w:rPr>
          <w:rFonts w:ascii="Arial" w:cs="Arial" w:eastAsia="Arial" w:hAnsi="Arial"/>
          <w:sz w:val="18"/>
          <w:szCs w:val="18"/>
          <w:color w:val="231F20"/>
        </w:rPr>
      </w:pPr>
    </w:p>
    <w:p>
      <w:pPr>
        <w:ind w:left="880" w:hanging="440"/>
        <w:spacing w:after="0"/>
        <w:tabs>
          <w:tab w:leader="none" w:pos="8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business interruptions resulting from geo-political actions, including war and terrorism.</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231F20"/>
        </w:rPr>
        <w:t>In addition, the conflict between Russia and Ukraine could lead to disruption, instability and volatility in global markets and industries that could negatively impact our operations.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231F20"/>
        </w:rPr>
        <w:t>These and other risks associated with our international operations may compromise our ability to achieve or maintain profitability</w:t>
      </w:r>
    </w:p>
    <w:p>
      <w:pPr>
        <w:spacing w:after="0" w:line="117" w:lineRule="exact"/>
        <w:rPr>
          <w:sz w:val="20"/>
          <w:szCs w:val="20"/>
          <w:color w:val="auto"/>
        </w:rPr>
      </w:pPr>
    </w:p>
    <w:p>
      <w:pPr>
        <w:ind w:right="680"/>
        <w:spacing w:after="0" w:line="311" w:lineRule="auto"/>
        <w:rPr>
          <w:sz w:val="20"/>
          <w:szCs w:val="20"/>
          <w:color w:val="auto"/>
        </w:rPr>
      </w:pPr>
      <w:r>
        <w:rPr>
          <w:rFonts w:ascii="Arial" w:cs="Arial" w:eastAsia="Arial" w:hAnsi="Arial"/>
          <w:sz w:val="16"/>
          <w:szCs w:val="16"/>
          <w:b w:val="1"/>
          <w:bCs w:val="1"/>
          <w:i w:val="1"/>
          <w:iCs w:val="1"/>
          <w:color w:val="231F20"/>
        </w:rPr>
        <w:t>The preclinical studies and clinical trials for FYARRO or any other of our product candidates that we may develop in the future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spacing w:after="0" w:line="4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231F20"/>
        </w:rPr>
        <w:t>Before obtaining regulatory approval from the EMA or other foreign regulatory authorities for the sale of FYARRO for malignant PEComa or any additional indications that we may seek approval for, or other product candidates when approved, we, among other requirements, must complete preclinical development and extensive clinical trials to demonstrate with substantial evidence the safety and efficacy of such product or other product candidates. Each product or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 years to complete and its ultimate outcome is inherently uncertain. A failure of one or more preclinical studies 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49" w:name="page50"/>
    <w:bookmarkEnd w:id="49"/>
    <w:p>
      <w:pPr>
        <w:ind w:right="40"/>
        <w:spacing w:after="0" w:line="277" w:lineRule="auto"/>
        <w:rPr>
          <w:sz w:val="20"/>
          <w:szCs w:val="20"/>
          <w:color w:val="auto"/>
        </w:rPr>
      </w:pPr>
      <w:r>
        <w:rPr>
          <w:rFonts w:ascii="Arial" w:cs="Arial" w:eastAsia="Arial" w:hAnsi="Arial"/>
          <w:sz w:val="18"/>
          <w:szCs w:val="18"/>
          <w:color w:val="231F20"/>
        </w:rPr>
        <w:t>studies and clinical trials have nonetheless failed to obtain regulatory approval of their products. Our current or future clinical trials may not ultimately be successful or support further clinical development of FYARRO or any other product candidates we may develop in the future.</w:t>
      </w:r>
    </w:p>
    <w:p>
      <w:pPr>
        <w:spacing w:after="0" w:line="62"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231F20"/>
        </w:rPr>
        <w:t>We may experience numerous unforeseen events during, or as a result of, clinical trials that could delay or prevent our ability to receive regulatory approval or our ability to commercialize FYARRO for additional indications or for any other product candidates we may develop in the future, including:</w:t>
      </w:r>
    </w:p>
    <w:p>
      <w:pPr>
        <w:spacing w:after="0" w:line="22"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receipt of feedback from regulatory authorities that require us to modify the design of our clinical trials;</w:t>
      </w:r>
    </w:p>
    <w:p>
      <w:pPr>
        <w:spacing w:after="0" w:line="63" w:lineRule="exact"/>
        <w:rPr>
          <w:rFonts w:ascii="Arial" w:cs="Arial" w:eastAsia="Arial" w:hAnsi="Arial"/>
          <w:sz w:val="18"/>
          <w:szCs w:val="18"/>
          <w:color w:val="231F20"/>
        </w:rPr>
      </w:pPr>
    </w:p>
    <w:p>
      <w:pPr>
        <w:ind w:left="880" w:right="360" w:hanging="440"/>
        <w:spacing w:after="0" w:line="277" w:lineRule="auto"/>
        <w:tabs>
          <w:tab w:leader="none" w:pos="88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negative or inconclusive clinical trial results that may require us to conduct additional clinical trials or abandon certain drug development programs;</w:t>
      </w:r>
    </w:p>
    <w:p>
      <w:pPr>
        <w:spacing w:after="0" w:line="8" w:lineRule="exact"/>
        <w:rPr>
          <w:rFonts w:ascii="Arial" w:cs="Arial" w:eastAsia="Arial" w:hAnsi="Arial"/>
          <w:sz w:val="18"/>
          <w:szCs w:val="18"/>
          <w:color w:val="231F20"/>
        </w:rPr>
      </w:pPr>
    </w:p>
    <w:p>
      <w:pPr>
        <w:ind w:left="880" w:right="880" w:hanging="440"/>
        <w:spacing w:after="0" w:line="277" w:lineRule="auto"/>
        <w:tabs>
          <w:tab w:leader="none" w:pos="88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8" w:lineRule="exact"/>
        <w:rPr>
          <w:rFonts w:ascii="Arial" w:cs="Arial" w:eastAsia="Arial" w:hAnsi="Arial"/>
          <w:sz w:val="18"/>
          <w:szCs w:val="18"/>
          <w:color w:val="231F20"/>
        </w:rPr>
      </w:pPr>
    </w:p>
    <w:p>
      <w:pPr>
        <w:ind w:left="880" w:right="1360" w:hanging="440"/>
        <w:spacing w:after="0" w:line="277" w:lineRule="auto"/>
        <w:tabs>
          <w:tab w:leader="none" w:pos="88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clinical trial sites or our CRO failing to comply with regulatory requirements or meet their contractual obligations to us in a timely manner, or at all;</w:t>
      </w:r>
    </w:p>
    <w:p>
      <w:pPr>
        <w:spacing w:after="0" w:line="8" w:lineRule="exact"/>
        <w:rPr>
          <w:rFonts w:ascii="Arial" w:cs="Arial" w:eastAsia="Arial" w:hAnsi="Arial"/>
          <w:sz w:val="18"/>
          <w:szCs w:val="18"/>
          <w:color w:val="231F20"/>
        </w:rPr>
      </w:pPr>
    </w:p>
    <w:p>
      <w:pPr>
        <w:ind w:left="880" w:right="260" w:hanging="440"/>
        <w:spacing w:after="0" w:line="277" w:lineRule="auto"/>
        <w:tabs>
          <w:tab w:leader="none" w:pos="88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8" w:lineRule="exact"/>
        <w:rPr>
          <w:rFonts w:ascii="Arial" w:cs="Arial" w:eastAsia="Arial" w:hAnsi="Arial"/>
          <w:sz w:val="18"/>
          <w:szCs w:val="18"/>
          <w:color w:val="231F20"/>
        </w:rPr>
      </w:pPr>
    </w:p>
    <w:p>
      <w:pPr>
        <w:ind w:left="880" w:hanging="440"/>
        <w:spacing w:after="0"/>
        <w:tabs>
          <w:tab w:leader="none" w:pos="88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cost of clinical trials of our product candidates being greater than anticipated;</w:t>
      </w:r>
    </w:p>
    <w:p>
      <w:pPr>
        <w:spacing w:after="0" w:line="63" w:lineRule="exact"/>
        <w:rPr>
          <w:rFonts w:ascii="Arial" w:cs="Arial" w:eastAsia="Arial" w:hAnsi="Arial"/>
          <w:sz w:val="18"/>
          <w:szCs w:val="18"/>
          <w:color w:val="231F20"/>
        </w:rPr>
      </w:pPr>
    </w:p>
    <w:p>
      <w:pPr>
        <w:ind w:left="880" w:right="720" w:hanging="440"/>
        <w:spacing w:after="0" w:line="277" w:lineRule="auto"/>
        <w:tabs>
          <w:tab w:leader="none" w:pos="88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supply or quality of our product candidates or other materials necessary to conduct clinical trials of our product candidates being insufficient or inadequate; and</w:t>
      </w:r>
    </w:p>
    <w:p>
      <w:pPr>
        <w:spacing w:after="0" w:line="8" w:lineRule="exact"/>
        <w:rPr>
          <w:rFonts w:ascii="Arial" w:cs="Arial" w:eastAsia="Arial" w:hAnsi="Arial"/>
          <w:sz w:val="18"/>
          <w:szCs w:val="18"/>
          <w:color w:val="231F20"/>
        </w:rPr>
      </w:pPr>
    </w:p>
    <w:p>
      <w:pPr>
        <w:ind w:left="880" w:hanging="440"/>
        <w:spacing w:after="0"/>
        <w:tabs>
          <w:tab w:leader="none" w:pos="88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delays due to the recent COVID-19 pandemic, including starting any clinical trials for other indications or programs.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231F20"/>
        </w:rPr>
        <w:t>For instance, we do not know whether FYARRO will perform in current or future clinical trials for additional indications as it has performed in preclinical studies or prior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approved and clinical-stage mTOR inhibitors being developed by multiple other companies, to our knowledge, there are no mTOR inhibitors approved specifically for the treatment of advanced malignant PEComa other than FYARRO. As such, the development of FYARRO and our stock price may be impacted by inferences, whether correct or not, that are drawn between the success of our product and those of other companies’ mTOR inhibitors.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may also be undergoing surgical, radiation and chemotherapy treatments and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5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231F20"/>
        </w:rPr>
        <w:t>We do not know whether any clinical trials we may conduct will demonstrate consistent or adequate efficacy and safety sufficient to obtain approval to market FYARRO for additional indications or for any other product candidates we may develop in the future. If we are required to conduct additional clinical trials or other testing of our product beyond those that we currently contemplate, if we are unable to successfully complete clinical trials of our product or other testing in a timely manner, if the results of these trials or tests are not positive or are only modestly positive or if there are safety concerns, we may (i) incur unplanned costs, (ii) be delayed in seeking and obtaining regulatory approval for respective indications, if we receive such approval at all, (iii) receive more limited or restrictive regulatory approval for respective indications, (iv) be subject to additional post-marketing testing requirements or (v) have the drug removed from the market after obtaining regulatory approval. Even if</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50" w:name="page51"/>
    <w:bookmarkEnd w:id="50"/>
    <w:p>
      <w:pPr>
        <w:ind w:right="440"/>
        <w:spacing w:after="0" w:line="277" w:lineRule="auto"/>
        <w:rPr>
          <w:sz w:val="20"/>
          <w:szCs w:val="20"/>
          <w:color w:val="auto"/>
        </w:rPr>
      </w:pPr>
      <w:r>
        <w:rPr>
          <w:rFonts w:ascii="Arial" w:cs="Arial" w:eastAsia="Arial" w:hAnsi="Arial"/>
          <w:sz w:val="18"/>
          <w:szCs w:val="18"/>
          <w:color w:val="231F20"/>
        </w:rPr>
        <w:t>regulatory approval is secured for any of our product candidates, the terms of such approval may limit the scope and use of our product candidates, which may also limit their commercial potential.</w:t>
      </w:r>
    </w:p>
    <w:p>
      <w:pPr>
        <w:spacing w:after="0" w:line="6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231F20"/>
        </w:rPr>
        <w:t>Our product candidates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If our product candidates are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 product candidates’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 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the affected product candidate, could substantially increase the costs of commercializing our product candidates and significantly impact our ability to successfully commercialize our product candidates and generate revenues, and may harm our business, financial condition and prospects significantly. For example, in our AMPECT trial of FYARRO, most treatment-related adverse events were mild or moderate, with the most commonly reported adverse events being anemia, edema, infections, mucositis, pain, nail changes, vomiting, thrombocytopenia, hypertension and nausea. Treatment-related adverse events in our other oncology and PAH trials of FYARRO included thrombocytopenia, diarrhea, fatigue, mucosal inflammation, nausea, anemia, and rash. Additionally, in our first- in-human study of FYARRO in solid tumors, one patient died of dyspnea which was deemed possibly related to FYARRO.</w:t>
      </w:r>
    </w:p>
    <w:p>
      <w:pPr>
        <w:spacing w:after="0" w:line="78"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Patients in our completed and planned clinical trials may in the future suffer other significant adverse events or other side effects not observed or anticipated based on our preclinical studies or previous clinical trials. FYARRO or other product candidates may be used in populations for which safety concerns may be particularly scrutinized by regulatory agencies. In addition, FYARRO is being studied in combination with other therapies, which may exacerbate adverse events associated with the therapy. Patients treated with FYARRO or our other product candidates that we may develop in the future may also be undergoing surgical, radiation and/or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FYARRO clinical trials will die or experience major adverse clinical events either during the course of our clinical trials or after such trials, which has occurred in the past.</w:t>
      </w:r>
    </w:p>
    <w:p>
      <w:pPr>
        <w:spacing w:after="0" w:line="7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231F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spacing w:after="0" w:line="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231F20"/>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Further, for FYARRO for advanced malignant PEComa, or if FYARRO receives regulatory approval for any other indication, or if any other product candidate that we may develop in the future if any of our product candidates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w:t>
      </w:r>
      <w:r>
        <w:rPr>
          <w:rFonts w:ascii="Arial" w:cs="Arial" w:eastAsia="Arial" w:hAnsi="Arial"/>
          <w:sz w:val="18"/>
          <w:szCs w:val="18"/>
          <w:color w:val="231F20"/>
        </w:rPr>
        <w:t>the</w:t>
      </w:r>
      <w:r>
        <w:rPr>
          <w:rFonts w:ascii="Arial" w:cs="Arial" w:eastAsia="Arial" w:hAnsi="Arial"/>
          <w:sz w:val="18"/>
          <w:szCs w:val="18"/>
          <w:color w:val="auto"/>
        </w:rPr>
        <w:t xml:space="preserve"> </w:t>
      </w:r>
      <w:r>
        <w:rPr>
          <w:rFonts w:ascii="Arial" w:cs="Arial" w:eastAsia="Arial" w:hAnsi="Arial"/>
          <w:sz w:val="18"/>
          <w:szCs w:val="18"/>
          <w:color w:val="231F20"/>
        </w:rPr>
        <w:t>way the product is distributed or administered, (v) implement a risk evaluation and mitigation strategy, or create a medication guide outlining the risks of such side effects for distribution to patients,</w:t>
      </w:r>
    </w:p>
    <w:p>
      <w:pPr>
        <w:spacing w:after="0" w:line="1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49" w:right="539" w:bottom="1440" w:gutter="0" w:footer="0" w:header="0"/>
        </w:sectPr>
      </w:pPr>
    </w:p>
    <w:bookmarkStart w:id="51" w:name="page52"/>
    <w:bookmarkEnd w:id="51"/>
    <w:p>
      <w:pPr>
        <w:ind w:right="300"/>
        <w:spacing w:after="0" w:line="277" w:lineRule="auto"/>
        <w:rPr>
          <w:sz w:val="20"/>
          <w:szCs w:val="20"/>
          <w:color w:val="auto"/>
        </w:rPr>
      </w:pPr>
      <w:r>
        <w:rPr>
          <w:rFonts w:ascii="Arial" w:cs="Arial" w:eastAsia="Arial" w:hAnsi="Arial"/>
          <w:sz w:val="18"/>
          <w:szCs w:val="18"/>
          <w:color w:val="231F20"/>
        </w:rPr>
        <w:t>or (vi) suspend or withdraw the product from the market. We cannot predict whether our product candidates will cause toxicities in humans that would preclude or lead to the revocation of regulatory approval based on preclinical studies or early-stage clinical trials.</w:t>
      </w:r>
    </w:p>
    <w:p>
      <w:pPr>
        <w:spacing w:after="0" w:line="6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231F20"/>
        </w:rPr>
        <w:t>Results from early preclinical studies and clinical trials of our product candidates are not necessarily predictive of the results of later preclinical studies and clinical trials of our product candidates. 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Any results from early preclinical studies and clinical trials of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79"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231F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31F20"/>
        </w:rPr>
        <w:t>Additionally, some of our ongoing, planned and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any of our product candidates when studied in a controlled environment with a placebo or active control.</w:t>
      </w:r>
    </w:p>
    <w:p>
      <w:pPr>
        <w:spacing w:after="0" w:line="64"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b w:val="1"/>
          <w:bCs w:val="1"/>
          <w:i w:val="1"/>
          <w:iCs w:val="1"/>
          <w:color w:val="231F20"/>
        </w:rPr>
        <w:t>Interim, topline and preliminary data from our clinical trials that we announce or publish from time to time may change as more patient data become available or as additional analyses are conducted and are subject to audit and verification procedures that could result in material changes in the final data.</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From time to time, we may publicly disclose preliminary, interim or topline data from our clinical trials, such as the preliminary data from our completed AMPECT trial of FYARRO in patients with malignant PEComas. The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52" w:name="page53"/>
    <w:bookmarkEnd w:id="52"/>
    <w:p>
      <w:pPr>
        <w:ind w:right="200"/>
        <w:spacing w:after="0" w:line="263" w:lineRule="auto"/>
        <w:rPr>
          <w:sz w:val="20"/>
          <w:szCs w:val="20"/>
          <w:color w:val="auto"/>
        </w:rPr>
      </w:pPr>
      <w:r>
        <w:rPr>
          <w:rFonts w:ascii="Arial" w:cs="Arial" w:eastAsia="Arial" w:hAnsi="Arial"/>
          <w:sz w:val="18"/>
          <w:szCs w:val="18"/>
          <w:color w:val="231F20"/>
        </w:rPr>
        <w:t>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FYARRO in other indications or any other product candidates that we may develop in the future may be harmed, which could harm our business, financial condition, results of operations and prospects.</w:t>
      </w:r>
    </w:p>
    <w:p>
      <w:pPr>
        <w:spacing w:after="0" w:line="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Adverse results of clinical trials conducted by third parties investigating the same product candidates as us in different territories could adversely affect our development of such product candidate.</w:t>
      </w:r>
    </w:p>
    <w:p>
      <w:pPr>
        <w:spacing w:after="0" w:line="6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231F20"/>
        </w:rPr>
        <w:t>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pursuant to the exclusive license agreement (the “EOC License Agreement”) with EOC Pharma (Hong Kong) Limited (“EOC”) for the development and commercialization of FYARRO in Greater China, including the Republic of China, Hong Kong, Macau and Taiwan (collectively, the “EOC Territory”), EOC has been granted the right to develop and commercialize the same compounds licensed to us, as specified in the EOC License Agreement, including FYARRO, in the EOC Territory and, subject to certain restrictions, to collaborate with others for such development and commercialization. We do not have control over EOC’s clinical trials or development program, and adverse findings from or EOC’s conduct of clinical trials could adversely affect our development and commercialization of FYARRO or the viability of FYARRO as a product candidate. We may be required to report EOC’s adverse events or unexpected side effects to the FDA or comparable foreign regulatory authorities, which could, among other things, order us to cease further development of FYARRO.</w:t>
      </w:r>
    </w:p>
    <w:p>
      <w:pPr>
        <w:spacing w:after="0" w:line="8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If we experience delays or difficulties in the enrollment and/or maintenance of patients in clinical trials, our regulatory submissions or receipt of necessary regulatory approvals could be delayed or prevented.</w:t>
      </w:r>
    </w:p>
    <w:p>
      <w:pPr>
        <w:spacing w:after="0" w:line="6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231F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Orphan indications, in particular, have small populations, and it may be difficult for us to locate and enroll sufficient patients in trials for orphan-designated indications. Patient enrollment is a significant factor in the timing of clinical trials. Our ability to identify and enroll eligible patients for clinical trials may be limited or may result in slower enrollment than we anticipate. For instance, patients for our trials for the TSC1 &amp; TSC2 study are screened using genomic information to identify alterations in the TSC1 &amp; TSC2 genes and utilizing such criteria and/or certain highly specific criteria related to the cancer sub-types may limit patient populations eligible for our clinical trials. In particular, because we are focused on patients with specific genetic mutations for certain of our development programs, our ability to enroll eligible patients may be limited or may result in slower enrollment than anticipated. For example, with respect to FYARRO, we cannot be certain how many patients will harbor the TSC1 &amp; TSC2 mutations that FYARRO is designed to target or that the number of patients enrolled for each mutation will suffice for regulatory approval and inclusion of each such mutation in the approved label. We may also engage third parties to develop companion diagnostics for use in our clinical trials, but such third parties may not be successful in developing such companion diagnostics, furthering the difficulty in identifying patients with the targeted genetic mutations for our clinical trials. If our strategies for patient identification prove unsuccessful, we may have difficulty enrolling or maintaining patients appropriate for FYARRO.</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w:t>
      </w:r>
    </w:p>
    <w:p>
      <w:pPr>
        <w:spacing w:after="0" w:line="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231F20"/>
        </w:rPr>
        <w:t>Also, marketing authorization of competitors in this same class of drugs may impair our ability to enroll patients into our clinical trials, delaying or potentially preventing us from completing recruitment for one or more of our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231F20"/>
        </w:rPr>
        <w:t>trials. Patient enrollment and retention for our current or any future clinical trials may be affected by other factors, including:</w:t>
      </w:r>
    </w:p>
    <w:p>
      <w:pPr>
        <w:spacing w:after="0" w:line="63"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size and nature of the patient population;</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severity of the disease under investigation;</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availability and efficacy of approved drugs for the disease under investigation;</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patient eligibility criteria for the trial in question as defined in the protocol or as mandated by regulatory agencies;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perceived risks and benefits of the product candidate under study;</w:t>
      </w:r>
    </w:p>
    <w:p>
      <w:pPr>
        <w:spacing w:after="0" w:line="63" w:lineRule="exact"/>
        <w:rPr>
          <w:rFonts w:ascii="Arial" w:cs="Arial" w:eastAsia="Arial" w:hAnsi="Arial"/>
          <w:sz w:val="18"/>
          <w:szCs w:val="18"/>
          <w:color w:val="231F20"/>
        </w:rPr>
      </w:pPr>
    </w:p>
    <w:p>
      <w:pPr>
        <w:ind w:left="880" w:right="560" w:hanging="440"/>
        <w:spacing w:after="0" w:line="263" w:lineRule="auto"/>
        <w:tabs>
          <w:tab w:leader="none" w:pos="88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spacing w:after="0" w:line="21" w:lineRule="exact"/>
        <w:rPr>
          <w:rFonts w:ascii="Arial" w:cs="Arial" w:eastAsia="Arial" w:hAnsi="Arial"/>
          <w:sz w:val="18"/>
          <w:szCs w:val="18"/>
          <w:color w:val="231F20"/>
        </w:rPr>
      </w:pPr>
    </w:p>
    <w:p>
      <w:pPr>
        <w:ind w:left="880" w:hanging="440"/>
        <w:spacing w:after="0"/>
        <w:tabs>
          <w:tab w:leader="none" w:pos="88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ability to recruit clinical study investigators with the appropriate competencies and experience;</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7"/>
        </w:numPr>
        <w:rPr>
          <w:rFonts w:ascii="Arial" w:cs="Arial" w:eastAsia="Arial" w:hAnsi="Arial"/>
          <w:sz w:val="17"/>
          <w:szCs w:val="17"/>
          <w:color w:val="231F20"/>
        </w:rPr>
      </w:pPr>
      <w:r>
        <w:rPr>
          <w:rFonts w:ascii="Arial" w:cs="Arial" w:eastAsia="Arial" w:hAnsi="Arial"/>
          <w:sz w:val="17"/>
          <w:szCs w:val="17"/>
          <w:color w:val="231F20"/>
        </w:rPr>
        <w:t>clinicians’ willingness to screen their patients for biomarkers to indicate which patients may be eligible for enrollment in our clinical trials;</w:t>
      </w:r>
    </w:p>
    <w:p>
      <w:pPr>
        <w:spacing w:after="0" w:line="74" w:lineRule="exact"/>
        <w:rPr>
          <w:rFonts w:ascii="Arial" w:cs="Arial" w:eastAsia="Arial" w:hAnsi="Arial"/>
          <w:sz w:val="17"/>
          <w:szCs w:val="17"/>
          <w:color w:val="231F20"/>
        </w:rPr>
      </w:pPr>
    </w:p>
    <w:p>
      <w:pPr>
        <w:ind w:left="880" w:hanging="440"/>
        <w:spacing w:after="0"/>
        <w:tabs>
          <w:tab w:leader="none" w:pos="88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patient referral practices of physicians;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ability to obtain and maintain patient consents;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ability to monitor patients adequately during and after treatment;</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proximity and availability of clinical trial sites for prospective patients; and</w:t>
      </w:r>
    </w:p>
    <w:p>
      <w:pPr>
        <w:spacing w:after="0" w:line="63" w:lineRule="exact"/>
        <w:rPr>
          <w:rFonts w:ascii="Arial" w:cs="Arial" w:eastAsia="Arial" w:hAnsi="Arial"/>
          <w:sz w:val="18"/>
          <w:szCs w:val="18"/>
          <w:color w:val="231F20"/>
        </w:rPr>
      </w:pPr>
    </w:p>
    <w:p>
      <w:pPr>
        <w:ind w:left="880" w:right="20" w:hanging="440"/>
        <w:spacing w:after="0" w:line="277" w:lineRule="auto"/>
        <w:tabs>
          <w:tab w:leader="none" w:pos="88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factors we may not be able to control, such as current or potential pandemics that may limit patients, principal investigators or staff or clinical site availability (e.g., the COVID-19 pandemic).</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231F20"/>
        </w:rPr>
        <w:t>Our inability to enroll a sufficient number of patients for our clinical trials could result in significant delays or may require us to abandon one or more clinical trials altogether. Furthermore, any negative results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there is a risk that patients enrolled in clinical trials will drop out of the trials before completion or, because they may be late-stage cancer patients, will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We expect to develop FYARRO and potentially other product candidates in combination with other therapies, which exposes us to additional risks.</w:t>
      </w:r>
    </w:p>
    <w:p>
      <w:pPr>
        <w:spacing w:after="0" w:line="15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231F20"/>
        </w:rPr>
        <w:t>We intend to develop FYARRO and potentially other product candidates, in combination with one or more currently approved or unapproved therapies to treat cancer or other diseases. Patients may not be able to tolerate FYARRO or any of our other product candidates in combination with other therapies or dosing of FYARRO in combination with other therapies may have unexpected consequences. Even though FYARRO has received FDA approval for advanced malignant PEComa, and even if FYARRO receives regulatory approval for additional indications, if any of our product candidates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the FDA, EMA or comparable foreign regulatory authorities in other jurisdictions requiring additional clinical trials, or our own products being removed from the market or being less successful commercially.</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54" w:name="page55"/>
    <w:bookmarkEnd w:id="54"/>
    <w:p>
      <w:pPr>
        <w:jc w:val="both"/>
        <w:ind w:right="200"/>
        <w:spacing w:after="0" w:line="263" w:lineRule="auto"/>
        <w:rPr>
          <w:sz w:val="20"/>
          <w:szCs w:val="20"/>
          <w:color w:val="auto"/>
        </w:rPr>
      </w:pPr>
      <w:r>
        <w:rPr>
          <w:rFonts w:ascii="Arial" w:cs="Arial" w:eastAsia="Arial" w:hAnsi="Arial"/>
          <w:sz w:val="18"/>
          <w:szCs w:val="18"/>
          <w:color w:val="231F20"/>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regulatory approval.</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FYARRO or any other product candidate, we may be unable to obtain approval of or successfully market any one or all of the product candidates we develop.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31F20"/>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79" w:lineRule="exact"/>
        <w:rPr>
          <w:sz w:val="20"/>
          <w:szCs w:val="20"/>
          <w:color w:val="auto"/>
        </w:rPr>
      </w:pPr>
    </w:p>
    <w:p>
      <w:pPr>
        <w:ind w:right="880"/>
        <w:spacing w:after="0" w:line="263" w:lineRule="auto"/>
        <w:rPr>
          <w:sz w:val="20"/>
          <w:szCs w:val="20"/>
          <w:color w:val="auto"/>
        </w:rPr>
      </w:pPr>
      <w:r>
        <w:rPr>
          <w:rFonts w:ascii="Arial" w:cs="Arial" w:eastAsia="Arial" w:hAnsi="Arial"/>
          <w:sz w:val="18"/>
          <w:szCs w:val="18"/>
          <w:b w:val="1"/>
          <w:bCs w:val="1"/>
          <w:i w:val="1"/>
          <w:iCs w:val="1"/>
          <w:color w:val="231F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spacing w:after="0" w:line="76"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231F20"/>
        </w:rPr>
        <w:t>We are currently focusing our resources and efforts on developing and commercializing FYARRO for particular indications and advancing our preclinical programs for certain other product candidates. As a result, because we have limited financial and managerial resources, we may forgo or delay pursuit of opportunities for other indications or with other product candidates that may later prove to have greater commercial potential. Our resource allocation decisions may cause us to fail to capitalize on viable commercial drugs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activities for FYARRO and other programs may not yield any commercially viable drugs. If we do not accurately evaluate the completed clinical trial data, likelihood of future clinical trial success, commercial potential or target markets for FYARRO or any of our other product candidates that we may develop in the future, we may relinquish valuable rights to that product candidate or program through collaboration, licensing or other strategic or royalty arrangements in cases in which we would have been more advantageous for us to retain sole development and commercialization rights to such product candidate or program.</w:t>
      </w:r>
    </w:p>
    <w:p>
      <w:pPr>
        <w:spacing w:after="0" w:line="60"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b w:val="1"/>
          <w:bCs w:val="1"/>
          <w:i w:val="1"/>
          <w:iCs w:val="1"/>
          <w:color w:val="231F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7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231F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FYARRO for advanced malignant PEComa or for any additional indications we may seek approval for, and for any other product candidates that we may develop in the future, if approved.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that physicians currently use to treat the indications for which we seek approval. This may make it difficult for us to replace existing therapies with our products.</w:t>
      </w:r>
    </w:p>
    <w:p>
      <w:pPr>
        <w:spacing w:after="0" w:line="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231F20"/>
        </w:rPr>
        <w:t>In particular, there is intense competition in the field of oncology. We have competitors both in the United States and internationally, including major multinational pharmaceutical companies, established biotechnology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5" w:name="page56"/>
    <w:bookmarkEnd w:id="55"/>
    <w:p>
      <w:pPr>
        <w:ind w:right="340"/>
        <w:spacing w:after="0" w:line="279" w:lineRule="auto"/>
        <w:rPr>
          <w:sz w:val="20"/>
          <w:szCs w:val="20"/>
          <w:color w:val="auto"/>
        </w:rPr>
      </w:pPr>
      <w:r>
        <w:rPr>
          <w:rFonts w:ascii="Arial" w:cs="Arial" w:eastAsia="Arial" w:hAnsi="Arial"/>
          <w:sz w:val="17"/>
          <w:szCs w:val="17"/>
          <w:color w:val="231F20"/>
        </w:rPr>
        <w:t>companies, specialty pharmaceutical companies, emerging and start-up companies, government agencies, universities and other research institutions. We also compete with these organizations to recruit and retain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63"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231F20"/>
        </w:rPr>
        <w:t xml:space="preserve">Other than FYARRO, we are not aware of any FDA or EMA approved products indicated specifically for the treatment of advanced malignant PEComa. Patients with malignant PEComa commonly receive chemotherapy regimens and currently mTOR inhibitors including sirolimus, everolimus, and temsirolimus are recommended in the National Comprehensive Cancer Network (the “NCCN”) guidelines for treatment of advanced malignant PEComa based on published retrospective data. Following FDA approval, FYARRO was added to the NCCN guidelines as the only preferred regimen for treatment of malignant PEComa. For tumor agnostic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inactivating alterations, there are no existing FDA or EMA approved products indicated for such use. If FYARRO receives additional regulatory approval for these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indications, it may face competition from other drug candidates in clinical trials that target the mTOR pathway. These may include dual mTORC1/2 inhibitors in clinical trials or next generation mTOR inhibitors in development.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Our approved product, or product candidates we may develop in the future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FYARRO or any other products we may develop in the future, if approved, could be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methods of product candidate manufacturing or formulation may result in additional costs or delay.</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231F20"/>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alternative formulations or dosage forms of FYARRO in additional clinical trials for other indications. Such material changes will require regulatory approval before implementation and carry the risk that they will not achieve these intended objectives. Any of these changes could cause FYARRO and any other product candidate that we may develop in the future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56" w:name="page57"/>
    <w:bookmarkEnd w:id="56"/>
    <w:p>
      <w:pPr>
        <w:ind w:right="300"/>
        <w:spacing w:after="0" w:line="277" w:lineRule="auto"/>
        <w:rPr>
          <w:sz w:val="20"/>
          <w:szCs w:val="20"/>
          <w:color w:val="auto"/>
        </w:rPr>
      </w:pPr>
      <w:r>
        <w:rPr>
          <w:rFonts w:ascii="Arial" w:cs="Arial" w:eastAsia="Arial" w:hAnsi="Arial"/>
          <w:sz w:val="18"/>
          <w:szCs w:val="18"/>
          <w:color w:val="231F20"/>
        </w:rPr>
        <w:t>of our product candidates and jeopardize our ability to commercialize FYARRO or any other product candidates that we may develop in the future, if approved, and generate revenue.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successful in growing our product pipeline through acquisitions and in-licenses.</w:t>
      </w:r>
    </w:p>
    <w:p>
      <w:pPr>
        <w:spacing w:after="0" w:line="117"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231F20"/>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Our business entails a significant risk of product liability and if we are unable to obtain sufficient insurance coverage such inability could have a material adverse effect on our business and financial condition.</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231F20"/>
        </w:rPr>
        <w:t>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FYARRO or any other product candidates that we may develop in the future. For example, we may be sued if FYARRO or any other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recent global COVID-19 outbreak has affected and is expected to continue to affect our business and operations.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231F20"/>
        </w:rPr>
        <w:t>Broad-based business or economic disruptions could adversely affect our ongoing or planned research and development activities. To date, the COVID-19 pandemic has caused significant disruptions to the United States and global economy. Further, infections and deaths related to COVID-19 are disrupting certain healthcare and healthcare regulatory systems globally. Such disruptions could divert healthcare resources away from, or materially delay review by, the FDA and comparable foreign regulatory agencies. It is unknown how long these disruptions could continue, were they to occur. Any elongation or de-prioritization of our clinical trials or delay in regulatory review resulting from such disruptions could materially adversely affect the development and study of our product candidates. The COVID-19 pandemic caused us to modify business practices (including but not</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57" w:name="page58"/>
    <w:bookmarkEnd w:id="57"/>
    <w:p>
      <w:pPr>
        <w:ind w:right="240"/>
        <w:spacing w:after="0" w:line="255" w:lineRule="auto"/>
        <w:rPr>
          <w:sz w:val="20"/>
          <w:szCs w:val="20"/>
          <w:color w:val="auto"/>
        </w:rPr>
      </w:pPr>
      <w:r>
        <w:rPr>
          <w:rFonts w:ascii="Arial" w:cs="Arial" w:eastAsia="Arial" w:hAnsi="Arial"/>
          <w:sz w:val="18"/>
          <w:szCs w:val="18"/>
          <w:color w:val="231F20"/>
        </w:rPr>
        <w:t xml:space="preserve">limited to curtailing or modifying employee travel, curtailing or modifying our clinical trials, moving to full remote work, and cancelling physical participation in meetings, events, and conferences). For example, we have experienced, and continue to experience, some clinical development disruptions due to the pandemic, including closures at certain lab facilities, which have led, and continue to lead, to longer than anticipated clinical development times. </w:t>
      </w:r>
      <w:r>
        <w:rPr>
          <w:rFonts w:ascii="Arial" w:cs="Arial" w:eastAsia="Arial" w:hAnsi="Arial"/>
          <w:sz w:val="18"/>
          <w:szCs w:val="18"/>
          <w:color w:val="000000"/>
        </w:rPr>
        <w:t>In addition, our clinical trials have been, and may continue to be, affected by the closure of offices, or country borders, among other</w:t>
      </w:r>
      <w:r>
        <w:rPr>
          <w:rFonts w:ascii="Arial" w:cs="Arial" w:eastAsia="Arial" w:hAnsi="Arial"/>
          <w:sz w:val="18"/>
          <w:szCs w:val="18"/>
          <w:color w:val="231F20"/>
        </w:rPr>
        <w:t xml:space="preserve"> </w:t>
      </w:r>
      <w:r>
        <w:rPr>
          <w:rFonts w:ascii="Arial" w:cs="Arial" w:eastAsia="Arial" w:hAnsi="Arial"/>
          <w:sz w:val="18"/>
          <w:szCs w:val="18"/>
          <w:color w:val="000000"/>
        </w:rPr>
        <w:t>measures being put in place around the world. The inability to travel and conduct face-to-face meetings can also make it more difficult to enroll new patients in ongoing or planned clinical trials.</w:t>
      </w:r>
    </w:p>
    <w:p>
      <w:pPr>
        <w:spacing w:after="0" w:line="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a result of the evolving COVID-19 pandemic, we have experienced and expect to continue to experience disruptions that could severely impact our business, preclinical studies and clinical trials, including:</w:t>
      </w:r>
    </w:p>
    <w:p>
      <w:pPr>
        <w:spacing w:after="0" w:line="8"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continued delays or difficulties in enrolling and retaining and adequate number of patients in our clinical trials;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continued delays or difficulties in clinical site initiation, including difficulties in recruiting clinical site investigators and clinical site staff;</w:t>
      </w:r>
    </w:p>
    <w:p>
      <w:pPr>
        <w:spacing w:after="0" w:line="74" w:lineRule="exact"/>
        <w:rPr>
          <w:rFonts w:ascii="Arial" w:cs="Arial" w:eastAsia="Arial" w:hAnsi="Arial"/>
          <w:sz w:val="17"/>
          <w:szCs w:val="17"/>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receiving authorizations from regulatory authorities to initiate our planned clinical trials;</w:t>
      </w:r>
    </w:p>
    <w:p>
      <w:pPr>
        <w:spacing w:after="0" w:line="63" w:lineRule="exact"/>
        <w:rPr>
          <w:rFonts w:ascii="Arial" w:cs="Arial" w:eastAsia="Arial" w:hAnsi="Arial"/>
          <w:sz w:val="18"/>
          <w:szCs w:val="18"/>
          <w:color w:val="auto"/>
        </w:rPr>
      </w:pPr>
    </w:p>
    <w:p>
      <w:pPr>
        <w:ind w:left="880" w:right="48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8" w:lineRule="exact"/>
        <w:rPr>
          <w:rFonts w:ascii="Arial" w:cs="Arial" w:eastAsia="Arial" w:hAnsi="Arial"/>
          <w:sz w:val="18"/>
          <w:szCs w:val="18"/>
          <w:color w:val="auto"/>
        </w:rPr>
      </w:pPr>
    </w:p>
    <w:p>
      <w:pPr>
        <w:ind w:left="880" w:right="240" w:hanging="440"/>
        <w:spacing w:after="0" w:line="263"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1" w:lineRule="exact"/>
        <w:rPr>
          <w:rFonts w:ascii="Arial" w:cs="Arial" w:eastAsia="Arial" w:hAnsi="Arial"/>
          <w:sz w:val="18"/>
          <w:szCs w:val="18"/>
          <w:color w:val="auto"/>
        </w:rPr>
      </w:pPr>
    </w:p>
    <w:p>
      <w:pPr>
        <w:ind w:left="880" w:right="76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8"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74" w:lineRule="exact"/>
        <w:rPr>
          <w:rFonts w:ascii="Arial" w:cs="Arial" w:eastAsia="Arial" w:hAnsi="Arial"/>
          <w:sz w:val="17"/>
          <w:szCs w:val="17"/>
          <w:color w:val="auto"/>
        </w:rPr>
      </w:pPr>
    </w:p>
    <w:p>
      <w:pPr>
        <w:ind w:left="880" w:right="140" w:hanging="440"/>
        <w:spacing w:after="0" w:line="316"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interruption of, or delays in receiving, supplies of our product candidates from our contract manufacturing organizations (“CMOs”) due to staffing shortages, production slowdowns or stoppages and disruptions in delivery systems, including as a result of the COVID-19 pandemic;</w:t>
      </w:r>
    </w:p>
    <w:p>
      <w:pPr>
        <w:spacing w:after="0" w:line="1" w:lineRule="exact"/>
        <w:rPr>
          <w:rFonts w:ascii="Arial" w:cs="Arial" w:eastAsia="Arial" w:hAnsi="Arial"/>
          <w:sz w:val="16"/>
          <w:szCs w:val="16"/>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63" w:lineRule="exact"/>
        <w:rPr>
          <w:rFonts w:ascii="Arial" w:cs="Arial" w:eastAsia="Arial" w:hAnsi="Arial"/>
          <w:sz w:val="18"/>
          <w:szCs w:val="18"/>
          <w:color w:val="auto"/>
        </w:rPr>
      </w:pPr>
    </w:p>
    <w:p>
      <w:pPr>
        <w:ind w:left="880" w:right="36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8" w:lineRule="exact"/>
        <w:rPr>
          <w:rFonts w:ascii="Arial" w:cs="Arial" w:eastAsia="Arial" w:hAnsi="Arial"/>
          <w:sz w:val="18"/>
          <w:szCs w:val="18"/>
          <w:color w:val="auto"/>
        </w:rPr>
      </w:pPr>
    </w:p>
    <w:p>
      <w:pPr>
        <w:ind w:left="880" w:right="30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changes in the ways in which our clinical trials are conducted, which may result in unexpected costs, or to discontinue such clinical trials altogether;</w:t>
      </w:r>
    </w:p>
    <w:p>
      <w:pPr>
        <w:spacing w:after="0" w:line="8" w:lineRule="exact"/>
        <w:rPr>
          <w:rFonts w:ascii="Arial" w:cs="Arial" w:eastAsia="Arial" w:hAnsi="Arial"/>
          <w:sz w:val="18"/>
          <w:szCs w:val="18"/>
          <w:color w:val="auto"/>
        </w:rPr>
      </w:pPr>
    </w:p>
    <w:p>
      <w:pPr>
        <w:ind w:left="880" w:right="500" w:hanging="440"/>
        <w:spacing w:after="0" w:line="316"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 w:lineRule="exact"/>
        <w:rPr>
          <w:rFonts w:ascii="Arial" w:cs="Arial" w:eastAsia="Arial" w:hAnsi="Arial"/>
          <w:sz w:val="16"/>
          <w:szCs w:val="16"/>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63"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refusal of the FDA to accept data from clinical </w:t>
      </w:r>
      <w:r>
        <w:rPr>
          <w:rFonts w:ascii="Arial" w:cs="Arial" w:eastAsia="Arial" w:hAnsi="Arial"/>
          <w:sz w:val="18"/>
          <w:szCs w:val="18"/>
          <w:color w:val="231F20"/>
        </w:rPr>
        <w:t>trials in affected geographies outside the United States.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The extent of the impact of the COVID-19 pandemic on our future liquidity and operational performance will depend on certain developments, including the duration and spread of the outbreak, the availability and effectiveness of vaccines, the impact on our clinical trials, patients, and collaboration partners, and the effect on our suppliers.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Regulatory Approval and Other Legal Compliance Matters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231F20"/>
        </w:rPr>
        <w:t>If the FDA does not conclude that our product candidates and/or new indications satisfy the requirements under the 505(b)(2) regulatory pathway, or if the requirements for such product candidates and/or new indications under Section 505(b)(2) are not as we expect, the approval pathway for our product candidates and/or new indications may take longer, cost more or entail greater complications and risks than anticipated, which may delay or prevent the approval of our product candidates and/or new indications for commercial use.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8" w:name="page59"/>
    <w:bookmarkEnd w:id="58"/>
    <w:p>
      <w:pPr>
        <w:ind w:right="740"/>
        <w:spacing w:after="0" w:line="263" w:lineRule="auto"/>
        <w:rPr>
          <w:sz w:val="20"/>
          <w:szCs w:val="20"/>
          <w:color w:val="auto"/>
        </w:rPr>
      </w:pPr>
      <w:r>
        <w:rPr>
          <w:rFonts w:ascii="Arial" w:cs="Arial" w:eastAsia="Arial" w:hAnsi="Arial"/>
          <w:sz w:val="18"/>
          <w:szCs w:val="18"/>
          <w:color w:val="231F20"/>
        </w:rPr>
        <w:t>We submitted a Section 505(b)(2) NDA to the FDA in May 2021 for FYARRO for the treatment of advanced malignant PEComa, and the FDA approved the NDA in November 2021. We may not be successful in obtaining FDA approval under 505(b)(2) regulatory pathway for other indications or product candidates that we develop.</w:t>
      </w:r>
    </w:p>
    <w:p>
      <w:pPr>
        <w:spacing w:after="0" w:line="76"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231F20"/>
        </w:rPr>
        <w:t>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 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w:t>
      </w:r>
    </w:p>
    <w:p>
      <w:pPr>
        <w:spacing w:after="0" w:line="6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231F20"/>
        </w:rPr>
        <w:t>We may be unable to obtain United States approval for FYARRO for additional indications or our other product candidates that we may develop in the future or foreign regulatory approval for FYARRO or our other product candidates that we may develop in the future and, as a result, may be unable to commercialize FYARRO or our product candidates and our business will be substantially harmed.</w:t>
      </w:r>
    </w:p>
    <w:p>
      <w:pPr>
        <w:spacing w:after="0" w:line="41"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56" w:lineRule="exact"/>
        <w:rPr>
          <w:sz w:val="20"/>
          <w:szCs w:val="20"/>
          <w:color w:val="auto"/>
        </w:rPr>
      </w:pPr>
    </w:p>
    <w:p>
      <w:pPr>
        <w:spacing w:after="0" w:line="289" w:lineRule="auto"/>
        <w:rPr>
          <w:sz w:val="20"/>
          <w:szCs w:val="20"/>
          <w:color w:val="auto"/>
        </w:rPr>
      </w:pPr>
      <w:r>
        <w:rPr>
          <w:rFonts w:ascii="Arial" w:cs="Arial" w:eastAsia="Arial" w:hAnsi="Arial"/>
          <w:sz w:val="16"/>
          <w:szCs w:val="16"/>
          <w:color w:val="231F20"/>
        </w:rPr>
        <w:t>We submitted an NDA under Section 505(b)(2) to the FDA in May 2021 for FYARRO for the treatment of advanced malignant PEComa, and the FDA approved the NDA in November 2021. 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spacing w:after="0" w:line="5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231F20"/>
        </w:rPr>
        <w:t>Additionally, 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FDA quality standards. However, the FDA may not be able to continue its current pace and approval timelines could be extended, including where a pre-approval inspection or an inspection of clinical sites is required and due to the COVID-19 pandemic and travel restrictions the FDA is unable to complete such required inspections during the review period. In 2020 and 2021, a number of companies announced receipt of complete response letters due to the FDA’s inability to complete required inspections for their applications.</w:t>
      </w:r>
    </w:p>
    <w:p>
      <w:pPr>
        <w:spacing w:after="0" w:line="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231F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59" w:name="page60"/>
    <w:bookmarkEnd w:id="59"/>
    <w:p>
      <w:pPr>
        <w:ind w:right="40"/>
        <w:spacing w:after="0" w:line="255" w:lineRule="auto"/>
        <w:rPr>
          <w:sz w:val="20"/>
          <w:szCs w:val="20"/>
          <w:color w:val="auto"/>
        </w:rPr>
      </w:pPr>
      <w:r>
        <w:rPr>
          <w:rFonts w:ascii="Arial" w:cs="Arial" w:eastAsia="Arial" w:hAnsi="Arial"/>
          <w:sz w:val="18"/>
          <w:szCs w:val="18"/>
          <w:color w:val="231F20"/>
        </w:rPr>
        <w:t>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8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6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though FYARRO has been approved by the FDA, and even if we eventually complete clinical testing and receive approval for FYARRO in additional indications or for any other product candidates that we may develop in the future,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obtained regulatory approval for any product candidate, and it is possible that none of our product candidates will ever obtain regulatory approval.</w:t>
      </w:r>
    </w:p>
    <w:p>
      <w:pPr>
        <w:spacing w:after="0" w:line="7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231F20"/>
        </w:rPr>
        <w:t>Further, regulatory approval may be delayed for reasons beyond our control. For example, a United States federal government shutdown or budget sequestration, such as ones that occurred during 2013, 2018 and 2019, or the current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In addition, the impact of COVID-19 may cause the FDA to allocate additional resources to product candidates focused on treating related illnesses, which could lead to longer approval processes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231F20"/>
        </w:rPr>
        <w:t>Applications for our product candidates could fail to receive regulatory approval for many reasons, including the following:</w:t>
      </w:r>
    </w:p>
    <w:p>
      <w:pPr>
        <w:spacing w:after="0" w:line="63" w:lineRule="exact"/>
        <w:rPr>
          <w:sz w:val="20"/>
          <w:szCs w:val="20"/>
          <w:color w:val="auto"/>
        </w:rPr>
      </w:pPr>
    </w:p>
    <w:p>
      <w:pPr>
        <w:ind w:left="880" w:right="96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disagree with the design, implementation or results of our clinical trials;</w:t>
      </w:r>
    </w:p>
    <w:p>
      <w:pPr>
        <w:spacing w:after="0" w:line="8" w:lineRule="exact"/>
        <w:rPr>
          <w:rFonts w:ascii="Arial" w:cs="Arial" w:eastAsia="Arial" w:hAnsi="Arial"/>
          <w:sz w:val="18"/>
          <w:szCs w:val="18"/>
          <w:color w:val="auto"/>
        </w:rPr>
      </w:pPr>
    </w:p>
    <w:p>
      <w:pPr>
        <w:jc w:val="both"/>
        <w:ind w:left="880" w:right="340" w:hanging="440"/>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spacing w:after="0" w:line="21" w:lineRule="exact"/>
        <w:rPr>
          <w:rFonts w:ascii="Arial" w:cs="Arial" w:eastAsia="Arial" w:hAnsi="Arial"/>
          <w:sz w:val="18"/>
          <w:szCs w:val="18"/>
          <w:color w:val="auto"/>
        </w:rPr>
      </w:pPr>
    </w:p>
    <w:p>
      <w:pPr>
        <w:ind w:left="880" w:right="108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8" w:lineRule="exact"/>
        <w:rPr>
          <w:rFonts w:ascii="Arial" w:cs="Arial" w:eastAsia="Arial" w:hAnsi="Arial"/>
          <w:sz w:val="18"/>
          <w:szCs w:val="18"/>
          <w:color w:val="auto"/>
        </w:rPr>
      </w:pPr>
    </w:p>
    <w:p>
      <w:pPr>
        <w:ind w:left="880" w:right="112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disagree with our interpretation of data from preclinical studies or clinical trials;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60" w:name="page61"/>
    <w:bookmarkEnd w:id="60"/>
    <w:p>
      <w:pPr>
        <w:ind w:left="880" w:right="30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We may be unable to demonstrate to the FDA, EMA or other comparable foreign regulatory authorities that our product candidate’s risk-benefit ratio for our proposed indication is acceptable;</w:t>
      </w:r>
    </w:p>
    <w:p>
      <w:pPr>
        <w:spacing w:after="0" w:line="8" w:lineRule="exact"/>
        <w:rPr>
          <w:rFonts w:ascii="Arial" w:cs="Arial" w:eastAsia="Arial" w:hAnsi="Arial"/>
          <w:sz w:val="18"/>
          <w:szCs w:val="18"/>
          <w:color w:val="auto"/>
        </w:rPr>
      </w:pPr>
    </w:p>
    <w:p>
      <w:pPr>
        <w:ind w:left="880" w:hanging="440"/>
        <w:spacing w:after="0" w:line="316"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231F20"/>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spacing w:after="0" w:line="1" w:lineRule="exact"/>
        <w:rPr>
          <w:rFonts w:ascii="Arial" w:cs="Arial" w:eastAsia="Arial" w:hAnsi="Arial"/>
          <w:sz w:val="16"/>
          <w:szCs w:val="16"/>
          <w:color w:val="auto"/>
        </w:rPr>
      </w:pPr>
    </w:p>
    <w:p>
      <w:pPr>
        <w:ind w:left="880" w:right="38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FDA, EMA or other comparable regulatory authorities may fail to approve companion diagnostic tests for our product candidates, if required; and</w:t>
      </w:r>
    </w:p>
    <w:p>
      <w:pPr>
        <w:spacing w:after="0" w:line="8"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231F20"/>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spacing w:after="0" w:line="62"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b w:val="1"/>
          <w:bCs w:val="1"/>
          <w:i w:val="1"/>
          <w:iCs w:val="1"/>
          <w:color w:val="231F20"/>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231F20"/>
        </w:rPr>
        <w:t>Our clinical trials have been and may in the future be undertaken in the United States. We may choose to conduct additional clinical trials internationally as well. For example, we may conduct our PRECISION 1 trial of FYARRO in the United States, Europe and other countries.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8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231F20"/>
        </w:rPr>
        <w:t>Brexit and uncertainty in the regulatory framework as well as future legislation in the United Kingdom (the “UK”),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UK and increase our costs. We cannot predict the impact of such changes and future regulation on our business or the results of our operations.</w:t>
      </w:r>
    </w:p>
    <w:p>
      <w:pPr>
        <w:spacing w:after="0" w:line="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231F20"/>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95" w:right="5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231F20"/>
        </w:rPr>
        <w:t>can be approved for sale in that jurisdiction. In some cases, the price that we intend to charge for our products is also subject to approval.</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our product candidates will be harmed.</w:t>
      </w:r>
    </w:p>
    <w:p>
      <w:pPr>
        <w:spacing w:after="0" w:line="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231F20"/>
        </w:rPr>
        <w:t>Following Brexit, to the extent we conduct any operations in the UK, we will be subject to applicable regulatory requirements in the UK. Although the UK is no longer a member of the European Union, European Union law remains applicable in Northern Ireland. There are a number of new marketing authorization routes available in the UK, Great Britain (England, Scotland and Wales) or Northern Ireland, in addition to the national procedure. As with the European Union position, a company can only start to market a medicine in the UK once it has received a marketing authorization. The main legislation that applies to clinical trials in the UK is the UK Medicines for Human Use (Clinical Trials) Regulations 2004, which transposes the Clinical Trials Directive into domestic law. Consequently, the requirements and obligations that relate to the conduct of clinical trials in the UK currently remain largely aligned with the European Union position. It is unclear how future regulatory regime in the UK will impact regulations of products, manufacturers, and approval of product candidates in the UK. In the immediately foreseeable future, the UK regulatory approval process is likely to remain similar to that applicable in the European Union, albeit that the processes for applications will be separate. Longer term, the UK is likely to develop its own legislation that diverges from that in the European Union.</w:t>
      </w:r>
    </w:p>
    <w:p>
      <w:pPr>
        <w:spacing w:after="0" w:line="77"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b w:val="1"/>
          <w:bCs w:val="1"/>
          <w:i w:val="1"/>
          <w:iCs w:val="1"/>
          <w:color w:val="231F20"/>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spacing w:after="0" w:line="79"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231F20"/>
        </w:rPr>
        <w:t>FYARRO is,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 with whom we work must continue to expend time, money, and effort in all areas of regulatory compliance, including manufacturing, production, and quality control.</w:t>
      </w:r>
    </w:p>
    <w:p>
      <w:pPr>
        <w:spacing w:after="0" w:line="8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FYARRO is, and if marketing approval of any other product candidate we may develop in the future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As a condition of the approval of the NDA for FYARRO, we are required to conduct certain post-marketing requirements (“PMR”) and/or post-marketing commitments (“PMC”). If we fail to comply with the PMR and/or PMC, the FDA may take</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62" w:name="page63"/>
    <w:bookmarkEnd w:id="62"/>
    <w:p>
      <w:pPr>
        <w:ind w:right="140"/>
        <w:spacing w:after="0" w:line="277" w:lineRule="auto"/>
        <w:rPr>
          <w:sz w:val="20"/>
          <w:szCs w:val="20"/>
          <w:color w:val="auto"/>
        </w:rPr>
      </w:pPr>
      <w:r>
        <w:rPr>
          <w:rFonts w:ascii="Arial" w:cs="Arial" w:eastAsia="Arial" w:hAnsi="Arial"/>
          <w:sz w:val="18"/>
          <w:szCs w:val="18"/>
          <w:color w:val="auto"/>
        </w:rPr>
        <w:t>enforcement actions, which may include, among other things, the issuance of a Warning Letter and assessing civil monetary penalties. The product may also be deemed misbranded.</w:t>
      </w:r>
    </w:p>
    <w:p>
      <w:pPr>
        <w:spacing w:after="0" w:line="6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FYARRO does, and if any other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w:t>
      </w:r>
    </w:p>
    <w:p>
      <w:pPr>
        <w:spacing w:after="0" w:line="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31F20"/>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spacing w:after="0" w:line="16"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adverse inspection findings;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additional warnings or otherwise restrict the product’s indicated use, label, or marketing;</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restrictions on our FYARRO products, distribution, manufacturers or manufacturing processes;</w:t>
      </w:r>
    </w:p>
    <w:p>
      <w:pPr>
        <w:spacing w:after="0" w:line="63" w:lineRule="exact"/>
        <w:rPr>
          <w:rFonts w:ascii="Arial" w:cs="Arial" w:eastAsia="Arial" w:hAnsi="Arial"/>
          <w:sz w:val="18"/>
          <w:szCs w:val="18"/>
          <w:color w:val="231F20"/>
        </w:rPr>
      </w:pPr>
    </w:p>
    <w:p>
      <w:pPr>
        <w:ind w:left="880" w:right="600" w:hanging="440"/>
        <w:spacing w:after="0" w:line="277" w:lineRule="auto"/>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issuance of warning letters, safety alerts, dear-healthcare-provider letters, press releases or other communications containing warnings regarding the product that would result in adverse publicity;</w:t>
      </w:r>
    </w:p>
    <w:p>
      <w:pPr>
        <w:spacing w:after="0" w:line="8"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voluntary or mandatory product recalls and publicity requirements or withdrawal of FYARRO from the market;</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suspension or withdrawal of marketing or regulatory approvals or other permits or voluntary;</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product seizures, detentions or import bans;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total or partial suspension of production;</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imposition of restrictions on operations, including costly new manufacturing requirements;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requirement to establish or modify a REMS;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requirement to conduct post-marketing studies or surveillance;</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restrictions on drug distribution or use;</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requirements to conduct post-marketing studies or clinical trials;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refusal to approve pending applications or supplements to approved applications that we submit and other delays;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delays in or the rejection of approvals of additional indications for FYARRO;</w:t>
      </w:r>
    </w:p>
    <w:p>
      <w:pPr>
        <w:spacing w:after="0" w:line="63" w:lineRule="exact"/>
        <w:rPr>
          <w:rFonts w:ascii="Arial" w:cs="Arial" w:eastAsia="Arial" w:hAnsi="Arial"/>
          <w:sz w:val="18"/>
          <w:szCs w:val="18"/>
          <w:color w:val="231F20"/>
        </w:rPr>
      </w:pPr>
    </w:p>
    <w:p>
      <w:pPr>
        <w:ind w:left="880" w:right="180" w:hanging="440"/>
        <w:spacing w:after="0" w:line="277" w:lineRule="auto"/>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restrictions on our ability to conduct clinical trials, including full or partial clinical holds on, or the suspension or termination of, ongoing or planned trials;</w:t>
      </w:r>
    </w:p>
    <w:p>
      <w:pPr>
        <w:spacing w:after="0" w:line="8"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fines, restitution or disgorgement of profits or revenue;</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reputational harm;</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63" w:name="page64"/>
    <w:bookmarkEnd w:id="63"/>
    <w:p>
      <w:pPr>
        <w:ind w:left="880" w:hanging="440"/>
        <w:spacing w:after="0"/>
        <w:tabs>
          <w:tab w:leader="none" w:pos="88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refusal of government contracts or future orders under existing contracts, exclusion from participation in federal health care programs; or</w:t>
      </w:r>
    </w:p>
    <w:p>
      <w:pPr>
        <w:spacing w:after="0" w:line="74" w:lineRule="exact"/>
        <w:rPr>
          <w:rFonts w:ascii="Arial" w:cs="Arial" w:eastAsia="Arial" w:hAnsi="Arial"/>
          <w:sz w:val="17"/>
          <w:szCs w:val="17"/>
          <w:color w:val="231F20"/>
        </w:rPr>
      </w:pPr>
    </w:p>
    <w:p>
      <w:pPr>
        <w:ind w:left="880" w:hanging="440"/>
        <w:spacing w:after="0"/>
        <w:tabs>
          <w:tab w:leader="none" w:pos="88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injunctions or the imposition of civil or criminal penalties, including False Claims Act liability.</w:t>
      </w:r>
    </w:p>
    <w:p>
      <w:pPr>
        <w:spacing w:after="0" w:line="11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231F20"/>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spacing w:after="0" w:line="7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231F20"/>
        </w:rPr>
        <w:t>The occurrence of any event or penalty described above may inhibit our ability to commercialize FYARRO and any other product candidates that we may develop in the future, if approved, and generate revenue. If regulatory sanctions are applied or if regulatory approval is withdrawn, the value of the company and our operating results will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FDA and other regulatory agencies actively enforce the laws and regulations prohibiting the promotion of off-label uses.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If any of our product candidates are approved and we are found to have improperly promoted off-label uses of those products, we may become subject to significant liability. The FDA and other regulatory agencies, including the U.S. Department of Justice, strictly regulate the post-approval marketing and promotional claims that may be made about prescription products, such as for FYARRO.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FYARRO and any other product candidate that we may develop in the future, if approved, we could become subject to significant liability, which would materially adversely affect our business and financial condition.</w:t>
      </w:r>
    </w:p>
    <w:p>
      <w:pPr>
        <w:spacing w:after="0" w:line="6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231F20"/>
        </w:rPr>
        <w:t>If we are required by the FDA to obtain approval of a companion diagnostic product in connection with approval of any future product in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form such product candidate will be materially impaired.</w:t>
      </w:r>
    </w:p>
    <w:p>
      <w:pPr>
        <w:spacing w:after="0" w:line="7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231F20"/>
        </w:rPr>
        <w:t>In connection with the development of any future product candidates or new indication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31F20"/>
        </w:rPr>
        <w:t>The approval of a companion diagnostic as part of the therapeutic product’s labeling limits the use of the therapeutic product to only those patients who express certain biomarkers or the specific genetic alteration that the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11" w:right="419" w:bottom="1440" w:gutter="0" w:footer="0" w:header="0"/>
        </w:sectPr>
      </w:pPr>
    </w:p>
    <w:bookmarkStart w:id="64" w:name="page65"/>
    <w:bookmarkEnd w:id="64"/>
    <w:p>
      <w:pPr>
        <w:spacing w:after="0" w:line="269" w:lineRule="auto"/>
        <w:rPr>
          <w:sz w:val="20"/>
          <w:szCs w:val="20"/>
          <w:color w:val="auto"/>
        </w:rPr>
      </w:pPr>
      <w:r>
        <w:rPr>
          <w:rFonts w:ascii="Arial" w:cs="Arial" w:eastAsia="Arial" w:hAnsi="Arial"/>
          <w:sz w:val="17"/>
          <w:szCs w:val="17"/>
          <w:color w:val="231F20"/>
        </w:rPr>
        <w:t>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7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231F20"/>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spacing w:after="0" w:line="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231F20"/>
        </w:rPr>
        <w:t>A Fast Track or Breakthrough Therapy designation for FYARRO may not lead to a faster development or review process, or we may be unable to maintain or effectively utilize such a designation. We may also seek additional Fast Track designations from the FDA for FYARRO or any of our other product candidates. Even if one or more of our product candidates receive Fast Track designation, we may be unable to obtain or maintain the benefits associated with the Fast Track designation.</w:t>
      </w:r>
    </w:p>
    <w:p>
      <w:pPr>
        <w:spacing w:after="0" w:line="7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231F20"/>
        </w:rPr>
        <w:t>In October 2018, we announced that the FDA granted Fast Track designation for FYARRO for the investigation of the treatment of patients with advanced malignant PEComa. This Fast Track designation does not guarantee that we will qualify for or be able to take advantage of the expedited review procedures or that we will ultimately obtain regulatory approval of FYARRO in other indications. Even though we received this Fast Track designation in the past, we may not experience a faster development process, review or approval compared to conventional FDA procedures for other indications for FYARRO. We may also seek Fast Track designation for additional cancer indications or other diseases, and we may not be successful in securing such additional designation or in expediting development if such designations were received. Even if we receive Fast Track designation for additional cancer indications, the FDA may withdraw such Fast Track designation if it believes that the Fast Track designation is no longer supported by data from our clinical development program.</w:t>
      </w:r>
    </w:p>
    <w:p>
      <w:pPr>
        <w:spacing w:after="0" w:line="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231F20"/>
        </w:rPr>
        <w:t>Fast Track designation is designed to facilitate the development and expedite the review of therapies intended for the treatment of a serious or life-threatening condition which demonstrate the potential to address unmet medical</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65" w:name="page66"/>
    <w:bookmarkEnd w:id="65"/>
    <w:p>
      <w:pPr>
        <w:ind w:right="160"/>
        <w:spacing w:after="0" w:line="271" w:lineRule="auto"/>
        <w:rPr>
          <w:sz w:val="20"/>
          <w:szCs w:val="20"/>
          <w:color w:val="auto"/>
        </w:rPr>
      </w:pPr>
      <w:r>
        <w:rPr>
          <w:rFonts w:ascii="Arial" w:cs="Arial" w:eastAsia="Arial" w:hAnsi="Arial"/>
          <w:sz w:val="17"/>
          <w:szCs w:val="17"/>
          <w:color w:val="231F20"/>
        </w:rPr>
        <w:t>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FYARRO for any other indication or any other product candidates that we may develop in the future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spacing w:after="0" w:line="70"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231F20"/>
        </w:rPr>
        <w:t>In December 2018, we announced that the FDA granted Breakthrough Therapy designation for FYARRO for the treatment of patients with advanced malignant PEComa. We may also seek a Breakthrough Therapy designation for FYARRO for various cancer indications or other diseases. 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spacing w:after="0" w:line="63" w:lineRule="exact"/>
        <w:rPr>
          <w:sz w:val="20"/>
          <w:szCs w:val="20"/>
          <w:color w:val="auto"/>
        </w:rPr>
      </w:pPr>
    </w:p>
    <w:p>
      <w:pPr>
        <w:spacing w:after="0" w:line="275" w:lineRule="auto"/>
        <w:rPr>
          <w:sz w:val="20"/>
          <w:szCs w:val="20"/>
          <w:color w:val="auto"/>
        </w:rPr>
      </w:pPr>
      <w:r>
        <w:rPr>
          <w:rFonts w:ascii="Arial" w:cs="Arial" w:eastAsia="Arial" w:hAnsi="Arial"/>
          <w:sz w:val="17"/>
          <w:szCs w:val="17"/>
          <w:color w:val="231F20"/>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FYARRO will receive regulatory approval in the United States in other indications.</w:t>
      </w:r>
    </w:p>
    <w:p>
      <w:pPr>
        <w:spacing w:after="0" w:line="6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231F20"/>
        </w:rPr>
        <w:t>We may not be able to obtain or maintain orphan drug designation or obtain or maintain orphan drug exclusivity for our product candidates and, even if we do, such exclusivity may not prevent the FDA, EMA or other comparable foreign regulatory authorities, from approving competing products.</w:t>
      </w:r>
    </w:p>
    <w:p>
      <w:pPr>
        <w:spacing w:after="0" w:line="7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231F20"/>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7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6" w:name="page67"/>
    <w:bookmarkEnd w:id="66"/>
    <w:p>
      <w:pPr>
        <w:ind w:right="40"/>
        <w:spacing w:after="0" w:line="342" w:lineRule="auto"/>
        <w:rPr>
          <w:sz w:val="20"/>
          <w:szCs w:val="20"/>
          <w:color w:val="auto"/>
        </w:rPr>
      </w:pPr>
      <w:r>
        <w:rPr>
          <w:rFonts w:ascii="Arial" w:cs="Arial" w:eastAsia="Arial" w:hAnsi="Arial"/>
          <w:sz w:val="16"/>
          <w:szCs w:val="16"/>
          <w:color w:val="231F20"/>
        </w:rPr>
        <w:t>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16"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Even if orphan drug designation is granted for a product candidate,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231F20"/>
        </w:rPr>
        <w:t>We received orphan drug designation from the FDA for FYARRO for the treatment of advanced malignant PEComa. We may be unable to obtain orphan drug designation for any other indication or regulatory approval for FYARRO for any other orphan population, or we may be unable to successfully commercialize FYARRO for such orphan population due to risks that include:</w:t>
      </w:r>
    </w:p>
    <w:p>
      <w:pPr>
        <w:spacing w:after="0" w:line="76"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 orphan patient populations may change in size;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there may be changes in the treatment options for patients that may provide alternative treatments to FYARRO;</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 development costs may be greater than projected revenue of drug sales for the orphan indications;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 regulatory agencies may disagree with the design or implementation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there may be difficulties in enrolling patients for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FYARRO may not prove to be efficacious in the respective orphan patient populations;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clinical trial results may not meet the level of statistical significance required by the regulatory agencies;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FYARRO may not have a favorable risk/benefit assessment in the respective orphan indication.</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231F20"/>
        </w:rPr>
        <w:t>If we are unable to obtain regulatory approval for FYARRO in any other orphan population for which we obtain orphan drug designation or we are unable to successfully commercialize FYARRO for such orphan population, it could harm our business prospects, financial condition and results of operations.</w:t>
      </w:r>
    </w:p>
    <w:p>
      <w:pPr>
        <w:spacing w:after="0" w:line="1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231F20"/>
        </w:rPr>
        <w:t>We may not be able to obtain orphan drug exclusivity for FYARRO in additional indications or for one or more of our product candidates that we may develop in the future, and even if we do, that exclusivity may not prevent the FDA from approving other competing products.</w:t>
      </w:r>
    </w:p>
    <w:p>
      <w:pPr>
        <w:spacing w:after="0" w:line="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231F20"/>
        </w:rPr>
        <w:t>Under the Orphan Drug Act, the FDA may designate a product candidate as an orphan drug if it is a drug or biologic intended to treat a rare disease or condition. A similar regulatory scheme governs approval of orphan product candidates by the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similar product candidate for the same orphan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67" w:name="page68"/>
    <w:bookmarkEnd w:id="67"/>
    <w:p>
      <w:pPr>
        <w:ind w:right="40"/>
        <w:spacing w:after="0" w:line="253" w:lineRule="auto"/>
        <w:rPr>
          <w:sz w:val="20"/>
          <w:szCs w:val="20"/>
          <w:color w:val="auto"/>
        </w:rPr>
      </w:pPr>
      <w:r>
        <w:rPr>
          <w:rFonts w:ascii="Arial" w:cs="Arial" w:eastAsia="Arial" w:hAnsi="Arial"/>
          <w:sz w:val="18"/>
          <w:szCs w:val="18"/>
          <w:color w:val="231F20"/>
        </w:rPr>
        <w:t>In order for the FDA to grant orphan drug exclusivity to one of our product candidates, the agency must find that the product candidate is indicated for the treatment of a condition or disease that affects fewer than 200,000 individuals in the United States or that affects 200,000 or more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231F20"/>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Where possible, we plan to pursue accelerated development strategies in areas of high unmet need. We may seek an accelerated approval pathway for one or more of our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pre-approval of promotional materials, which could adversely impact the timing of the commercial launch of the product.</w:t>
      </w:r>
    </w:p>
    <w:p>
      <w:pPr>
        <w:spacing w:after="0" w:line="6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231F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face difficulties from changes to current regulations and future legislation.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8" w:name="page69"/>
    <w:bookmarkEnd w:id="68"/>
    <w:p>
      <w:pPr>
        <w:spacing w:after="0" w:line="257" w:lineRule="auto"/>
        <w:rPr>
          <w:sz w:val="20"/>
          <w:szCs w:val="20"/>
          <w:color w:val="auto"/>
        </w:rPr>
      </w:pPr>
      <w:r>
        <w:rPr>
          <w:rFonts w:ascii="Arial" w:cs="Arial" w:eastAsia="Arial" w:hAnsi="Arial"/>
          <w:sz w:val="18"/>
          <w:szCs w:val="18"/>
          <w:color w:val="231F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80"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231F20"/>
        </w:rPr>
        <w:t>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In December 2018,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Some of the provisions of the ACA have yet to be implemented, and there have been judicial and Congressional challenges to certain aspects of the ACA, as well as recent efforts by the former Trump administration to repeal or replace certain aspects of the ACA. In June 2021, the Supreme Court held that Texas and other challengers had no legal standing to challenge the ACA, dismissing the case without specifically ruling on the constitutionality of the ACA. Accordingly, the ACA remains in effect in its current form. It is unclear how this decision and other healthcare reforms will impact our business.</w:t>
      </w:r>
    </w:p>
    <w:p>
      <w:pPr>
        <w:spacing w:after="0" w:line="7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231F20"/>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2030,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3% in the final fiscal year of this sequester.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FYARRO or any other product candidates that we may develop if the future, if approved, and accordingly, our financial operations.</w:t>
      </w:r>
    </w:p>
    <w:p>
      <w:pPr>
        <w:spacing w:after="0" w:line="7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in September 2018, CMS announced that it will allow Medicare Advantage Plans the option to use step therapy for Part B drugs beginning January 1, 2019. Additionally, CMS issued a final rule, effective on July 9, 2019, that requires direct-to-consumer television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 In 2020, at the federal level, under the former Trump administration, HHS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new rules. As a result, the Biden administration and HHS have delayed the implementation or published rules rescinding some of these Trump-era policies.</w:t>
      </w:r>
    </w:p>
    <w:p>
      <w:pPr>
        <w:spacing w:after="0" w:line="5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231F20"/>
        </w:rPr>
        <w:t>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9" w:name="page70"/>
    <w:bookmarkEnd w:id="69"/>
    <w:p>
      <w:pPr>
        <w:ind w:right="60"/>
        <w:spacing w:after="0" w:line="270" w:lineRule="auto"/>
        <w:rPr>
          <w:sz w:val="20"/>
          <w:szCs w:val="20"/>
          <w:color w:val="auto"/>
        </w:rPr>
      </w:pPr>
      <w:r>
        <w:rPr>
          <w:rFonts w:ascii="Arial" w:cs="Arial" w:eastAsia="Arial" w:hAnsi="Arial"/>
          <w:sz w:val="17"/>
          <w:szCs w:val="17"/>
          <w:color w:val="231F20"/>
        </w:rPr>
        <w:t>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5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231F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w:t>
      </w:r>
    </w:p>
    <w:p>
      <w:pPr>
        <w:spacing w:after="0" w:line="8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6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231F20"/>
        </w:rPr>
        <w:t>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European Union Member States may result in fines up to €20.0 million or up to 4% of the total worldwide annual turnover of the preceding financial year, whichever is higher, and other administrative penalties. The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70" w:name="page71"/>
    <w:bookmarkEnd w:id="70"/>
    <w:p>
      <w:pPr>
        <w:jc w:val="both"/>
        <w:ind w:right="320"/>
        <w:spacing w:after="0" w:line="263" w:lineRule="auto"/>
        <w:rPr>
          <w:sz w:val="20"/>
          <w:szCs w:val="20"/>
          <w:color w:val="auto"/>
        </w:rPr>
      </w:pPr>
      <w:r>
        <w:rPr>
          <w:rFonts w:ascii="Arial" w:cs="Arial" w:eastAsia="Arial" w:hAnsi="Arial"/>
          <w:sz w:val="18"/>
          <w:szCs w:val="18"/>
          <w:color w:val="231F20"/>
        </w:rPr>
        <w:t>GDPR may increase our responsibility and liability in relation to personal data that we may process, and we may be required to put in place additional mechanisms in an effort to comply with the GDPR. This may be onerous and if our efforts to comply with GDPR or other applicable European Union laws and regulations are not successful, it could adversely affect our business in the European Union.</w:t>
      </w:r>
    </w:p>
    <w:p>
      <w:pPr>
        <w:spacing w:after="0" w:line="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31F20"/>
        </w:rPr>
        <w:t>Finally, state and foreign laws may apply generally to the privacy and security of information we maintain, and may differ from each other in significant ways, thus complicating compliance efforts. For example, the California Consumer Privacy Act of 2018 (the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Some observers note that the CCPA could mark the beginning of a trend toward more stringent privacy legislation in the United States, which could increase our potential liability and adversely affect our business.</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231F20"/>
        </w:rPr>
        <w:t>Inadequate funding for the FDA, the Securities and Exchange Commission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(the “SEC”) and other government agencies on which our operations may rely, including those that fund research and development activities is subject to the political process, which is inherently fluid and unpredictable.</w:t>
      </w:r>
    </w:p>
    <w:p>
      <w:pPr>
        <w:spacing w:after="0" w:line="80"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Disruptions at the FDA and other agencies may also slow the time necessary for new product candidates to be reviewed and/or approved by necessary government agencies, which would adversely affect our business. For example, in recent years, including in 2018 and 2019, the United States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Separately, in response to the COVID-19 pandemic, in March 2020, the FDA announced its intention to postpone most inspections of foreign manufacturing facilities and products as well as routine surveillance inspections of domestic manufacturing facilities and provided guidance regarding the conduct of clinical trials. In April 2021, the FDA issued guidance for industry formally announcing plans to employ remote interactive evaluations, using risk management methods, to meet user fee commitments and goal dates and based on updated guidance issued in May 2021, FDA continues to conduct mission-critical inspections on a case-by-case basis, or, where possible to do so safely, has, since July 2020, resumed prioritized domestic inspections, which generally include pre-approval, pre-license, surveillance, and for-cause inspections.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a complete response letter or defer action on the application until an inspection can be completed. In 2020 and 2021, a number of companies announced receipt of complete response letters due to the FDA’s inability to complete required inspections for their applications. While the FDA indicated that it will consider alternative methods for inspections and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on a timely basis, it could significantly impact the ability of the FDA to timely review and process our regulatory submissions, which could have a material adverse effect on our business. Regulatory authorities outside the U.S. may adopt similar restrictions or other policy measures in response to the COVID-19 pandemic and may experience delays in their regulatory activities. Further, in our operations as a public company, future government shutdowns could</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231F20"/>
        </w:rPr>
        <w:t>impact our ability to access the public markets and obtain necessary capital in order to properly capitalize and continue our operations.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231F20"/>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spacing w:after="0" w:line="80" w:lineRule="exact"/>
        <w:rPr>
          <w:sz w:val="20"/>
          <w:szCs w:val="20"/>
          <w:color w:val="auto"/>
        </w:rPr>
      </w:pPr>
    </w:p>
    <w:p>
      <w:pPr>
        <w:ind w:left="880" w:right="180" w:hanging="440"/>
        <w:spacing w:after="0" w:line="290"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57" w:lineRule="exact"/>
        <w:rPr>
          <w:rFonts w:ascii="Arial" w:cs="Arial" w:eastAsia="Arial" w:hAnsi="Arial"/>
          <w:sz w:val="16"/>
          <w:szCs w:val="16"/>
          <w:color w:val="auto"/>
        </w:rPr>
      </w:pPr>
    </w:p>
    <w:p>
      <w:pPr>
        <w:ind w:left="880" w:right="280" w:hanging="440"/>
        <w:spacing w:after="0" w:line="291"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58" w:lineRule="exact"/>
        <w:rPr>
          <w:rFonts w:ascii="Arial" w:cs="Arial" w:eastAsia="Arial" w:hAnsi="Arial"/>
          <w:sz w:val="16"/>
          <w:szCs w:val="16"/>
          <w:color w:val="auto"/>
        </w:rPr>
      </w:pPr>
    </w:p>
    <w:p>
      <w:pPr>
        <w:ind w:left="880" w:right="420" w:hanging="440"/>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Federal criminal laws that prohibit executing a scheme to defraud any healthcare benefit program or making, or causing to be made, false statements relating to healthcare matters;</w:t>
      </w:r>
    </w:p>
    <w:p>
      <w:pPr>
        <w:spacing w:after="0" w:line="62" w:lineRule="exact"/>
        <w:rPr>
          <w:rFonts w:ascii="Arial" w:cs="Arial" w:eastAsia="Arial" w:hAnsi="Arial"/>
          <w:sz w:val="18"/>
          <w:szCs w:val="18"/>
          <w:color w:val="auto"/>
        </w:rPr>
      </w:pPr>
    </w:p>
    <w:p>
      <w:pPr>
        <w:ind w:left="880" w:right="280" w:hanging="440"/>
        <w:spacing w:after="0" w:line="263"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the FCPA, the U.K. Bribery Act of 2010, and other local anti-corruption laws that apply to our international activities;</w:t>
      </w:r>
    </w:p>
    <w:p>
      <w:pPr>
        <w:spacing w:after="0" w:line="117" w:lineRule="exact"/>
        <w:rPr>
          <w:rFonts w:ascii="Arial" w:cs="Arial" w:eastAsia="Arial" w:hAnsi="Arial"/>
          <w:sz w:val="18"/>
          <w:szCs w:val="18"/>
          <w:color w:val="231F20"/>
        </w:rPr>
      </w:pPr>
    </w:p>
    <w:p>
      <w:pPr>
        <w:ind w:left="880" w:hanging="440"/>
        <w:spacing w:after="0" w:line="255" w:lineRule="auto"/>
        <w:tabs>
          <w:tab w:leader="none" w:pos="88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2" w:name="page73"/>
    <w:bookmarkEnd w:id="72"/>
    <w:p>
      <w:pPr>
        <w:ind w:left="880" w:right="80"/>
        <w:spacing w:after="0" w:line="277" w:lineRule="auto"/>
        <w:rPr>
          <w:sz w:val="20"/>
          <w:szCs w:val="20"/>
          <w:color w:val="auto"/>
        </w:rPr>
      </w:pPr>
      <w:r>
        <w:rPr>
          <w:rFonts w:ascii="Arial" w:cs="Arial" w:eastAsia="Arial" w:hAnsi="Arial"/>
          <w:sz w:val="18"/>
          <w:szCs w:val="18"/>
          <w:color w:val="231F20"/>
        </w:rPr>
        <w:t>matters; similar to the federal Anti-Kickback Statute, a person or entity does not need to have actual knowledge of the statute or specific intent to violate it in order to have committed a violation;</w:t>
      </w:r>
    </w:p>
    <w:p>
      <w:pPr>
        <w:spacing w:after="0" w:line="62" w:lineRule="exact"/>
        <w:rPr>
          <w:sz w:val="20"/>
          <w:szCs w:val="20"/>
          <w:color w:val="auto"/>
        </w:rPr>
      </w:pPr>
    </w:p>
    <w:p>
      <w:pPr>
        <w:ind w:left="880" w:right="180" w:hanging="440"/>
        <w:spacing w:after="0" w:line="288" w:lineRule="auto"/>
        <w:tabs>
          <w:tab w:leader="none" w:pos="880" w:val="left"/>
        </w:tabs>
        <w:numPr>
          <w:ilvl w:val="0"/>
          <w:numId w:val="35"/>
        </w:numPr>
        <w:rPr>
          <w:rFonts w:ascii="Arial" w:cs="Arial" w:eastAsia="Arial" w:hAnsi="Arial"/>
          <w:sz w:val="16"/>
          <w:szCs w:val="16"/>
          <w:color w:val="231F20"/>
        </w:rPr>
      </w:pPr>
      <w:r>
        <w:rPr>
          <w:rFonts w:ascii="Arial" w:cs="Arial" w:eastAsia="Arial" w:hAnsi="Arial"/>
          <w:sz w:val="16"/>
          <w:szCs w:val="16"/>
          <w:color w:val="231F20"/>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w:t>
      </w:r>
    </w:p>
    <w:p>
      <w:pPr>
        <w:spacing w:after="0" w:line="60" w:lineRule="exact"/>
        <w:rPr>
          <w:rFonts w:ascii="Arial" w:cs="Arial" w:eastAsia="Arial" w:hAnsi="Arial"/>
          <w:sz w:val="16"/>
          <w:szCs w:val="16"/>
          <w:color w:val="231F20"/>
        </w:rPr>
      </w:pPr>
    </w:p>
    <w:p>
      <w:pPr>
        <w:ind w:left="880" w:right="60" w:hanging="440"/>
        <w:spacing w:after="0" w:line="291" w:lineRule="auto"/>
        <w:tabs>
          <w:tab w:leader="none" w:pos="880" w:val="left"/>
        </w:tabs>
        <w:numPr>
          <w:ilvl w:val="0"/>
          <w:numId w:val="35"/>
        </w:numPr>
        <w:rPr>
          <w:rFonts w:ascii="Arial" w:cs="Arial" w:eastAsia="Arial" w:hAnsi="Arial"/>
          <w:sz w:val="16"/>
          <w:szCs w:val="16"/>
          <w:color w:val="231F20"/>
        </w:rPr>
      </w:pPr>
      <w:r>
        <w:rPr>
          <w:rFonts w:ascii="Arial" w:cs="Arial" w:eastAsia="Arial" w:hAnsi="Arial"/>
          <w:sz w:val="16"/>
          <w:szCs w:val="16"/>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w:t>
      </w:r>
    </w:p>
    <w:p>
      <w:pPr>
        <w:spacing w:after="0" w:line="58" w:lineRule="exact"/>
        <w:rPr>
          <w:rFonts w:ascii="Arial" w:cs="Arial" w:eastAsia="Arial" w:hAnsi="Arial"/>
          <w:sz w:val="16"/>
          <w:szCs w:val="16"/>
          <w:color w:val="231F20"/>
        </w:rPr>
      </w:pPr>
    </w:p>
    <w:p>
      <w:pPr>
        <w:ind w:left="880" w:hanging="440"/>
        <w:spacing w:after="0" w:line="286" w:lineRule="auto"/>
        <w:tabs>
          <w:tab w:leader="none" w:pos="880" w:val="left"/>
        </w:tabs>
        <w:numPr>
          <w:ilvl w:val="0"/>
          <w:numId w:val="35"/>
        </w:numPr>
        <w:rPr>
          <w:rFonts w:ascii="Arial" w:cs="Arial" w:eastAsia="Arial" w:hAnsi="Arial"/>
          <w:sz w:val="16"/>
          <w:szCs w:val="16"/>
          <w:color w:val="231F20"/>
        </w:rPr>
      </w:pPr>
      <w:r>
        <w:rPr>
          <w:rFonts w:ascii="Arial" w:cs="Arial" w:eastAsia="Arial" w:hAnsi="Arial"/>
          <w:sz w:val="16"/>
          <w:szCs w:val="16"/>
          <w:color w:val="231F20"/>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231F20"/>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80"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231F20"/>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3" w:name="page74"/>
    <w:bookmarkEnd w:id="73"/>
    <w:p>
      <w:pPr>
        <w:ind w:right="60"/>
        <w:spacing w:after="0" w:line="277" w:lineRule="auto"/>
        <w:rPr>
          <w:sz w:val="20"/>
          <w:szCs w:val="20"/>
          <w:color w:val="auto"/>
        </w:rPr>
      </w:pPr>
      <w:r>
        <w:rPr>
          <w:rFonts w:ascii="Arial" w:cs="Arial" w:eastAsia="Arial" w:hAnsi="Arial"/>
          <w:sz w:val="18"/>
          <w:szCs w:val="18"/>
          <w:color w:val="231F20"/>
        </w:rPr>
        <w:t>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spacing w:after="0" w:line="6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231F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64" w:lineRule="exact"/>
        <w:rPr>
          <w:sz w:val="20"/>
          <w:szCs w:val="20"/>
          <w:color w:val="auto"/>
        </w:rPr>
      </w:pPr>
    </w:p>
    <w:p>
      <w:pPr>
        <w:ind w:right="820"/>
        <w:spacing w:after="0" w:line="375" w:lineRule="auto"/>
        <w:rPr>
          <w:sz w:val="20"/>
          <w:szCs w:val="20"/>
          <w:color w:val="auto"/>
        </w:rPr>
      </w:pPr>
      <w:r>
        <w:rPr>
          <w:rFonts w:ascii="Arial" w:cs="Arial" w:eastAsia="Arial" w:hAnsi="Arial"/>
          <w:sz w:val="15"/>
          <w:szCs w:val="15"/>
          <w:b w:val="1"/>
          <w:bCs w:val="1"/>
          <w:i w:val="1"/>
          <w:iCs w:val="1"/>
          <w:color w:val="231F20"/>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84"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231F20"/>
        </w:rPr>
        <w:t>If we or any contract manufacturers and suppliers we engage fails to comply with environmental, health and safety laws and regulations, we could become subject to fines or penalties or incur costs that could have a material adverse effect on our business.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Our contract manufacturers and suppliers generally contract with third parties for the disposal of these materials</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74" w:name="page75"/>
    <w:bookmarkEnd w:id="74"/>
    <w:p>
      <w:pPr>
        <w:jc w:val="both"/>
        <w:ind w:right="40"/>
        <w:spacing w:after="0" w:line="311" w:lineRule="auto"/>
        <w:rPr>
          <w:sz w:val="20"/>
          <w:szCs w:val="20"/>
          <w:color w:val="auto"/>
        </w:rPr>
      </w:pPr>
      <w:r>
        <w:rPr>
          <w:rFonts w:ascii="Arial" w:cs="Arial" w:eastAsia="Arial" w:hAnsi="Arial"/>
          <w:sz w:val="16"/>
          <w:szCs w:val="16"/>
          <w:color w:val="231F20"/>
        </w:rPr>
        <w:t>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spacing w:after="0" w:line="4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9"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231F20"/>
        </w:rPr>
        <w:t>Our business activities may be subject to the United States Foreign Corrupt Practices Act (“FCPA”) and similar anti-bribery and anti-corruption laws of other countries in which we operate, as well as United States and certain foreign export controls, trade sanctions, and import laws and regulations. Compliance with these legal requirements could limit our ability to compete in foreign markets and subject us to liability if we violate them.</w:t>
      </w:r>
    </w:p>
    <w:p>
      <w:pPr>
        <w:spacing w:after="0" w:line="7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231F20"/>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68" w:lineRule="exact"/>
        <w:rPr>
          <w:sz w:val="20"/>
          <w:szCs w:val="20"/>
          <w:color w:val="auto"/>
        </w:rPr>
      </w:pPr>
    </w:p>
    <w:p>
      <w:pPr>
        <w:spacing w:after="0" w:line="289" w:lineRule="auto"/>
        <w:rPr>
          <w:sz w:val="20"/>
          <w:szCs w:val="20"/>
          <w:color w:val="auto"/>
        </w:rPr>
      </w:pPr>
      <w:r>
        <w:rPr>
          <w:rFonts w:ascii="Arial" w:cs="Arial" w:eastAsia="Arial" w:hAnsi="Arial"/>
          <w:sz w:val="16"/>
          <w:szCs w:val="16"/>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 with the conflict between Russia and Ukraine. The impact of these measures, as well as potential responses to them by Russia, is currently unknown and they could adversely affect our business, supply chain, business partners or customers.</w:t>
      </w:r>
    </w:p>
    <w:p>
      <w:pPr>
        <w:spacing w:after="0" w:line="16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49" w:right="579" w:bottom="1440" w:gutter="0" w:footer="0" w:header="0"/>
        </w:sectPr>
      </w:pPr>
    </w:p>
    <w:bookmarkStart w:id="75" w:name="page76"/>
    <w:bookmarkEnd w:id="75"/>
    <w:p>
      <w:pPr>
        <w:ind w:right="20"/>
        <w:spacing w:after="0" w:line="275" w:lineRule="auto"/>
        <w:rPr>
          <w:sz w:val="20"/>
          <w:szCs w:val="20"/>
          <w:color w:val="auto"/>
        </w:rPr>
      </w:pPr>
      <w:r>
        <w:rPr>
          <w:rFonts w:ascii="Arial" w:cs="Arial" w:eastAsia="Arial" w:hAnsi="Arial"/>
          <w:sz w:val="17"/>
          <w:szCs w:val="17"/>
          <w:color w:val="231F20"/>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6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231F20"/>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U.S. Tariffs, trade restrictions or sanctions imposed by the U.S. or other countries, including as a result geopolitical tension, such as a deterioration in the relationship between the United States and China or escalation in conflict between Russia and Ukraine,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U.S. or other countries. As a result, changes in international trade policy, changes in trade agreements and the imposition of tariffs or sanctions by the U.S. or other countries could materially adversely affect our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Employee Matters, Managing Our Growth and 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success is highly dependent on our ability to attract and retain highly skilled executive officers, key scientific personnel and employees.</w:t>
      </w:r>
    </w:p>
    <w:p>
      <w:pPr>
        <w:spacing w:after="0" w:line="14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or key scientific personnel could be detrimental to us if we cannot recruit suitable replacements in a timely manner. We will need to hire additional personnel as we expand our clinical development and commercial activities. We could in the future have difficulty attracting and retaining experienced personnel and may be required to expend significant financial resources in our employee recruitment and retention efforts.</w:t>
      </w:r>
    </w:p>
    <w:p>
      <w:pPr>
        <w:spacing w:after="0" w:line="6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231F20"/>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8"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spacing w:after="0" w:line="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231F20"/>
        </w:rPr>
        <w:t>In order to commercialize FYARRO or any other product candidate that we may develop in the future, if approved, we must build marketing, sales, distribution, managerial and other non-technical capabilities or make</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449" w:right="559" w:bottom="1440" w:gutter="0" w:footer="0" w:header="0"/>
        </w:sectPr>
      </w:pPr>
    </w:p>
    <w:bookmarkStart w:id="76" w:name="page77"/>
    <w:bookmarkEnd w:id="76"/>
    <w:p>
      <w:pPr>
        <w:ind w:right="100"/>
        <w:spacing w:after="0" w:line="259" w:lineRule="auto"/>
        <w:rPr>
          <w:sz w:val="20"/>
          <w:szCs w:val="20"/>
          <w:color w:val="auto"/>
        </w:rPr>
      </w:pPr>
      <w:r>
        <w:rPr>
          <w:rFonts w:ascii="Arial" w:cs="Arial" w:eastAsia="Arial" w:hAnsi="Arial"/>
          <w:sz w:val="18"/>
          <w:szCs w:val="18"/>
          <w:color w:val="231F20"/>
        </w:rPr>
        <w:t>arrangements with third parties to perform these services for each of the territories in which we may have approval to sell or market our product candidates. There are risks involved with both establishing our own commercial capabilities and entering into arrangements with third parties to perform these services and we may not be successful in accomplishing these required tasks, which may negatively impact the successful commercialization of FYARRO for advanced malignant PEComa.</w:t>
      </w:r>
    </w:p>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231F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revenue will suffer, and we may incur significant additional losses.</w:t>
      </w:r>
    </w:p>
    <w:p>
      <w:pPr>
        <w:spacing w:after="0" w:line="59" w:lineRule="exact"/>
        <w:rPr>
          <w:sz w:val="20"/>
          <w:szCs w:val="20"/>
          <w:color w:val="auto"/>
        </w:rPr>
      </w:pPr>
    </w:p>
    <w:p>
      <w:pPr>
        <w:ind w:right="1240"/>
        <w:spacing w:after="0" w:line="277" w:lineRule="auto"/>
        <w:rPr>
          <w:sz w:val="20"/>
          <w:szCs w:val="20"/>
          <w:color w:val="auto"/>
        </w:rPr>
      </w:pPr>
      <w:r>
        <w:rPr>
          <w:rFonts w:ascii="Arial" w:cs="Arial" w:eastAsia="Arial" w:hAnsi="Arial"/>
          <w:sz w:val="18"/>
          <w:szCs w:val="18"/>
          <w:b w:val="1"/>
          <w:bCs w:val="1"/>
          <w:i w:val="1"/>
          <w:iCs w:val="1"/>
          <w:color w:val="231F20"/>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right="720"/>
        <w:spacing w:after="0" w:line="259" w:lineRule="auto"/>
        <w:rPr>
          <w:sz w:val="20"/>
          <w:szCs w:val="20"/>
          <w:color w:val="auto"/>
        </w:rPr>
      </w:pPr>
      <w:r>
        <w:rPr>
          <w:rFonts w:ascii="Arial" w:cs="Arial" w:eastAsia="Arial" w:hAnsi="Arial"/>
          <w:sz w:val="18"/>
          <w:szCs w:val="18"/>
          <w:color w:val="231F20"/>
        </w:rPr>
        <w:t>As of March 1, 2022, we had 51 full-time employees, including 32 employees engaged in research and development. In order to successfully implement our development and commercialization plans and strategies, and as we continue operating as a public company, we expect to need additional managerial, operational, development, sales, marketing, financial and other personnel. Future growth would impose significant added responsibilities on members of management, including:</w:t>
      </w:r>
    </w:p>
    <w:p>
      <w:pPr>
        <w:spacing w:after="0" w:line="79" w:lineRule="exact"/>
        <w:rPr>
          <w:sz w:val="20"/>
          <w:szCs w:val="20"/>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880" w:right="140" w:hanging="440"/>
        <w:spacing w:after="0" w:line="263"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FYARRO and any other product candidates, while complying with any contractual obligations to contractors and other third parties we may have; and</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Our future financial performance and our ability to successfully develop and commercialize FYARRO and any other product candidates we may develop in the future,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FYARRO and any other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77" w:name="page78"/>
    <w:bookmarkEnd w:id="77"/>
    <w:p>
      <w:pPr>
        <w:ind w:right="240"/>
        <w:spacing w:after="0" w:line="263" w:lineRule="auto"/>
        <w:rPr>
          <w:sz w:val="20"/>
          <w:szCs w:val="20"/>
          <w:color w:val="auto"/>
        </w:rPr>
      </w:pPr>
      <w:r>
        <w:rPr>
          <w:rFonts w:ascii="Arial" w:cs="Arial" w:eastAsia="Arial" w:hAnsi="Arial"/>
          <w:sz w:val="18"/>
          <w:szCs w:val="18"/>
          <w:color w:val="231F20"/>
        </w:rPr>
        <w:t>If we are not able to effectively expand our organization by hiring new employees and/or engaging additional third-party service providers, we may not be able to successfully implement the tasks necessary to further develop and commercialize FYARRO and other product candidates and, accordingly, may not achieve our research, development and commercialization goals.</w:t>
      </w:r>
    </w:p>
    <w:p>
      <w:pPr>
        <w:spacing w:after="0" w:line="7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b w:val="1"/>
          <w:bCs w:val="1"/>
          <w:i w:val="1"/>
          <w:iCs w:val="1"/>
          <w:color w:val="231F20"/>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9" w:lineRule="exact"/>
        <w:rPr>
          <w:sz w:val="20"/>
          <w:szCs w:val="20"/>
          <w:color w:val="auto"/>
        </w:rPr>
      </w:pPr>
    </w:p>
    <w:p>
      <w:pPr>
        <w:spacing w:after="0" w:line="266" w:lineRule="auto"/>
        <w:rPr>
          <w:sz w:val="20"/>
          <w:szCs w:val="20"/>
          <w:color w:val="auto"/>
        </w:rPr>
      </w:pPr>
      <w:r>
        <w:rPr>
          <w:rFonts w:ascii="Arial" w:cs="Arial" w:eastAsia="Arial" w:hAnsi="Arial"/>
          <w:sz w:val="17"/>
          <w:szCs w:val="17"/>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regulatory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92" w:lineRule="exact"/>
        <w:rPr>
          <w:sz w:val="20"/>
          <w:szCs w:val="20"/>
          <w:color w:val="auto"/>
        </w:rPr>
      </w:pPr>
    </w:p>
    <w:p>
      <w:pPr>
        <w:spacing w:after="0" w:line="289" w:lineRule="auto"/>
        <w:rPr>
          <w:sz w:val="20"/>
          <w:szCs w:val="20"/>
          <w:color w:val="auto"/>
        </w:rPr>
      </w:pPr>
      <w:r>
        <w:rPr>
          <w:rFonts w:ascii="Arial" w:cs="Arial" w:eastAsia="Arial" w:hAnsi="Arial"/>
          <w:sz w:val="16"/>
          <w:szCs w:val="16"/>
          <w:color w:val="231F20"/>
        </w:rPr>
        <w:t>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it has formed strategic relationships. Notifications and follow-up actions related to a security incident could impact our reputation and cause us to incur significant costs, including legal expenses and remediation costs. For example, the loss of clinical trial data from completed, ongoing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78" w:name="page79"/>
    <w:bookmarkEnd w:id="78"/>
    <w:p>
      <w:pPr>
        <w:jc w:val="both"/>
        <w:ind w:right="680"/>
        <w:spacing w:after="0" w:line="263" w:lineRule="auto"/>
        <w:rPr>
          <w:sz w:val="20"/>
          <w:szCs w:val="20"/>
          <w:color w:val="auto"/>
        </w:rPr>
      </w:pPr>
      <w:r>
        <w:rPr>
          <w:rFonts w:ascii="Arial" w:cs="Arial" w:eastAsia="Arial" w:hAnsi="Arial"/>
          <w:sz w:val="18"/>
          <w:szCs w:val="18"/>
          <w:color w:val="231F20"/>
        </w:rPr>
        <w:t>information, we could be exposed to litigation and governmental investigations, the further development and commercialization of our product candidates could be delayed, and we could be subject to significant fines or penalties for any noncompliance with certain state, federal and/ or international privacy and security laws.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231F20"/>
        </w:rPr>
        <w:t>Our insurance policies may not be adequate to compensate us for the potential losses arising from any</w:t>
      </w:r>
    </w:p>
    <w:p>
      <w:pPr>
        <w:spacing w:after="0" w:line="2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231F20"/>
        </w:rPr>
        <w:t>such disruption,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We, or the third parties upon whom we depend, may be adversely affected by earthquakes, wildfires and other natural disasters, and our business continuity and disaster recovery plans may not adequately protect us from a serious disaster.</w:t>
      </w:r>
    </w:p>
    <w:p>
      <w:pPr>
        <w:spacing w:after="0" w:line="62"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231F20"/>
        </w:rPr>
        <w:t>Any unplanned event, such as flood, fire, explosion, earthquake, extreme weather condition, medical epidemics, such as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including at our California headquarters,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utilize our NOL carryforwards and certain other tax attributes to offset future taxable income may be limited.</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Our NOL carryforwards may be unavailable to offset future taxable income because of restrictions under United States tax law. Our NOLs generated in tax years beginning before January 1, 2018 are only permitted to be carried forward for 20 taxable years under applicable United States federal tax law, and therefore could expire unused. Under the Tax Cuts and Jobs Act of 2017 (the “Tax Act”), as modified by the Coronavirus Aid, Relief, and Economic Security Act (the “CARES Act”), our federal NOLs generated in tax years beginning after December 31, 2017 may be carried forward indefinitely, but the deductibility of federal NOLs in tax years beginning after December 31, 2020 is limited to 80% of our current year taxable income. NOLs generated in tax years beginning before January 1, 2018 will not be subject to the taxable income limitation and will continue to have a two-year carryback and twenty-year carryforward period. California recently enacted legislation limiting our ability to use our state NOLs for taxable years 2020, 2021, and 2022. It is uncertain if and to what extent various states will conform to the Tax Act. As of December 31, 2021, after consideration of the NOLs that have been estimated to expire unused under Section 382, we had federal NOL carryforwards of approximately $150.9 million, $44.3 million of which will begin to expire in 2030, the remaining $106.6 million of federal NOL carryforwards do not expire. We also have available California NOL carryforwards of approximately $44.4 million as of December 31, 2021, which begin to expire in 2037.</w:t>
      </w:r>
    </w:p>
    <w:p>
      <w:pPr>
        <w:spacing w:after="0" w:line="6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231F20"/>
        </w:rPr>
        <w:t>Under Sections 382 and 383 of the Internal Revenue Code of 1986, as amended (the “Code”), if a corporation undergoes an “ownership change” (generally defined as a cumulative change in the corporation’s ownership by “5-</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79" w:name="page80"/>
    <w:bookmarkEnd w:id="79"/>
    <w:p>
      <w:pPr>
        <w:ind w:right="60"/>
        <w:spacing w:after="0" w:line="270" w:lineRule="auto"/>
        <w:rPr>
          <w:sz w:val="20"/>
          <w:szCs w:val="20"/>
          <w:color w:val="auto"/>
        </w:rPr>
      </w:pPr>
      <w:r>
        <w:rPr>
          <w:rFonts w:ascii="Arial" w:cs="Arial" w:eastAsia="Arial" w:hAnsi="Arial"/>
          <w:sz w:val="17"/>
          <w:szCs w:val="17"/>
          <w:color w:val="231F20"/>
        </w:rPr>
        <w:t xml:space="preserve">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the Merger or subsequent shifts in our stock ownership, some of which are outside our control. </w:t>
      </w:r>
      <w:r>
        <w:rPr>
          <w:rFonts w:ascii="Arial" w:cs="Arial" w:eastAsia="Arial" w:hAnsi="Arial"/>
          <w:sz w:val="17"/>
          <w:szCs w:val="17"/>
          <w:color w:val="000000"/>
        </w:rPr>
        <w:t>As of December 31, 2021, we have completed an IRC Section 382 analysis through the date</w:t>
      </w:r>
      <w:r>
        <w:rPr>
          <w:rFonts w:ascii="Arial" w:cs="Arial" w:eastAsia="Arial" w:hAnsi="Arial"/>
          <w:sz w:val="17"/>
          <w:szCs w:val="17"/>
          <w:color w:val="231F20"/>
        </w:rPr>
        <w:t xml:space="preserve"> </w:t>
      </w:r>
      <w:r>
        <w:rPr>
          <w:rFonts w:ascii="Arial" w:cs="Arial" w:eastAsia="Arial" w:hAnsi="Arial"/>
          <w:sz w:val="17"/>
          <w:szCs w:val="17"/>
          <w:color w:val="000000"/>
        </w:rPr>
        <w:t xml:space="preserve">of the Merger. Ownership changes were identified that will result in annual limitations on future utilization of NOL and research and development credit carryforwards. To the extent such limitations will cause NOL and research and development credit carryforwards to expire unused, these tax attributes have been removed from our deferred tax asset. </w:t>
      </w:r>
      <w:r>
        <w:rPr>
          <w:rFonts w:ascii="Arial" w:cs="Arial" w:eastAsia="Arial" w:hAnsi="Arial"/>
          <w:sz w:val="17"/>
          <w:szCs w:val="17"/>
          <w:color w:val="231F20"/>
        </w:rPr>
        <w:t>Our ability to utilize our NOLs and certain other tax attributes could be limited by an “ownership</w:t>
      </w:r>
      <w:r>
        <w:rPr>
          <w:rFonts w:ascii="Arial" w:cs="Arial" w:eastAsia="Arial" w:hAnsi="Arial"/>
          <w:sz w:val="17"/>
          <w:szCs w:val="17"/>
          <w:color w:val="000000"/>
        </w:rPr>
        <w:t xml:space="preserve"> </w:t>
      </w:r>
      <w:r>
        <w:rPr>
          <w:rFonts w:ascii="Arial" w:cs="Arial" w:eastAsia="Arial" w:hAnsi="Arial"/>
          <w:sz w:val="17"/>
          <w:szCs w:val="17"/>
          <w:color w:val="231F20"/>
        </w:rPr>
        <w:t>change” as described above and consequently, we may not be able to utilize a material portion of our NOLs and certain other tax attributes, which could have a material adverse effect on our cash flows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United States federal income tax reform could materially adversely affect our financial condition.</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231F20"/>
        </w:rPr>
        <w:t>Legislation or other changes in United States and international tax laws could increase our tax liability and adversely affect after-tax profitability. For example, the Biden administration has proposed to increase the United States corporate income tax rate, increase the United States taxation of international business operations and impose a global minimum tax on corporate income. Such proposed changes, as well as regulations and legal decisions interpreting and applying these changes, may have significant impacts on our effective tax rate, cash tax expenses and net deferred tax assets in future periods.</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231F20"/>
        </w:rPr>
        <w:t>A variety of risks associated with marketing our products or any product candidates that we may develop in the future, if approved, internationally could materially adversely affect our business.</w:t>
      </w:r>
    </w:p>
    <w:p>
      <w:pPr>
        <w:spacing w:after="0" w:line="6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231F20"/>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foreign taxes, including withholding of payroll taxes;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difficulties staffing and managing foreign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potential liability under the FCPA or comparable foreign regulations;</w:t>
      </w:r>
    </w:p>
    <w:p>
      <w:pPr>
        <w:spacing w:after="0" w:line="117" w:lineRule="exact"/>
        <w:rPr>
          <w:rFonts w:ascii="Arial" w:cs="Arial" w:eastAsia="Arial" w:hAnsi="Arial"/>
          <w:sz w:val="18"/>
          <w:szCs w:val="18"/>
          <w:color w:val="auto"/>
        </w:rPr>
      </w:pPr>
    </w:p>
    <w:p>
      <w:pPr>
        <w:ind w:left="880" w:right="44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17" w:lineRule="exact"/>
        <w:rPr>
          <w:rFonts w:ascii="Arial" w:cs="Arial" w:eastAsia="Arial" w:hAnsi="Arial"/>
          <w:sz w:val="18"/>
          <w:szCs w:val="18"/>
          <w:color w:val="231F20"/>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117"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231F20"/>
        </w:rPr>
        <w:t>These and other risks associated with our international operations may materially adversely affect our ability to attain or maintain profitable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Intellectual Property</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231F20"/>
        </w:rPr>
        <w:t>Our success depends on our ability to protect our intellectual property and our proprietary technologies.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spacing w:after="0" w:line="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spacing w:after="0" w:line="8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231F20"/>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spacing w:after="0" w:line="8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231F20"/>
        </w:rPr>
        <w:t>Although we own or license ten (10) issued patents in the United States, four (4) of which have composition of matter and method of use claims covering FYARRO, we cannot be certain that the claims in our other United States pending patent applications, corresponding international patent applications and patent applications in certain foreign territories, or those of our licensors, will be considered patentable by the United States Patent and Trademark Office (the “USPTO”), courts in the United States or by the patent offices and courts in foreign countries, nor can we be certain that the claims in our issued patent will not be found invalid or unenforceable if challenged.</w:t>
      </w:r>
    </w:p>
    <w:p>
      <w:pPr>
        <w:spacing w:after="0" w:line="6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231F20"/>
        </w:rPr>
        <w:t>The patent application process is subject to numerous risks and uncertainties, and there can be no assurance that we or any of our current or potential future collaborators will be successful in protecting our product or product candidates by obtaining and defending patents. These risks and uncertainties include the following:</w:t>
      </w:r>
    </w:p>
    <w:p>
      <w:pPr>
        <w:spacing w:after="0" w:line="76" w:lineRule="exact"/>
        <w:rPr>
          <w:sz w:val="20"/>
          <w:szCs w:val="20"/>
          <w:color w:val="auto"/>
        </w:rPr>
      </w:pPr>
    </w:p>
    <w:p>
      <w:pPr>
        <w:ind w:left="1080" w:right="40" w:hanging="424"/>
        <w:spacing w:after="0" w:line="286"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7" w:lineRule="exact"/>
        <w:rPr>
          <w:rFonts w:ascii="Arial" w:cs="Arial" w:eastAsia="Arial" w:hAnsi="Arial"/>
          <w:sz w:val="17"/>
          <w:szCs w:val="17"/>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patent applications may not result in any patents being issued;</w:t>
      </w:r>
    </w:p>
    <w:p>
      <w:pPr>
        <w:spacing w:after="0" w:line="117"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if clinical trials encounter delays, the period of time during which we could market our current or future product candidates under patent protection would be reduced;</w:t>
      </w:r>
    </w:p>
    <w:p>
      <w:pPr>
        <w:spacing w:after="0" w:line="62"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patents may be challenged, invalidated, modified, narrowed, revoked, circumvented, found to be unenforceable, found to be not infringed or otherwise may not provide any competitive advantage;</w:t>
      </w:r>
    </w:p>
    <w:p>
      <w:pPr>
        <w:spacing w:after="0" w:line="62" w:lineRule="exact"/>
        <w:rPr>
          <w:rFonts w:ascii="Arial" w:cs="Arial" w:eastAsia="Arial" w:hAnsi="Arial"/>
          <w:sz w:val="18"/>
          <w:szCs w:val="18"/>
          <w:color w:val="auto"/>
        </w:rPr>
      </w:pPr>
    </w:p>
    <w:p>
      <w:pPr>
        <w:ind w:left="1080" w:right="32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spacing w:after="0" w:line="78"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81" w:name="page82"/>
    <w:bookmarkEnd w:id="81"/>
    <w:p>
      <w:pPr>
        <w:ind w:left="1080" w:right="16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spacing w:after="0" w:line="75"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auto"/>
        </w:rPr>
      </w:pPr>
    </w:p>
    <w:p>
      <w:pPr>
        <w:ind w:left="1080" w:right="700" w:hanging="424"/>
        <w:spacing w:after="0" w:line="34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231F20"/>
        </w:rPr>
        <w:t>countries other than the United States may have patent laws less favorable to patentees than those upheld by United States courts, allowing foreign competitors a better opportunity to create, develop and market competing products or product candidates.</w:t>
      </w:r>
    </w:p>
    <w:p>
      <w:pPr>
        <w:spacing w:after="0" w:line="16"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231F20"/>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spacing w:after="0" w:line="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31F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spacing w:after="0" w:line="76"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b w:val="1"/>
          <w:bCs w:val="1"/>
          <w:i w:val="1"/>
          <w:iCs w:val="1"/>
          <w:color w:val="231F20"/>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spacing w:after="0" w:line="38" w:lineRule="exact"/>
        <w:rPr>
          <w:sz w:val="20"/>
          <w:szCs w:val="20"/>
          <w:color w:val="auto"/>
        </w:rPr>
      </w:pPr>
    </w:p>
    <w:p>
      <w:pPr>
        <w:ind w:right="540"/>
        <w:spacing w:after="0" w:line="290" w:lineRule="auto"/>
        <w:rPr>
          <w:sz w:val="20"/>
          <w:szCs w:val="20"/>
          <w:color w:val="auto"/>
        </w:rPr>
      </w:pPr>
      <w:r>
        <w:rPr>
          <w:rFonts w:ascii="Arial" w:cs="Arial" w:eastAsia="Arial" w:hAnsi="Arial"/>
          <w:sz w:val="16"/>
          <w:szCs w:val="16"/>
          <w:color w:val="231F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spacing w:after="0" w:line="57" w:lineRule="exact"/>
        <w:rPr>
          <w:sz w:val="20"/>
          <w:szCs w:val="20"/>
          <w:color w:val="auto"/>
        </w:rPr>
      </w:pPr>
    </w:p>
    <w:p>
      <w:pPr>
        <w:spacing w:after="0" w:line="296" w:lineRule="auto"/>
        <w:rPr>
          <w:sz w:val="20"/>
          <w:szCs w:val="20"/>
          <w:color w:val="auto"/>
        </w:rPr>
      </w:pPr>
      <w:r>
        <w:rPr>
          <w:rFonts w:ascii="Arial" w:cs="Arial" w:eastAsia="Arial" w:hAnsi="Arial"/>
          <w:sz w:val="16"/>
          <w:szCs w:val="16"/>
          <w:color w:val="231F20"/>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spacing w:after="0" w:line="53"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color w:val="231F20"/>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73" w:right="459" w:bottom="1440" w:gutter="0" w:footer="0" w:header="0"/>
        </w:sectPr>
      </w:pPr>
    </w:p>
    <w:bookmarkStart w:id="82" w:name="page83"/>
    <w:bookmarkEnd w:id="82"/>
    <w:p>
      <w:pPr>
        <w:spacing w:after="0" w:line="285" w:lineRule="auto"/>
        <w:rPr>
          <w:sz w:val="20"/>
          <w:szCs w:val="20"/>
          <w:color w:val="auto"/>
        </w:rPr>
      </w:pPr>
      <w:r>
        <w:rPr>
          <w:rFonts w:ascii="Arial" w:cs="Arial" w:eastAsia="Arial" w:hAnsi="Arial"/>
          <w:sz w:val="16"/>
          <w:szCs w:val="16"/>
          <w:color w:val="231F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Arial" w:cs="Arial" w:eastAsia="Arial" w:hAnsi="Arial"/>
          <w:sz w:val="16"/>
          <w:szCs w:val="16"/>
          <w:i w:val="1"/>
          <w:iCs w:val="1"/>
          <w:color w:val="231F20"/>
        </w:rPr>
        <w:t>inter partes</w:t>
      </w:r>
      <w:r>
        <w:rPr>
          <w:rFonts w:ascii="Arial" w:cs="Arial" w:eastAsia="Arial" w:hAnsi="Arial"/>
          <w:sz w:val="16"/>
          <w:szCs w:val="16"/>
          <w:color w:val="231F20"/>
        </w:rPr>
        <w:t xml:space="preserve"> 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Intellectual property rights do not necessarily address all potential threats to our competitive advantage.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80" w:right="580" w:hanging="440"/>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others may be able to develop products that are similar to FYARRO or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880" w:right="260" w:hanging="440"/>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we or our licensors or collaborators might not have been the first to make the inventions covered by the issued patents or patent application that we own or license;</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We or our licensors or collaborators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880" w:right="1020" w:hanging="440"/>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issued patents that we own or license may be held invalid or unenforceable, as a result of legal challenges by our competitors;</w:t>
      </w:r>
    </w:p>
    <w:p>
      <w:pPr>
        <w:spacing w:after="0" w:line="117" w:lineRule="exact"/>
        <w:rPr>
          <w:rFonts w:ascii="Arial" w:cs="Arial" w:eastAsia="Arial" w:hAnsi="Arial"/>
          <w:sz w:val="18"/>
          <w:szCs w:val="18"/>
          <w:color w:val="auto"/>
        </w:rPr>
      </w:pPr>
    </w:p>
    <w:p>
      <w:pPr>
        <w:ind w:left="880" w:right="740" w:hanging="440"/>
        <w:spacing w:after="0" w:line="308"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We may not develop additional proprietary technologies that are patentable;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patents of others may have an adverse effect on our business; and</w:t>
      </w:r>
    </w:p>
    <w:p>
      <w:pPr>
        <w:spacing w:after="0" w:line="117" w:lineRule="exact"/>
        <w:rPr>
          <w:rFonts w:ascii="Arial" w:cs="Arial" w:eastAsia="Arial" w:hAnsi="Arial"/>
          <w:sz w:val="18"/>
          <w:szCs w:val="18"/>
          <w:color w:val="auto"/>
        </w:rPr>
      </w:pPr>
    </w:p>
    <w:p>
      <w:pPr>
        <w:ind w:left="880" w:right="340" w:hanging="440"/>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We may choose not to file a patent in order to maintain certain trade secrets or know-how, and a third party may subsequently file a patent covering such intellectual property.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231F20"/>
        </w:rPr>
        <w:t>Should any of these events occur, it could significantly harm our business, financial condition, results of operations and prospects.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83" w:name="page84"/>
    <w:bookmarkEnd w:id="83"/>
    <w:p>
      <w:pPr>
        <w:ind w:right="280"/>
        <w:spacing w:after="0" w:line="263" w:lineRule="auto"/>
        <w:rPr>
          <w:sz w:val="20"/>
          <w:szCs w:val="20"/>
          <w:color w:val="auto"/>
        </w:rPr>
      </w:pPr>
      <w:r>
        <w:rPr>
          <w:rFonts w:ascii="Arial" w:cs="Arial" w:eastAsia="Arial" w:hAnsi="Arial"/>
          <w:sz w:val="18"/>
          <w:szCs w:val="18"/>
          <w:b w:val="1"/>
          <w:bCs w:val="1"/>
          <w:i w:val="1"/>
          <w:iCs w:val="1"/>
          <w:color w:val="231F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31F20"/>
        </w:rPr>
        <w:t>Our commercial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formulations, methods of manufacture or methods for treatment related to the use or manufacture of our product or product candidates.</w:t>
      </w:r>
    </w:p>
    <w:p>
      <w:pPr>
        <w:spacing w:after="0" w:line="58"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spacing w:after="0" w:line="74" w:lineRule="exact"/>
        <w:rPr>
          <w:sz w:val="20"/>
          <w:szCs w:val="20"/>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result in costly litigation that may cause negative publicity;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divert the time and attention of our technical personnel and management;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cause development delays;</w:t>
      </w:r>
    </w:p>
    <w:p>
      <w:pPr>
        <w:spacing w:after="0" w:line="117" w:lineRule="exact"/>
        <w:rPr>
          <w:rFonts w:ascii="Arial" w:cs="Arial" w:eastAsia="Arial" w:hAnsi="Arial"/>
          <w:sz w:val="18"/>
          <w:szCs w:val="18"/>
          <w:color w:val="auto"/>
        </w:rPr>
      </w:pPr>
    </w:p>
    <w:p>
      <w:pPr>
        <w:ind w:left="880" w:right="60" w:hanging="440"/>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prevent us from commercializing any of our product candidates until the asserted patent expires or is held finally invalid or not infringed in a court of law;</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subject us to significant liability to third parties; or</w:t>
      </w:r>
    </w:p>
    <w:p>
      <w:pPr>
        <w:spacing w:after="0" w:line="117" w:lineRule="exact"/>
        <w:rPr>
          <w:rFonts w:ascii="Arial" w:cs="Arial" w:eastAsia="Arial" w:hAnsi="Arial"/>
          <w:sz w:val="18"/>
          <w:szCs w:val="18"/>
          <w:color w:val="auto"/>
        </w:rPr>
      </w:pPr>
    </w:p>
    <w:p>
      <w:pPr>
        <w:ind w:left="880" w:right="320" w:hanging="440"/>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2"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231F20"/>
        </w:rPr>
        <w:t>Although no third party has asserted a claim of patent infringement against us as of the date of this Annual Report, others may hold proprietary rights that could prevent FYARRO or our product candidates from being marketed. For example, various patent offices periodically grant mode of action patents and a third party may have or obtain a patent with claims covering modes of action relevant to our product or product candidates. While these mode of action patents may be difficult to enforce, the third party may assert a claim of patent infringement directed at one of our products or product candidates. Any patent-related legal action or any claim relating to intellectual property</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84" w:name="page85"/>
    <w:bookmarkEnd w:id="84"/>
    <w:p>
      <w:pPr>
        <w:ind w:right="40"/>
        <w:spacing w:after="0" w:line="287" w:lineRule="auto"/>
        <w:rPr>
          <w:sz w:val="20"/>
          <w:szCs w:val="20"/>
          <w:color w:val="auto"/>
        </w:rPr>
      </w:pPr>
      <w:r>
        <w:rPr>
          <w:rFonts w:ascii="Arial" w:cs="Arial" w:eastAsia="Arial" w:hAnsi="Arial"/>
          <w:sz w:val="16"/>
          <w:szCs w:val="16"/>
          <w:color w:val="231F20"/>
        </w:rPr>
        <w:t>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product or product candidates, which could harm our business, financial condition and operating results. In addition, intellectual property litigation, regardless of our outcome, may cause negative publicity and could prohibit us from marketing or otherwise commercializing our product or product candidates and technology.</w:t>
      </w:r>
    </w:p>
    <w:p>
      <w:pPr>
        <w:spacing w:after="0" w:line="6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231F20"/>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231F20"/>
        </w:rPr>
        <w:t>Our rights to develop and commercialize our technology, product and product candidates may be subject, in part, to the terms and conditions of licenses granted to us by others.</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231F20"/>
        </w:rPr>
        <w:t>We have entered into license agreements with third parties and we may enter into additional license agreements in the future with others to advance our research or allow commercialization of our product or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spacing w:after="0" w:line="8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product candidates, or future methods or products resulting in either an injunction prohibiting our manufacture, sales or future sales, or, with respect to our future sales, an obligation on our part to pay royalties and/or other forms of compensation to third parties, which could be significant.</w:t>
      </w:r>
    </w:p>
    <w:p>
      <w:pPr>
        <w:spacing w:after="0" w:line="88" w:lineRule="exact"/>
        <w:rPr>
          <w:sz w:val="20"/>
          <w:szCs w:val="20"/>
          <w:color w:val="auto"/>
        </w:rPr>
      </w:pPr>
    </w:p>
    <w:p>
      <w:pPr>
        <w:ind w:right="660"/>
        <w:spacing w:after="0" w:line="381" w:lineRule="auto"/>
        <w:rPr>
          <w:sz w:val="20"/>
          <w:szCs w:val="20"/>
          <w:color w:val="auto"/>
        </w:rPr>
      </w:pPr>
      <w:r>
        <w:rPr>
          <w:rFonts w:ascii="Arial" w:cs="Arial" w:eastAsia="Arial" w:hAnsi="Arial"/>
          <w:sz w:val="15"/>
          <w:szCs w:val="15"/>
          <w:b w:val="1"/>
          <w:bCs w:val="1"/>
          <w:i w:val="1"/>
          <w:iCs w:val="1"/>
          <w:color w:val="231F20"/>
        </w:rPr>
        <w:t>If we fail to comply with our obligations in the agreements under which we license intellectual property rights from third parties or otherwise experiences disruptions to our business relationships with our licensors, we could lose license rights that are important to our business.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231F20"/>
        </w:rPr>
        <w:t>Disputes may arise between us and our licensors regarding intellectual property subject to a license agreement, including:</w:t>
      </w:r>
    </w:p>
    <w:p>
      <w:pPr>
        <w:spacing w:after="0" w:line="63" w:lineRule="exact"/>
        <w:rPr>
          <w:sz w:val="20"/>
          <w:szCs w:val="20"/>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63" w:lineRule="exact"/>
        <w:rPr>
          <w:rFonts w:ascii="Arial" w:cs="Arial" w:eastAsia="Arial" w:hAnsi="Arial"/>
          <w:sz w:val="18"/>
          <w:szCs w:val="18"/>
          <w:color w:val="auto"/>
        </w:rPr>
      </w:pPr>
    </w:p>
    <w:p>
      <w:pPr>
        <w:ind w:left="880" w:right="660" w:hanging="440"/>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8"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our right to sublicense patents and other rights to third parties;</w:t>
      </w:r>
    </w:p>
    <w:p>
      <w:pPr>
        <w:spacing w:after="0" w:line="63"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63"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our right to transfer or assign the license;</w:t>
      </w:r>
    </w:p>
    <w:p>
      <w:pPr>
        <w:spacing w:after="0" w:line="63" w:lineRule="exact"/>
        <w:rPr>
          <w:rFonts w:ascii="Arial" w:cs="Arial" w:eastAsia="Arial" w:hAnsi="Arial"/>
          <w:sz w:val="18"/>
          <w:szCs w:val="18"/>
          <w:color w:val="auto"/>
        </w:rPr>
      </w:pPr>
    </w:p>
    <w:p>
      <w:pPr>
        <w:ind w:left="880" w:right="400" w:hanging="440"/>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us and our licensors and partners; and</w:t>
      </w:r>
    </w:p>
    <w:p>
      <w:pPr>
        <w:spacing w:after="0" w:line="8"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priority of invention of patented technology.</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231F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prospects.</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The patent protection and patent prosecution for our product and for some of our product candidates may be dependent on third parties.</w:t>
      </w:r>
    </w:p>
    <w:p>
      <w:pPr>
        <w:spacing w:after="0" w:line="1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231F20"/>
        </w:rPr>
        <w:t>While we normally seek to obtain the right to control prosecution, maintenance and enforcement of the patents relating to our product or product candidates, there may be times when the filing and prosecution activities for patents relating to our product or product candidates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or product candidates,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76"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231F20"/>
        </w:rPr>
        <w:t>We may not be successful in obtaining or maintaining necessary rights to our product or product candidates through acquisitions and in-licenses.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6" w:name="page87"/>
    <w:bookmarkEnd w:id="86"/>
    <w:p>
      <w:pPr>
        <w:ind w:right="100"/>
        <w:spacing w:after="0" w:line="286" w:lineRule="auto"/>
        <w:rPr>
          <w:sz w:val="20"/>
          <w:szCs w:val="20"/>
          <w:color w:val="auto"/>
        </w:rPr>
      </w:pPr>
      <w:r>
        <w:rPr>
          <w:rFonts w:ascii="Arial" w:cs="Arial" w:eastAsia="Arial" w:hAnsi="Arial"/>
          <w:sz w:val="16"/>
          <w:szCs w:val="16"/>
          <w:color w:val="231F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6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231F20"/>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spacing w:after="0" w:line="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231F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spacing w:after="0" w:line="5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231F20"/>
        </w:rPr>
        <w:t>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87" w:name="page88"/>
    <w:bookmarkEnd w:id="87"/>
    <w:p>
      <w:pPr>
        <w:ind w:right="220"/>
        <w:spacing w:after="0" w:line="301" w:lineRule="auto"/>
        <w:rPr>
          <w:sz w:val="20"/>
          <w:szCs w:val="20"/>
          <w:color w:val="auto"/>
        </w:rPr>
      </w:pPr>
      <w:r>
        <w:rPr>
          <w:rFonts w:ascii="Arial" w:cs="Arial" w:eastAsia="Arial" w:hAnsi="Arial"/>
          <w:sz w:val="16"/>
          <w:szCs w:val="16"/>
          <w:color w:val="231F20"/>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products or product candidates. Such a loss of patent protection would have a material adverse impact on our business.</w:t>
      </w:r>
    </w:p>
    <w:p>
      <w:pPr>
        <w:spacing w:after="0" w:line="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5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231F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231F20"/>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231F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8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231F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spacing w:after="0" w:line="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Patent reform legislation could increase the uncertainties and costs surrounding the prosecution of our patent applications or those of our licensors and the enforcement or defense of our issued patents or those of our licensors.</w:t>
      </w:r>
    </w:p>
    <w:p>
      <w:pPr>
        <w:spacing w:after="0" w:line="62" w:lineRule="exact"/>
        <w:rPr>
          <w:sz w:val="20"/>
          <w:szCs w:val="20"/>
          <w:color w:val="auto"/>
        </w:rPr>
      </w:pPr>
    </w:p>
    <w:p>
      <w:pPr>
        <w:spacing w:after="0" w:line="311" w:lineRule="auto"/>
        <w:rPr>
          <w:sz w:val="20"/>
          <w:szCs w:val="20"/>
          <w:color w:val="auto"/>
        </w:rPr>
      </w:pPr>
      <w:r>
        <w:rPr>
          <w:rFonts w:ascii="Arial" w:cs="Arial" w:eastAsia="Arial" w:hAnsi="Arial"/>
          <w:sz w:val="16"/>
          <w:szCs w:val="16"/>
          <w:color w:val="231F20"/>
        </w:rPr>
        <w:t>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88" w:name="page89"/>
    <w:bookmarkEnd w:id="88"/>
    <w:p>
      <w:pPr>
        <w:spacing w:after="0" w:line="271" w:lineRule="auto"/>
        <w:rPr>
          <w:sz w:val="20"/>
          <w:szCs w:val="20"/>
          <w:color w:val="auto"/>
        </w:rPr>
      </w:pPr>
      <w:r>
        <w:rPr>
          <w:rFonts w:ascii="Arial" w:cs="Arial" w:eastAsia="Arial" w:hAnsi="Arial"/>
          <w:sz w:val="17"/>
          <w:szCs w:val="17"/>
          <w:color w:val="231F20"/>
        </w:rPr>
        <w:t>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or product candidates or (2) invent any of the inventions claimed in the patents or patent applications.</w:t>
      </w:r>
    </w:p>
    <w:p>
      <w:pPr>
        <w:spacing w:after="0" w:line="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231F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80"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231F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 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58" w:lineRule="exact"/>
        <w:rPr>
          <w:sz w:val="20"/>
          <w:szCs w:val="20"/>
          <w:color w:val="auto"/>
        </w:rPr>
      </w:pPr>
    </w:p>
    <w:p>
      <w:pPr>
        <w:ind w:right="1260"/>
        <w:spacing w:after="0" w:line="277" w:lineRule="auto"/>
        <w:rPr>
          <w:sz w:val="20"/>
          <w:szCs w:val="20"/>
          <w:color w:val="auto"/>
        </w:rPr>
      </w:pPr>
      <w:r>
        <w:rPr>
          <w:rFonts w:ascii="Arial" w:cs="Arial" w:eastAsia="Arial" w:hAnsi="Arial"/>
          <w:sz w:val="18"/>
          <w:szCs w:val="18"/>
          <w:b w:val="1"/>
          <w:bCs w:val="1"/>
          <w:i w:val="1"/>
          <w:iCs w:val="1"/>
          <w:color w:val="231F20"/>
        </w:rPr>
        <w:t>Changes in United States patent law, or laws in other countries, could diminish the value of patents in general, thereby impairing our ability to protect our product or product candidates.</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subject to claims challenging the inventorship or ownership of our patents and other intellectual property.</w:t>
      </w:r>
    </w:p>
    <w:p>
      <w:pPr>
        <w:spacing w:after="0" w:line="117"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231F20"/>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89" w:name="page90"/>
    <w:bookmarkEnd w:id="89"/>
    <w:p>
      <w:pPr>
        <w:ind w:right="160"/>
        <w:spacing w:after="0" w:line="301" w:lineRule="auto"/>
        <w:rPr>
          <w:sz w:val="20"/>
          <w:szCs w:val="20"/>
          <w:color w:val="auto"/>
        </w:rPr>
      </w:pPr>
      <w:r>
        <w:rPr>
          <w:rFonts w:ascii="Arial" w:cs="Arial" w:eastAsia="Arial" w:hAnsi="Arial"/>
          <w:sz w:val="16"/>
          <w:szCs w:val="16"/>
          <w:color w:val="231F20"/>
        </w:rPr>
        <w:t>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Patent terms may be inadequate to protect our competitive position on our product or product candidates for an adequate amount of time.</w:t>
      </w:r>
    </w:p>
    <w:p>
      <w:pPr>
        <w:spacing w:after="0" w:line="14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231F20"/>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do not obtain patent term extension for our product or product candidates, our business may be materially harmed.</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In January 2022, we filed an application for patent term extension based on the approval of FYARRO. Depending upon the timing, duration and specifics of FDA regulatory approval of our product candidates,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protect our intellectual property rights throughout the world.</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231F20"/>
        </w:rPr>
        <w:t>Although we own, co-own, or have licensed issued patents in the United States and pending patent applications in the United States and other countries, filing, prosecuting and defending patents on our product or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patent applications and we may not timely file foreign patent applications.</w:t>
      </w:r>
    </w:p>
    <w:p>
      <w:pPr>
        <w:spacing w:after="0" w:line="7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231F20"/>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90" w:name="page91"/>
    <w:bookmarkEnd w:id="90"/>
    <w:p>
      <w:pPr>
        <w:ind w:right="100"/>
        <w:spacing w:after="0" w:line="308" w:lineRule="auto"/>
        <w:rPr>
          <w:sz w:val="20"/>
          <w:szCs w:val="20"/>
          <w:color w:val="auto"/>
        </w:rPr>
      </w:pPr>
      <w:r>
        <w:rPr>
          <w:rFonts w:ascii="Arial" w:cs="Arial" w:eastAsia="Arial" w:hAnsi="Arial"/>
          <w:sz w:val="17"/>
          <w:szCs w:val="17"/>
          <w:color w:val="231F20"/>
        </w:rPr>
        <w:t>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3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231F20"/>
        </w:rPr>
        <w:t>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231F20"/>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spacing w:after="0" w:line="6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31F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would be harmed.</w:t>
      </w:r>
    </w:p>
    <w:p>
      <w:pPr>
        <w:spacing w:after="0" w:line="117"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231F20"/>
        </w:rPr>
        <w:t>We may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 xml:space="preserve">Although we have taken steps to protect our trade secrets and unpatented know-how, including by entering into confidentiality agreements with third parties </w:t>
      </w:r>
      <w:r>
        <w:rPr>
          <w:rFonts w:ascii="Arial" w:cs="Arial" w:eastAsia="Arial" w:hAnsi="Arial"/>
          <w:sz w:val="17"/>
          <w:szCs w:val="17"/>
          <w:color w:val="000000"/>
        </w:rPr>
        <w:t>a</w:t>
      </w:r>
      <w:r>
        <w:rPr>
          <w:rFonts w:ascii="Arial" w:cs="Arial" w:eastAsia="Arial" w:hAnsi="Arial"/>
          <w:sz w:val="17"/>
          <w:szCs w:val="17"/>
          <w:color w:val="231F20"/>
        </w:rPr>
        <w:t>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spacing w:after="0" w:line="7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231F20"/>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70" w:lineRule="exact"/>
        <w:rPr>
          <w:sz w:val="20"/>
          <w:szCs w:val="20"/>
          <w:color w:val="auto"/>
        </w:rPr>
      </w:pPr>
    </w:p>
    <w:p>
      <w:pPr>
        <w:ind w:right="1360"/>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we or our employees, consultants or advisors have wrongfully used or disclosed alleged confidential information or trade secrets.</w:t>
      </w:r>
    </w:p>
    <w:p>
      <w:pPr>
        <w:spacing w:after="0" w:line="6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231F20"/>
        </w:rPr>
        <w:t>We have entered into and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 candidates and technology. Failure to defend against any such claim could subject us to significant liability for monetary damages or prevent or delay our developmental and commercialization efforts, which could adversely affect our business.</w:t>
      </w:r>
    </w:p>
    <w:p>
      <w:pPr>
        <w:spacing w:after="0" w:line="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231F20"/>
        </w:rPr>
        <w:t>As is common in the pharmaceutical industry, in addition to our employees, we engage the services of consultants to assist us in the development of our product or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2" w:name="page93"/>
    <w:bookmarkEnd w:id="92"/>
    <w:p>
      <w:pPr>
        <w:spacing w:after="0" w:line="259" w:lineRule="auto"/>
        <w:rPr>
          <w:sz w:val="20"/>
          <w:szCs w:val="20"/>
          <w:color w:val="auto"/>
        </w:rPr>
      </w:pPr>
      <w:r>
        <w:rPr>
          <w:rFonts w:ascii="Arial" w:cs="Arial" w:eastAsia="Arial" w:hAnsi="Arial"/>
          <w:sz w:val="18"/>
          <w:szCs w:val="18"/>
          <w:color w:val="231F20"/>
        </w:rPr>
        <w:t>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7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231F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spacing w:after="0" w:line="76"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231F20"/>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 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Reliance on Third Parties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231F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spacing w:after="0" w:line="79"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231F20"/>
        </w:rPr>
        <w:t>We do not currently have, nor do we plan to acquire, the infrastructure or internal capability to manufacture supplies of our product candidates for use in development and commercialization. We rely, and expect to continue to rely, on third-party manufacturers for the production of our products and product candidates for preclinical studies and clinical trials under the guidance of members of our organization. In the case of FYARRO, we rely on a single third-party manufacturer, Fresenius-Kabi, LLC (“Fresenius-Kabi”), and currently have no alternative manufacturer in place. On January 13, 2022, we entered into a Negotiated Purchase Order Terms and Conditions for Clinical and Commercial Product (the “Fresenius Agreement”) with Fresenius-Kabi pursuant to which Fresenius-Kabi will manufacture FYARRO for intravenous use for us, and we will purchase FYARRO as a finished drug product from Fresenius-Kabi, on a purchase-order basis. The Fresenius Agreement shall be effective through December 22, 2022 (or such later date as may be agreed between the parties in writing), and we may purchase FYARRO for either clinical or commercial purposes for use in the United States and Canada. The price of FYARRO will be fixed, subject to the ability of Fresenius-Kabi to increase pricing under specified circumstances. We also have an obligation to purchase certain minimum</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93" w:name="page94"/>
    <w:bookmarkEnd w:id="93"/>
    <w:p>
      <w:pPr>
        <w:ind w:right="300"/>
        <w:spacing w:after="0" w:line="287" w:lineRule="auto"/>
        <w:rPr>
          <w:sz w:val="20"/>
          <w:szCs w:val="20"/>
          <w:color w:val="auto"/>
        </w:rPr>
      </w:pPr>
      <w:r>
        <w:rPr>
          <w:rFonts w:ascii="Arial" w:cs="Arial" w:eastAsia="Arial" w:hAnsi="Arial"/>
          <w:sz w:val="16"/>
          <w:szCs w:val="16"/>
          <w:color w:val="231F20"/>
        </w:rPr>
        <w:t>quantities of FYARRO and any failure to purchase those minimum quantities will result in an additional payment from us to Fresenius-Kabi. We have other supply agreements in place for key raw materials used in the manufacture of FYARRO such as for the drug substance sirolimus and for human albumin, which are key ingredients in the drug product. If we were to engage another third-party manufacturer, we will be required to verify that the new third-party manufacturer maintains facilities and procedures that comply with quality standards and with all applicable regulations. We will also need to verify, such as through a bridging study, that any new manufacturing process will produce FYARRO or any other product candidate we may develop in the future, if approved, according to the specifications previously submitted to the FDA or another regulatory authority. If we were to experience an unexpected loss of supply of FYARRO or any other product candidate that we may develop in the future for any reason, whether as a result of manufacturing, supply or storage issues or otherwise, we could experience delays, disruptions, suspensions or terminations in commercializing FYARRO for advanced malignant PEComa, or be required to restart or repeat, any pending or ongoing clinical trials for FYARRO in other indications or for any other product candidates we may develop in the future, in a timely manner or on budget. Moreover, if we are unable to keep up with demand for FYARRO, our revenue could be impaired, market acceptance for FYARRO could be adversely affected.</w:t>
      </w:r>
    </w:p>
    <w:p>
      <w:pPr>
        <w:spacing w:after="0" w:line="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We expect to rely on third-party manufacturers for the commercial supply of FYARRO, and the continued development of FYARRO in other indications or any other product candidates we may develop in the future for which we obtain regulatory approval. We may be unable to maintain or establish required agreements with third-party manufacturers or to do so on acceptable terms. Further, any delay in identifying and qualifying a manufacturer for commercial production could delay the potential commercialization of FYARRO, and, in the event that we do not have sufficient product to complete our planned clinical trials, it could delay such trials. Even if we are able to establish agreements with third-party manufacturers, reliance on third-party manufacturers entails additional risks, including:</w:t>
      </w:r>
    </w:p>
    <w:p>
      <w:pPr>
        <w:spacing w:after="0" w:line="84" w:lineRule="exact"/>
        <w:rPr>
          <w:sz w:val="20"/>
          <w:szCs w:val="20"/>
          <w:color w:val="auto"/>
        </w:rPr>
      </w:pPr>
    </w:p>
    <w:p>
      <w:pPr>
        <w:ind w:left="880" w:right="100" w:hanging="440"/>
        <w:spacing w:after="0" w:line="259"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failure of the third party to manufacture FYARRO or any of our other product candidates that we may develop in the future according to our schedule and specifications, or at all, including if our third-party contractors give greater priority to the supply of other products over our product candidates, are constrained by the recent COVID-19 pandemic or otherwise do not satisfactorily perform according to the terms of the agreements between us and them;</w:t>
      </w:r>
    </w:p>
    <w:p>
      <w:pPr>
        <w:spacing w:after="0" w:line="78" w:lineRule="exact"/>
        <w:rPr>
          <w:rFonts w:ascii="Arial" w:cs="Arial" w:eastAsia="Arial" w:hAnsi="Arial"/>
          <w:sz w:val="18"/>
          <w:szCs w:val="18"/>
          <w:color w:val="auto"/>
        </w:rPr>
      </w:pPr>
    </w:p>
    <w:p>
      <w:pPr>
        <w:ind w:left="880" w:right="600" w:hanging="440"/>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breach by the third-party contractors of our agreements with them;</w:t>
      </w:r>
    </w:p>
    <w:p>
      <w:pPr>
        <w:spacing w:after="0" w:line="117" w:lineRule="exact"/>
        <w:rPr>
          <w:rFonts w:ascii="Arial" w:cs="Arial" w:eastAsia="Arial" w:hAnsi="Arial"/>
          <w:sz w:val="18"/>
          <w:szCs w:val="18"/>
          <w:color w:val="auto"/>
        </w:rPr>
      </w:pPr>
    </w:p>
    <w:p>
      <w:pPr>
        <w:ind w:left="880" w:right="540" w:hanging="440"/>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failure of third-party contractors to comply with applicable regulatory requirements, including manufacturing drug supply pursuant to strictly-enforced cGMPs;</w:t>
      </w:r>
    </w:p>
    <w:p>
      <w:pPr>
        <w:spacing w:after="0" w:line="62" w:lineRule="exact"/>
        <w:rPr>
          <w:rFonts w:ascii="Arial" w:cs="Arial" w:eastAsia="Arial" w:hAnsi="Arial"/>
          <w:sz w:val="18"/>
          <w:szCs w:val="18"/>
          <w:color w:val="auto"/>
        </w:rPr>
      </w:pPr>
    </w:p>
    <w:p>
      <w:pPr>
        <w:ind w:left="880" w:right="1080" w:hanging="440"/>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failure of the third-party contractor to manufacture FYARRO or any of our other product candidates that we may develop in the future according to our specifications;</w:t>
      </w:r>
    </w:p>
    <w:p>
      <w:pPr>
        <w:spacing w:after="0" w:line="62" w:lineRule="exact"/>
        <w:rPr>
          <w:rFonts w:ascii="Arial" w:cs="Arial" w:eastAsia="Arial" w:hAnsi="Arial"/>
          <w:sz w:val="18"/>
          <w:szCs w:val="18"/>
          <w:color w:val="auto"/>
        </w:rPr>
      </w:pPr>
    </w:p>
    <w:p>
      <w:pPr>
        <w:ind w:left="880" w:right="560" w:hanging="440"/>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231F20"/>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drug substance and drug product from third-party manufacturers to support preclinical and clinical testing of FYARRO. For example, we have obtained our supplies of FYARRO from a single source supplier, Fresenius-Kabi. We have supply agreements in place for key raw materials used in the manufacture of FYARRO such as for the drug substance sirolimus and for human albumin, which are key ingredients in the drug product. We are in the process of developing our supply chain for FYARRO, including through the Fresenius Agreement. As we commercialize FYARRO and advance FYARRO for additional indications or any other product candidates we may develop in the future through development, we will consider redundant supply for the API and drug product for FYARRO and each of our product candidates that we may develop in the future to protect against any potential</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231F20"/>
        </w:rPr>
        <w:t>supply disruptions. However, we may be unsuccessful in putting in place such framework agreements or protecting against potential supply disruptions.</w:t>
      </w:r>
    </w:p>
    <w:p>
      <w:pPr>
        <w:spacing w:after="0" w:line="14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231F20"/>
        </w:rPr>
        <w:t>Third-party manufacturers may not be able to comply with cGMP regulations or similar regulatory requirements outside of the United States. If our CMOs cannot successfully manufacture material that conforms to our specifications and the strict regulatory requirements of the FDA, EMA or others, they will not be able to pass a pre-approval inspection or secure and/or maintain regulatory approval for their manufacturing facilities. In addition, we do not have control over the ability of our CMOs to maintain adequate quality control, quality assurance and qualified personnel. Furthermore, many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CMOs facilities generally. If the FDA, EMA or a comparable foreign regulatory authority does not approve these facilities for the manufacture of FYARRO or any of our other product candidates that we may develop in the future or if we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commercialize FYARRO for advanced malignant PEComa and develop, obtain regulatory approval for or market FYARRO for other indications or any of our other product candidates that we may develop in the future, if approved. Our reliance on CMOs also exposes us to the possibility that they, or third parties with access to their facilities, will have access to and may appropriate our trade secrets or other proprietary information. Our failure, or the failure of our third-party manufacturers, to comply with applicable regulations could result in sanctions being imposed on the parties, including fines, injunctions, civil penalties, delays, suspension or withdrawal of approvals, license revocation, seizures or recalls of product candidates or drugs, operating restrictions and criminal prosecutions, any of which could significantly and adversely affect supplies of FYARRO or any of our other product candidates or drugs that we may develop in the future and harm our business and results of operations.</w:t>
      </w:r>
    </w:p>
    <w:p>
      <w:pPr>
        <w:spacing w:after="0" w:line="66"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FYARRO or in our third-party manufacturing facilities, such manufacturing facilities may need to be closed for an extended period of time to investigate and remedy the contamination. Any stability or other issues relating to the manufacture of our product candidates may occur in the future.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FYARRO or any of our other product candidates that we may develop in the future to perform differently and affect commercialization or the results of planned clinical trials or other future clinical trials.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FYARRO or any of our product candidates that we may develop in the future. Further,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6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231F20"/>
        </w:rPr>
        <w:t>Any of these challenges could delay completion of clinical trials, require bridging clinical trials or the repetition of one or more clinical trials, increase clinical study costs, delay approval of our product candidate, impair commercialization efforts, increase our cost of goods, and have an adverse effect on our business, financial</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95" w:name="page96"/>
    <w:bookmarkEnd w:id="95"/>
    <w:p>
      <w:pPr>
        <w:ind w:right="180"/>
        <w:spacing w:after="0" w:line="311" w:lineRule="auto"/>
        <w:rPr>
          <w:sz w:val="20"/>
          <w:szCs w:val="20"/>
          <w:color w:val="auto"/>
        </w:rPr>
      </w:pPr>
      <w:r>
        <w:rPr>
          <w:rFonts w:ascii="Arial" w:cs="Arial" w:eastAsia="Arial" w:hAnsi="Arial"/>
          <w:sz w:val="16"/>
          <w:szCs w:val="16"/>
          <w:color w:val="231F20"/>
        </w:rPr>
        <w:t>condition, results of operations, and growth prospects. Our current and anticipated future dependence upon others for the manufacture of FYARRO and any of our other product candidates that we may develop in the future may adversely affect our future profit margins and our ability to commercialize FYARRO or any other product candidates that we may develop in the future that receives regulatory approval on a timely and competitive basis.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are dependent on a single-source supplier for the drug product FYARRO, and the loss of such supplier could harm our business.</w:t>
      </w:r>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31F20"/>
        </w:rPr>
        <w:t>We rely on a single-source supplier, Fresenius-Kabi for our drug product FYARRO. In January 2022, we entered into the Fresenius Agreement, but will continue to place purchase orders from Fresenius-Kabi on an as-needed basis, subject to certain minimum quantities as agreed to under the Fresenius Agreement. The Fresenius Agreement is effective through December 22, 2022 (or such later date as may be agreed between the parties). We also have supply agreements in place for key raw materials used in the manufacture of FYARRO such as for the drug substance sirolimus and for human albumin, which are key ingredients in the drug product. Our suppliers could discontinue the manufacturing or supply of FYARRO at any time. We do not carry a significant inventory of FYARRO or our key raw materials used in the manufacture of FYARRO. Our suppliers may not be able to meet our demand for their products, either because of acts of nature, the nature of our agreements with those manufacturers or our relative importance to them as a customer, and our manufacturers may decide in the future to discontinue or reduce the level of business they conduct with us either entirely or for a particular territory. The loss of any of the foregoing would require significant time and effort to locate and qualify an alternative source of supply. We currently rely on a single company for such manufacturing for FYARRO. Any contractual disputes between us and such manufacturer, the termination of the Fresenius Agreement or loss of manufacturing ability by such manufacturer could similarly require significant time, effort and expense to locate and qualify an alternative source of manufacturing, which could materially harm our business.</w:t>
      </w:r>
    </w:p>
    <w:p>
      <w:pPr>
        <w:spacing w:after="0" w:line="60"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In addition, we might not be able to identify and qualify additional or replacement suppliers for the drug product FYARRO or for the key raw materials used in the manufacture of FYARRO quickly or at all or without incurring significant additional costs. We cannot guarantee that we will be able to establish alternative relationships on similar terms, without delay or at all. We may also face regulatory delays or be required to seek additional regulatory clearances or approvals if we experience any delay or deficiency in the quality of products obtained from suppliers or if we have to replace our suppliers. In addition, we do not currently have arrangements in place for redundant supply of the drug product FYARRO or for the key raw materials used in the manufacture of FYARRO.</w:t>
      </w:r>
    </w:p>
    <w:p>
      <w:pPr>
        <w:spacing w:after="0" w:line="8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231F20"/>
        </w:rPr>
        <w:t>Establishing additional or replacement suppliers for the drug product FYARRO or for the key raw materials used in the manufacture of FYARRO, if required, or any supply interruption from our suppliers, could limit our ability to manufacture our products, result in production delays and increased costs and adversely affect our ability to deliver products to our customers on a timely basis. Our inability to obtain sufficient quantities of the drug product FYARRO or for the key raw materials used in the manufacture of FYARRO also could adversely affect clinical development of FYARRO in other indications. If we are not able to identify alternate sources of supply for the drug product FYARRO or for the key raw materials used in the manufacture of FYARRO, we will not be able to, or may be delayed in our efforts to, successfully commercialize FYARRO or any other product candidate that we may develop in the future or we will not be able to obtain, or may be delayed in obtaining, regulatory approvals for FYARRO in other indications or for any other product candidates that we may develop in the future.</w:t>
      </w:r>
    </w:p>
    <w:p>
      <w:pPr>
        <w:spacing w:after="0" w:line="70" w:lineRule="exact"/>
        <w:rPr>
          <w:sz w:val="20"/>
          <w:szCs w:val="20"/>
          <w:color w:val="auto"/>
        </w:rPr>
      </w:pPr>
    </w:p>
    <w:p>
      <w:pPr>
        <w:jc w:val="both"/>
        <w:ind w:right="720"/>
        <w:spacing w:after="0" w:line="286" w:lineRule="auto"/>
        <w:rPr>
          <w:sz w:val="20"/>
          <w:szCs w:val="20"/>
          <w:color w:val="auto"/>
        </w:rPr>
      </w:pPr>
      <w:r>
        <w:rPr>
          <w:rFonts w:ascii="Arial" w:cs="Arial" w:eastAsia="Arial" w:hAnsi="Arial"/>
          <w:sz w:val="17"/>
          <w:szCs w:val="17"/>
          <w:b w:val="1"/>
          <w:bCs w:val="1"/>
          <w:i w:val="1"/>
          <w:iCs w:val="1"/>
          <w:color w:val="231F20"/>
        </w:rPr>
        <w:t>The manufacture of drugs is complex, and our third-party manufacturers may encounter difficulties in production. If any of our third-party manufacturers encounter such difficulties, our ability to provide adequate supply of FYARRO for patients or for clinical trials or any other product candidate that we may develop in the future, if approved, could be delayed or prevented.</w:t>
      </w:r>
    </w:p>
    <w:p>
      <w:pPr>
        <w:spacing w:after="0" w:line="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231F20"/>
        </w:rPr>
        <w:t>Manufacturing drugs, especially in large quantities, is complex and highly regulated and may require the use of innovative technologies. Each lot of an approved drug product must undergo thorough testing for identity, strength, quality, purity and efficacy. Manufacturing drugs requires facilities specifically designed for and validated for this purpose, as well as sophisticated quality assurance and quality control procedures.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96" w:name="page97"/>
    <w:bookmarkEnd w:id="96"/>
    <w:p>
      <w:pPr>
        <w:spacing w:after="0" w:line="255" w:lineRule="auto"/>
        <w:rPr>
          <w:sz w:val="20"/>
          <w:szCs w:val="20"/>
          <w:color w:val="auto"/>
        </w:rPr>
      </w:pPr>
      <w:r>
        <w:rPr>
          <w:rFonts w:ascii="Arial" w:cs="Arial" w:eastAsia="Arial" w:hAnsi="Arial"/>
          <w:sz w:val="18"/>
          <w:szCs w:val="18"/>
          <w:color w:val="231F20"/>
        </w:rPr>
        <w:t>clinical data showing the comparable identity, strength, quality, purity or efficacy of the products before and after such changes. If microbial, viral or other contaminations or impurities are discovered at the facilities of our manufacturer, such facilities may need to be closed for an extended period of time to investigate and remedy the contamination or impurity, which could delay clinical trials and adversely harm our business. If our third-party manufacturers are unable to produce sufficient quantities of consistent quality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3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231F20"/>
        </w:rPr>
        <w:t>We depend on intellectual property licensed from third parties and termination of any of these licenses could result in the loss of significant rights, which would harm our business.</w:t>
      </w:r>
    </w:p>
    <w:p>
      <w:pPr>
        <w:spacing w:after="0" w:line="62"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231F20"/>
        </w:rPr>
        <w:t>We are dependent on patents, know-how and proprietary technology, both our own and licensed from others. We entered into a license agreement with Abraxis BioScience, LLC, a wholly owned subsidiary of Celgene Corporation, now Bristol Myers Squibb Company (“Celgene”) pursuant to which we have licensed exclusive global rights to intellectual property and know-how related to FYARRO (the “Celgene License”). We are required to use commercially reasonable efforts or diligent efforts to commercialize products based on the licensed rights and to pay certain royalties based off our net sales, certain sublicense fees (such as with respect to our license agreement with EOC) and certain other fees. We may not meet these requirements, which could result in a loss or termination of any rights under such agreements. Any termination of these licenses will result in the loss of significant rights and will restrict our ability to commercialize our product candidates.</w:t>
      </w:r>
    </w:p>
    <w:p>
      <w:pPr>
        <w:spacing w:after="0" w:line="6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231F20"/>
        </w:rPr>
        <w:t>We are generally also subject to all of the same risks with respect to protection of intellectual property that we license, as we are for intellectual property that we own, which are described above under “Risks Related to Our Intellectual Property.” If we or our licensors fail to adequately protect this intellectual property, our ability to commercialize products could suffer.</w:t>
      </w:r>
    </w:p>
    <w:p>
      <w:pPr>
        <w:spacing w:after="0" w:line="7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231F20"/>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spacing w:after="0" w:line="38"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231F20"/>
        </w:rPr>
        <w:t>We do not have the ability to independently conduct all of our preclinical studies and clinical trials. We currently rely on third parties, such as CROs, clinical data management organizations, medical institutions and clinical investigators, to conduct, supervise and monitor our current or planned preclinical studies and clinical trials of FYARRO for additional indications, and we expect to continue to rely upon third parties to conduct additional preclinical studies and clinical trials of FYARRO for additional indications and other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we would delay our drug development activities.</w:t>
      </w:r>
    </w:p>
    <w:p>
      <w:pPr>
        <w:spacing w:after="0" w:line="7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231F20"/>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97" w:name="page98"/>
    <w:bookmarkEnd w:id="97"/>
    <w:p>
      <w:pPr>
        <w:ind w:right="180"/>
        <w:spacing w:after="0" w:line="269" w:lineRule="auto"/>
        <w:rPr>
          <w:sz w:val="20"/>
          <w:szCs w:val="20"/>
          <w:color w:val="auto"/>
        </w:rPr>
      </w:pPr>
      <w:r>
        <w:rPr>
          <w:rFonts w:ascii="Arial" w:cs="Arial" w:eastAsia="Arial" w:hAnsi="Arial"/>
          <w:sz w:val="17"/>
          <w:szCs w:val="17"/>
          <w:color w:val="231F20"/>
        </w:rPr>
        <w:t>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our product candidates and will not be able to, or may be delayed in our efforts to, successfully commercialize our product candidates.</w:t>
      </w:r>
    </w:p>
    <w:p>
      <w:pPr>
        <w:spacing w:after="0" w:line="80" w:lineRule="exact"/>
        <w:rPr>
          <w:sz w:val="20"/>
          <w:szCs w:val="20"/>
          <w:color w:val="auto"/>
        </w:rPr>
      </w:pPr>
    </w:p>
    <w:p>
      <w:pPr>
        <w:ind w:right="400"/>
        <w:spacing w:after="0" w:line="338" w:lineRule="auto"/>
        <w:rPr>
          <w:sz w:val="20"/>
          <w:szCs w:val="20"/>
          <w:color w:val="auto"/>
        </w:rPr>
      </w:pPr>
      <w:r>
        <w:rPr>
          <w:rFonts w:ascii="Arial" w:cs="Arial" w:eastAsia="Arial" w:hAnsi="Arial"/>
          <w:sz w:val="15"/>
          <w:szCs w:val="15"/>
          <w:b w:val="1"/>
          <w:bCs w:val="1"/>
          <w:i w:val="1"/>
          <w:iCs w:val="1"/>
          <w:color w:val="231F20"/>
        </w:rPr>
        <w:t>We entered into a collaboration agreement with EOC Pharma, and we may form or seek additional strategic alliances or collaborations in the future. Such alliances and collaborations may inhibit future opportunities, or we may not realize the benefits of such collaborations or alliances.</w:t>
      </w:r>
    </w:p>
    <w:p>
      <w:pPr>
        <w:ind w:right="140"/>
        <w:spacing w:after="0" w:line="290" w:lineRule="auto"/>
        <w:rPr>
          <w:sz w:val="20"/>
          <w:szCs w:val="20"/>
          <w:color w:val="auto"/>
        </w:rPr>
      </w:pPr>
      <w:r>
        <w:rPr>
          <w:rFonts w:ascii="Arial" w:cs="Arial" w:eastAsia="Arial" w:hAnsi="Arial"/>
          <w:sz w:val="16"/>
          <w:szCs w:val="16"/>
          <w:color w:val="231F20"/>
        </w:rPr>
        <w:t>In December 2020, we granted to EOC exclusive rights to develop and commercialize FYARRO in the EOC Licensed Territory, pursuant to the EOC License, and we may form or seek strategic alliances, joint ventures or collaborations or enter into licensing arrangements with other third parties that we believe will complement or augment our development and commercialization efforts with respect to FYARRO or any future product candidates that we may develop. Under the EOC License Agreement, we received an upfront payment and are eligible to receive regulatory and sales-based milestone payments upon the occurrence of certain milestone events totaling $257 million. We are also eligible to earn tiered royalties based on annual net sales of FYARRO based upon the royalties we are obligated to pay Celgene for sales of products in the EOC Territory pursuant to the Celgene License, plus an additional single-digit percentage that is variable based on the level of annual net sales. EOC will be responsible for development, regulatory submissions, and commercialization in the EOC Territory. We retain our rights outside of the EOC Territory.</w:t>
      </w:r>
    </w:p>
    <w:p>
      <w:pPr>
        <w:spacing w:after="0" w:line="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231F20"/>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operations and company culture. We cannot be certain that, following a strategic transaction or license, we will achieve the revenues or specific net income that justifies such transaction.</w:t>
      </w:r>
    </w:p>
    <w:p>
      <w:pPr>
        <w:spacing w:after="0" w:line="5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231F20"/>
        </w:rPr>
        <w:t>We depend on EOC to develop and commercialize FYARRO within the EOC Territory, and we have limited control over how EOC will conduct development and commercialization activities for FYARRO.</w:t>
      </w:r>
    </w:p>
    <w:p>
      <w:pPr>
        <w:spacing w:after="0" w:line="6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231F20"/>
        </w:rPr>
        <w:t>Under the EOC License Agreement, we rely on EOC for a substantial portion of the financial resources and for the development, regulatory, and commercialization activities for FYARRO in the EOC Territory, and we have limited control over the amount and timing of resources that EOC devotes to FYARRO. In addition, payments associated with development, regulatory and commercial milestones that we may be eligible to receive, as well as royalties, will be dependent upon further advancement of the FYARRO by EOC. If these milestones are not met and if FYARRO is not commercialized in the EOC Territory, we will not receive future revenues from the collaboration. EOC may fail to develop or effectively commercialize FYARRO for a variety of reasons and the EOC License Agreement subjects us to a number of risks, including:</w:t>
      </w:r>
    </w:p>
    <w:p>
      <w:pPr>
        <w:spacing w:after="0" w:line="70" w:lineRule="exact"/>
        <w:rPr>
          <w:sz w:val="20"/>
          <w:szCs w:val="20"/>
          <w:color w:val="auto"/>
        </w:rPr>
      </w:pPr>
    </w:p>
    <w:p>
      <w:pPr>
        <w:ind w:left="5540" w:right="1340" w:hanging="5100"/>
        <w:spacing w:after="0" w:line="527" w:lineRule="auto"/>
        <w:tabs>
          <w:tab w:leader="none" w:pos="878"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 xml:space="preserve">EOC may not commit sufficient resources to the development, regulatory approval, marketing, or distribution of FYARRO; </w:t>
      </w:r>
      <w:r>
        <w:rPr>
          <w:rFonts w:ascii="Arial" w:cs="Arial" w:eastAsia="Arial" w:hAnsi="Arial"/>
          <w:sz w:val="18"/>
          <w:szCs w:val="18"/>
          <w:color w:val="000000"/>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98" w:name="page99"/>
    <w:bookmarkEnd w:id="98"/>
    <w:p>
      <w:pPr>
        <w:ind w:left="880" w:right="860" w:hanging="440"/>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be unable to successfully complete the clinical development of FYARRO or obtain all necessary approvals from foreign regulatory agencies in the EOC Territory required to market FYARRO;</w:t>
      </w:r>
    </w:p>
    <w:p>
      <w:pPr>
        <w:spacing w:after="0" w:line="62"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terminate their agreement with us prior to completing development or commercialization of the FYARRO under the collaboration, in whole or in part, adversely impacting the potential approval and our revenue from the licensed product;</w:t>
      </w:r>
    </w:p>
    <w:p>
      <w:pPr>
        <w:spacing w:after="0" w:line="62" w:lineRule="exact"/>
        <w:rPr>
          <w:rFonts w:ascii="Arial" w:cs="Arial" w:eastAsia="Arial" w:hAnsi="Arial"/>
          <w:sz w:val="18"/>
          <w:szCs w:val="18"/>
          <w:color w:val="auto"/>
        </w:rPr>
      </w:pPr>
    </w:p>
    <w:p>
      <w:pPr>
        <w:ind w:left="880" w:right="780" w:hanging="440"/>
        <w:spacing w:after="0" w:line="263"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our third-party manufacturer may be unable or unwilling to manufacture FYARRO in compliance with requirements of Chinese regulatory agencies, which would impact clinical development of FYARRO, and in commercial quantities sufficient to meet market demand;</w:t>
      </w:r>
    </w:p>
    <w:p>
      <w:pPr>
        <w:spacing w:after="0" w:line="75" w:lineRule="exact"/>
        <w:rPr>
          <w:rFonts w:ascii="Arial" w:cs="Arial" w:eastAsia="Arial" w:hAnsi="Arial"/>
          <w:sz w:val="18"/>
          <w:szCs w:val="18"/>
          <w:color w:val="auto"/>
        </w:rPr>
      </w:pPr>
    </w:p>
    <w:p>
      <w:pPr>
        <w:jc w:val="both"/>
        <w:ind w:left="880" w:hanging="440"/>
        <w:spacing w:after="0" w:line="291"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231F20"/>
        </w:rPr>
        <w:t>there may be disputes between us and EOC, including disagreements regarding the EOC License Agreement with us, that may result in (1) the delay of (or prevent entirely) the achievement of development, regulatory and commercial objectives that would result in milestone payments,</w:t>
      </w:r>
    </w:p>
    <w:p>
      <w:pPr>
        <w:ind w:left="880" w:right="260"/>
        <w:spacing w:after="0" w:line="260" w:lineRule="auto"/>
        <w:rPr>
          <w:rFonts w:ascii="Arial" w:cs="Arial" w:eastAsia="Arial" w:hAnsi="Arial"/>
          <w:sz w:val="16"/>
          <w:szCs w:val="16"/>
          <w:color w:val="auto"/>
        </w:rPr>
      </w:pPr>
      <w:r>
        <w:rPr>
          <w:rFonts w:ascii="Arial" w:cs="Arial" w:eastAsia="Arial" w:hAnsi="Arial"/>
          <w:sz w:val="18"/>
          <w:szCs w:val="18"/>
          <w:color w:val="231F20"/>
        </w:rPr>
        <w:t>(2) the delay or termination of the development or commercialization of FYARRO in the EOC Territory, costly litigation or arbitration that diverts our management’s attention and resources; and/or</w:t>
      </w:r>
    </w:p>
    <w:p>
      <w:pPr>
        <w:spacing w:after="0" w:line="77" w:lineRule="exact"/>
        <w:rPr>
          <w:rFonts w:ascii="Arial" w:cs="Arial" w:eastAsia="Arial" w:hAnsi="Arial"/>
          <w:sz w:val="16"/>
          <w:szCs w:val="16"/>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termination of the underlying license agreement;</w:t>
      </w:r>
    </w:p>
    <w:p>
      <w:pPr>
        <w:spacing w:after="0" w:line="117" w:lineRule="exact"/>
        <w:rPr>
          <w:rFonts w:ascii="Arial" w:cs="Arial" w:eastAsia="Arial" w:hAnsi="Arial"/>
          <w:sz w:val="18"/>
          <w:szCs w:val="18"/>
          <w:color w:val="auto"/>
        </w:rPr>
      </w:pPr>
    </w:p>
    <w:p>
      <w:pPr>
        <w:jc w:val="both"/>
        <w:ind w:left="880" w:right="100" w:hanging="440"/>
        <w:spacing w:after="0" w:line="259"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not comply with applicable regulatory guidelines with respect to developing or commercializing FYARRO, which could adversely impact the development of or sales of FYARRO and could result in administrative or judicially imposed sanctions, including warning letters, civil and criminal penalties, injunctions, product seizures or detention, product recalls, total or partial suspension of production and refusal to approve any new drug applications;</w:t>
      </w:r>
    </w:p>
    <w:p>
      <w:pPr>
        <w:spacing w:after="0" w:line="78" w:lineRule="exact"/>
        <w:rPr>
          <w:rFonts w:ascii="Arial" w:cs="Arial" w:eastAsia="Arial" w:hAnsi="Arial"/>
          <w:sz w:val="18"/>
          <w:szCs w:val="18"/>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experience financial difficulties;</w:t>
      </w:r>
    </w:p>
    <w:p>
      <w:pPr>
        <w:spacing w:after="0" w:line="117" w:lineRule="exact"/>
        <w:rPr>
          <w:rFonts w:ascii="Arial" w:cs="Arial" w:eastAsia="Arial" w:hAnsi="Arial"/>
          <w:sz w:val="18"/>
          <w:szCs w:val="18"/>
          <w:color w:val="auto"/>
        </w:rPr>
      </w:pPr>
    </w:p>
    <w:p>
      <w:pPr>
        <w:ind w:left="880" w:right="300" w:hanging="440"/>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business combinations or significant changes in either the business strategy of EOC may also adversely affect EOC’s ability to perform its obligations under its license agreement with us;</w:t>
      </w:r>
    </w:p>
    <w:p>
      <w:pPr>
        <w:spacing w:after="0" w:line="62" w:lineRule="exact"/>
        <w:rPr>
          <w:rFonts w:ascii="Arial" w:cs="Arial" w:eastAsia="Arial" w:hAnsi="Arial"/>
          <w:sz w:val="18"/>
          <w:szCs w:val="18"/>
          <w:color w:val="auto"/>
        </w:rPr>
      </w:pPr>
    </w:p>
    <w:p>
      <w:pPr>
        <w:ind w:left="880" w:right="280" w:hanging="440"/>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not properly maintain our intellectual property rights or may use our proprietary information in such a way as to invite litigation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880" w:right="260" w:hanging="440"/>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develop or commercialize FYARRO in a manner that may adversely impact our development or commercialization of FYARRO and/or future product candidates outside of such collaboration; and</w:t>
      </w:r>
    </w:p>
    <w:p>
      <w:pPr>
        <w:spacing w:after="0" w:line="62" w:lineRule="exact"/>
        <w:rPr>
          <w:rFonts w:ascii="Arial" w:cs="Arial" w:eastAsia="Arial" w:hAnsi="Arial"/>
          <w:sz w:val="18"/>
          <w:szCs w:val="18"/>
          <w:color w:val="auto"/>
        </w:rPr>
      </w:pPr>
    </w:p>
    <w:p>
      <w:pPr>
        <w:ind w:left="880" w:right="200" w:hanging="440"/>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Although EOC is subject to a limited non-compete obligation, EOC could independently move forward with a competing product candidate developed either independently or in collaboration with others, including our competitors.</w:t>
      </w:r>
    </w:p>
    <w:p>
      <w:pPr>
        <w:spacing w:after="0" w:line="6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231F20"/>
        </w:rPr>
        <w:t>If EOC does not perform in the manner we expect or fulfill our responsibilities in a timely manner, or at all, the development, regulatory approval, and commercialization efforts related to FYARRO could be delayed. It may be necessary for us to assume the responsibility at our own expense for the development of FYARRO in the EOC Territory. In that event, we would likely need to seek additional funding and our potential to generate future revenues from FYARRO could be significantly reduced and our business could be materially and adversely harmed.</w:t>
      </w:r>
    </w:p>
    <w:p>
      <w:pPr>
        <w:spacing w:after="0" w:line="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We have entered into collaborations with third parties in connection with the development of FYARRO. Even if we believe that the development of such product candidate is promising, our partners may choose not to proceed with such development.</w:t>
      </w:r>
    </w:p>
    <w:p>
      <w:pPr>
        <w:spacing w:after="0" w:line="2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231F20"/>
        </w:rPr>
        <w:t>Our existing agreement with EOC, and any future collaboration agreements we may enter into, are generally subject to termination by the counterparty on short notice upon the occurrence of certain circumstances, including, in the case of EOC,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sectPr>
      </w:pPr>
    </w:p>
    <w:bookmarkStart w:id="99" w:name="page100"/>
    <w:bookmarkEnd w:id="99"/>
    <w:p>
      <w:pPr>
        <w:ind w:right="100"/>
        <w:spacing w:after="0" w:line="277" w:lineRule="auto"/>
        <w:rPr>
          <w:sz w:val="20"/>
          <w:szCs w:val="20"/>
          <w:color w:val="auto"/>
        </w:rPr>
      </w:pPr>
      <w:r>
        <w:rPr>
          <w:rFonts w:ascii="Arial" w:cs="Arial" w:eastAsia="Arial" w:hAnsi="Arial"/>
          <w:sz w:val="18"/>
          <w:szCs w:val="18"/>
          <w:color w:val="231F20"/>
        </w:rPr>
        <w:t>We are also at risk that our current and any potential collaborations or other arrangements may not be successful. Factors that may affect the success of our collaborations include the following:</w:t>
      </w:r>
    </w:p>
    <w:p>
      <w:pPr>
        <w:spacing w:after="0" w:line="22" w:lineRule="exact"/>
        <w:rPr>
          <w:sz w:val="20"/>
          <w:szCs w:val="20"/>
          <w:color w:val="auto"/>
        </w:rPr>
      </w:pPr>
    </w:p>
    <w:p>
      <w:pPr>
        <w:ind w:left="1080" w:right="560" w:hanging="357"/>
        <w:spacing w:after="0" w:line="277" w:lineRule="auto"/>
        <w:tabs>
          <w:tab w:leader="none" w:pos="10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Our collaboration partners may incur financial and cash flow difficulties that force them to limit or reduce their efforts under their collaboration agreement with us;</w:t>
      </w:r>
    </w:p>
    <w:p>
      <w:pPr>
        <w:spacing w:after="0" w:line="21" w:lineRule="exact"/>
        <w:rPr>
          <w:rFonts w:ascii="Arial" w:cs="Arial" w:eastAsia="Arial" w:hAnsi="Arial"/>
          <w:sz w:val="18"/>
          <w:szCs w:val="18"/>
          <w:color w:val="231F20"/>
        </w:rPr>
      </w:pPr>
    </w:p>
    <w:p>
      <w:pPr>
        <w:ind w:left="1080" w:right="560" w:hanging="357"/>
        <w:spacing w:after="0" w:line="277" w:lineRule="auto"/>
        <w:tabs>
          <w:tab w:leader="none" w:pos="10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Our collaboration partners may be pursuing alternative technologies or developing alternative products that are competitive to our technology and products, either on their own or in partnership with others;</w:t>
      </w:r>
    </w:p>
    <w:p>
      <w:pPr>
        <w:spacing w:after="0" w:line="21" w:lineRule="exact"/>
        <w:rPr>
          <w:rFonts w:ascii="Arial" w:cs="Arial" w:eastAsia="Arial" w:hAnsi="Arial"/>
          <w:sz w:val="18"/>
          <w:szCs w:val="18"/>
          <w:color w:val="231F20"/>
        </w:rPr>
      </w:pPr>
    </w:p>
    <w:p>
      <w:pPr>
        <w:ind w:left="1080" w:right="520" w:hanging="357"/>
        <w:spacing w:after="0" w:line="277" w:lineRule="auto"/>
        <w:tabs>
          <w:tab w:leader="none" w:pos="10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Our collaboration partners may terminate their collaboration with us, which could make it difficult for us to attract new partners or adversely affect perception of us in the business and financial communities; and</w:t>
      </w:r>
    </w:p>
    <w:p>
      <w:pPr>
        <w:spacing w:after="0" w:line="21" w:lineRule="exact"/>
        <w:rPr>
          <w:rFonts w:ascii="Arial" w:cs="Arial" w:eastAsia="Arial" w:hAnsi="Arial"/>
          <w:sz w:val="18"/>
          <w:szCs w:val="18"/>
          <w:color w:val="231F20"/>
        </w:rPr>
      </w:pPr>
    </w:p>
    <w:p>
      <w:pPr>
        <w:ind w:left="1080" w:right="180" w:hanging="357"/>
        <w:spacing w:after="0" w:line="277" w:lineRule="auto"/>
        <w:tabs>
          <w:tab w:leader="none" w:pos="10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Our collaboration partners may pursue higher priority programs or change the focus of their development programs, which could affect their commitment to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If we cannot maintain successful collaborations, our business, financial condition, and operating results may be adversely affected.</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720"/>
        <w:spacing w:after="0" w:line="263" w:lineRule="auto"/>
        <w:rPr>
          <w:sz w:val="20"/>
          <w:szCs w:val="20"/>
          <w:color w:val="auto"/>
        </w:rPr>
      </w:pPr>
      <w:r>
        <w:rPr>
          <w:rFonts w:ascii="Arial" w:cs="Arial" w:eastAsia="Arial" w:hAnsi="Arial"/>
          <w:sz w:val="18"/>
          <w:szCs w:val="18"/>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76" w:lineRule="exact"/>
        <w:rPr>
          <w:sz w:val="20"/>
          <w:szCs w:val="20"/>
          <w:color w:val="auto"/>
        </w:rPr>
      </w:pPr>
    </w:p>
    <w:p>
      <w:pPr>
        <w:ind w:left="1600" w:hanging="872"/>
        <w:spacing w:after="0"/>
        <w:tabs>
          <w:tab w:leader="none" w:pos="160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increased operating expenses and cash requirements;</w:t>
      </w:r>
    </w:p>
    <w:p>
      <w:pPr>
        <w:spacing w:after="0" w:line="117" w:lineRule="exact"/>
        <w:rPr>
          <w:rFonts w:ascii="Arial" w:cs="Arial" w:eastAsia="Arial" w:hAnsi="Arial"/>
          <w:sz w:val="18"/>
          <w:szCs w:val="18"/>
          <w:color w:val="231F20"/>
        </w:rPr>
      </w:pPr>
    </w:p>
    <w:p>
      <w:pPr>
        <w:ind w:left="1600" w:hanging="872"/>
        <w:spacing w:after="0"/>
        <w:tabs>
          <w:tab w:leader="none" w:pos="160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the assumption of additional indebtedness or contingent liabilities;</w:t>
      </w:r>
    </w:p>
    <w:p>
      <w:pPr>
        <w:spacing w:after="0" w:line="117" w:lineRule="exact"/>
        <w:rPr>
          <w:rFonts w:ascii="Arial" w:cs="Arial" w:eastAsia="Arial" w:hAnsi="Arial"/>
          <w:sz w:val="18"/>
          <w:szCs w:val="18"/>
          <w:color w:val="231F20"/>
        </w:rPr>
      </w:pPr>
    </w:p>
    <w:p>
      <w:pPr>
        <w:ind w:left="1600" w:hanging="872"/>
        <w:spacing w:after="0"/>
        <w:tabs>
          <w:tab w:leader="none" w:pos="160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the issuance of our equity securities;</w:t>
      </w:r>
    </w:p>
    <w:p>
      <w:pPr>
        <w:spacing w:after="0" w:line="117" w:lineRule="exact"/>
        <w:rPr>
          <w:rFonts w:ascii="Arial" w:cs="Arial" w:eastAsia="Arial" w:hAnsi="Arial"/>
          <w:sz w:val="18"/>
          <w:szCs w:val="18"/>
          <w:color w:val="231F20"/>
        </w:rPr>
      </w:pPr>
    </w:p>
    <w:p>
      <w:pPr>
        <w:ind w:left="1080" w:right="1000" w:hanging="357"/>
        <w:spacing w:after="0" w:line="277" w:lineRule="auto"/>
        <w:tabs>
          <w:tab w:leader="none" w:pos="108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231F20"/>
        </w:rPr>
      </w:pPr>
    </w:p>
    <w:p>
      <w:pPr>
        <w:ind w:left="1080" w:hanging="357"/>
        <w:spacing w:after="0"/>
        <w:tabs>
          <w:tab w:leader="none" w:pos="1080" w:val="left"/>
        </w:tabs>
        <w:numPr>
          <w:ilvl w:val="0"/>
          <w:numId w:val="47"/>
        </w:numPr>
        <w:rPr>
          <w:rFonts w:ascii="Arial" w:cs="Arial" w:eastAsia="Arial" w:hAnsi="Arial"/>
          <w:sz w:val="16"/>
          <w:szCs w:val="16"/>
          <w:color w:val="231F20"/>
        </w:rPr>
      </w:pPr>
      <w:r>
        <w:rPr>
          <w:rFonts w:ascii="Arial" w:cs="Arial" w:eastAsia="Arial" w:hAnsi="Arial"/>
          <w:sz w:val="16"/>
          <w:szCs w:val="16"/>
          <w:color w:val="231F20"/>
        </w:rPr>
        <w:t>the diversion of our management’s attention from our existing programs and initiatives in pursuing such a strategic merger or acquisition;</w:t>
      </w:r>
    </w:p>
    <w:p>
      <w:pPr>
        <w:spacing w:after="0" w:line="140" w:lineRule="exact"/>
        <w:rPr>
          <w:rFonts w:ascii="Arial" w:cs="Arial" w:eastAsia="Arial" w:hAnsi="Arial"/>
          <w:sz w:val="16"/>
          <w:szCs w:val="16"/>
          <w:color w:val="231F20"/>
        </w:rPr>
      </w:pPr>
    </w:p>
    <w:p>
      <w:pPr>
        <w:ind w:left="1080" w:hanging="357"/>
        <w:spacing w:after="0"/>
        <w:tabs>
          <w:tab w:leader="none" w:pos="108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231F20"/>
        </w:rPr>
      </w:pPr>
    </w:p>
    <w:p>
      <w:pPr>
        <w:ind w:left="1080" w:right="560" w:hanging="357"/>
        <w:spacing w:after="0" w:line="277" w:lineRule="auto"/>
        <w:tabs>
          <w:tab w:leader="none" w:pos="108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231F20"/>
        </w:rPr>
      </w:pPr>
    </w:p>
    <w:p>
      <w:pPr>
        <w:ind w:left="1080" w:right="740" w:hanging="357"/>
        <w:spacing w:after="0" w:line="277" w:lineRule="auto"/>
        <w:tabs>
          <w:tab w:leader="none" w:pos="108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62"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3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231F20"/>
        </w:rPr>
        <w:t>If we decide to establish additional collaborations but are not able to establish those collaborations on commercially reasonable terms, we may have to alter our development and commercialization plans.</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231F20"/>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6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49" w:right="579" w:bottom="1440" w:gutter="0" w:footer="0" w:header="0"/>
        </w:sectPr>
      </w:pPr>
    </w:p>
    <w:bookmarkStart w:id="100" w:name="page101"/>
    <w:bookmarkEnd w:id="100"/>
    <w:p>
      <w:pPr>
        <w:ind w:right="60"/>
        <w:spacing w:after="0" w:line="271" w:lineRule="auto"/>
        <w:rPr>
          <w:sz w:val="20"/>
          <w:szCs w:val="20"/>
          <w:color w:val="auto"/>
        </w:rPr>
      </w:pPr>
      <w:r>
        <w:rPr>
          <w:rFonts w:ascii="Arial" w:cs="Arial" w:eastAsia="Arial" w:hAnsi="Arial"/>
          <w:sz w:val="17"/>
          <w:szCs w:val="17"/>
          <w:color w:val="231F20"/>
        </w:rPr>
        <w:t>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231F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5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231F20"/>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50" w:lineRule="exact"/>
        <w:rPr>
          <w:sz w:val="20"/>
          <w:szCs w:val="20"/>
          <w:color w:val="auto"/>
        </w:rPr>
      </w:pPr>
    </w:p>
    <w:p>
      <w:pPr>
        <w:ind w:left="1080" w:right="220" w:hanging="357"/>
        <w:spacing w:after="0" w:line="277" w:lineRule="auto"/>
        <w:tabs>
          <w:tab w:leader="none" w:pos="108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48" w:lineRule="exact"/>
        <w:rPr>
          <w:rFonts w:ascii="Arial" w:cs="Arial" w:eastAsia="Arial" w:hAnsi="Arial"/>
          <w:sz w:val="18"/>
          <w:szCs w:val="18"/>
          <w:color w:val="231F20"/>
        </w:rPr>
      </w:pPr>
    </w:p>
    <w:p>
      <w:pPr>
        <w:jc w:val="both"/>
        <w:ind w:left="1080" w:hanging="357"/>
        <w:spacing w:after="0" w:line="259" w:lineRule="auto"/>
        <w:tabs>
          <w:tab w:leader="none" w:pos="108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65" w:lineRule="exact"/>
        <w:rPr>
          <w:rFonts w:ascii="Arial" w:cs="Arial" w:eastAsia="Arial" w:hAnsi="Arial"/>
          <w:sz w:val="18"/>
          <w:szCs w:val="18"/>
          <w:color w:val="231F20"/>
        </w:rPr>
      </w:pPr>
    </w:p>
    <w:p>
      <w:pPr>
        <w:ind w:left="1080" w:right="300" w:hanging="357"/>
        <w:spacing w:after="0" w:line="308" w:lineRule="auto"/>
        <w:tabs>
          <w:tab w:leader="none" w:pos="1080" w:val="left"/>
        </w:tabs>
        <w:numPr>
          <w:ilvl w:val="0"/>
          <w:numId w:val="48"/>
        </w:numPr>
        <w:rPr>
          <w:rFonts w:ascii="Arial" w:cs="Arial" w:eastAsia="Arial" w:hAnsi="Arial"/>
          <w:sz w:val="17"/>
          <w:szCs w:val="17"/>
          <w:color w:val="231F20"/>
        </w:rPr>
      </w:pPr>
      <w:r>
        <w:rPr>
          <w:rFonts w:ascii="Arial" w:cs="Arial" w:eastAsia="Arial" w:hAnsi="Arial"/>
          <w:sz w:val="17"/>
          <w:szCs w:val="17"/>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4" w:lineRule="exact"/>
        <w:rPr>
          <w:rFonts w:ascii="Arial" w:cs="Arial" w:eastAsia="Arial" w:hAnsi="Arial"/>
          <w:sz w:val="17"/>
          <w:szCs w:val="17"/>
          <w:color w:val="231F20"/>
        </w:rPr>
      </w:pPr>
    </w:p>
    <w:p>
      <w:pPr>
        <w:ind w:left="1080" w:right="300" w:hanging="357"/>
        <w:spacing w:after="0" w:line="263" w:lineRule="auto"/>
        <w:tabs>
          <w:tab w:leader="none" w:pos="108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spacing w:after="0" w:line="62" w:lineRule="exact"/>
        <w:rPr>
          <w:rFonts w:ascii="Arial" w:cs="Arial" w:eastAsia="Arial" w:hAnsi="Arial"/>
          <w:sz w:val="18"/>
          <w:szCs w:val="18"/>
          <w:color w:val="231F20"/>
        </w:rPr>
      </w:pPr>
    </w:p>
    <w:p>
      <w:pPr>
        <w:ind w:left="1080" w:right="580" w:hanging="357"/>
        <w:spacing w:after="0" w:line="342" w:lineRule="auto"/>
        <w:tabs>
          <w:tab w:leader="none" w:pos="1080" w:val="left"/>
        </w:tabs>
        <w:numPr>
          <w:ilvl w:val="0"/>
          <w:numId w:val="48"/>
        </w:numPr>
        <w:rPr>
          <w:rFonts w:ascii="Arial" w:cs="Arial" w:eastAsia="Arial" w:hAnsi="Arial"/>
          <w:sz w:val="16"/>
          <w:szCs w:val="16"/>
          <w:color w:val="231F20"/>
        </w:rPr>
      </w:pPr>
      <w:r>
        <w:rPr>
          <w:rFonts w:ascii="Arial" w:cs="Arial" w:eastAsia="Arial" w:hAnsi="Arial"/>
          <w:sz w:val="16"/>
          <w:szCs w:val="16"/>
          <w:color w:val="231F20"/>
        </w:rPr>
        <w:t>a collaborator with marketing and distribution rights to multiple products may not commit sufficient resources to the marketing and distribution of FYARRO or any other product candidate that we may develop in the future, if approved, relative to other products;</w:t>
      </w:r>
    </w:p>
    <w:p>
      <w:pPr>
        <w:spacing w:after="0" w:line="2" w:lineRule="exact"/>
        <w:rPr>
          <w:rFonts w:ascii="Arial" w:cs="Arial" w:eastAsia="Arial" w:hAnsi="Arial"/>
          <w:sz w:val="16"/>
          <w:szCs w:val="16"/>
          <w:color w:val="231F20"/>
        </w:rPr>
      </w:pPr>
    </w:p>
    <w:p>
      <w:pPr>
        <w:ind w:left="1080" w:hanging="357"/>
        <w:spacing w:after="0"/>
        <w:tabs>
          <w:tab w:leader="none" w:pos="108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We may grant exclusive rights to our collaborators that would prevent us from collaborating with others;</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101" w:name="page102"/>
    <w:bookmarkEnd w:id="101"/>
    <w:p>
      <w:pPr>
        <w:ind w:left="1600" w:hanging="872"/>
        <w:spacing w:after="0"/>
        <w:tabs>
          <w:tab w:leader="none" w:pos="16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collaborators may not properly obtain, maintain, defend or enforce our intellectual property rights</w:t>
      </w:r>
    </w:p>
    <w:p>
      <w:pPr>
        <w:spacing w:after="0" w:line="23" w:lineRule="exact"/>
        <w:rPr>
          <w:sz w:val="20"/>
          <w:szCs w:val="20"/>
          <w:color w:val="auto"/>
        </w:rPr>
      </w:pPr>
    </w:p>
    <w:p>
      <w:pPr>
        <w:jc w:val="both"/>
        <w:ind w:left="1080"/>
        <w:spacing w:after="0" w:line="255" w:lineRule="auto"/>
        <w:rPr>
          <w:sz w:val="20"/>
          <w:szCs w:val="20"/>
          <w:color w:val="auto"/>
        </w:rPr>
      </w:pPr>
      <w:r>
        <w:rPr>
          <w:rFonts w:ascii="Arial" w:cs="Arial" w:eastAsia="Arial" w:hAnsi="Arial"/>
          <w:sz w:val="18"/>
          <w:szCs w:val="18"/>
          <w:color w:val="231F20"/>
        </w:rPr>
        <w:t>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8" w:lineRule="exact"/>
        <w:rPr>
          <w:sz w:val="20"/>
          <w:szCs w:val="20"/>
          <w:color w:val="auto"/>
        </w:rPr>
      </w:pPr>
    </w:p>
    <w:p>
      <w:pPr>
        <w:ind w:left="1080" w:right="600" w:hanging="357"/>
        <w:spacing w:after="0" w:line="263" w:lineRule="auto"/>
        <w:tabs>
          <w:tab w:leader="none" w:pos="108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62" w:lineRule="exact"/>
        <w:rPr>
          <w:rFonts w:ascii="Arial" w:cs="Arial" w:eastAsia="Arial" w:hAnsi="Arial"/>
          <w:sz w:val="18"/>
          <w:szCs w:val="18"/>
          <w:color w:val="231F20"/>
        </w:rPr>
      </w:pPr>
    </w:p>
    <w:p>
      <w:pPr>
        <w:ind w:left="1080" w:right="680" w:hanging="357"/>
        <w:spacing w:after="0" w:line="277" w:lineRule="auto"/>
        <w:tabs>
          <w:tab w:leader="none" w:pos="108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48" w:lineRule="exact"/>
        <w:rPr>
          <w:rFonts w:ascii="Arial" w:cs="Arial" w:eastAsia="Arial" w:hAnsi="Arial"/>
          <w:sz w:val="18"/>
          <w:szCs w:val="18"/>
          <w:color w:val="231F20"/>
        </w:rPr>
      </w:pPr>
    </w:p>
    <w:p>
      <w:pPr>
        <w:ind w:left="1080" w:hanging="357"/>
        <w:spacing w:after="0"/>
        <w:tabs>
          <w:tab w:leader="none" w:pos="1080" w:val="left"/>
        </w:tabs>
        <w:numPr>
          <w:ilvl w:val="0"/>
          <w:numId w:val="50"/>
        </w:numPr>
        <w:rPr>
          <w:rFonts w:ascii="Arial" w:cs="Arial" w:eastAsia="Arial" w:hAnsi="Arial"/>
          <w:sz w:val="16"/>
          <w:szCs w:val="16"/>
          <w:color w:val="231F20"/>
        </w:rPr>
      </w:pPr>
      <w:r>
        <w:rPr>
          <w:rFonts w:ascii="Arial" w:cs="Arial" w:eastAsia="Arial" w:hAnsi="Arial"/>
          <w:sz w:val="16"/>
          <w:szCs w:val="16"/>
          <w:color w:val="231F20"/>
        </w:rPr>
        <w:t>collaboration agreements may not lead to development or commercialization of product candidates in the most efficient manner or at all;</w:t>
      </w:r>
    </w:p>
    <w:p>
      <w:pPr>
        <w:spacing w:after="0" w:line="86" w:lineRule="exact"/>
        <w:rPr>
          <w:rFonts w:ascii="Arial" w:cs="Arial" w:eastAsia="Arial" w:hAnsi="Arial"/>
          <w:sz w:val="16"/>
          <w:szCs w:val="16"/>
          <w:color w:val="231F20"/>
        </w:rPr>
      </w:pPr>
    </w:p>
    <w:p>
      <w:pPr>
        <w:ind w:left="1080" w:right="540" w:hanging="357"/>
        <w:spacing w:after="0" w:line="263" w:lineRule="auto"/>
        <w:tabs>
          <w:tab w:leader="none" w:pos="108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89" w:lineRule="exact"/>
        <w:rPr>
          <w:rFonts w:ascii="Arial" w:cs="Arial" w:eastAsia="Arial" w:hAnsi="Arial"/>
          <w:sz w:val="18"/>
          <w:szCs w:val="18"/>
          <w:color w:val="231F20"/>
        </w:rPr>
      </w:pPr>
    </w:p>
    <w:p>
      <w:pPr>
        <w:ind w:left="1080" w:right="260" w:hanging="357"/>
        <w:spacing w:after="0" w:line="277" w:lineRule="auto"/>
        <w:tabs>
          <w:tab w:leader="none" w:pos="108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collaborators may own or co-own intellectual property covering our products that results from us collaborating with them, and in such cases, we would not have the exclusive right to develop or commercialize such intellectual property; and</w:t>
      </w:r>
    </w:p>
    <w:p>
      <w:pPr>
        <w:spacing w:after="0" w:line="75" w:lineRule="exact"/>
        <w:rPr>
          <w:rFonts w:ascii="Arial" w:cs="Arial" w:eastAsia="Arial" w:hAnsi="Arial"/>
          <w:sz w:val="18"/>
          <w:szCs w:val="18"/>
          <w:color w:val="231F20"/>
        </w:rPr>
      </w:pPr>
    </w:p>
    <w:p>
      <w:pPr>
        <w:ind w:left="1080" w:right="520" w:hanging="357"/>
        <w:spacing w:after="0" w:line="277" w:lineRule="auto"/>
        <w:tabs>
          <w:tab w:leader="none" w:pos="108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a collaborator’s sales and marketing activities or other operations may not be in compliance with applicable laws, resulting in civil or criminal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stock price is volatile.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31F20"/>
        </w:rPr>
        <w:t>The market price of our common stock could be subject to significant fluctuations. From the completion of the Merger through December 31, 2021, the market price for our common stock ranged from a low of $18.75 to a high of $32.99.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25" w:lineRule="exact"/>
        <w:rPr>
          <w:sz w:val="20"/>
          <w:szCs w:val="20"/>
          <w:color w:val="auto"/>
        </w:rPr>
      </w:pPr>
    </w:p>
    <w:p>
      <w:pPr>
        <w:ind w:left="880" w:right="80" w:hanging="440"/>
        <w:spacing w:after="0" w:line="277" w:lineRule="auto"/>
        <w:tabs>
          <w:tab w:leader="none" w:pos="88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Our ability to obtain regulatory approvals for FYARRO in other indications or for any other product candidates that we may develop in the future, and delays or failures to obtain such approvals;</w:t>
      </w:r>
    </w:p>
    <w:p>
      <w:pPr>
        <w:spacing w:after="0" w:line="8" w:lineRule="exact"/>
        <w:rPr>
          <w:rFonts w:ascii="Arial" w:cs="Arial" w:eastAsia="Arial" w:hAnsi="Arial"/>
          <w:sz w:val="18"/>
          <w:szCs w:val="18"/>
          <w:color w:val="231F20"/>
        </w:rPr>
      </w:pPr>
    </w:p>
    <w:p>
      <w:pPr>
        <w:ind w:left="880" w:right="1420" w:hanging="440"/>
        <w:spacing w:after="0" w:line="277" w:lineRule="auto"/>
        <w:tabs>
          <w:tab w:leader="none" w:pos="88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the failure of FYARRO or any other product candidates that we may develop in the future, if approved for marketing and commercialization, to achieve commercial success;</w:t>
      </w:r>
    </w:p>
    <w:p>
      <w:pPr>
        <w:spacing w:after="0" w:line="8" w:lineRule="exact"/>
        <w:rPr>
          <w:rFonts w:ascii="Arial" w:cs="Arial" w:eastAsia="Arial" w:hAnsi="Arial"/>
          <w:sz w:val="18"/>
          <w:szCs w:val="18"/>
          <w:color w:val="231F20"/>
        </w:rPr>
      </w:pPr>
    </w:p>
    <w:p>
      <w:pPr>
        <w:ind w:left="880" w:hanging="440"/>
        <w:spacing w:after="0"/>
        <w:tabs>
          <w:tab w:leader="none" w:pos="88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any inability to obtain adequate supply of our product candidates or the inability to do so at acceptable prices;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the entry into, or termination of, key agreements, including key licensing, supply or collaboration agreements;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adverse regulatory authority decisions;</w:t>
      </w:r>
    </w:p>
    <w:p>
      <w:pPr>
        <w:spacing w:after="0" w:line="63" w:lineRule="exact"/>
        <w:rPr>
          <w:rFonts w:ascii="Arial" w:cs="Arial" w:eastAsia="Arial" w:hAnsi="Arial"/>
          <w:sz w:val="18"/>
          <w:szCs w:val="18"/>
          <w:color w:val="231F20"/>
        </w:rPr>
      </w:pPr>
    </w:p>
    <w:p>
      <w:pPr>
        <w:ind w:left="880" w:right="80" w:hanging="440"/>
        <w:spacing w:after="0" w:line="277" w:lineRule="auto"/>
        <w:tabs>
          <w:tab w:leader="none" w:pos="88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the initiation of material developments in, or conclusion of, disputes or litigation to enforce or defend any of our intellectual property rights or defend against the intellectual property rights of others;</w:t>
      </w:r>
    </w:p>
    <w:p>
      <w:pPr>
        <w:spacing w:after="0" w:line="8" w:lineRule="exact"/>
        <w:rPr>
          <w:rFonts w:ascii="Arial" w:cs="Arial" w:eastAsia="Arial" w:hAnsi="Arial"/>
          <w:sz w:val="18"/>
          <w:szCs w:val="18"/>
          <w:color w:val="231F20"/>
        </w:rPr>
      </w:pPr>
    </w:p>
    <w:p>
      <w:pPr>
        <w:ind w:left="880" w:hanging="440"/>
        <w:spacing w:after="0"/>
        <w:tabs>
          <w:tab w:leader="none" w:pos="88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changes in laws or regulations applicable to our product candidates;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the results of current, and any future, nonclinical or clinical trials of our product candidates;</w:t>
      </w:r>
    </w:p>
    <w:p>
      <w:pPr>
        <w:spacing w:after="0" w:line="63" w:lineRule="exact"/>
        <w:rPr>
          <w:rFonts w:ascii="Arial" w:cs="Arial" w:eastAsia="Arial" w:hAnsi="Arial"/>
          <w:sz w:val="18"/>
          <w:szCs w:val="18"/>
          <w:color w:val="231F20"/>
        </w:rPr>
      </w:pPr>
    </w:p>
    <w:p>
      <w:pPr>
        <w:ind w:left="880" w:right="460" w:hanging="440"/>
        <w:spacing w:after="0" w:line="277" w:lineRule="auto"/>
        <w:tabs>
          <w:tab w:leader="none" w:pos="88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announcements by commercial partners or competitors of new commercial products, clinical progress (or the lack thereof), significant contracts, commercial relationships, or capital commitments;</w:t>
      </w:r>
    </w:p>
    <w:p>
      <w:pPr>
        <w:spacing w:after="0" w:line="8" w:lineRule="exact"/>
        <w:rPr>
          <w:rFonts w:ascii="Arial" w:cs="Arial" w:eastAsia="Arial" w:hAnsi="Arial"/>
          <w:sz w:val="18"/>
          <w:szCs w:val="18"/>
          <w:color w:val="231F20"/>
        </w:rPr>
      </w:pPr>
    </w:p>
    <w:p>
      <w:pPr>
        <w:ind w:left="880" w:hanging="440"/>
        <w:spacing w:after="0"/>
        <w:tabs>
          <w:tab w:leader="none" w:pos="88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failure to meet or exceed financial and development projections we may provide to the public;</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failure to meet or exceed the financial and development projections of the investment community;</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the perception of the pharmaceutical industry by the public, legislatures, regulators and the investment community;</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57" w:right="579" w:bottom="1440" w:gutter="0" w:footer="0" w:header="0"/>
        </w:sectPr>
      </w:pPr>
    </w:p>
    <w:bookmarkStart w:id="102" w:name="page103"/>
    <w:bookmarkEnd w:id="102"/>
    <w:p>
      <w:pPr>
        <w:ind w:left="880" w:hanging="440"/>
        <w:spacing w:after="0" w:line="298" w:lineRule="auto"/>
        <w:tabs>
          <w:tab w:leader="none" w:pos="880" w:val="left"/>
        </w:tabs>
        <w:numPr>
          <w:ilvl w:val="0"/>
          <w:numId w:val="52"/>
        </w:numPr>
        <w:rPr>
          <w:rFonts w:ascii="Arial" w:cs="Arial" w:eastAsia="Arial" w:hAnsi="Arial"/>
          <w:sz w:val="17"/>
          <w:szCs w:val="17"/>
          <w:color w:val="231F20"/>
        </w:rPr>
      </w:pPr>
      <w:r>
        <w:rPr>
          <w:rFonts w:ascii="Arial" w:cs="Arial" w:eastAsia="Arial" w:hAnsi="Arial"/>
          <w:sz w:val="17"/>
          <w:szCs w:val="17"/>
          <w:color w:val="231F20"/>
        </w:rPr>
        <w:t>general market conditions and other factors unrelated to our operating performance or the operating performance of our competitors, including deteriorating market conditions due to investor concerns regarding inflation and hostilities between Russia and Ukraine;</w:t>
      </w:r>
    </w:p>
    <w:p>
      <w:pPr>
        <w:ind w:left="880" w:hanging="440"/>
        <w:spacing w:after="0"/>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adverse publicity relating to our markets, including with respect to other products and potential products in such markets;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the introduction of technological innovations or new therapies competing with our potential products;</w:t>
      </w:r>
    </w:p>
    <w:p>
      <w:pPr>
        <w:spacing w:after="0" w:line="63" w:lineRule="exact"/>
        <w:rPr>
          <w:rFonts w:ascii="Arial" w:cs="Arial" w:eastAsia="Arial" w:hAnsi="Arial"/>
          <w:sz w:val="18"/>
          <w:szCs w:val="18"/>
          <w:color w:val="231F20"/>
        </w:rPr>
      </w:pPr>
    </w:p>
    <w:p>
      <w:pPr>
        <w:ind w:left="880" w:right="1740" w:hanging="440"/>
        <w:spacing w:after="0" w:line="277" w:lineRule="auto"/>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announcements of significant acquisitions, strategic collaborations, joint ventures or capital commitments by us or our competitors;</w:t>
      </w:r>
    </w:p>
    <w:p>
      <w:pPr>
        <w:spacing w:after="0" w:line="8" w:lineRule="exact"/>
        <w:rPr>
          <w:rFonts w:ascii="Arial" w:cs="Arial" w:eastAsia="Arial" w:hAnsi="Arial"/>
          <w:sz w:val="18"/>
          <w:szCs w:val="18"/>
          <w:color w:val="231F20"/>
        </w:rPr>
      </w:pPr>
    </w:p>
    <w:p>
      <w:pPr>
        <w:ind w:left="880" w:right="220" w:hanging="440"/>
        <w:spacing w:after="0" w:line="277" w:lineRule="auto"/>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disputes or other developments relating to proprietary rights, including patents, litigation matters, and our ability to obtain patent protection for our technologies;</w:t>
      </w:r>
    </w:p>
    <w:p>
      <w:pPr>
        <w:spacing w:after="0" w:line="8" w:lineRule="exact"/>
        <w:rPr>
          <w:rFonts w:ascii="Arial" w:cs="Arial" w:eastAsia="Arial" w:hAnsi="Arial"/>
          <w:sz w:val="18"/>
          <w:szCs w:val="18"/>
          <w:color w:val="231F20"/>
        </w:rPr>
      </w:pPr>
    </w:p>
    <w:p>
      <w:pPr>
        <w:ind w:left="880" w:hanging="440"/>
        <w:spacing w:after="0"/>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the loss of key employees;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significant lawsuits, including patent or stockholder litigation;</w:t>
      </w:r>
    </w:p>
    <w:p>
      <w:pPr>
        <w:spacing w:after="0" w:line="63" w:lineRule="exact"/>
        <w:rPr>
          <w:rFonts w:ascii="Arial" w:cs="Arial" w:eastAsia="Arial" w:hAnsi="Arial"/>
          <w:sz w:val="18"/>
          <w:szCs w:val="18"/>
          <w:color w:val="231F20"/>
        </w:rPr>
      </w:pPr>
    </w:p>
    <w:p>
      <w:pPr>
        <w:ind w:left="880" w:right="540" w:hanging="440"/>
        <w:spacing w:after="0" w:line="277" w:lineRule="auto"/>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if securities or industry analysts do not publish research or reports about our business, or if they issue an adverse or misleading opinion regarding our business and stock;</w:t>
      </w:r>
    </w:p>
    <w:p>
      <w:pPr>
        <w:spacing w:after="0" w:line="8" w:lineRule="exact"/>
        <w:rPr>
          <w:rFonts w:ascii="Arial" w:cs="Arial" w:eastAsia="Arial" w:hAnsi="Arial"/>
          <w:sz w:val="18"/>
          <w:szCs w:val="18"/>
          <w:color w:val="231F20"/>
        </w:rPr>
      </w:pPr>
    </w:p>
    <w:p>
      <w:pPr>
        <w:ind w:left="880" w:hanging="440"/>
        <w:spacing w:after="0"/>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changes in the market valuations of similar companies;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general and industry-specific economic conditions potentially affecting our research and development expenditures;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sales of our common stock by us or our stockholders in the future;</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trading volume of our common stock;</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changes in the structure of health care payment systems;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adverse regulatory decisions;</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trading volume of our common stock; and</w:t>
      </w:r>
    </w:p>
    <w:p>
      <w:pPr>
        <w:spacing w:after="0" w:line="63" w:lineRule="exact"/>
        <w:rPr>
          <w:rFonts w:ascii="Arial" w:cs="Arial" w:eastAsia="Arial" w:hAnsi="Arial"/>
          <w:sz w:val="18"/>
          <w:szCs w:val="18"/>
          <w:color w:val="231F20"/>
        </w:rPr>
      </w:pPr>
    </w:p>
    <w:p>
      <w:pPr>
        <w:ind w:left="880" w:hanging="440"/>
        <w:spacing w:after="0"/>
        <w:tabs>
          <w:tab w:leader="none" w:pos="88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period-to-period fluctuations in our financial results.</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231F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1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231F20"/>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spacing w:after="0" w:line="5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231F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spacing w:after="0" w:line="7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231F20"/>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3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231F20"/>
        </w:rPr>
        <w:t>We are an “emerging growth company,” as defined in the Jumpstart Our Business Startups Act, and therefore will be able to take advantage of certain exemptions from various reporting requirements that are applicable to other companies that are not “emerging growth companies” including not being required to comply with the auditor attestation requirements of Section 404(b) of the Sarbanes-Oxley Act.</w:t>
      </w:r>
    </w:p>
    <w:p>
      <w:pPr>
        <w:spacing w:after="0" w:line="5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231F20"/>
        </w:rPr>
        <w:t xml:space="preserve">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t>
      </w:r>
      <w:r>
        <w:rPr>
          <w:rFonts w:ascii="Arial" w:cs="Arial" w:eastAsia="Arial" w:hAnsi="Arial"/>
          <w:sz w:val="16"/>
          <w:szCs w:val="16"/>
          <w:color w:val="000000"/>
        </w:rPr>
        <w:t>We rely heavily on</w:t>
      </w:r>
      <w:r>
        <w:rPr>
          <w:rFonts w:ascii="Arial" w:cs="Arial" w:eastAsia="Arial" w:hAnsi="Arial"/>
          <w:sz w:val="16"/>
          <w:szCs w:val="16"/>
          <w:color w:val="231F20"/>
        </w:rPr>
        <w:t xml:space="preserve"> </w:t>
      </w:r>
      <w:r>
        <w:rPr>
          <w:rFonts w:ascii="Arial" w:cs="Arial" w:eastAsia="Arial" w:hAnsi="Arial"/>
          <w:sz w:val="16"/>
          <w:szCs w:val="16"/>
          <w:color w:val="000000"/>
        </w:rPr>
        <w:t>direct management oversight of transactions, along with the use of legal and outsourced accounting professionals. As we grow, we plan to hire additional personnel and engage external temporary resources and may implement, document, and modify policies and procedures to maintain effective internal controls. However, we may identify deficiencies and weaknesses or fail to remediate previously identified deficiencies in our internal controls.</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5" w:right="439" w:bottom="1440" w:gutter="0" w:footer="0" w:header="0"/>
        </w:sectPr>
      </w:pPr>
    </w:p>
    <w:bookmarkStart w:id="103" w:name="page104"/>
    <w:bookmarkEnd w:id="103"/>
    <w:p>
      <w:pPr>
        <w:ind w:right="120"/>
        <w:spacing w:after="0" w:line="271" w:lineRule="auto"/>
        <w:rPr>
          <w:sz w:val="20"/>
          <w:szCs w:val="20"/>
          <w:color w:val="auto"/>
        </w:rPr>
      </w:pPr>
      <w:r>
        <w:rPr>
          <w:rFonts w:ascii="Arial" w:cs="Arial" w:eastAsia="Arial" w:hAnsi="Arial"/>
          <w:sz w:val="17"/>
          <w:szCs w:val="17"/>
          <w:color w:val="231F20"/>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70"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b w:val="1"/>
          <w:bCs w:val="1"/>
          <w:i w:val="1"/>
          <w:iCs w:val="1"/>
          <w:color w:val="231F20"/>
        </w:rPr>
        <w:t>Financial reporting obligations of being a public company in the United States are expensive and time- consuming, and our management will be required to devote substantial time to compliance matters.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Following the recently completed Merger, we have incurred and expect to continue to incur significant additional legal, accounting and other expenses as a publicly traded company that we did not incur as a privately-held company, including costs associated with public company reporting requirements. The obligations of being a public company in the United States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of 2002 (the “Sarbanes-Oxley Act”), the Dodd-Frank Wall Street Reform and Consumer Protection Act (the “Dodd-Frank Act”) and the Nasdaq listing requirements.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For example, our management team consists of executive officers and other personnel of the operating company that survived the Merger prior to the Merger, some of whom have not previously managed and operated a public company. Thus,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 In addition, these rules and regulations may also make it difficult and expensive for us to obtain and maintain director’s and officer’s liability insurance. As a result, it may be more difficult for us to attract and retain qualified individuals to serve on our board of directors or as executive officers, which may adversely affect investor confidence in and could cause our business or stock price to suffer.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There can be no assurance that we will be able to comply with the continued listing standards of Nasdaq.</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If Nasdaq delists our shares of common stock from trading on its exchange for failure to meet Nasdaq’s listing standards, we and our stockholders could face significant material adverse consequences including:</w:t>
      </w:r>
    </w:p>
    <w:p>
      <w:pPr>
        <w:spacing w:after="0" w:line="8" w:lineRule="exact"/>
        <w:rPr>
          <w:sz w:val="20"/>
          <w:szCs w:val="20"/>
          <w:color w:val="auto"/>
        </w:rPr>
      </w:pPr>
    </w:p>
    <w:p>
      <w:pPr>
        <w:ind w:left="1040" w:hanging="438"/>
        <w:spacing w:after="0"/>
        <w:tabs>
          <w:tab w:leader="none" w:pos="104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a limited availability of market quotations for our securities;</w:t>
      </w:r>
    </w:p>
    <w:p>
      <w:pPr>
        <w:spacing w:after="0" w:line="63" w:lineRule="exact"/>
        <w:rPr>
          <w:rFonts w:ascii="Arial" w:cs="Arial" w:eastAsia="Arial" w:hAnsi="Arial"/>
          <w:sz w:val="18"/>
          <w:szCs w:val="18"/>
          <w:color w:val="231F20"/>
        </w:rPr>
      </w:pPr>
    </w:p>
    <w:p>
      <w:pPr>
        <w:ind w:left="1040" w:hanging="438"/>
        <w:spacing w:after="0"/>
        <w:tabs>
          <w:tab w:leader="none" w:pos="104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reduced liquidity for our securities;</w:t>
      </w:r>
    </w:p>
    <w:p>
      <w:pPr>
        <w:spacing w:after="0" w:line="63" w:lineRule="exact"/>
        <w:rPr>
          <w:rFonts w:ascii="Arial" w:cs="Arial" w:eastAsia="Arial" w:hAnsi="Arial"/>
          <w:sz w:val="18"/>
          <w:szCs w:val="18"/>
          <w:color w:val="231F20"/>
        </w:rPr>
      </w:pPr>
    </w:p>
    <w:p>
      <w:pPr>
        <w:ind w:left="1040" w:right="580" w:hanging="438"/>
        <w:spacing w:after="0" w:line="298" w:lineRule="auto"/>
        <w:tabs>
          <w:tab w:leader="none" w:pos="1040" w:val="left"/>
        </w:tabs>
        <w:numPr>
          <w:ilvl w:val="0"/>
          <w:numId w:val="53"/>
        </w:numPr>
        <w:rPr>
          <w:rFonts w:ascii="Arial" w:cs="Arial" w:eastAsia="Arial" w:hAnsi="Arial"/>
          <w:sz w:val="17"/>
          <w:szCs w:val="17"/>
          <w:color w:val="231F20"/>
        </w:rPr>
      </w:pPr>
      <w:r>
        <w:rPr>
          <w:rFonts w:ascii="Arial" w:cs="Arial" w:eastAsia="Arial" w:hAnsi="Arial"/>
          <w:sz w:val="17"/>
          <w:szCs w:val="17"/>
          <w:color w:val="231F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ind w:left="1040" w:hanging="438"/>
        <w:spacing w:after="0"/>
        <w:tabs>
          <w:tab w:leader="none" w:pos="104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a limited amount of new and analyst coverage; and</w:t>
      </w:r>
    </w:p>
    <w:p>
      <w:pPr>
        <w:spacing w:after="0" w:line="63" w:lineRule="exact"/>
        <w:rPr>
          <w:rFonts w:ascii="Arial" w:cs="Arial" w:eastAsia="Arial" w:hAnsi="Arial"/>
          <w:sz w:val="18"/>
          <w:szCs w:val="18"/>
          <w:color w:val="231F20"/>
        </w:rPr>
      </w:pPr>
    </w:p>
    <w:p>
      <w:pPr>
        <w:ind w:left="1040" w:hanging="438"/>
        <w:spacing w:after="0"/>
        <w:tabs>
          <w:tab w:leader="none" w:pos="104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a decreased ability to issue additional securities or obtain additional financing in the future.</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common stock and will be able to exert significant control over matters subject to stockholder approval.</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231F20"/>
        </w:rPr>
        <w:t>Our executive officers, directors, holders of 5% or more of our capital stock and their respective affiliates beneficially owned a significant portion of our outstanding voting stock.</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231F20"/>
        </w:rPr>
        <w:t>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04" w:name="page105"/>
    <w:bookmarkEnd w:id="104"/>
    <w:p>
      <w:pPr>
        <w:ind w:right="220"/>
        <w:spacing w:after="0" w:line="308" w:lineRule="auto"/>
        <w:rPr>
          <w:sz w:val="20"/>
          <w:szCs w:val="20"/>
          <w:color w:val="auto"/>
        </w:rPr>
      </w:pPr>
      <w:r>
        <w:rPr>
          <w:rFonts w:ascii="Arial" w:cs="Arial" w:eastAsia="Arial" w:hAnsi="Arial"/>
          <w:sz w:val="17"/>
          <w:szCs w:val="17"/>
          <w:color w:val="231F20"/>
        </w:rPr>
        <w:t>interests of other stockholder and they may act in a manner that advances their best interests and not necessarily those of other stockholders, including seeking a premium value for their common stock, and might affect the prevailing market price for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Unfavorable global economic conditions could adversely affect our business, financial condition or results of operations.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Our results of operations could be adversely affected by war, terrorism, geopolitical uncertainties, other business interruptions, and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Russia or the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spacing w:after="0" w:line="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231F20"/>
        </w:rPr>
        <w:t>In addition, our operations and performance may be affected by political or civil unrest or military action, including the current conflict between Russia and Ukraine,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spacing w:after="0" w:line="6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231F20"/>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spacing w:after="0" w:line="3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231F20"/>
        </w:rPr>
        <w:t>We are a “smaller reporting company” under applicable securities regulations. A smaller reporting company is a company that, as of the last business day of its most recently completed second fiscal quarter, has an aggregate market value of the company’s voting stock held by non-affiliates, or public float, of less than $250 million, or has at least $100 million in revenue and at least $700 million in public float.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$75 million,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anticipate that we will pay any cash dividends in the foreseeable future.</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231F20"/>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49" w:right="539" w:bottom="1440" w:gutter="0" w:footer="0" w:header="0"/>
        </w:sectPr>
      </w:pPr>
    </w:p>
    <w:bookmarkStart w:id="105" w:name="page106"/>
    <w:bookmarkEnd w:id="105"/>
    <w:p>
      <w:pPr>
        <w:ind w:right="540"/>
        <w:spacing w:after="0" w:line="277" w:lineRule="auto"/>
        <w:rPr>
          <w:sz w:val="20"/>
          <w:szCs w:val="20"/>
          <w:color w:val="auto"/>
        </w:rPr>
      </w:pPr>
      <w:r>
        <w:rPr>
          <w:rFonts w:ascii="Arial" w:cs="Arial" w:eastAsia="Arial" w:hAnsi="Arial"/>
          <w:sz w:val="18"/>
          <w:szCs w:val="18"/>
          <w:b w:val="1"/>
          <w:bCs w:val="1"/>
          <w:i w:val="1"/>
          <w:iCs w:val="1"/>
          <w:color w:val="231F20"/>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231F20"/>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more difficult and may prevent attempts our stockholders to replace or remove our management.</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31F20"/>
        </w:rPr>
        <w:t>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8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231F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Our amended and restated by-laws provides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spacing w:after="0" w:line="5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We are a California-domiciled public company and are required to have at least two or three women on our board of directors at the end of 2021, depending on the size of our board at the time.</w:t>
      </w:r>
    </w:p>
    <w:p>
      <w:pPr>
        <w:spacing w:after="0" w:line="6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231F20"/>
        </w:rPr>
        <w:t>Our success depends in part on our continued ability to attract, retain and motivate highly qualified individuals to our board of directors. As a public company headquartered in California, we were required to have two or three women on our board of directors by the end of 2021, depending on the size of our board of directors at the time. We currently have seven seats on our board of directors which will require us to have at least three women on our</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06" w:name="page107"/>
    <w:bookmarkEnd w:id="106"/>
    <w:p>
      <w:pPr>
        <w:jc w:val="both"/>
        <w:ind w:right="480"/>
        <w:spacing w:after="0" w:line="286" w:lineRule="auto"/>
        <w:rPr>
          <w:sz w:val="20"/>
          <w:szCs w:val="20"/>
          <w:color w:val="auto"/>
        </w:rPr>
      </w:pPr>
      <w:r>
        <w:rPr>
          <w:rFonts w:ascii="Arial" w:cs="Arial" w:eastAsia="Arial" w:hAnsi="Arial"/>
          <w:sz w:val="17"/>
          <w:szCs w:val="17"/>
          <w:color w:val="231F20"/>
        </w:rPr>
        <w:t>board of directors by the end of 2021. While we currently have two women on the board of directors, recruiting and retaining board members carries uncertainty, and failure to comply with this California requirement may result in financial penalties, ranging from $100,000 to $300,000. To date, the Secretary of State of the State of California has neither adopted regulations regarding fines or imposed fines for violations.</w:t>
      </w:r>
    </w:p>
    <w:p>
      <w:pPr>
        <w:spacing w:after="0" w:line="5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231F20"/>
        </w:rPr>
        <w:t>Our employees may engage in misconduct or other improper activities, including violating applicable regulatory standards and requirements or engaging in insider trading, which could significantly harm our business.</w:t>
      </w:r>
    </w:p>
    <w:p>
      <w:pPr>
        <w:spacing w:after="0" w:line="6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231F20"/>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fines or other sanctions.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corporate headquarters consist of 2,760 square feet of leased office space in Pacific Palisades, California. Our lease expires on February 28, 2025.</w:t>
      </w:r>
    </w:p>
    <w:p>
      <w:pPr>
        <w:spacing w:after="0" w:line="14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believe our existing facility is adequate to meet our current needs, and that suitable additional alternative spaces will be available in the future on commercially reasonable terms for our future growth.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the date of this Annual Report on Form 10-K, we are not currently involved in any material legal proceedings. However, 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80"/>
        <w:spacing w:after="0" w:line="377"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began trading on the Nasdaq Capital Market on August 27, 2021, under the symbol “AADI.”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11, 2022, there were 113 stockholders of record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never declared nor paid any cash dividends to stockholders. We do not intend to pay cash dividends on our common stock for the foreseeable future, and currently intend to retain any future earnings to fund our operations and the development and growth of our business. The declaration of any future cash dividends, if any, would be at the discretion of our board of directors (subject to limitations imposed under applicable Delaware law) and would depend on our earnings, if any, our capital requirements and financial position, our general economic conditions and other pertinent conditions.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shares of common stock made during the year ended December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r>
        <w:rPr>
          <w:rFonts w:ascii="Arial" w:cs="Arial" w:eastAsia="Arial" w:hAnsi="Arial"/>
          <w:sz w:val="18"/>
          <w:szCs w:val="18"/>
          <w:color w:val="auto"/>
        </w:rPr>
        <w: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The following discussion of our financial condition and results of operations of Aadi Bioscience, Inc. should be read in conjunction with the consolidated financial statements and the related notes to those statements thereto appearing elsewhere in this Annual Report for the year ending December 31, 2021.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Annual Report. You should read this Annual Report completely, including the “Risk Factors” section under Part I, Item 1A of this Annual Report and the “Forward-Looking Statements” sections of this Annual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are a biopharmaceutical company focused on developing and commercializing precision therapies for genetically defined cancers with alterations in mTOR pathway genes. Our lead drug product, FYARRO, </w:t>
      </w:r>
      <w:r>
        <w:rPr>
          <w:rFonts w:ascii="Arial" w:cs="Arial" w:eastAsia="Arial" w:hAnsi="Arial"/>
          <w:sz w:val="18"/>
          <w:szCs w:val="18"/>
          <w:i w:val="1"/>
          <w:iCs w:val="1"/>
          <w:color w:val="auto"/>
        </w:rPr>
        <w:t>nab</w:t>
      </w:r>
      <w:r>
        <w:rPr>
          <w:rFonts w:ascii="Arial" w:cs="Arial" w:eastAsia="Arial" w:hAnsi="Arial"/>
          <w:sz w:val="18"/>
          <w:szCs w:val="18"/>
          <w:color w:val="auto"/>
        </w:rPr>
        <w:t>-sirolimus, (sirolimus protein-bound particles for injectable suspension (albumin-bound)), is a form of sirolimus bound to albumin. Sirolimus is a potent inhibitor of the mTOR biological pathway, the activation of which pathway can promote tumor growth, and inhibits downstream signaling from mTOR.</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May 2021, we completed the filing of a rolling new drug application (“NDA”) for FYARRO to the U.S. Food and Drug Administration (the “FDA”), for approval to treat patients with advanced malignant PEComa. The FDA accepted the NDA in July 2021 and granted us priority review designation with a Prescription Drug User Fee Act target action date in November 2021. The NDA was based on results from our Phase 2 registrational study, AMPECT (Advanced Malignant PEComa Trial), in advanced malignant PEComa.</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November 2021, the FDA approved FYARRO sirolimus protein-bound particles for injectable suspension (albumin-bound) for intravenous use for the treatment of adult patients with locally advanced malignant PEComa. During the first quarter of 2022, we launched FYARRO in the United States for treatment of advanced malignant PEComa.</w:t>
      </w:r>
    </w:p>
    <w:p>
      <w:pPr>
        <w:spacing w:after="0" w:line="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advanced malignant PEComa, based on data from the completed AMPECT trial and our expanded access program, we have initiated a registration-directed tumor-agnostic Phase 2 study (“PRECISION 1”) of FYARRO in patients with Tuberous Sclerosis Complex 1 and 2 (</w:t>
      </w:r>
      <w:r>
        <w:rPr>
          <w:rFonts w:ascii="Arial" w:cs="Arial" w:eastAsia="Arial" w:hAnsi="Arial"/>
          <w:sz w:val="18"/>
          <w:szCs w:val="18"/>
          <w:i w:val="1"/>
          <w:iCs w:val="1"/>
          <w:color w:val="auto"/>
        </w:rPr>
        <w:t>TSC1</w:t>
      </w:r>
      <w:r>
        <w:rPr>
          <w:rFonts w:ascii="Arial" w:cs="Arial" w:eastAsia="Arial" w:hAnsi="Arial"/>
          <w:sz w:val="18"/>
          <w:szCs w:val="18"/>
          <w:color w:val="auto"/>
        </w:rPr>
        <w:t xml:space="preserve"> &amp; </w:t>
      </w:r>
      <w:r>
        <w:rPr>
          <w:rFonts w:ascii="Arial" w:cs="Arial" w:eastAsia="Arial" w:hAnsi="Arial"/>
          <w:sz w:val="18"/>
          <w:szCs w:val="18"/>
          <w:i w:val="1"/>
          <w:iCs w:val="1"/>
          <w:color w:val="auto"/>
        </w:rPr>
        <w:t>TSC2</w:t>
      </w:r>
      <w:r>
        <w:rPr>
          <w:rFonts w:ascii="Arial" w:cs="Arial" w:eastAsia="Arial" w:hAnsi="Arial"/>
          <w:sz w:val="18"/>
          <w:szCs w:val="18"/>
          <w:color w:val="auto"/>
        </w:rPr>
        <w:t>) alterations. We have completed a Type B meeting with the FDA in which we discussed the initial trial design and the PRECISION 1 trial was opened for enrollment in the first quarter of 2022 in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regarding our business, including FYARRO, the AMPECT trial and the PRECISION 1 trial, see Part I, Item 1 (Business).</w:t>
      </w:r>
    </w:p>
    <w:p>
      <w:pPr>
        <w:spacing w:after="0" w:line="1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For the fiscal year ended December 31, 2021, we recorded revenue of $1.1 million and net loss of $110.1 million. See “Results of Consolidated Operations” for further discussion of our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2021 Reverse Merger</w:t>
      </w:r>
    </w:p>
    <w:p>
      <w:pPr>
        <w:spacing w:after="0" w:line="117" w:lineRule="exact"/>
        <w:rPr>
          <w:sz w:val="20"/>
          <w:szCs w:val="20"/>
          <w:color w:val="auto"/>
        </w:rPr>
      </w:pPr>
    </w:p>
    <w:p>
      <w:pPr>
        <w:ind w:left="880" w:right="60" w:hanging="440"/>
        <w:spacing w:after="0" w:line="255"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May 16, 2021, at which time we were operating as “Aerpio Pharmaceuticals, Inc.,” we entered into: (i) an Agreement and Plan of Merger (“Merger Agreement”) with Aspen Merger Subsidiary, Inc., our wholly-owned subsidiary (“Merger Sub”), and Aadi Subsidiary, Inc. (formerly known as Aadi Bioscience, Inc. (“Private Aadi”)); and (ii) a subscription agreement (“Subscription Agreement”) with certain investors (the “PIPE Investors”), pursuant to which we agreed to sell shares of our common stock to the PIPE Investors concurrently with the closing of the Merger (as defined below) (the “PIPE Financing”). See Note 1 to our audited financial statements for more information about the Merger Agreement and the Subscription Agreement.</w:t>
      </w:r>
    </w:p>
    <w:p>
      <w:pPr>
        <w:spacing w:after="0" w:line="84" w:lineRule="exact"/>
        <w:rPr>
          <w:rFonts w:ascii="Arial" w:cs="Arial" w:eastAsia="Arial" w:hAnsi="Arial"/>
          <w:sz w:val="18"/>
          <w:szCs w:val="18"/>
          <w:color w:val="auto"/>
        </w:rPr>
      </w:pPr>
    </w:p>
    <w:p>
      <w:pPr>
        <w:ind w:left="880" w:hanging="440"/>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August 26, 2021, pursuant to the terms of the Merger Agreement and the Subscription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9" w:name="page110"/>
    <w:bookmarkEnd w:id="109"/>
    <w:p>
      <w:pPr>
        <w:ind w:left="1740" w:hanging="436"/>
        <w:spacing w:after="0"/>
        <w:tabs>
          <w:tab w:leader="none" w:pos="1740" w:val="left"/>
        </w:tabs>
        <w:numPr>
          <w:ilvl w:val="0"/>
          <w:numId w:val="55"/>
        </w:numPr>
        <w:rPr>
          <w:rFonts w:ascii="Courier New" w:cs="Courier New" w:eastAsia="Courier New" w:hAnsi="Courier New"/>
          <w:sz w:val="17"/>
          <w:szCs w:val="17"/>
          <w:color w:val="auto"/>
        </w:rPr>
      </w:pPr>
      <w:r>
        <w:rPr>
          <w:rFonts w:ascii="Arial" w:cs="Arial" w:eastAsia="Arial" w:hAnsi="Arial"/>
          <w:sz w:val="17"/>
          <w:szCs w:val="17"/>
          <w:color w:val="auto"/>
        </w:rPr>
        <w:t>Merger Sub merged with and into Private Aadi, with Private Aadi surviving as our wholly-owned subsidiary (the “Merger”);</w:t>
      </w:r>
    </w:p>
    <w:p>
      <w:pPr>
        <w:spacing w:after="0" w:line="113" w:lineRule="exact"/>
        <w:rPr>
          <w:rFonts w:ascii="Courier New" w:cs="Courier New" w:eastAsia="Courier New" w:hAnsi="Courier New"/>
          <w:sz w:val="17"/>
          <w:szCs w:val="17"/>
          <w:color w:val="auto"/>
        </w:rPr>
      </w:pPr>
    </w:p>
    <w:p>
      <w:pPr>
        <w:ind w:left="1740" w:right="300" w:hanging="436"/>
        <w:spacing w:after="0" w:line="259" w:lineRule="auto"/>
        <w:tabs>
          <w:tab w:leader="none" w:pos="1740" w:val="left"/>
        </w:tabs>
        <w:numPr>
          <w:ilvl w:val="0"/>
          <w:numId w:val="55"/>
        </w:numPr>
        <w:rPr>
          <w:rFonts w:ascii="Courier New" w:cs="Courier New" w:eastAsia="Courier New" w:hAnsi="Courier New"/>
          <w:sz w:val="18"/>
          <w:szCs w:val="18"/>
          <w:color w:val="auto"/>
        </w:rPr>
      </w:pPr>
      <w:r>
        <w:rPr>
          <w:rFonts w:ascii="Arial" w:cs="Arial" w:eastAsia="Arial" w:hAnsi="Arial"/>
          <w:sz w:val="18"/>
          <w:szCs w:val="18"/>
          <w:color w:val="auto"/>
        </w:rPr>
        <w:t>in connection with and immediately prior to the Merger, we effected a reverse stock split of our common stock at a ratio of 15:1 and changed our name from “Aerpio Pharmaceuticals, Inc.” to “Aadi Bioscience, Inc”;</w:t>
      </w:r>
    </w:p>
    <w:p>
      <w:pPr>
        <w:spacing w:after="0" w:line="76" w:lineRule="exact"/>
        <w:rPr>
          <w:rFonts w:ascii="Courier New" w:cs="Courier New" w:eastAsia="Courier New" w:hAnsi="Courier New"/>
          <w:sz w:val="18"/>
          <w:szCs w:val="18"/>
          <w:color w:val="auto"/>
        </w:rPr>
      </w:pPr>
    </w:p>
    <w:p>
      <w:pPr>
        <w:ind w:left="1740" w:right="60" w:hanging="436"/>
        <w:spacing w:after="0" w:line="252" w:lineRule="auto"/>
        <w:tabs>
          <w:tab w:leader="none" w:pos="1740" w:val="left"/>
        </w:tabs>
        <w:numPr>
          <w:ilvl w:val="0"/>
          <w:numId w:val="55"/>
        </w:numPr>
        <w:rPr>
          <w:rFonts w:ascii="Courier New" w:cs="Courier New" w:eastAsia="Courier New" w:hAnsi="Courier New"/>
          <w:sz w:val="18"/>
          <w:szCs w:val="18"/>
          <w:color w:val="auto"/>
        </w:rPr>
      </w:pPr>
      <w:r>
        <w:rPr>
          <w:rFonts w:ascii="Arial" w:cs="Arial" w:eastAsia="Arial" w:hAnsi="Arial"/>
          <w:sz w:val="18"/>
          <w:szCs w:val="18"/>
          <w:color w:val="auto"/>
        </w:rPr>
        <w:t>at the effective time of the Merger, based on an exchange ratio of 0.3172 (after taking into account the Reverse Stock Split), as calculated under the Merger Agreement (the “Exchange Ratio”), we issued an aggregate of 5,776,660 shares of common stock to the holders of Private Aadi common stock immediately prior to the Merger, including shares of Private Aadi common stock issuable upon the conversion of all shares of preferred stock and convertible promissory notes outstanding immediately prior to the Effective Time;</w:t>
      </w:r>
    </w:p>
    <w:p>
      <w:pPr>
        <w:spacing w:after="0" w:line="84" w:lineRule="exact"/>
        <w:rPr>
          <w:rFonts w:ascii="Courier New" w:cs="Courier New" w:eastAsia="Courier New" w:hAnsi="Courier New"/>
          <w:sz w:val="18"/>
          <w:szCs w:val="18"/>
          <w:color w:val="auto"/>
        </w:rPr>
      </w:pPr>
    </w:p>
    <w:p>
      <w:pPr>
        <w:ind w:left="1740" w:right="20" w:hanging="436"/>
        <w:spacing w:after="0" w:line="254" w:lineRule="auto"/>
        <w:tabs>
          <w:tab w:leader="none" w:pos="1740" w:val="left"/>
        </w:tabs>
        <w:numPr>
          <w:ilvl w:val="0"/>
          <w:numId w:val="55"/>
        </w:numPr>
        <w:rPr>
          <w:rFonts w:ascii="Courier New" w:cs="Courier New" w:eastAsia="Courier New" w:hAnsi="Courier New"/>
          <w:sz w:val="18"/>
          <w:szCs w:val="18"/>
          <w:color w:val="auto"/>
        </w:rPr>
      </w:pPr>
      <w:r>
        <w:rPr>
          <w:rFonts w:ascii="Arial" w:cs="Arial" w:eastAsia="Arial" w:hAnsi="Arial"/>
          <w:sz w:val="18"/>
          <w:szCs w:val="18"/>
          <w:color w:val="auto"/>
        </w:rPr>
        <w:t>at the closing of the Merger, we assumed all of the outstanding and unexercised options to purchase shares of Private Aadi common stock, which options were converted into options to purchase shares of our common stock, as adjusted pursuant to the Merger Agreement based on the Exchange Ratio;</w:t>
      </w:r>
    </w:p>
    <w:p>
      <w:pPr>
        <w:spacing w:after="0" w:line="81" w:lineRule="exact"/>
        <w:rPr>
          <w:rFonts w:ascii="Courier New" w:cs="Courier New" w:eastAsia="Courier New" w:hAnsi="Courier New"/>
          <w:sz w:val="18"/>
          <w:szCs w:val="18"/>
          <w:color w:val="auto"/>
        </w:rPr>
      </w:pPr>
    </w:p>
    <w:p>
      <w:pPr>
        <w:ind w:left="1740" w:right="60" w:hanging="436"/>
        <w:spacing w:after="0" w:line="252" w:lineRule="auto"/>
        <w:tabs>
          <w:tab w:leader="none" w:pos="1740" w:val="left"/>
        </w:tabs>
        <w:numPr>
          <w:ilvl w:val="0"/>
          <w:numId w:val="55"/>
        </w:numPr>
        <w:rPr>
          <w:rFonts w:ascii="Courier New" w:cs="Courier New" w:eastAsia="Courier New" w:hAnsi="Courier New"/>
          <w:sz w:val="18"/>
          <w:szCs w:val="18"/>
          <w:color w:val="auto"/>
        </w:rPr>
      </w:pPr>
      <w:r>
        <w:rPr>
          <w:rFonts w:ascii="Arial" w:cs="Arial" w:eastAsia="Arial" w:hAnsi="Arial"/>
          <w:sz w:val="18"/>
          <w:szCs w:val="18"/>
          <w:color w:val="auto"/>
        </w:rPr>
        <w:t>concurrently with the Closing of the Merger, we issued and sold 11,852,862 shares of common stock to the PIPE Investors for total gross proceeds of $155 million and, immediately after the closing of the Merger and the PIPE Financing, the PIPE Investors and the Private Aadi investors as of immediately prior to the effective time of the Merger owned 55.6% and 29.2%, respectively, of our outstanding common stock on a fully-diluted basis; and</w:t>
      </w:r>
    </w:p>
    <w:p>
      <w:pPr>
        <w:spacing w:after="0" w:line="85" w:lineRule="exact"/>
        <w:rPr>
          <w:rFonts w:ascii="Courier New" w:cs="Courier New" w:eastAsia="Courier New" w:hAnsi="Courier New"/>
          <w:sz w:val="18"/>
          <w:szCs w:val="18"/>
          <w:color w:val="auto"/>
        </w:rPr>
      </w:pPr>
    </w:p>
    <w:p>
      <w:pPr>
        <w:ind w:left="1740" w:hanging="436"/>
        <w:spacing w:after="0" w:line="291" w:lineRule="auto"/>
        <w:tabs>
          <w:tab w:leader="none" w:pos="1740" w:val="left"/>
        </w:tabs>
        <w:numPr>
          <w:ilvl w:val="0"/>
          <w:numId w:val="55"/>
        </w:numPr>
        <w:rPr>
          <w:rFonts w:ascii="Courier New" w:cs="Courier New" w:eastAsia="Courier New" w:hAnsi="Courier New"/>
          <w:sz w:val="16"/>
          <w:szCs w:val="16"/>
          <w:color w:val="auto"/>
        </w:rPr>
      </w:pPr>
      <w:r>
        <w:rPr>
          <w:rFonts w:ascii="Arial" w:cs="Arial" w:eastAsia="Arial" w:hAnsi="Arial"/>
          <w:sz w:val="16"/>
          <w:szCs w:val="16"/>
          <w:color w:val="auto"/>
        </w:rPr>
        <w:t>we entered into a contingent value rights agreement (“CVR Agreement”) pursuant to which each of our stockholders as of immediately prior to the effective time of the Merger became entitled to certain contingent value rights entitling them to receive 90% of the net proceeds (calculated as gross consideration minus certain permitted deductions), if any, received by us under the license agreement, dated June 24, 2018, with Gossamer Bio, Inc., as amended, and certain other covered agreements, as specified in the CVR Agreement (see Note 1 to our audited financial statements for more information about the CVR Agreement).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License Agreement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April 2014, Private Aadi entered into a license agreement (the “Celgene License Agreement”) with Abraxis BioScience, LLC, a wholly owned subsidiary of Celgene Corporation, now Bristol Myers Squibb Company (“Celgene”), for exclusive rights for certain patents and a non-exclusive license for certain technology and know-how pertaining to ABI-009 (which we refer to as FYARRO). Under the Celgene License Agreement, as amended, Celgene is entitled to receive certain development milestone payments, royalties on net sales from licensed products under the agreement and any sublicense fees. No payments related to milestones or royalties under this agreement were paid during the twelve months ended December 31, 2021 and December 31, 2020. See Note 2 to the audited financial statements for more information about the Celgene License Agreement.</w:t>
      </w:r>
    </w:p>
    <w:p>
      <w:pPr>
        <w:spacing w:after="0" w:line="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Under the terms of an August 2021 amendment to the Celgene License Agreement, we paid Celgene $5.8 million, representing 50% of the previously outstanding payment obligation under the terms of the Celgene License Agreement, following the effective time of the PIPE Financing. Pursuant to the terms of the amendment, the remaining portion of the previously outstanding payment obligation ($5.8 million), which is recorded on our balance sheet as a “payable to related party,” is due on the third anniversary of the effective time plus any accrued and unpaid interest due thereon.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EOC License Agreement</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December 2020, we entered into a license agreement (“EOC License Agreement”) with EOC Pharma (Hong Kong) Limited (“EOC”) under which we received $14.0 million in January 2021 in non-refundable upfront consideration as partial payment for the rights and licenses granted to EOC by us for the further development and commercialization of FYARRO in the People’s Republic of China, Hong Kong Special Administration Region, Macao Special Administrative Region and Taiwan (the “Licensed Territory”). See Note 8 to the audited financial statements for more information about the EOC License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0" w:name="page111"/>
    <w:bookmarkEnd w:id="110"/>
    <w:p>
      <w:pPr>
        <w:jc w:val="both"/>
        <w:ind w:right="100"/>
        <w:spacing w:after="0" w:line="263" w:lineRule="auto"/>
        <w:rPr>
          <w:sz w:val="20"/>
          <w:szCs w:val="20"/>
          <w:color w:val="auto"/>
        </w:rPr>
      </w:pPr>
      <w:r>
        <w:rPr>
          <w:rFonts w:ascii="Arial" w:cs="Arial" w:eastAsia="Arial" w:hAnsi="Arial"/>
          <w:sz w:val="18"/>
          <w:szCs w:val="18"/>
          <w:color w:val="auto"/>
        </w:rPr>
        <w:t>In accordance with the Celgene License Agreement, we are required to pay 20% of all sublicense fees to Celgene. As such, we recognized $2.8 million of license expense in the fourth quarter of 2020 and had a corresponding $2.8 million sublicense payable to Celgene on the balance sheet as of December 31, 2020, which was paid in 2021.</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fourth quarter of 2021, we recognized license revenue and received $1.0 million from EOC for achieving the FDA approval milestone in November 2021. In accordance with the Celgene License Agreement, we recognized $0.2 million of license expense in the fourth quarter of 2021 and had a corresponding $0.2 million sublicense payable to Celgene on the balance sheet as of December 31, 2021, which was paid in 2022.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Factors Affecting Comparability Between Periods</w:t>
      </w:r>
    </w:p>
    <w:p>
      <w:pPr>
        <w:spacing w:after="0" w:line="117" w:lineRule="exact"/>
        <w:rPr>
          <w:sz w:val="20"/>
          <w:szCs w:val="20"/>
          <w:color w:val="auto"/>
        </w:rPr>
      </w:pPr>
    </w:p>
    <w:p>
      <w:pPr>
        <w:ind w:left="880" w:hanging="440"/>
        <w:spacing w:after="0" w:line="273" w:lineRule="auto"/>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Following FDA approval in November 2021, we have been actively engaged in commercial preparations to support the U.S. launch of FYARRO for the treatment of patients with advanced malignant PEComa. We have built a cross-functional commercial team consisting of marketing, market access, commercial operations, and sales to support our launch and are building a commercial infrastructure with capabilities designed to scale when necessary to support future commercial launches. Expenses related to our commercial launch including personnel expenses, sales support, and marketing are included in general and administrative expenses for the year ended December 31, 2021. We expect these expenses will continue to increase as we launch FYARRO and support future launches.</w:t>
      </w:r>
    </w:p>
    <w:p>
      <w:pPr>
        <w:spacing w:after="0" w:line="69" w:lineRule="exact"/>
        <w:rPr>
          <w:rFonts w:ascii="Arial" w:cs="Arial" w:eastAsia="Arial" w:hAnsi="Arial"/>
          <w:sz w:val="17"/>
          <w:szCs w:val="17"/>
          <w:color w:val="auto"/>
        </w:rPr>
      </w:pPr>
    </w:p>
    <w:p>
      <w:pPr>
        <w:ind w:left="880" w:right="120" w:hanging="440"/>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expect that our research and development costs will increase in 2022 relative to 2021 as a result of anticipated significant expenses related to the PRECISION 1 trial.</w:t>
      </w:r>
    </w:p>
    <w:p>
      <w:pPr>
        <w:spacing w:after="0" w:line="62" w:lineRule="exact"/>
        <w:rPr>
          <w:rFonts w:ascii="Arial" w:cs="Arial" w:eastAsia="Arial" w:hAnsi="Arial"/>
          <w:sz w:val="18"/>
          <w:szCs w:val="18"/>
          <w:color w:val="auto"/>
        </w:rPr>
      </w:pPr>
    </w:p>
    <w:p>
      <w:pPr>
        <w:ind w:left="880" w:hanging="440"/>
        <w:spacing w:after="0" w:line="259"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Following the Merger, we have incurred, and expect to continue to incur, significant additional expenses associated with being a public company that we did not incur as a privately-held company, including (i) costs to comply with the rules and regulations of the SEC and those of Nasdaq, (ii) legal, accounting and other professional services, (iii) insurance, (iv) investor relations activities and (v) other administrative and professional services.</w:t>
      </w:r>
    </w:p>
    <w:p>
      <w:pPr>
        <w:spacing w:after="0" w:line="78" w:lineRule="exact"/>
        <w:rPr>
          <w:rFonts w:ascii="Arial" w:cs="Arial" w:eastAsia="Arial" w:hAnsi="Arial"/>
          <w:sz w:val="18"/>
          <w:szCs w:val="18"/>
          <w:color w:val="auto"/>
        </w:rPr>
      </w:pPr>
    </w:p>
    <w:p>
      <w:pPr>
        <w:ind w:left="880" w:right="20" w:hanging="440"/>
        <w:spacing w:after="0" w:line="25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accounted for the Merger as a reverse asset acquisition because substantially all of the fair value was concentrated in cash, working capital, and a long-lived contract intangible asset. Due to the significant excess purchase price being allocated over the fair value of the acquired contract intangible asset, we determined that an indicator of impairment was present and recognized in 2021 a non-cash impairment charge of $74.2 million, to bring the carrying amount of the contract intangible asset down to its estimated fair value of $3.9 million. The intangible asset is being amortized over the life of the underlying asset, 14.3 years.</w:t>
      </w:r>
    </w:p>
    <w:p>
      <w:pPr>
        <w:spacing w:after="0" w:line="79" w:lineRule="exact"/>
        <w:rPr>
          <w:rFonts w:ascii="Arial" w:cs="Arial" w:eastAsia="Arial" w:hAnsi="Arial"/>
          <w:sz w:val="18"/>
          <w:szCs w:val="18"/>
          <w:color w:val="auto"/>
        </w:rPr>
      </w:pPr>
    </w:p>
    <w:p>
      <w:pPr>
        <w:ind w:left="880" w:right="240" w:hanging="440"/>
        <w:spacing w:after="0" w:line="271" w:lineRule="auto"/>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COVID-19 pandemic has resulted, and is likely to continue to result in, significant national and global economic disruption and may adversely affect our operations. Our clinical trials have been, and may continue to be, affected by the closure of offices, lack of resources or closure of borders, among other measures being put in place around the world. The inability to travel and conduct face-to-face meetings, as well as constraints surrounding hospital infrastructure and staff, can also make it more difficult to enroll and maintain patients in ongoing or planned clinical trials. We are actively monitoring the impact of COVID-19 and the possible effects on our financial condition, liquidity, operations, suppliers, industry and workforce. However, the full extent, consequences and duration of the COVID-19 pandemic and the resulting impact on us cannot currently be predicted. We will continue to evaluate the impact that these events could have on our operations, financial position, results of operations and cash flows in fiscal year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incurred net losses in each year since inception and as of December 31, 2021 we had an accumulated deficit of $142.7 million. These losses have resulted principally from costs incurred in connection with research and development activities, general and administrative costs associated with our operations, and costs associated with the Merger. We expect to continue to incur significant expenses and operating losses for the foreseeable future due to the cost of research and development, including identifying and designing product candidates and conducting preclinical studies and clinical trials, the regulatory approval process for our product candidates and the commercial launch of FYARRO. As of December 31, 2021, we had $149.0 million of cash and cash equivalents. Based on our current plans, we believe our existing cash and cash equivalents will enable us to conduct our planned operations into 2024.</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Key Management Changes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Upon the closing of the Merger, Neil Desai, Ph.D. became our President and Chief Executive Officer. Following the Merger, we appointed Brendan Delaney as our Chief Operating Officer (September 2021), Loretta M. Itri, M.D. as our Chief Medical Officer (October 2021), and Scott Giacobello as our Chief Financial Officer (November 2021). Additionally, in September 2021, we appointed Emma Reeve to serve as a Class III director and as Chair of the Audit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consolidated balance sheets and statements of operation and comprehensive loss presented herein. The following discussion and analysis are based on our consolidated financial statements contained in this Annual Report, which we have prepared in accordance with U.S. generally accepted accounting principles (“GAAP”). You should read the discussion and analysis together with such consolidated financial statements and the related notes thereto.</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Statements of Operations and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EOC Pharma License Revenue</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December 2020, we entered into the EOC License Agreement with EOC pursuant to which, we granted EOC exclusive rights to develop and commercialize FYARRO in the Licensed Territory for human use in specified indications. EOC is obligated to pay royalties to us on sales of licensed products in the Licensed Territory. Under the terms of the EOC License Agreement, EOC has agreed to use commercially reasonable efforts to develop and commercialize FYARRO in the Licensed Territory and to obtain and maintain regulatory approval.</w:t>
      </w:r>
    </w:p>
    <w:p>
      <w:pPr>
        <w:spacing w:after="0" w:line="6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Unless earlier terminated, the EOC License Agreement will remain in effect until all milestones are achieved and royalty payment obligations are fulfilled as provided for in the EOC License Agreement. Prior to the expiration of the EOC License Agreement, EOC has the right to terminate the agreement for any reason upon a specified number of days advance written notice. Either party may terminate the EOC License Agreement in the event that the other party materially breaches the agreement and fails to cure the breach, or experiences certain events of financial distress. We may terminate the EOC License Agreement if EOC or its affiliates challenge the licensed patents in a legal, administrative or arbitration proceeding.</w:t>
      </w:r>
    </w:p>
    <w:p>
      <w:pPr>
        <w:spacing w:after="0" w:line="6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December 2020, we recognized revenue of $14.0 million related to the upfront payment which was paid in January 2021. We are eligible to receive up to an additional $257.0 million in the aggregate upon achievement of certain development, regulatory and sales milestones, as well as tiered royalties on net sales in the Licensed Territory, which royalties are potentially subject to various reductions. EOC is responsible for controlling the filing for and obtaining all regulatory approvals, with our reasonable cooperation, and for bearing all costs associated with those approvals. In November 2021, we achieved the FDA approval milestone and recognized $1.0 million of revenue, which was paid in December 2021.</w:t>
      </w:r>
    </w:p>
    <w:p>
      <w:pPr>
        <w:spacing w:after="0" w:line="6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assessed the EOC License Agreement and concluded that EOC is a customer. Additionally, we identified the license of FYARRO provided to EOC as the sole performance obligation. The $14.0 million upfront payment received from EOC is non-refundable and non-creditable and is considered fixed consideration.</w:t>
      </w:r>
    </w:p>
    <w:p>
      <w:pPr>
        <w:spacing w:after="0" w:line="76"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Both the milestones and royalty payments under the EOC License Agreement are considered variable consideration and, with respect to revenue recognition, are constrained until we receive notification from EOC that the milestones and royalty payments have been achieved.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Grant revenue is derived from federal grants, primarily with the FDA. We have determined that the government agencies providing grants to us are not customers. Grant revenue is recognized when there is reasonable assurance of compliance with the conditions of the grant and reasonable assurance that the grant revenue will be received. We recognize grant revenue as reimbursable grant costs are incurred. The costs associated with these reimbursements are reflected as a component of research and development expense in the accompanying statements of operations and comprehensive loss.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2" w:name="page113"/>
    <w:bookmarkEnd w:id="112"/>
    <w:p>
      <w:pPr>
        <w:ind w:right="100"/>
        <w:spacing w:after="0" w:line="259" w:lineRule="auto"/>
        <w:rPr>
          <w:sz w:val="20"/>
          <w:szCs w:val="20"/>
          <w:color w:val="auto"/>
        </w:rPr>
      </w:pPr>
      <w:r>
        <w:rPr>
          <w:rFonts w:ascii="Arial" w:cs="Arial" w:eastAsia="Arial" w:hAnsi="Arial"/>
          <w:sz w:val="18"/>
          <w:szCs w:val="18"/>
          <w:color w:val="auto"/>
        </w:rPr>
        <w:t>With respect to grant revenue derived from reimbursement of direct out-of-pocket expenses for research costs associated with federal contracts, where we act as principal with discretion to choose suppliers, bear credit risk and perform part of the services required in the transaction, we record revenue for the gross amount of the reimbursement. The costs associated with these reimbursements are reflected as a component of research and development expense in the accompanying statements of operations and comprehensive loss.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 (i) employee related costs, including salaries, benefits and stock-based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our product candidates through clinical trials. As a result, we expect that our research and development expenses will increase substantially in the foreseeable future as we continue to invest in research and development activities, pursue clinical development of our product candidates and expand our product candidate pipeline.</w:t>
      </w:r>
    </w:p>
    <w:p>
      <w:pPr>
        <w:spacing w:after="0" w:line="6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process of commercialization and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 We expect that general and administrative expenses will increase in the future as we expand our operating activities. Additionally, we will incur significant additional expenses associated with being a public company that we did not incur as a privately-held company, including (i) costs to comply with the rules and regulations of the SEC and those of Nasdaq, (ii) legal, accounting and other professional services, (iii) insurance, (iv) investor relations activities and (v) other administrative and professional services.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Acquired Contract Intangible Asset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Impairment of acquired contract intangible asset relates to a write down of the acquired contract intangible asset to fair value. The contract intangible asset was assessed for recoverability using an undiscounted cash flow model, which resulted in undiscounted cash flows below the carrying amount. We recognized an impairment of $74.2 million to bring the carrying amount of the contract intangible asset down to its estimated fair value of $3.9 million at August 26, 2021. The fair value determination of the contract intangible asset was based upon a discounted cash flow valuation of the milestone payments and Monte Carlo valuation for the sales royalties.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income (expense) consists of the change in fair value of convertible promissory notes and interest expense related to such notes. These expenses are partially offset by interest income earned on cash and cash equivalents and gain on extinguishment of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3" w:name="page114"/>
    <w:bookmarkEnd w:id="113"/>
    <w:p>
      <w:pPr>
        <w:ind w:right="80"/>
        <w:spacing w:after="0" w:line="263" w:lineRule="auto"/>
        <w:rPr>
          <w:sz w:val="20"/>
          <w:szCs w:val="20"/>
          <w:color w:val="auto"/>
        </w:rPr>
      </w:pPr>
      <w:r>
        <w:rPr>
          <w:rFonts w:ascii="Arial" w:cs="Arial" w:eastAsia="Arial" w:hAnsi="Arial"/>
          <w:sz w:val="18"/>
          <w:szCs w:val="18"/>
          <w:color w:val="auto"/>
        </w:rPr>
        <w:t>During the years ending December 31, 2021 and 2020, we recognized state tax payments as income tax expense on the statement of operations and comprehensive loss. Since our formation in 2011, we have not recorded any U.S. federal or state income tax benefits for the net losses we have incurred in each year or our earned tax credits, due to our uncertainty of realizing a benefit from those items.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Consolidated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periods indicated (amounts in thousands):</w:t>
      </w:r>
    </w:p>
    <w:p>
      <w:pPr>
        <w:spacing w:after="0" w:line="190" w:lineRule="exact"/>
        <w:rPr>
          <w:sz w:val="20"/>
          <w:szCs w:val="20"/>
          <w:color w:val="auto"/>
        </w:rPr>
      </w:pPr>
    </w:p>
    <w:tbl>
      <w:tblPr>
        <w:tblLayout w:type="fixed"/>
        <w:tblInd w:w="108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Years Ended December 31,</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4"/>
        </w:trPr>
        <w:tc>
          <w:tcPr>
            <w:tcW w:w="514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FF0FC"/>
            </w:tcBorders>
          </w:tcPr>
          <w:p>
            <w:pPr>
              <w:spacing w:after="0"/>
              <w:rPr>
                <w:sz w:val="15"/>
                <w:szCs w:val="15"/>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1080" w:type="dxa"/>
            <w:vAlign w:val="bottom"/>
          </w:tcPr>
          <w:p>
            <w:pPr>
              <w:jc w:val="right"/>
              <w:ind w:right="92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tcPr>
          <w:p>
            <w:pPr>
              <w:spacing w:after="0"/>
              <w:rPr>
                <w:sz w:val="19"/>
                <w:szCs w:val="19"/>
                <w:color w:val="auto"/>
              </w:rPr>
            </w:pPr>
          </w:p>
        </w:tc>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19"/>
                <w:szCs w:val="19"/>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revenue</w:t>
            </w:r>
          </w:p>
        </w:tc>
        <w:tc>
          <w:tcPr>
            <w:tcW w:w="10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FF0FC"/>
          </w:tcPr>
          <w:p>
            <w:pPr>
              <w:spacing w:after="0"/>
              <w:rPr>
                <w:sz w:val="19"/>
                <w:szCs w:val="19"/>
                <w:color w:val="auto"/>
              </w:rPr>
            </w:pPr>
          </w:p>
        </w:tc>
      </w:tr>
      <w:tr>
        <w:trPr>
          <w:trHeight w:val="223"/>
        </w:trPr>
        <w:tc>
          <w:tcPr>
            <w:tcW w:w="5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revenue</w:t>
            </w:r>
          </w:p>
        </w:tc>
        <w:tc>
          <w:tcPr>
            <w:tcW w:w="1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1,120</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14,580</w:t>
            </w:r>
          </w:p>
        </w:tc>
        <w:tc>
          <w:tcPr>
            <w:tcW w:w="80" w:type="dxa"/>
            <w:vAlign w:val="bottom"/>
            <w:tcBorders>
              <w:bottom w:val="single" w:sz="8" w:color="CFF0FC"/>
            </w:tcBorders>
          </w:tcPr>
          <w:p>
            <w:pPr>
              <w:spacing w:after="0"/>
              <w:rPr>
                <w:sz w:val="19"/>
                <w:szCs w:val="19"/>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19,670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15,008</w:t>
            </w:r>
          </w:p>
        </w:tc>
        <w:tc>
          <w:tcPr>
            <w:tcW w:w="80" w:type="dxa"/>
            <w:vAlign w:val="bottom"/>
          </w:tcPr>
          <w:p>
            <w:pPr>
              <w:spacing w:after="0"/>
              <w:rPr>
                <w:sz w:val="19"/>
                <w:szCs w:val="19"/>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18,511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80" w:type="dxa"/>
            <w:vAlign w:val="bottom"/>
            <w:shd w:val="clear" w:color="auto" w:fill="CFF0FC"/>
          </w:tcPr>
          <w:p>
            <w:pPr>
              <w:spacing w:after="0"/>
              <w:rPr>
                <w:sz w:val="19"/>
                <w:szCs w:val="19"/>
                <w:color w:val="auto"/>
              </w:rPr>
            </w:pP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Impairment of acquired contract intangible asset</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74,156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112,337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17,129</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3"/>
              </w:rPr>
              <w:t>(111,217)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(2,549)</w:t>
            </w:r>
          </w:p>
        </w:tc>
        <w:tc>
          <w:tcPr>
            <w:tcW w:w="80" w:type="dxa"/>
            <w:vAlign w:val="bottom"/>
          </w:tcPr>
          <w:p>
            <w:pPr>
              <w:spacing w:after="0"/>
              <w:rPr>
                <w:sz w:val="19"/>
                <w:szCs w:val="19"/>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0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1,129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(927)</w:t>
            </w: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(110,088)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80" w:type="dxa"/>
            <w:vAlign w:val="bottom"/>
          </w:tcPr>
          <w:p>
            <w:pPr>
              <w:spacing w:after="0"/>
              <w:rPr>
                <w:sz w:val="19"/>
                <w:szCs w:val="19"/>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10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Net and comprehensive loss</w:t>
            </w:r>
          </w:p>
        </w:tc>
        <w:tc>
          <w:tcPr>
            <w:tcW w:w="1080" w:type="dxa"/>
            <w:vAlign w:val="bottom"/>
            <w:tcBorders>
              <w:top w:val="single" w:sz="8" w:color="auto"/>
              <w:bottom w:val="single" w:sz="8" w:color="auto"/>
            </w:tcBorders>
          </w:tcPr>
          <w:p>
            <w:pPr>
              <w:jc w:val="right"/>
              <w:ind w:right="92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(110,090)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8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License revenue for the years ended December 31, 2021 and 2020 relate to payments received from EOC Pharma as consideration pursuant to the License Agreement. This revenue was recognized when earned. During the year ended December 31, 2021, we recognized $1.0 million of revenue upon achieving the FDA approval milestone on November 22, 2021.</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the year ended December 31, 2020, we recognized $14.0 million of revenue, related to the non-refundable upfront payment for the rights and license granted to EOC for the further development and commercialization of FYARRO in the Licensed Territory.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Grant revenue amounts can vary from period to period depending on the funding and work performed. Grant revenue decreased by $0.5 million for the year ended December 31, 2021, compared to the same period in 2020, primarily due to a decrease in the eligible expenses for grant reimbursement incurred during 2021 compared to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research and development expenses for the periods indicated (amounts 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4" w:name="page115"/>
    <w:bookmarkEnd w:id="114"/>
    <w:tbl>
      <w:tblPr>
        <w:tblLayout w:type="fixed"/>
        <w:tblInd w:w="96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Years Ended December 31,</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4"/>
        </w:trPr>
        <w:tc>
          <w:tcPr>
            <w:tcW w:w="424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jc w:val="right"/>
              <w:ind w:right="6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Clinical drug product manufacturing expense</w:t>
            </w:r>
          </w:p>
        </w:tc>
        <w:tc>
          <w:tcPr>
            <w:tcW w:w="9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6,654</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External clinical development expense</w:t>
            </w: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6,697</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5,282</w:t>
            </w:r>
          </w:p>
        </w:tc>
        <w:tc>
          <w:tcPr>
            <w:tcW w:w="100" w:type="dxa"/>
            <w:vAlign w:val="bottom"/>
          </w:tcPr>
          <w:p>
            <w:pPr>
              <w:spacing w:after="0"/>
              <w:rPr>
                <w:sz w:val="19"/>
                <w:szCs w:val="19"/>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License fee</w:t>
            </w:r>
          </w:p>
        </w:tc>
        <w:tc>
          <w:tcPr>
            <w:tcW w:w="9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other expenses</w:t>
            </w:r>
          </w:p>
        </w:tc>
        <w:tc>
          <w:tcPr>
            <w:tcW w:w="9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6,119</w:t>
            </w:r>
          </w:p>
        </w:tc>
        <w:tc>
          <w:tcPr>
            <w:tcW w:w="3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100" w:type="dxa"/>
            <w:vAlign w:val="bottom"/>
            <w:tcBorders>
              <w:bottom w:val="single" w:sz="8" w:color="CFF0FC"/>
            </w:tcBorders>
          </w:tcPr>
          <w:p>
            <w:pPr>
              <w:spacing w:after="0"/>
              <w:rPr>
                <w:sz w:val="19"/>
                <w:szCs w:val="19"/>
                <w:color w:val="auto"/>
              </w:rPr>
            </w:pPr>
          </w:p>
        </w:tc>
      </w:tr>
      <w:tr>
        <w:trPr>
          <w:trHeight w:val="223"/>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9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19,670</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Research and development expenses for the year ended December 31, 2021, were $19.7 million, an increase of $4.7 million, compared to $15.0 million for the year ended December 31, 2020. The increase was primarily driven by a $2.9 million increase in clinical drug manufacturing costs to prepare for our commercial launch of FYARRO, a $1.4 million increase for external clinical development, and a $3.0 million increase in headcount, consultants, and other expenses offset by a reduction of $2.6 million in license fee expense paid to Celgene.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General and administrative expenses for the year ended December 31, 2021, were $18.5 million, an increase of $16.4 million, compared to $2.1 million for the year ended December 31, 2020.</w:t>
      </w:r>
    </w:p>
    <w:p>
      <w:pPr>
        <w:spacing w:after="0" w:line="6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increase was primarily driven by the following in support of our increased headcount, preparation of our commercial launch and expenses related to being a public company. We expect these expenses to continue to increase as we commercialize FYARRO and future launches:</w:t>
      </w:r>
    </w:p>
    <w:p>
      <w:pPr>
        <w:spacing w:after="0" w:line="38" w:lineRule="exact"/>
        <w:rPr>
          <w:sz w:val="20"/>
          <w:szCs w:val="20"/>
          <w:color w:val="auto"/>
        </w:rPr>
      </w:pPr>
    </w:p>
    <w:p>
      <w:pPr>
        <w:ind w:left="880" w:right="420" w:hanging="440"/>
        <w:spacing w:after="0" w:line="277"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$2.8 in personnel related expenses due to increased headcount, incentive bonuses and share-based compensation. Sales and administrative headcount increased to 17 employees at December 31, 2021 from two employees at December 31, 2020;</w:t>
      </w:r>
    </w:p>
    <w:p>
      <w:pPr>
        <w:spacing w:after="0" w:line="8" w:lineRule="exact"/>
        <w:rPr>
          <w:rFonts w:ascii="Arial" w:cs="Arial" w:eastAsia="Arial" w:hAnsi="Arial"/>
          <w:sz w:val="18"/>
          <w:szCs w:val="18"/>
          <w:color w:val="auto"/>
        </w:rPr>
      </w:pPr>
    </w:p>
    <w:p>
      <w:pPr>
        <w:ind w:left="880" w:hanging="440"/>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 million of compensation related expenses to former Aerpio executives related to the Merger;</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$3.6 million of consulting expenses to support the growth of the organization;</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$5.4 million of commercialization readiness and marketing expenses;</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and $2.6 million of legal, insurance and other office related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Acquired Contract Intangible Asset</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During the year ended December 31, 2021, as a result of the excess fair value ascribed to the acquired contract intangible asset related to the Merger, we recorded a $74.2 million impairment charge to reduce the carrying value of the intangible asset to its fair value at August 26, 2021. No impairments were recognized during the year ended December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other income (expense),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980" w:type="dxa"/>
            <w:vAlign w:val="bottom"/>
            <w:gridSpan w:val="5"/>
          </w:tcPr>
          <w:p>
            <w:pPr>
              <w:jc w:val="right"/>
              <w:ind w:right="347"/>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20" w:type="dxa"/>
            <w:vAlign w:val="bottom"/>
            <w:gridSpan w:val="2"/>
            <w:vMerge w:val="restart"/>
          </w:tcPr>
          <w:p>
            <w:pPr>
              <w:ind w:left="1140"/>
              <w:spacing w:after="0"/>
              <w:rPr>
                <w:sz w:val="20"/>
                <w:szCs w:val="20"/>
                <w:color w:val="auto"/>
              </w:rPr>
            </w:pPr>
            <w:r>
              <w:rPr>
                <w:rFonts w:ascii="Arial" w:cs="Arial" w:eastAsia="Arial" w:hAnsi="Arial"/>
                <w:sz w:val="18"/>
                <w:szCs w:val="18"/>
                <w:color w:val="auto"/>
                <w:w w:val="98"/>
              </w:rPr>
              <w:t>Change in fair value of convertible promissory notes</w:t>
            </w:r>
          </w:p>
        </w:tc>
        <w:tc>
          <w:tcPr>
            <w:tcW w:w="236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Gain upon extinguishment of debt</w:t>
            </w: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income</w:t>
            </w:r>
          </w:p>
        </w:tc>
        <w:tc>
          <w:tcPr>
            <w:tcW w:w="1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(665)</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1140"/>
              <w:spacing w:after="0"/>
              <w:rPr>
                <w:sz w:val="20"/>
                <w:szCs w:val="20"/>
                <w:color w:val="auto"/>
              </w:rPr>
            </w:pPr>
            <w:r>
              <w:rPr>
                <w:rFonts w:ascii="Arial" w:cs="Arial" w:eastAsia="Arial" w:hAnsi="Arial"/>
                <w:sz w:val="18"/>
                <w:szCs w:val="18"/>
                <w:color w:val="auto"/>
              </w:rPr>
              <w:t>Total other income (expense)</w:t>
            </w:r>
          </w:p>
        </w:tc>
        <w:tc>
          <w:tcPr>
            <w:tcW w:w="13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00" w:type="dxa"/>
            <w:vAlign w:val="bottom"/>
            <w:vMerge w:val="restart"/>
          </w:tcPr>
          <w:p>
            <w:pPr>
              <w:jc w:val="right"/>
              <w:ind w:right="679"/>
              <w:spacing w:after="0"/>
              <w:rPr>
                <w:sz w:val="20"/>
                <w:szCs w:val="20"/>
                <w:color w:val="auto"/>
              </w:rPr>
            </w:pPr>
            <w:r>
              <w:rPr>
                <w:rFonts w:ascii="Arial" w:cs="Arial" w:eastAsia="Arial" w:hAnsi="Arial"/>
                <w:sz w:val="18"/>
                <w:szCs w:val="18"/>
                <w:color w:val="auto"/>
              </w:rPr>
              <w:t>114</w:t>
            </w: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5" w:name="page116"/>
    <w:bookmarkEnd w:id="115"/>
    <w:p>
      <w:pPr>
        <w:ind w:right="180"/>
        <w:spacing w:after="0" w:line="259" w:lineRule="auto"/>
        <w:rPr>
          <w:sz w:val="20"/>
          <w:szCs w:val="20"/>
          <w:color w:val="auto"/>
        </w:rPr>
      </w:pPr>
      <w:r>
        <w:rPr>
          <w:rFonts w:ascii="Arial" w:cs="Arial" w:eastAsia="Arial" w:hAnsi="Arial"/>
          <w:sz w:val="18"/>
          <w:szCs w:val="18"/>
          <w:color w:val="auto"/>
        </w:rPr>
        <w:t>Other income (expense), net for the year ended December 31, 2021, were $1.1 million of income, compared to $0.9 million of expense for the year ended December 31, 2020. The change was primarily driven by an increase of $1.7 million of non-cash income related to the change in fair value of the convertible promissory notes and a $0.2 million gain recognized on the extinguishment of the Paycheck Protection Program loan forgiven by the Small Business Administration in April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incurred net losses in each year since inception and as of December 31, 2021, we had an accumulated deficit of $142.7 million. Our net losses were $110.1 million and $3.5 million for the years ended December 31, 2021 and 2020, respectively. These losses have resulted principally from costs incurred in connection with research and development activities, general and administrative costs associated with our operations, and costs associated with the Merger. Additionally, during the year ended December 31, 2021, we recognized a non-cash impairment charge of $74.2 million on the contract intangible asset acquired in the Merger. We expect to continue to incur significant expenses and operating losses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FYARRO, seek to expand our pipeline, and operate as a public company.</w:t>
      </w:r>
    </w:p>
    <w:p>
      <w:pPr>
        <w:spacing w:after="0" w:line="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From inception through December 31, 2021, we received funding of $25.4 million from our initial seed financing and the sale of Series A convertible preferred stock, $9.1 million from the issuance of convertible promissory notes, $145.4 million, net from the PIPE Financing in connection with the Merger and $29.7 million of cash assumed in the Merger. As of December 31, 2021, we had $149.0 million of cash and cash equivalents. Based on our current plans, we believe our existing cash and cash equivalents will enable us to conduct our planned operations into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presented:</w:t>
      </w:r>
    </w:p>
    <w:p>
      <w:pPr>
        <w:spacing w:after="0" w:line="298" w:lineRule="exact"/>
        <w:rPr>
          <w:sz w:val="20"/>
          <w:szCs w:val="20"/>
          <w:color w:val="auto"/>
        </w:rPr>
      </w:pPr>
    </w:p>
    <w:tbl>
      <w:tblPr>
        <w:tblLayout w:type="fixed"/>
        <w:tblInd w:w="54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498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(22,423</w:t>
            </w:r>
          </w:p>
        </w:tc>
        <w:tc>
          <w:tcPr>
            <w:tcW w:w="300" w:type="dxa"/>
            <w:vAlign w:val="bottom"/>
            <w:tcBorders>
              <w:top w:val="single" w:sz="8" w:color="CFF0FC"/>
            </w:tcBorders>
            <w:shd w:val="clear" w:color="auto" w:fill="CFF0FC"/>
          </w:tcPr>
          <w:p>
            <w:pPr>
              <w:jc w:val="right"/>
              <w:ind w:right="221"/>
              <w:spacing w:after="0"/>
              <w:rPr>
                <w:sz w:val="20"/>
                <w:szCs w:val="20"/>
                <w:color w:val="auto"/>
              </w:rPr>
            </w:pPr>
            <w:r>
              <w:rPr>
                <w:rFonts w:ascii="Arial" w:cs="Arial" w:eastAsia="Arial" w:hAnsi="Arial"/>
                <w:sz w:val="8"/>
                <w:szCs w:val="8"/>
                <w:b w:val="1"/>
                <w:bCs w:val="1"/>
                <w:color w:val="auto"/>
                <w:w w:val="73"/>
              </w:rPr>
              <w:t>)</w:t>
            </w:r>
          </w:p>
        </w:tc>
        <w:tc>
          <w:tcPr>
            <w:tcW w:w="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4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(12,701</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25,153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2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141,804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FF0FC"/>
          </w:tcPr>
          <w:p>
            <w:pPr>
              <w:spacing w:after="0"/>
              <w:rPr>
                <w:sz w:val="19"/>
                <w:szCs w:val="19"/>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20" w:type="dxa"/>
            <w:vAlign w:val="bottom"/>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144,534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w:t>
            </w:r>
          </w:p>
        </w:tc>
        <w:tc>
          <w:tcPr>
            <w:tcW w:w="1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net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our product candidates in the clinic and other operating and general administrative activities, including operating as a public company.</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 ended December 31, 2021, cash used in operating activities was $22.4 million and resulted from (i) our net loss of $110.1 million offset by non-cash adjustments totaling $75.4 million, which was primarily related to impairment of the acquired contract intangible asset of $74.2 million, and (ii) a $12.3 million net increase in our working capital accounts, primarily driven by the receipt of the $14.0 million upfront payment from EOC under the EOC License Agreement.</w:t>
      </w:r>
    </w:p>
    <w:p>
      <w:pPr>
        <w:spacing w:after="0" w:line="79"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For the year ended December 31, 2020, cash used in operating activities was $12.7 million and resulted from (i) our net loss of $3.5 million, and (ii) a $10.5 million net decrease in our working capital accounts, offset by (ii) $1.3 million in non-cash expenses related to interest expense on convertible promissory notes, stock-based compensation expense, lease expense and depreciation and amortization expense.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6" w:name="page117"/>
    <w:bookmarkEnd w:id="116"/>
    <w:p>
      <w:pPr>
        <w:ind w:right="460"/>
        <w:spacing w:after="0" w:line="342" w:lineRule="auto"/>
        <w:rPr>
          <w:sz w:val="20"/>
          <w:szCs w:val="20"/>
          <w:color w:val="auto"/>
        </w:rPr>
      </w:pPr>
      <w:r>
        <w:rPr>
          <w:rFonts w:ascii="Arial" w:cs="Arial" w:eastAsia="Arial" w:hAnsi="Arial"/>
          <w:sz w:val="16"/>
          <w:szCs w:val="16"/>
          <w:color w:val="auto"/>
        </w:rPr>
        <w:t>Cash provided by investing activities for the year ended December 31, 2021 related to cash acquired in connection with the Merger partially offset by transaction related expenses and purchases of property and equipment. There were no investing activities for the year ended December 31, 2020.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provided by financing activities for the year ended December 31, 2021 includes $155.0 million gross cash proceeds from our PIPE Financing and $0.8 million from exercise of stock options, partially offset by $9.6 million of issuance costs related to the PIPE Financing, and $4.4 million of dividends paid to preferred stockholders. Net cash provided by financing activities for the year ended December 31, 2020 includes $1.0 million related to the issuance of convertible promissory notes and $0.2 million related to proceeds from our PPP Loan.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August 2021, we entered into an amendment to extend the lease of our 2,760 square feet of office space in Pacific Palisades, California. We </w:t>
      </w:r>
      <w:r>
        <w:rPr>
          <w:rFonts w:ascii="Arial" w:cs="Arial" w:eastAsia="Arial" w:hAnsi="Arial"/>
          <w:sz w:val="18"/>
          <w:szCs w:val="18"/>
          <w:color w:val="231F20"/>
        </w:rPr>
        <w:t>exercised an</w:t>
      </w:r>
      <w:r>
        <w:rPr>
          <w:rFonts w:ascii="Arial" w:cs="Arial" w:eastAsia="Arial" w:hAnsi="Arial"/>
          <w:sz w:val="18"/>
          <w:szCs w:val="18"/>
          <w:color w:val="auto"/>
        </w:rPr>
        <w:t xml:space="preserve"> </w:t>
      </w:r>
      <w:r>
        <w:rPr>
          <w:rFonts w:ascii="Arial" w:cs="Arial" w:eastAsia="Arial" w:hAnsi="Arial"/>
          <w:sz w:val="18"/>
          <w:szCs w:val="18"/>
          <w:color w:val="231F20"/>
        </w:rPr>
        <w:t>option, under our prior lease agreement, to extend the term of the lease for an additional three-year period. Included in the renewal were nine months of rent abatement and a rent escalation clause. Rent expense is being recorded on a straight- line basis. Rent expense related to this lease was $0.2 million for each of the years ended December 31, 2021 and December 31, 2020.</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April 9, 2014, we entered into a license agreement (the “Celgene License Agreement”) with Celgene for exclusive rights for certain patents and a non-exclusive license for certain technology and know-how pertaining to FYARRO. On November 15, 2019, we entered into an amendment to the Celgene License Agreement (“Amended Celgene License Agreement”) to terminate certain of Celgene’s FYARRO product supply obligations and to transfer control over certain regulatory filings under the original Celgene License Agreement to us. This amendment also waived the obligations related to certain development milestone payments and waived the liability related to 2016 and 2017 licensed drug manufacturing costs. On August 30, 2021, we entered into Amendment No. 1 (the “Amendment”) to the Amended Celgene License Agreement related to certain intellectual property rights of Celgene pertaining to the compound known as FYARRO. Celgene is entitled to receive certain development milestone payments, royalties on net sales from licensed products under the agreement and any sublicense fees.</w:t>
      </w:r>
    </w:p>
    <w:p>
      <w:pPr>
        <w:spacing w:after="0" w:line="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December 8, 2020, we entered into a license agreement (“EOC License Agreement”) with EOC Pharma (Hong Kong) Limited (“EOC”) for the rights and licenses granted to EOC by us for the further development and commercialization of FYARRO in the People’s Republic of China, Hong Kong Special Administration Region, Macao Special Administrative Region and Taiwan (the “Licensed Territory”). In accordance with the Celgene License Agreement, we are required to pay 20% of all sublicense fees to Celgene.</w:t>
      </w:r>
    </w:p>
    <w:p>
      <w:pPr>
        <w:spacing w:after="0" w:line="7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January 13, 2022, we entered into a Negotiated Purchase Order Terms and Conditions for Clinical and Commercial Product (the “Fresenius Agreement”) with Fresenius Kabi, LLC (“Fresenius Kabi”) pursuant to which Fresenius Kabi will manufacture FYARRO for us, and we will purchase FYARRO as a finished drug product from Fresenius Kabi, on a purchase-order basis. Under the Agreement, which shall be effective through December 22, 2022 (or such later date as may be agreed between the parties in writing and currently being discussed), we may purchase FYARRO for either clinical or commercial purposes for use in the United States and Canada. In addition to manufacturing, Fresenius Kabi will perform specified labeling, packaging and serialization activities in respect of FYARRO for our benefit. The price of FYARRO will be fixed, subject to the ability of Fresenius Kabi to increase pricing under specified circumstances. We have an obligation to purchase certain minimum quantities of FYARRO. Failure to purchase those minimum quantities will result in an additional payment from us to Fresenius Kabi.</w:t>
      </w:r>
    </w:p>
    <w:p>
      <w:pPr>
        <w:spacing w:after="0" w:line="7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 cancelled by us upon written notice. In the event of a cancellation, we would be liable for the cost and expenses incurred to date as well as any close out costs of the service arrangement.</w:t>
      </w:r>
    </w:p>
    <w:p>
      <w:pPr>
        <w:spacing w:after="0" w:line="6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With respect to our obligations under the CVR Agreement, certain events specified in the CVR Agreement need to occur for us to receive funds, and it is currently uncertain whether any funds will be received under the CVR Agreement. We do not have any commitment or obligation under the CVR Agreement unless and until funds are received.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management’s discussion and analysis of financial position and results of consolidated operations are based on consolidated financial statements prepared in accordance with GAAP. The preparation of these consolidated financial statements requires us to make estimates and assumptions that affect the reported amounts of assets, liabilities, expenses and related disclosures. On an ongoing basis, we evaluate our estimates and judgments, including those related to prepaid and accrued research and development expenses, revenue recognition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6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appearing elsewhere in this Annual Report on Form 10-K, we believe the following accounting policies to be most critical to the judgments and estimates used in the preparation of our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and Acquired Contractual Intangible Asset</w:t>
      </w:r>
    </w:p>
    <w:p>
      <w:pPr>
        <w:spacing w:after="0" w:line="117"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Aerpio issued common stock in the Merger based on the terms of the Merger Agreement. For accounting purposes, however, we concluded under GAAP that Private Aadi has acquired Aerpio. We based this conclusion having evaluated the terms of the Merger Agreement and other factors including: (i) the stockholders of Private Aadi owned approximately 66.8% of the voting rights of the Company as of immediately following the Merger (but prior to the PIPE Financing); (ii) three (3) of seven (7) members of the board of directors of the Company post-Merger were composed of directors designated by Private Aadi under the terms of the Merger Agreement, and one (1) member of the board of directors of the Company post-Merger was a director mutually designated by Private Aadi and Aerpio; (iii) existing members of Private Aadi’s management became the management of the Company post-Merger;</w:t>
      </w:r>
    </w:p>
    <w:p>
      <w:pPr>
        <w:spacing w:after="0" w:line="4" w:lineRule="exact"/>
        <w:rPr>
          <w:sz w:val="20"/>
          <w:szCs w:val="20"/>
          <w:color w:val="auto"/>
        </w:rPr>
      </w:pPr>
    </w:p>
    <w:p>
      <w:pPr>
        <w:jc w:val="both"/>
        <w:ind w:firstLine="8"/>
        <w:spacing w:after="0" w:line="295" w:lineRule="auto"/>
        <w:tabs>
          <w:tab w:leader="none" w:pos="30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PIPE Investors consist of individuals and funds, and for purpose of this analysis, while they owned approximately 55.6% on a fully-diluted basis, as of immediately following the Merger (and after giving effect to the PIPE Financing), no one individual or fund held more shares than the holders of Private Aadi collectively owned immediately following the Merger and they are not considered to be a single voting group; and (v) following the Merger, the Company is headquartered in Pacific Palisades, California, and all ongoing operations of the combined company are those of Private Aadi.</w:t>
      </w:r>
    </w:p>
    <w:p>
      <w:pPr>
        <w:spacing w:after="0" w:line="5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Further, under GAAP we have accounted for the Merger as a reverse asset acquisition rather than a business combination. Accounting as an asset acquisition is significantly different than the accounting for a merger transaction as a business combination. Among other things, we have not recognized any goodwill on our consolidated balance sheet as there may have been had the Merger been accounted for as a business combination. A central element to the accounting model conclusion is the determination of whether a business or an asset or a group of assets is acquired. A business is defined in ASC 805, Business Combinations, as an integrated set of inputs and processes that are capable of generating outputs that have the ability to provide a return to its investors or owners. Typical inputs include long-lived assets (including intangible assets or rights to use long-lived assets), intellectual property and the ability to obtain access to required resources. Typical processes include strategic, operational and resource management processes that are typically documented or evident through an organized workforce. We considered all of the above factors when determining whether a business was acquired in the Merger and concluded that Aerpio did not meet the definition of a business.</w:t>
      </w:r>
    </w:p>
    <w:p>
      <w:pPr>
        <w:spacing w:after="0" w:line="7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Upon closing of the Merger, substantially all of the fair value is concentrated in cash, working capital and a long-lived contract intangible asset related to Aerpio’s license agreement with Gossamer Bio. Inc., under which 90% of any future net cash proceeds will be remitted to CVR Holders and paid through the CVRs. In accordance with GAAP for asset acquisitions, the excess purchase price over the fair value of the acquired assets and liabilities ($78.1 million) was ascribed to the acquired contract intangible asset. However, due to the significant excess purchase price being allocated over the fair value of the acquired contractual intangible asset, we determined that an indicator of impairment was present, and we assessed the contract intangible asset as compared to expectations of contingent future cash flows. We concluded that our estimate of gross cash flows potentially accruing to us under the license agreement is likely to be less than the excess purchase price of the fair value of the acquired assets and liabilities ascribed to the acquired contract intangible asset. As a result, we performed a valuation of the acquired contract intangible asset and recognized an impairment of $74.2 million to adjust the carrying amount of the contractual intangible asset to its estimated fair value of $3.9 million.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8" w:name="page119"/>
    <w:bookmarkEnd w:id="118"/>
    <w:p>
      <w:pPr>
        <w:jc w:val="both"/>
        <w:ind w:right="260"/>
        <w:spacing w:after="0" w:line="259" w:lineRule="auto"/>
        <w:rPr>
          <w:sz w:val="20"/>
          <w:szCs w:val="20"/>
          <w:color w:val="auto"/>
        </w:rPr>
      </w:pPr>
      <w:r>
        <w:rPr>
          <w:rFonts w:ascii="Arial" w:cs="Arial" w:eastAsia="Arial" w:hAnsi="Arial"/>
          <w:sz w:val="18"/>
          <w:szCs w:val="18"/>
          <w:color w:val="auto"/>
        </w:rPr>
        <w:t>The license agreement with Gossamer Bio. Inc. includes potential payments to us in the event of certain development and commercialization milestones and sales-based royalties. Our fair value determination of the intangible asset utilized a scenario-based, risk-adjusted, discounted cash flow model with respect to the potential development milestone payments and a Monte Carlo option-pricing model with respect to the sales-based milestone and royalty payments:</w:t>
      </w:r>
    </w:p>
    <w:p>
      <w:pPr>
        <w:spacing w:after="0" w:line="79" w:lineRule="exact"/>
        <w:rPr>
          <w:sz w:val="20"/>
          <w:szCs w:val="20"/>
          <w:color w:val="auto"/>
        </w:rPr>
      </w:pPr>
    </w:p>
    <w:p>
      <w:pPr>
        <w:ind w:left="880" w:right="40" w:hanging="440"/>
        <w:spacing w:after="0" w:line="279" w:lineRule="auto"/>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determined fair value of the potential development milestone payments under the license agreement with inputs based on certain subjective assumptions, including (a) the probability of clinical success determined with reference to various academic studies reporting probabilities of approval for clinical trials; (b) an estimate of the time to achievement of the clinical milestones; and (c) a counterparty credit risk premium determined with reference to the borrowing costs of a benchmark group of comparable market participants.</w:t>
      </w:r>
    </w:p>
    <w:p>
      <w:pPr>
        <w:spacing w:after="0" w:line="63" w:lineRule="exact"/>
        <w:rPr>
          <w:rFonts w:ascii="Arial" w:cs="Arial" w:eastAsia="Arial" w:hAnsi="Arial"/>
          <w:sz w:val="17"/>
          <w:szCs w:val="17"/>
          <w:color w:val="auto"/>
        </w:rPr>
      </w:pPr>
    </w:p>
    <w:p>
      <w:pPr>
        <w:ind w:left="880" w:hanging="440"/>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Application of the Monte Carlo simulation model in valuing the potential sales-based milestone and royalties involves making assumptions for</w:t>
      </w:r>
    </w:p>
    <w:p>
      <w:pPr>
        <w:spacing w:after="0" w:line="46" w:lineRule="exact"/>
        <w:rPr>
          <w:rFonts w:ascii="Arial" w:cs="Arial" w:eastAsia="Arial" w:hAnsi="Arial"/>
          <w:sz w:val="16"/>
          <w:szCs w:val="16"/>
          <w:color w:val="auto"/>
        </w:rPr>
      </w:pPr>
    </w:p>
    <w:p>
      <w:pPr>
        <w:ind w:left="880" w:right="20"/>
        <w:spacing w:after="0" w:line="270" w:lineRule="auto"/>
        <w:rPr>
          <w:rFonts w:ascii="Arial" w:cs="Arial" w:eastAsia="Arial" w:hAnsi="Arial"/>
          <w:sz w:val="16"/>
          <w:szCs w:val="16"/>
          <w:color w:val="auto"/>
        </w:rPr>
      </w:pPr>
      <w:r>
        <w:rPr>
          <w:rFonts w:ascii="Arial" w:cs="Arial" w:eastAsia="Arial" w:hAnsi="Arial"/>
          <w:sz w:val="17"/>
          <w:szCs w:val="17"/>
          <w:color w:val="auto"/>
        </w:rPr>
        <w:t>(a) the probability of clinical success determined with reference to various academic studies reporting probabilities of approval for clinical trials; (b) our forecast of potential revenues, revenue uptake rate and the period of time from a prospective commercial launch to peak sales, and an estimate of peak sales for each successfully commercialized product covered under the license agreement; (c) drift equal to the risk free rate on revenues following a multivariate Geometric Brownian Motion; (d) a counterparty credit risk premium determined with reference to the borrowing costs of a benchmark group of comparable market participants; and (e) a revenue metric risk premium determined with reference to a long-term risk-free rate, a weighted-average cost of capital, revenue volatility and asset volatility.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 Costs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incur substantial expenses associated with clinical trials. Accounting for clinical trials relating to activities performed by CROs and other external vendors requires us to exercise significant estimates in regard to the timing and accounting for these expenses. We estimate costs of research and development activities conducted by service providers, which include, the conduct of preclinical studies, contract manufacturing activities and clinical activities. The diverse nature of services being provided under CRO and other vendor arrangements, the different terms and milestone arrangements that exist for each type of service and the lack of timely information related to certain clinical activities complicates the estimation of accruals for services rendered by CROs and other vendors in connection with clinical trials. We record the estimated costs of research and development activities based upon the estimated amount of services provided but not yet invoiced and include these costs in the accrued and other current liabilities or prepaid expenses, as applicable, on the balance sheets and within research and development expense on the consolidated statements of operations. In estimating the duration of a clinical study, we evaluate the start-up, treatment and wrap-up periods, payment arrangements and services rendered attributable to each clinical trial and fluctuations are regularly tested against payment plans and trial completion assumptions.</w:t>
      </w:r>
    </w:p>
    <w:p>
      <w:pPr>
        <w:spacing w:after="0" w:line="77" w:lineRule="exact"/>
        <w:rPr>
          <w:sz w:val="20"/>
          <w:szCs w:val="20"/>
          <w:color w:val="auto"/>
        </w:rPr>
      </w:pPr>
    </w:p>
    <w:p>
      <w:pPr>
        <w:spacing w:after="0" w:line="301" w:lineRule="auto"/>
        <w:rPr>
          <w:sz w:val="20"/>
          <w:szCs w:val="20"/>
          <w:color w:val="auto"/>
        </w:rPr>
      </w:pPr>
      <w:r>
        <w:rPr>
          <w:rFonts w:ascii="Arial" w:cs="Arial" w:eastAsia="Arial" w:hAnsi="Arial"/>
          <w:sz w:val="16"/>
          <w:szCs w:val="16"/>
          <w:color w:val="231F20"/>
        </w:rPr>
        <w:t>We estimate these costs based on factors such as estimates of the work completed and budget provided and in accordance with agreements established with our collaboration partners and third-party service providers. We make significant judgments and estimates in determining the accrued liabilities and prepaid expense balances in each reporting period. As actual costs become known, we adjust our estimates and related accounts on the balance sheet. We have not experienced any material differences between accrued costs and actual costs incurred since our inception.</w:t>
      </w:r>
    </w:p>
    <w:p>
      <w:pPr>
        <w:spacing w:after="0" w:line="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231F20"/>
        </w:rPr>
        <w:t>Our expenses related to clinical trials are based on estimates of patient enrollment and related expenses at clinical investigator sites as well as estimates for the services received and efforts expended pursuant to contracts with multiple research institutions and CROs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account for revenue related to the EOC License Agreement and Grant Revenue in accordance with ASC Topic 606, Revenue from Contracts with Customers (“ASC 606”). Under ASC 606, we recognize revenue when the defined customer, under ASC 606, transfers promised goods or services in an amount that reflects the consideration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9" w:name="page120"/>
    <w:bookmarkEnd w:id="119"/>
    <w:p>
      <w:pPr>
        <w:ind w:right="200"/>
        <w:spacing w:after="0" w:line="272" w:lineRule="auto"/>
        <w:rPr>
          <w:sz w:val="20"/>
          <w:szCs w:val="20"/>
          <w:color w:val="auto"/>
        </w:rPr>
      </w:pPr>
      <w:r>
        <w:rPr>
          <w:rFonts w:ascii="Arial" w:cs="Arial" w:eastAsia="Arial" w:hAnsi="Arial"/>
          <w:sz w:val="17"/>
          <w:szCs w:val="17"/>
          <w:color w:val="auto"/>
        </w:rPr>
        <w:t>to which we expect to be entitled in exchange for goods or services. To determine revenue recognition for contracts with customers, we perform the following five steps: (i) identify the promised goods or services in the contract; (ii) identify the performance obligation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the performance obligation. We recognize revenue when our customer obtains control of promised goods or services in an amount that reflects the consideration that the entity expects to receive in exchange for those goods or services. We only apply the five-step model to contracts when it is probable that we will collect consideration to which we are entitled in exchange for the goods or services we transfer to the customer.</w:t>
      </w:r>
    </w:p>
    <w:p>
      <w:pPr>
        <w:spacing w:after="0" w:line="6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recognize all stock-based payments to employees, including grants of employee stock options in the consolidated statements of operations and comprehensive loss based on their fair values. All of our share-based awards, to employees, non-employees, officers, and directors, are subject only to service-based vesting conditions. We estimate the fair value of its stock-based awards using the Black-Scholes option pricing model, which requires the input of assumptions, including (i) the expected stock price volatility, (ii) the calculation of expected term of the award, (iii) the risk-free interest rate based on the U.S. Treasury yield in effect at the time of the grant for zero-coupon U.S. treasury notes with maturities approximately equal to the expected term of the stock options and (iv) expected dividends. </w:t>
      </w:r>
      <w:r>
        <w:rPr>
          <w:rFonts w:ascii="Arial" w:cs="Arial" w:eastAsia="Arial" w:hAnsi="Arial"/>
          <w:sz w:val="18"/>
          <w:szCs w:val="18"/>
          <w:color w:val="231F20"/>
        </w:rPr>
        <w:t>Options granted during the year have a maximum contractual term of ten years. Forfeitures are recognized</w:t>
      </w:r>
      <w:r>
        <w:rPr>
          <w:rFonts w:ascii="Arial" w:cs="Arial" w:eastAsia="Arial" w:hAnsi="Arial"/>
          <w:sz w:val="18"/>
          <w:szCs w:val="18"/>
          <w:color w:val="auto"/>
        </w:rPr>
        <w:t xml:space="preserve"> </w:t>
      </w:r>
      <w:r>
        <w:rPr>
          <w:rFonts w:ascii="Arial" w:cs="Arial" w:eastAsia="Arial" w:hAnsi="Arial"/>
          <w:sz w:val="18"/>
          <w:szCs w:val="18"/>
          <w:color w:val="231F20"/>
        </w:rPr>
        <w:t>and accounted for as they occur.</w:t>
      </w:r>
    </w:p>
    <w:p>
      <w:pPr>
        <w:spacing w:after="0" w:line="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Due to the historical lack of a public market for the trading of our common stock and a lack of company-specific historical and implied volatility data, we have based our estimate of expected volatility on the historical volatility of a group of similar companies that are publicly traded. The computation of expected volatility is based on the historical volatility of a representative group of companies with similar characteristics to ours, including stage of product development and life science industry focus. We believe the group selected has sufficient similar economic and industry characteristics and includes companies that are most representative of us.</w:t>
      </w:r>
    </w:p>
    <w:p>
      <w:pPr>
        <w:spacing w:after="0" w:line="80" w:lineRule="exact"/>
        <w:rPr>
          <w:sz w:val="20"/>
          <w:szCs w:val="20"/>
          <w:color w:val="auto"/>
        </w:rPr>
      </w:pPr>
    </w:p>
    <w:p>
      <w:pPr>
        <w:spacing w:after="0" w:line="296" w:lineRule="auto"/>
        <w:rPr>
          <w:sz w:val="20"/>
          <w:szCs w:val="20"/>
          <w:color w:val="auto"/>
        </w:rPr>
      </w:pPr>
      <w:r>
        <w:rPr>
          <w:rFonts w:ascii="Arial" w:cs="Arial" w:eastAsia="Arial" w:hAnsi="Arial"/>
          <w:sz w:val="16"/>
          <w:szCs w:val="16"/>
          <w:color w:val="231F20"/>
        </w:rPr>
        <w:t xml:space="preserve">We have limited historical stock option activity and therefore estimate the expected term of stock options granted to employees, officers, and directors using the simplified method, which represent the average of the contractual term of the stock option and its weighted-average vesting period, </w:t>
      </w:r>
      <w:r>
        <w:rPr>
          <w:rFonts w:ascii="Arial" w:cs="Arial" w:eastAsia="Arial" w:hAnsi="Arial"/>
          <w:sz w:val="16"/>
          <w:szCs w:val="16"/>
          <w:color w:val="000000"/>
        </w:rPr>
        <w:t>to calculate</w:t>
      </w:r>
      <w:r>
        <w:rPr>
          <w:rFonts w:ascii="Arial" w:cs="Arial" w:eastAsia="Arial" w:hAnsi="Arial"/>
          <w:sz w:val="16"/>
          <w:szCs w:val="16"/>
          <w:color w:val="231F20"/>
        </w:rPr>
        <w:t xml:space="preserve"> </w:t>
      </w:r>
      <w:r>
        <w:rPr>
          <w:rFonts w:ascii="Arial" w:cs="Arial" w:eastAsia="Arial" w:hAnsi="Arial"/>
          <w:sz w:val="16"/>
          <w:szCs w:val="16"/>
          <w:color w:val="000000"/>
        </w:rPr>
        <w:t>the expected term, as we do not have sufficient historical exercise data to provide a reasonable basis upon which to estimate the expected term for options granted to employees, and utilize the contractual term for options granted to non-employees. The expected term is applied to the stock option grant group as a whole, as we do not expect substantially different exercise or post-vesting termination behavior among our employee population.</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related to awards to employees is calculated on a straight-line basis by recognizing the grant date fair value over the associated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service period of the award, which is generally the vesting term. For the years ended December 31, 2021 and December 31, 2020, we recognized</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net of estimated forfeitures, in the statements of operations and comprehensive loss as follows (amounts in thousands):</w:t>
      </w:r>
    </w:p>
    <w:p>
      <w:pPr>
        <w:spacing w:after="0" w:line="104" w:lineRule="exact"/>
        <w:rPr>
          <w:sz w:val="20"/>
          <w:szCs w:val="20"/>
          <w:color w:val="auto"/>
        </w:rPr>
      </w:pPr>
    </w:p>
    <w:tbl>
      <w:tblPr>
        <w:tblLayout w:type="fixed"/>
        <w:tblInd w:w="178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3840" w:type="dxa"/>
            <w:vAlign w:val="bottom"/>
            <w:tcBorders>
              <w:bottom w:val="single" w:sz="8" w:color="CFF0FC"/>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FF0FC"/>
            </w:tcBorders>
          </w:tcPr>
          <w:p>
            <w:pPr>
              <w:spacing w:after="0"/>
              <w:rPr>
                <w:sz w:val="16"/>
                <w:szCs w:val="16"/>
                <w:color w:val="auto"/>
              </w:rPr>
            </w:pPr>
          </w:p>
        </w:tc>
      </w:tr>
      <w:tr>
        <w:trPr>
          <w:trHeight w:val="223"/>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657</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FF0FC"/>
          </w:tcPr>
          <w:p>
            <w:pPr>
              <w:spacing w:after="0"/>
              <w:rPr>
                <w:sz w:val="19"/>
                <w:szCs w:val="19"/>
                <w:color w:val="auto"/>
              </w:rPr>
            </w:pPr>
          </w:p>
        </w:tc>
      </w:tr>
      <w:tr>
        <w:trPr>
          <w:trHeight w:val="243"/>
        </w:trPr>
        <w:tc>
          <w:tcPr>
            <w:tcW w:w="38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1,449</w:t>
            </w:r>
          </w:p>
        </w:tc>
        <w:tc>
          <w:tcPr>
            <w:tcW w:w="260" w:type="dxa"/>
            <w:vAlign w:val="bottom"/>
            <w:tcBorders>
              <w:bottom w:val="single" w:sz="8" w:color="CFF0FC"/>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CFF0FC"/>
            </w:tcBorders>
          </w:tcPr>
          <w:p>
            <w:pPr>
              <w:spacing w:after="0"/>
              <w:rPr>
                <w:sz w:val="21"/>
                <w:szCs w:val="21"/>
                <w:color w:val="auto"/>
              </w:rPr>
            </w:pPr>
          </w:p>
        </w:tc>
      </w:tr>
      <w:tr>
        <w:trPr>
          <w:trHeight w:val="223"/>
        </w:trPr>
        <w:tc>
          <w:tcPr>
            <w:tcW w:w="3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2,106</w:t>
            </w:r>
          </w:p>
        </w:tc>
        <w:tc>
          <w:tcPr>
            <w:tcW w:w="2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23" w:lineRule="exact"/>
        <w:rPr>
          <w:sz w:val="20"/>
          <w:szCs w:val="20"/>
          <w:color w:val="auto"/>
        </w:rPr>
      </w:pPr>
      <w:r>
        <w:rPr>
          <w:rFonts w:ascii="Arial" w:cs="Arial" w:eastAsia="Arial" w:hAnsi="Arial"/>
          <w:sz w:val="18"/>
          <w:szCs w:val="18"/>
          <w:color w:val="auto"/>
        </w:rPr>
        <w:t>As of December 31, 2021, total unamortized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was $22.1 million which we expect to recognize over a weighted average period of 2.9 years. The intrinsic value of all outstanding stock options as of December 31, 2021 was $10.0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accounted for income taxes using the asset and liability method. Under this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0" w:name="page121"/>
    <w:bookmarkEnd w:id="120"/>
    <w:p>
      <w:pPr>
        <w:jc w:val="both"/>
        <w:spacing w:after="0" w:line="263" w:lineRule="auto"/>
        <w:rPr>
          <w:sz w:val="20"/>
          <w:szCs w:val="20"/>
          <w:color w:val="auto"/>
        </w:rPr>
      </w:pPr>
      <w:r>
        <w:rPr>
          <w:rFonts w:ascii="Arial" w:cs="Arial" w:eastAsia="Arial" w:hAnsi="Arial"/>
          <w:sz w:val="18"/>
          <w:szCs w:val="18"/>
          <w:color w:val="auto"/>
        </w:rPr>
        <w:t>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7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We recognize interest and penalties related to uncertain tax positions, if any exist, in income tax expense.</w:t>
      </w:r>
    </w:p>
    <w:p>
      <w:pPr>
        <w:spacing w:after="0" w:line="7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During the years ending December 31, 2021 and 2020, we recognized state tax payments as income tax expense on the statement of operations and comprehensive loss. Since our formation in 2011, we have not recorded any U.S. federal or state income tax benefits for the net losses we have incurred in each year or our earned tax credits, due to our uncertainty of realizing a benefit from those items. Due to our lack of earnings history and uncertainties surrounding our ability to generate future taxable income, the net deferred tax assets have been fully offset by a valuation allowance. The deferred tax assets were primarily comprised of federal and state tax net operating losses (“NOL”). Pursuant to Section 382 and 383 of the Internal Revenue Code (“IRC”), utilization of our NOL carryforwards and research and development credits may be subject to annual limitations in the event of any significant future changes in our ownership structure. These annual limitations may result in the expiration of NOL carryforwards and research and development credits prior to utilization. As of December 31, 2021, we have completed an IRC Section 382 analysis through the date of the Merger. Ownership changes were identified that will result in annual limitations on future utilization of NOLs and research and development credit carryforwards. To the extent such limitations will cause NOL and R&amp;D credit carryforwards to expire unused, these tax attributes have been removed from deferred tax assets. As of December 31, 2021, we have federal and state net operating loss carryforwards of approximately $150.9 million and $55.8 million, respectively. We also have federal and state research credit carryforwards of approximately $3.1 million and $1.7 million, respectively, as of December 31, 2021. Ownership changes may occur in the future which can result in future limitations of the available NOL and R&amp;D credit carryforwards.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an “emerging growth company” within the meaning of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a discussion of recent accounting pronouncements.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by this Item.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Beginning on the following page are the consolidated financial statements with applicable notes and the related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6460" w:type="dxa"/>
            <w:vAlign w:val="bottom"/>
            <w:gridSpan w:val="6"/>
          </w:tcPr>
          <w:p>
            <w:pPr>
              <w:ind w:left="120"/>
              <w:spacing w:after="0"/>
              <w:rPr>
                <w:sz w:val="20"/>
                <w:szCs w:val="20"/>
                <w:color w:val="auto"/>
              </w:rPr>
            </w:pPr>
            <w:r>
              <w:rPr>
                <w:rFonts w:ascii="Arial" w:cs="Arial" w:eastAsia="Arial" w:hAnsi="Arial"/>
                <w:sz w:val="18"/>
                <w:szCs w:val="18"/>
                <w:b w:val="1"/>
                <w:bCs w:val="1"/>
                <w:color w:val="auto"/>
              </w:rPr>
              <w:t>INDEX TO CONSOLIDATED FINANCIAL STATEMENTS</w:t>
            </w:r>
          </w:p>
        </w:tc>
        <w:tc>
          <w:tcPr>
            <w:tcW w:w="1600" w:type="dxa"/>
            <w:vAlign w:val="bottom"/>
          </w:tcPr>
          <w:p>
            <w:pPr>
              <w:spacing w:after="0"/>
              <w:rPr>
                <w:sz w:val="20"/>
                <w:szCs w:val="20"/>
                <w:color w:val="auto"/>
              </w:rPr>
            </w:pPr>
          </w:p>
        </w:tc>
      </w:tr>
      <w:tr>
        <w:trPr>
          <w:trHeight w:val="445"/>
        </w:trPr>
        <w:tc>
          <w:tcPr>
            <w:tcW w:w="9620" w:type="dxa"/>
            <w:vAlign w:val="bottom"/>
            <w:gridSpan w:val="7"/>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(BDO</w:t>
            </w:r>
            <w:r>
              <w:rPr>
                <w:rFonts w:ascii="Arial" w:cs="Arial" w:eastAsia="Arial" w:hAnsi="Arial"/>
                <w:sz w:val="18"/>
                <w:szCs w:val="18"/>
                <w:color w:val="0000EE"/>
              </w:rPr>
              <w:t xml:space="preserve"> </w:t>
            </w:r>
            <w:r>
              <w:rPr>
                <w:rFonts w:ascii="Arial" w:cs="Arial" w:eastAsia="Arial" w:hAnsi="Arial"/>
                <w:sz w:val="18"/>
                <w:szCs w:val="18"/>
                <w:color w:val="000000"/>
              </w:rPr>
              <w:t>USA, LLP, San Diego, CA, PCAOB ID#243)</w:t>
            </w:r>
          </w:p>
        </w:tc>
        <w:tc>
          <w:tcPr>
            <w:tcW w:w="16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45"/>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24">
              <w:r>
                <w:rPr>
                  <w:rFonts w:ascii="Arial" w:cs="Arial" w:eastAsia="Arial" w:hAnsi="Arial"/>
                  <w:sz w:val="18"/>
                  <w:szCs w:val="18"/>
                  <w:color w:val="0000EE"/>
                  <w:w w:val="88"/>
                </w:rPr>
                <w:t>Consolidated Balance Sheets as of December 31, 2021 and 2020</w:t>
              </w:r>
            </w:hyperlink>
          </w:p>
        </w:tc>
        <w:tc>
          <w:tcPr>
            <w:tcW w:w="4960" w:type="dxa"/>
            <w:vAlign w:val="bottom"/>
            <w:gridSpan w:val="4"/>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45"/>
        </w:trPr>
        <w:tc>
          <w:tcPr>
            <w:tcW w:w="83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Consolidated Statements of Operations and Comprehensive Loss for the Years ended December 31, 2021 and 2020</w:t>
              </w:r>
            </w:hyperlink>
          </w:p>
        </w:tc>
        <w:tc>
          <w:tcPr>
            <w:tcW w:w="1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44"/>
        </w:trPr>
        <w:tc>
          <w:tcPr>
            <w:tcW w:w="9620" w:type="dxa"/>
            <w:vAlign w:val="bottom"/>
            <w:gridSpan w:val="7"/>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Consolidated Statements of Stockholders’ Equity (Deficit) for the Years ended December 31, 2021 and 2020</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44"/>
        </w:trPr>
        <w:tc>
          <w:tcPr>
            <w:tcW w:w="7820" w:type="dxa"/>
            <w:vAlign w:val="bottom"/>
            <w:tcBorders>
              <w:top w:val="single" w:sz="8" w:color="0000EE"/>
            </w:tcBorders>
            <w:gridSpan w:val="5"/>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Consolidated Statements of Cash Flows for the Years ended December 31, 2021 and 2020</w:t>
              </w:r>
            </w:hyperlink>
          </w:p>
        </w:tc>
        <w:tc>
          <w:tcPr>
            <w:tcW w:w="1800" w:type="dxa"/>
            <w:vAlign w:val="bottom"/>
            <w:gridSpan w:val="2"/>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45"/>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128">
              <w:r>
                <w:rPr>
                  <w:rFonts w:ascii="Arial" w:cs="Arial" w:eastAsia="Arial" w:hAnsi="Arial"/>
                  <w:sz w:val="18"/>
                  <w:szCs w:val="18"/>
                  <w:color w:val="0000EE"/>
                  <w:w w:val="89"/>
                </w:rPr>
                <w:t>Notes to Consolidated Financial Statements</w:t>
              </w:r>
            </w:hyperlink>
          </w:p>
        </w:tc>
        <w:tc>
          <w:tcPr>
            <w:tcW w:w="3320" w:type="dxa"/>
            <w:vAlign w:val="bottom"/>
            <w:tcBorders>
              <w:top w:val="single" w:sz="8" w:color="0000EE"/>
            </w:tcBorders>
            <w:gridSpan w:val="3"/>
          </w:tcPr>
          <w:p>
            <w:pPr>
              <w:spacing w:after="0"/>
              <w:rPr>
                <w:sz w:val="24"/>
                <w:szCs w:val="24"/>
                <w:color w:val="auto"/>
              </w:rPr>
            </w:pPr>
          </w:p>
        </w:tc>
        <w:tc>
          <w:tcPr>
            <w:tcW w:w="3140" w:type="dxa"/>
            <w:vAlign w:val="bottom"/>
            <w:gridSpan w:val="3"/>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-1165225</wp:posOffset>
            </wp:positionV>
            <wp:extent cx="285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2" w:name="page123"/>
    <w:bookmarkEnd w:id="122"/>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Aadi Bioscience,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Pacific Palisades, California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Aadi Bioscience, Inc. (the “Company”) as of December 31, 2021 and 2020, and the related consolidated statements of operations and comprehensive loss,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years then ended, in conformity with accounting principles generally accepted in the United States of America.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3" w:name="page124"/>
    <w:bookmarkEnd w:id="123"/>
    <w:p>
      <w:pPr>
        <w:ind w:left="4520"/>
        <w:spacing w:after="0"/>
        <w:rPr>
          <w:sz w:val="20"/>
          <w:szCs w:val="20"/>
          <w:color w:val="auto"/>
        </w:rPr>
      </w:pPr>
      <w:r>
        <w:rPr>
          <w:rFonts w:ascii="Arial" w:cs="Arial" w:eastAsia="Arial" w:hAnsi="Arial"/>
          <w:sz w:val="18"/>
          <w:szCs w:val="18"/>
          <w:b w:val="1"/>
          <w:bCs w:val="1"/>
          <w:color w:val="auto"/>
        </w:rPr>
        <w:t>AADI BIOSCIENCE, INC.</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data and par value)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148,989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2,283</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151,272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557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3,811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2,213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157,910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6,439</w:t>
            </w:r>
          </w:p>
        </w:tc>
        <w:tc>
          <w:tcPr>
            <w:tcW w:w="3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8,445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8"/>
                <w:szCs w:val="18"/>
                <w:color w:val="auto"/>
              </w:rPr>
              <w:t>Payable to related party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Convertible related party promissory notes payable at fair value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120"/>
              <w:spacing w:after="0"/>
              <w:rPr>
                <w:sz w:val="20"/>
                <w:szCs w:val="20"/>
                <w:color w:val="auto"/>
              </w:rPr>
            </w:pPr>
            <w:r>
              <w:rPr>
                <w:rFonts w:ascii="Arial" w:cs="Arial" w:eastAsia="Arial" w:hAnsi="Arial"/>
                <w:sz w:val="18"/>
                <w:szCs w:val="18"/>
                <w:color w:val="auto"/>
              </w:rPr>
              <w:t>Operating lease liabilities, current portion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15,273</w:t>
            </w: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promissory notes payable at fair value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Payable to related party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5,757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21,504</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 (deficit):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40" w:type="dxa"/>
            <w:vAlign w:val="bottom"/>
          </w:tcPr>
          <w:p>
            <w:pPr>
              <w:ind w:left="120"/>
              <w:spacing w:after="0"/>
              <w:rPr>
                <w:sz w:val="20"/>
                <w:szCs w:val="20"/>
                <w:color w:val="auto"/>
              </w:rPr>
            </w:pPr>
            <w:r>
              <w:rPr>
                <w:rFonts w:ascii="Arial" w:cs="Arial" w:eastAsia="Arial" w:hAnsi="Arial"/>
                <w:sz w:val="18"/>
                <w:szCs w:val="18"/>
                <w:color w:val="auto"/>
                <w:w w:val="97"/>
              </w:rPr>
              <w:t>Series Seed preferred stock, $0.0001 par value, zero and 734,218 shares authorized, issued and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20"/>
              <w:spacing w:after="0"/>
              <w:rPr>
                <w:sz w:val="20"/>
                <w:szCs w:val="20"/>
                <w:color w:val="auto"/>
              </w:rPr>
            </w:pPr>
            <w:r>
              <w:rPr>
                <w:rFonts w:ascii="Arial" w:cs="Arial" w:eastAsia="Arial" w:hAnsi="Arial"/>
                <w:sz w:val="18"/>
                <w:szCs w:val="18"/>
                <w:color w:val="auto"/>
                <w:w w:val="93"/>
              </w:rPr>
              <w:t>outstanding as of December 31, 2021 and 2020, respectively; aggregate liquidation preference of $0</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8"/>
                <w:szCs w:val="18"/>
                <w:color w:val="auto"/>
              </w:rPr>
              <w:t>and $1,101 as of December 31, 2021 and 2020, respectively</w:t>
            </w:r>
          </w:p>
        </w:tc>
        <w:tc>
          <w:tcPr>
            <w:tcW w:w="360" w:type="dxa"/>
            <w:vAlign w:val="bottom"/>
          </w:tcPr>
          <w:p>
            <w:pPr>
              <w:spacing w:after="0"/>
              <w:rPr>
                <w:sz w:val="20"/>
                <w:szCs w:val="20"/>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Series A preferred stock, $0.0001 par value, zero and 7,211,948 shares authorized, issued and</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3"/>
              </w:rPr>
              <w:t>outstanding as of December 31, 2021 and 2020, respectively; aggregate liquidation preference of $0</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$28,433 as of December 31, 2021 and 2020, respectively</w:t>
            </w:r>
          </w:p>
        </w:tc>
        <w:tc>
          <w:tcPr>
            <w:tcW w:w="360" w:type="dxa"/>
            <w:vAlign w:val="bottom"/>
            <w:shd w:val="clear" w:color="auto" w:fill="CFF0FC"/>
          </w:tcPr>
          <w:p>
            <w:pPr>
              <w:spacing w:after="0"/>
              <w:rPr>
                <w:sz w:val="20"/>
                <w:szCs w:val="20"/>
                <w:color w:val="auto"/>
              </w:rPr>
            </w:pPr>
          </w:p>
        </w:tc>
        <w:tc>
          <w:tcPr>
            <w:tcW w:w="148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80" w:type="dxa"/>
            <w:vAlign w:val="bottom"/>
            <w:gridSpan w:val="2"/>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40" w:type="dxa"/>
            <w:vAlign w:val="bottom"/>
          </w:tcPr>
          <w:p>
            <w:pPr>
              <w:ind w:left="120"/>
              <w:spacing w:after="0"/>
              <w:rPr>
                <w:sz w:val="20"/>
                <w:szCs w:val="20"/>
                <w:color w:val="auto"/>
              </w:rPr>
            </w:pPr>
            <w:r>
              <w:rPr>
                <w:rFonts w:ascii="Arial" w:cs="Arial" w:eastAsia="Arial" w:hAnsi="Arial"/>
                <w:sz w:val="18"/>
                <w:szCs w:val="18"/>
                <w:color w:val="auto"/>
                <w:w w:val="94"/>
              </w:rPr>
              <w:t>Common stock, $0.0001 par value, 300,000,000 and 20,000,000 shares authorized; 20,894,695 and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8"/>
                <w:szCs w:val="18"/>
                <w:color w:val="auto"/>
              </w:rPr>
              <w:t>2,542,358 shares issued and outstanding as of December 31, 2021 and 2020, respectively</w:t>
            </w: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279,089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(142,685)</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(32,595)</w:t>
            </w: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136,406</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157,910</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337" w:right="3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AADI BIOSCIENCE,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data and earnings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734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740" w:type="dxa"/>
            <w:vAlign w:val="bottom"/>
            <w:gridSpan w:val="2"/>
          </w:tcPr>
          <w:p>
            <w:pPr>
              <w:jc w:val="right"/>
              <w:ind w:right="207"/>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revenue</w:t>
            </w:r>
          </w:p>
        </w:tc>
        <w:tc>
          <w:tcPr>
            <w:tcW w:w="3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1,120</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60"/>
              <w:spacing w:after="0"/>
              <w:rPr>
                <w:sz w:val="20"/>
                <w:szCs w:val="20"/>
                <w:color w:val="auto"/>
              </w:rPr>
            </w:pPr>
            <w:r>
              <w:rPr>
                <w:rFonts w:ascii="Arial" w:cs="Arial" w:eastAsia="Arial" w:hAnsi="Arial"/>
                <w:sz w:val="18"/>
                <w:szCs w:val="18"/>
                <w:color w:val="auto"/>
                <w:w w:val="94"/>
              </w:rPr>
              <w:t>Research and development (includes related party amounts of $200 and $2,461, respectively)</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19,670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18,511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Impairment of acquired contract intangible asset</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74,156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112,337</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(111,217)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Change in fair value of convertible promissory notes</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1,585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upon extinguishment of debt</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(includes related party amounts of $600 and $734, respectively)</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(665)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 (expense), net</w:t>
            </w:r>
          </w:p>
        </w:tc>
        <w:tc>
          <w:tcPr>
            <w:tcW w:w="3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1,129</w:t>
            </w:r>
          </w:p>
        </w:tc>
        <w:tc>
          <w:tcPr>
            <w:tcW w:w="3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 expense</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(110,088)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and comprehensive loss</w:t>
            </w:r>
          </w:p>
        </w:tc>
        <w:tc>
          <w:tcPr>
            <w:tcW w:w="3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(110,090)</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Cumulative dividends on convertible preferred stock</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(647)</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7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and comprehensive loss attributable to common stockholders</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(110,737)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260"/>
              <w:spacing w:after="0"/>
              <w:rPr>
                <w:sz w:val="20"/>
                <w:szCs w:val="20"/>
                <w:color w:val="auto"/>
              </w:rPr>
            </w:pPr>
            <w:r>
              <w:rPr>
                <w:rFonts w:ascii="Arial" w:cs="Arial" w:eastAsia="Arial" w:hAnsi="Arial"/>
                <w:sz w:val="18"/>
                <w:szCs w:val="18"/>
                <w:color w:val="auto"/>
                <w:w w:val="94"/>
              </w:rPr>
              <w:t>Net and comprehensive loss per share attributable to common stockholders, basic and diluted</w:t>
            </w:r>
          </w:p>
        </w:tc>
        <w:tc>
          <w:tcPr>
            <w:tcW w:w="7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FF0FC"/>
            </w:tcBorders>
            <w:vMerge w:val="continue"/>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(12.41)</w:t>
            </w:r>
          </w:p>
        </w:tc>
        <w:tc>
          <w:tcPr>
            <w:tcW w:w="30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 average number of common shares outstanding used in</w:t>
            </w:r>
          </w:p>
        </w:tc>
        <w:tc>
          <w:tcPr>
            <w:tcW w:w="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computing net and comprehensive loss per share attributable to common</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8,923,369</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stockholders, basic and diluted</w:t>
            </w:r>
          </w:p>
        </w:tc>
        <w:tc>
          <w:tcPr>
            <w:tcW w:w="3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2,542,358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AADI BIOSCIENCE,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(Amounts in thousands, including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4"/>
                <w:szCs w:val="14"/>
                <w:b w:val="1"/>
                <w:bCs w:val="1"/>
                <w:color w:val="auto"/>
              </w:rPr>
              <w:t>Stockholders’ Equity (Deficit)</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62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0"/>
              </w:rPr>
              <w:t>Series Seed Preferred</w:t>
            </w:r>
          </w:p>
        </w:tc>
        <w:tc>
          <w:tcPr>
            <w:tcW w:w="240" w:type="dxa"/>
            <w:vAlign w:val="bottom"/>
          </w:tcPr>
          <w:p>
            <w:pPr>
              <w:spacing w:after="0"/>
              <w:rPr>
                <w:sz w:val="11"/>
                <w:szCs w:val="11"/>
                <w:color w:val="auto"/>
              </w:rPr>
            </w:pPr>
          </w:p>
        </w:tc>
        <w:tc>
          <w:tcPr>
            <w:tcW w:w="198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Series A Preferred Stock</w:t>
            </w:r>
          </w:p>
        </w:tc>
        <w:tc>
          <w:tcPr>
            <w:tcW w:w="14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3"/>
              </w:rPr>
              <w:t>Common Stock</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Accumulated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Shares</w:t>
            </w: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rPr>
              <w:t>Par</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7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Par</w:t>
            </w: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 31,</w:t>
            </w:r>
          </w:p>
        </w:tc>
        <w:tc>
          <w:tcPr>
            <w:tcW w:w="5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right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20" w:type="dxa"/>
            <w:vAlign w:val="bottom"/>
            <w:shd w:val="clear" w:color="auto" w:fill="CFF0FC"/>
          </w:tcPr>
          <w:p>
            <w:pPr>
              <w:spacing w:after="0"/>
              <w:rPr>
                <w:sz w:val="20"/>
                <w:szCs w:val="20"/>
                <w:color w:val="auto"/>
              </w:rPr>
            </w:pPr>
            <w:r>
              <w:rPr>
                <w:rFonts w:ascii="Arial" w:cs="Arial" w:eastAsia="Arial" w:hAnsi="Arial"/>
                <w:sz w:val="16"/>
                <w:szCs w:val="16"/>
                <w:color w:val="auto"/>
              </w:rPr>
              <w:t>2019</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7,212</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2,542</w:t>
            </w:r>
          </w:p>
        </w:tc>
        <w:tc>
          <w:tcPr>
            <w:tcW w:w="68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20,022</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(29,117)</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(9,093)</w:t>
            </w:r>
          </w:p>
        </w:tc>
        <w:tc>
          <w:tcPr>
            <w:tcW w:w="0" w:type="dxa"/>
            <w:vAlign w:val="bottom"/>
          </w:tcPr>
          <w:p>
            <w:pPr>
              <w:spacing w:after="0"/>
              <w:rPr>
                <w:sz w:val="1"/>
                <w:szCs w:val="1"/>
                <w:color w:val="auto"/>
              </w:rPr>
            </w:pPr>
          </w:p>
        </w:tc>
      </w:tr>
      <w:tr>
        <w:trPr>
          <w:trHeight w:val="206"/>
        </w:trPr>
        <w:tc>
          <w:tcPr>
            <w:tcW w:w="21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20" w:type="dxa"/>
            <w:vAlign w:val="bottom"/>
          </w:tcPr>
          <w:p>
            <w:pPr>
              <w:ind w:left="140"/>
              <w:spacing w:after="0"/>
              <w:rPr>
                <w:sz w:val="20"/>
                <w:szCs w:val="20"/>
                <w:color w:val="auto"/>
              </w:rPr>
            </w:pPr>
            <w:r>
              <w:rPr>
                <w:rFonts w:ascii="Arial" w:cs="Arial" w:eastAsia="Arial" w:hAnsi="Arial"/>
                <w:sz w:val="16"/>
                <w:szCs w:val="16"/>
                <w:color w:val="auto"/>
              </w:rPr>
              <w:t>expense</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2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Net and comprehensive loss</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(3,478)</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(3,478)</w:t>
            </w:r>
          </w:p>
        </w:tc>
        <w:tc>
          <w:tcPr>
            <w:tcW w:w="0" w:type="dxa"/>
            <w:vAlign w:val="bottom"/>
          </w:tcPr>
          <w:p>
            <w:pPr>
              <w:spacing w:after="0"/>
              <w:rPr>
                <w:sz w:val="1"/>
                <w:szCs w:val="1"/>
                <w:color w:val="auto"/>
              </w:rPr>
            </w:pPr>
          </w:p>
        </w:tc>
      </w:tr>
      <w:tr>
        <w:trPr>
          <w:trHeight w:val="200"/>
        </w:trPr>
        <w:tc>
          <w:tcPr>
            <w:tcW w:w="2120" w:type="dxa"/>
            <w:vAlign w:val="bottom"/>
          </w:tcPr>
          <w:p>
            <w:pPr>
              <w:spacing w:after="0"/>
              <w:rPr>
                <w:sz w:val="20"/>
                <w:szCs w:val="20"/>
                <w:color w:val="auto"/>
              </w:rPr>
            </w:pPr>
            <w:r>
              <w:rPr>
                <w:rFonts w:ascii="Arial" w:cs="Arial" w:eastAsia="Arial" w:hAnsi="Arial"/>
                <w:sz w:val="16"/>
                <w:szCs w:val="16"/>
                <w:color w:val="auto"/>
              </w:rPr>
              <w:t>Balance at December 31,</w:t>
            </w: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120" w:type="dxa"/>
            <w:vAlign w:val="bottom"/>
          </w:tcPr>
          <w:p>
            <w:pPr>
              <w:spacing w:after="0"/>
              <w:rPr>
                <w:sz w:val="20"/>
                <w:szCs w:val="20"/>
                <w:color w:val="auto"/>
              </w:rPr>
            </w:pPr>
            <w:r>
              <w:rPr>
                <w:rFonts w:ascii="Arial" w:cs="Arial" w:eastAsia="Arial" w:hAnsi="Arial"/>
                <w:sz w:val="16"/>
                <w:szCs w:val="16"/>
                <w:color w:val="auto"/>
              </w:rPr>
              <w:t>2020</w:t>
            </w:r>
          </w:p>
        </w:tc>
        <w:tc>
          <w:tcPr>
            <w:tcW w:w="500" w:type="dxa"/>
            <w:vAlign w:val="bottom"/>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7,212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2,542</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20,161</w:t>
            </w:r>
          </w:p>
        </w:tc>
        <w:tc>
          <w:tcPr>
            <w:tcW w:w="18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(32,595)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(12,432)</w:t>
            </w:r>
          </w:p>
        </w:tc>
        <w:tc>
          <w:tcPr>
            <w:tcW w:w="0" w:type="dxa"/>
            <w:vAlign w:val="bottom"/>
          </w:tcPr>
          <w:p>
            <w:pPr>
              <w:spacing w:after="0"/>
              <w:rPr>
                <w:sz w:val="1"/>
                <w:szCs w:val="1"/>
                <w:color w:val="auto"/>
              </w:rPr>
            </w:pPr>
          </w:p>
        </w:tc>
      </w:tr>
      <w:tr>
        <w:trPr>
          <w:trHeight w:val="190"/>
        </w:trPr>
        <w:tc>
          <w:tcPr>
            <w:tcW w:w="21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Exercise of stock options to</w:t>
            </w:r>
          </w:p>
        </w:tc>
        <w:tc>
          <w:tcPr>
            <w:tcW w:w="5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FF0FC"/>
            </w:tcBorders>
            <w:vMerge w:val="restart"/>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CFF0FC"/>
            </w:tcBorders>
            <w:vMerge w:val="restart"/>
            <w:shd w:val="clear" w:color="auto" w:fill="CFF0FC"/>
          </w:tcPr>
          <w:p>
            <w:pPr>
              <w:spacing w:after="0"/>
              <w:rPr>
                <w:sz w:val="16"/>
                <w:szCs w:val="16"/>
                <w:color w:val="auto"/>
              </w:rPr>
            </w:pP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FF0FC"/>
            </w:tcBorders>
            <w:vMerge w:val="restart"/>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CFF0FC"/>
            </w:tcBorders>
            <w:vMerge w:val="restart"/>
            <w:shd w:val="clear" w:color="auto" w:fill="CFF0FC"/>
          </w:tcPr>
          <w:p>
            <w:pPr>
              <w:spacing w:after="0"/>
              <w:rPr>
                <w:sz w:val="16"/>
                <w:szCs w:val="16"/>
                <w:color w:val="auto"/>
              </w:rPr>
            </w:pP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73</w:t>
            </w:r>
          </w:p>
        </w:tc>
        <w:tc>
          <w:tcPr>
            <w:tcW w:w="18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FF0FC"/>
            </w:tcBorders>
            <w:vMerge w:val="restart"/>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833</w:t>
            </w:r>
          </w:p>
        </w:tc>
        <w:tc>
          <w:tcPr>
            <w:tcW w:w="180" w:type="dxa"/>
            <w:vAlign w:val="bottom"/>
            <w:tcBorders>
              <w:top w:val="single" w:sz="8" w:color="CFF0FC"/>
              <w:right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CFF0FC"/>
              <w:right w:val="single" w:sz="8" w:color="CFF0FC"/>
            </w:tcBorders>
            <w:vMerge w:val="restart"/>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833</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purchase common stock</w:t>
            </w:r>
          </w:p>
        </w:tc>
        <w:tc>
          <w:tcPr>
            <w:tcW w:w="50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8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140"/>
              <w:spacing w:after="0"/>
              <w:rPr>
                <w:sz w:val="20"/>
                <w:szCs w:val="20"/>
                <w:color w:val="auto"/>
              </w:rPr>
            </w:pPr>
            <w:r>
              <w:rPr>
                <w:rFonts w:ascii="Arial" w:cs="Arial" w:eastAsia="Arial" w:hAnsi="Arial"/>
                <w:sz w:val="16"/>
                <w:szCs w:val="16"/>
                <w:color w:val="auto"/>
              </w:rPr>
              <w:t>to PIPE Investors, net of</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11,853</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145,383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145,384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20" w:type="dxa"/>
            <w:vAlign w:val="bottom"/>
          </w:tcPr>
          <w:p>
            <w:pPr>
              <w:ind w:left="140"/>
              <w:spacing w:after="0"/>
              <w:rPr>
                <w:sz w:val="20"/>
                <w:szCs w:val="20"/>
                <w:color w:val="auto"/>
              </w:rPr>
            </w:pPr>
            <w:r>
              <w:rPr>
                <w:rFonts w:ascii="Arial" w:cs="Arial" w:eastAsia="Arial" w:hAnsi="Arial"/>
                <w:sz w:val="16"/>
                <w:szCs w:val="16"/>
                <w:color w:val="auto"/>
              </w:rPr>
              <w:t>issuance costs</w:t>
            </w: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Issuance of common stock</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 former stockholders of</w:t>
            </w:r>
          </w:p>
        </w:tc>
        <w:tc>
          <w:tcPr>
            <w:tcW w:w="6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FF0FC"/>
          </w:tcPr>
          <w:p>
            <w:pPr>
              <w:spacing w:after="0"/>
              <w:rPr>
                <w:sz w:val="17"/>
                <w:szCs w:val="17"/>
                <w:color w:val="auto"/>
              </w:rPr>
            </w:pPr>
          </w:p>
        </w:tc>
        <w:tc>
          <w:tcPr>
            <w:tcW w:w="7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3,209</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105,888</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105,888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Aerpio upon Merger</w:t>
            </w:r>
          </w:p>
        </w:tc>
        <w:tc>
          <w:tcPr>
            <w:tcW w:w="6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140"/>
              <w:spacing w:after="0"/>
              <w:rPr>
                <w:sz w:val="20"/>
                <w:szCs w:val="20"/>
                <w:color w:val="auto"/>
              </w:rPr>
            </w:pPr>
            <w:r>
              <w:rPr>
                <w:rFonts w:ascii="Arial" w:cs="Arial" w:eastAsia="Arial" w:hAnsi="Arial"/>
                <w:sz w:val="16"/>
                <w:szCs w:val="16"/>
                <w:color w:val="auto"/>
              </w:rPr>
              <w:t>Conversion of convertible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140"/>
              <w:spacing w:after="0"/>
              <w:rPr>
                <w:sz w:val="20"/>
                <w:szCs w:val="20"/>
                <w:color w:val="auto"/>
              </w:rPr>
            </w:pPr>
            <w:r>
              <w:rPr>
                <w:rFonts w:ascii="Arial" w:cs="Arial" w:eastAsia="Arial" w:hAnsi="Arial"/>
                <w:sz w:val="16"/>
                <w:szCs w:val="16"/>
                <w:color w:val="auto"/>
              </w:rPr>
              <w:t>promissory note into</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698</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9,130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20" w:type="dxa"/>
            <w:vAlign w:val="bottom"/>
          </w:tcPr>
          <w:p>
            <w:pPr>
              <w:ind w:left="140"/>
              <w:spacing w:after="0"/>
              <w:rPr>
                <w:sz w:val="20"/>
                <w:szCs w:val="20"/>
                <w:color w:val="auto"/>
              </w:rPr>
            </w:pPr>
            <w:r>
              <w:rPr>
                <w:rFonts w:ascii="Arial" w:cs="Arial" w:eastAsia="Arial" w:hAnsi="Arial"/>
                <w:sz w:val="16"/>
                <w:szCs w:val="16"/>
                <w:color w:val="auto"/>
                <w:w w:val="98"/>
              </w:rPr>
              <w:t>common stock upon Merger</w:t>
            </w: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Conversion of convertible</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preferred stock into</w:t>
            </w:r>
          </w:p>
        </w:tc>
        <w:tc>
          <w:tcPr>
            <w:tcW w:w="6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(734)</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(7,212)</w:t>
            </w:r>
          </w:p>
        </w:tc>
        <w:tc>
          <w:tcPr>
            <w:tcW w:w="380" w:type="dxa"/>
            <w:vAlign w:val="bottom"/>
            <w:shd w:val="clear" w:color="auto" w:fill="CFF0FC"/>
          </w:tcPr>
          <w:p>
            <w:pPr>
              <w:spacing w:after="0"/>
              <w:rPr>
                <w:sz w:val="17"/>
                <w:szCs w:val="17"/>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2,520</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7"/>
                <w:szCs w:val="17"/>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2"/>
        </w:trPr>
        <w:tc>
          <w:tcPr>
            <w:tcW w:w="212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8"/>
              </w:rPr>
              <w:t>common stock upon Merger</w:t>
            </w:r>
          </w:p>
        </w:tc>
        <w:tc>
          <w:tcPr>
            <w:tcW w:w="6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2,106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20" w:type="dxa"/>
            <w:vAlign w:val="bottom"/>
          </w:tcPr>
          <w:p>
            <w:pPr>
              <w:ind w:left="140"/>
              <w:spacing w:after="0"/>
              <w:rPr>
                <w:sz w:val="20"/>
                <w:szCs w:val="20"/>
                <w:color w:val="auto"/>
              </w:rPr>
            </w:pPr>
            <w:r>
              <w:rPr>
                <w:rFonts w:ascii="Arial" w:cs="Arial" w:eastAsia="Arial" w:hAnsi="Arial"/>
                <w:sz w:val="16"/>
                <w:szCs w:val="16"/>
                <w:color w:val="auto"/>
              </w:rPr>
              <w:t>expense</w:t>
            </w: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Cumulative dividends paid</w:t>
            </w:r>
          </w:p>
        </w:tc>
        <w:tc>
          <w:tcPr>
            <w:tcW w:w="6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FF0FC"/>
          </w:tcPr>
          <w:p>
            <w:pPr>
              <w:spacing w:after="0"/>
              <w:rPr>
                <w:sz w:val="18"/>
                <w:szCs w:val="18"/>
                <w:color w:val="auto"/>
              </w:rPr>
            </w:pPr>
          </w:p>
        </w:tc>
        <w:tc>
          <w:tcPr>
            <w:tcW w:w="7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(4,412)</w:t>
            </w: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(4,412)</w:t>
            </w:r>
          </w:p>
        </w:tc>
        <w:tc>
          <w:tcPr>
            <w:tcW w:w="0" w:type="dxa"/>
            <w:vAlign w:val="bottom"/>
          </w:tcPr>
          <w:p>
            <w:pPr>
              <w:spacing w:after="0"/>
              <w:rPr>
                <w:sz w:val="1"/>
                <w:szCs w:val="1"/>
                <w:color w:val="auto"/>
              </w:rPr>
            </w:pPr>
          </w:p>
        </w:tc>
      </w:tr>
      <w:tr>
        <w:trPr>
          <w:trHeight w:val="212"/>
        </w:trPr>
        <w:tc>
          <w:tcPr>
            <w:tcW w:w="2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on Series A preferred stock</w:t>
            </w:r>
          </w:p>
        </w:tc>
        <w:tc>
          <w:tcPr>
            <w:tcW w:w="6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140"/>
              <w:spacing w:after="0"/>
              <w:rPr>
                <w:sz w:val="20"/>
                <w:szCs w:val="20"/>
                <w:color w:val="auto"/>
              </w:rPr>
            </w:pPr>
            <w:r>
              <w:rPr>
                <w:rFonts w:ascii="Arial" w:cs="Arial" w:eastAsia="Arial" w:hAnsi="Arial"/>
                <w:sz w:val="16"/>
                <w:szCs w:val="16"/>
                <w:color w:val="auto"/>
                <w:w w:val="97"/>
              </w:rPr>
              <w:t>Net and comprehensive loss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(110,090)</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(110,090)</w:t>
            </w:r>
          </w:p>
        </w:tc>
        <w:tc>
          <w:tcPr>
            <w:tcW w:w="0" w:type="dxa"/>
            <w:vAlign w:val="bottom"/>
          </w:tcPr>
          <w:p>
            <w:pPr>
              <w:spacing w:after="0"/>
              <w:rPr>
                <w:sz w:val="1"/>
                <w:szCs w:val="1"/>
                <w:color w:val="auto"/>
              </w:rPr>
            </w:pPr>
          </w:p>
        </w:tc>
      </w:tr>
      <w:tr>
        <w:trPr>
          <w:trHeight w:val="20"/>
        </w:trPr>
        <w:tc>
          <w:tcPr>
            <w:tcW w:w="21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at December 31,</w:t>
            </w: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120" w:type="dxa"/>
            <w:vAlign w:val="bottom"/>
            <w:vMerge w:val="continue"/>
            <w:shd w:val="clear" w:color="auto" w:fill="CFF0FC"/>
          </w:tcPr>
          <w:p>
            <w:pPr>
              <w:spacing w:after="0"/>
              <w:rPr>
                <w:sz w:val="17"/>
                <w:szCs w:val="17"/>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vMerge w:val="restart"/>
            <w:shd w:val="clear" w:color="auto" w:fill="CFF0FC"/>
          </w:tcPr>
          <w:p>
            <w:pPr>
              <w:spacing w:after="0"/>
              <w:rPr>
                <w:sz w:val="17"/>
                <w:szCs w:val="17"/>
                <w:color w:val="auto"/>
              </w:rPr>
            </w:pPr>
          </w:p>
        </w:tc>
        <w:tc>
          <w:tcPr>
            <w:tcW w:w="100" w:type="dxa"/>
            <w:vAlign w:val="bottom"/>
            <w:vMerge w:val="restart"/>
            <w:shd w:val="clear" w:color="auto" w:fill="CFF0FC"/>
          </w:tcPr>
          <w:p>
            <w:pPr>
              <w:spacing w:after="0"/>
              <w:rPr>
                <w:sz w:val="17"/>
                <w:szCs w:val="17"/>
                <w:color w:val="auto"/>
              </w:rPr>
            </w:pPr>
          </w:p>
        </w:tc>
        <w:tc>
          <w:tcPr>
            <w:tcW w:w="4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vMerge w:val="restart"/>
            <w:shd w:val="clear" w:color="auto" w:fill="CFF0FC"/>
          </w:tcPr>
          <w:p>
            <w:pPr>
              <w:spacing w:after="0"/>
              <w:rPr>
                <w:sz w:val="17"/>
                <w:szCs w:val="17"/>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vMerge w:val="restart"/>
            <w:shd w:val="clear" w:color="auto" w:fill="CFF0FC"/>
          </w:tcPr>
          <w:p>
            <w:pPr>
              <w:spacing w:after="0"/>
              <w:rPr>
                <w:sz w:val="17"/>
                <w:szCs w:val="17"/>
                <w:color w:val="auto"/>
              </w:rPr>
            </w:pPr>
          </w:p>
        </w:tc>
        <w:tc>
          <w:tcPr>
            <w:tcW w:w="38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vMerge w:val="restart"/>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20,895</w:t>
            </w:r>
          </w:p>
        </w:tc>
        <w:tc>
          <w:tcPr>
            <w:tcW w:w="680" w:type="dxa"/>
            <w:vAlign w:val="bottom"/>
            <w:gridSpan w:val="2"/>
            <w:vMerge w:val="restart"/>
            <w:shd w:val="clear" w:color="auto" w:fill="CFF0FC"/>
          </w:tcPr>
          <w:p>
            <w:pPr>
              <w:ind w:left="180"/>
              <w:spacing w:after="0"/>
              <w:rPr>
                <w:sz w:val="20"/>
                <w:szCs w:val="20"/>
                <w:color w:val="auto"/>
              </w:rPr>
            </w:pPr>
            <w:r>
              <w:rPr>
                <w:rFonts w:ascii="Arial" w:cs="Arial" w:eastAsia="Arial" w:hAnsi="Arial"/>
                <w:sz w:val="16"/>
                <w:szCs w:val="16"/>
                <w:b w:val="1"/>
                <w:bCs w:val="1"/>
                <w:color w:val="auto"/>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00" w:type="dxa"/>
            <w:vAlign w:val="bottom"/>
            <w:shd w:val="clear" w:color="auto" w:fill="CFF0FC"/>
          </w:tcPr>
          <w:p>
            <w:pPr>
              <w:spacing w:after="0"/>
              <w:rPr>
                <w:sz w:val="17"/>
                <w:szCs w:val="17"/>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279,089</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vMerge w:val="restart"/>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(142,685)</w:t>
            </w:r>
          </w:p>
        </w:tc>
        <w:tc>
          <w:tcPr>
            <w:tcW w:w="200" w:type="dxa"/>
            <w:vAlign w:val="bottom"/>
            <w:vMerge w:val="restart"/>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136,406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2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50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680" w:type="dxa"/>
            <w:vAlign w:val="bottom"/>
            <w:gridSpan w:val="2"/>
            <w:vMerge w:val="continue"/>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960" w:type="dxa"/>
            <w:vAlign w:val="bottom"/>
            <w:tcBorders>
              <w:right w:val="single" w:sz="8" w:color="CFF0FC"/>
            </w:tcBorders>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ind w:left="4580"/>
        <w:spacing w:after="0"/>
        <w:rPr>
          <w:sz w:val="20"/>
          <w:szCs w:val="20"/>
          <w:color w:val="auto"/>
        </w:rPr>
      </w:pPr>
      <w:r>
        <w:rPr>
          <w:rFonts w:ascii="Arial" w:cs="Arial" w:eastAsia="Arial" w:hAnsi="Arial"/>
          <w:sz w:val="18"/>
          <w:szCs w:val="18"/>
          <w:b w:val="1"/>
          <w:bCs w:val="1"/>
          <w:color w:val="auto"/>
        </w:rPr>
        <w:t>AADI BIOSCIENCE, INC.</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(110,090)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to reconcile net loss to net cash used in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Impairment of acquired contract intangible asset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74,156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3"/>
              </w:rPr>
              <w:t>Change in fair value of convertible promissory notes (includes related party amounts of $1,404 and</w:t>
            </w:r>
          </w:p>
        </w:tc>
        <w:tc>
          <w:tcPr>
            <w:tcW w:w="360" w:type="dxa"/>
            <w:vAlign w:val="bottom"/>
            <w:shd w:val="clear" w:color="auto" w:fill="CFF0FC"/>
          </w:tcPr>
          <w:p>
            <w:pPr>
              <w:spacing w:after="0"/>
              <w:rPr>
                <w:sz w:val="18"/>
                <w:szCs w:val="18"/>
                <w:color w:val="auto"/>
              </w:rPr>
            </w:pPr>
          </w:p>
        </w:tc>
        <w:tc>
          <w:tcPr>
            <w:tcW w:w="14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(1,585)</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$130, respectively)</w:t>
            </w:r>
          </w:p>
        </w:tc>
        <w:tc>
          <w:tcPr>
            <w:tcW w:w="360" w:type="dxa"/>
            <w:vAlign w:val="bottom"/>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Non-cash interest expense (includes related party amounts of $578 and $734, respectively)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665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 on forgiveness of Payroll Protection Plan loan</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(196)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2,106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lease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14,149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(13,864)</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(2,166)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481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liability</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(129)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8,290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Payable to related party</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(8,380)</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(22,423)</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Cash acquired in connection with the Merger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29,700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Transaction expenses related to the Merger</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(4,501)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w:t>
            </w: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25,153</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the exercise of stock options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Proceeds from the issuance of common stock to PIPE Investors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Costs incurred in connection with issuance of common stock</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(9,617)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(4,412)</w:t>
            </w: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convertible promissory notes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Proceeds from Payroll Protection Loan Program</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141,804</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144,534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4,455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year</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148,989</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paid during the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Issuance of common stock upon Merger</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105,888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Operating lease liability arising from obtaining right-of-use asset</w:t>
            </w: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w:t>
            </w:r>
          </w:p>
        </w:tc>
        <w:tc>
          <w:tcPr>
            <w:tcW w:w="2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Conversion of convertible promissory note into common stock upon Merger</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9,130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7" w:name="page128"/>
    <w:bookmarkEnd w:id="127"/>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40" w:hanging="432"/>
        <w:spacing w:after="0"/>
        <w:tabs>
          <w:tab w:leader="none" w:pos="4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Organization and Operations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 xml:space="preserve">Aadi Bioscience, Inc. (together with its subsidiaries, the “Company” or “Aadi”) is </w:t>
      </w:r>
      <w:r>
        <w:rPr>
          <w:rFonts w:ascii="Arial" w:cs="Arial" w:eastAsia="Arial" w:hAnsi="Arial"/>
          <w:sz w:val="18"/>
          <w:szCs w:val="18"/>
          <w:color w:val="000000"/>
        </w:rPr>
        <w:t>a biopharmaceutical company focused on developing and</w:t>
      </w:r>
      <w:r>
        <w:rPr>
          <w:rFonts w:ascii="Arial" w:cs="Arial" w:eastAsia="Arial" w:hAnsi="Arial"/>
          <w:sz w:val="18"/>
          <w:szCs w:val="18"/>
          <w:color w:val="231F20"/>
        </w:rPr>
        <w:t xml:space="preserve"> </w:t>
      </w:r>
      <w:r>
        <w:rPr>
          <w:rFonts w:ascii="Arial" w:cs="Arial" w:eastAsia="Arial" w:hAnsi="Arial"/>
          <w:sz w:val="18"/>
          <w:szCs w:val="18"/>
          <w:color w:val="000000"/>
        </w:rPr>
        <w:t xml:space="preserve">commercializing precision therapies targeted to rare mutation-driven diseases. Aadi’s lead drug product, FYARRO (previously called ABI-009), is </w:t>
      </w:r>
      <w:r>
        <w:rPr>
          <w:rFonts w:ascii="Arial" w:cs="Arial" w:eastAsia="Arial" w:hAnsi="Arial"/>
          <w:sz w:val="18"/>
          <w:szCs w:val="18"/>
          <w:i w:val="1"/>
          <w:iCs w:val="1"/>
          <w:color w:val="000000"/>
        </w:rPr>
        <w:t>nab</w:t>
      </w:r>
      <w:r>
        <w:rPr>
          <w:rFonts w:ascii="Arial" w:cs="Arial" w:eastAsia="Arial" w:hAnsi="Arial"/>
          <w:sz w:val="18"/>
          <w:szCs w:val="18"/>
          <w:color w:val="000000"/>
        </w:rPr>
        <w:t>-sirolimus (sirolimus protein-bound particles for injectable suspension (albumin-bound)) for diseases driven by the mTOR pathway activation through mutations or deletions of specific genes such as Tuberous Sclerosis Complex 1 and 2 (“</w:t>
      </w:r>
      <w:r>
        <w:rPr>
          <w:rFonts w:ascii="Arial" w:cs="Arial" w:eastAsia="Arial" w:hAnsi="Arial"/>
          <w:sz w:val="18"/>
          <w:szCs w:val="18"/>
          <w:i w:val="1"/>
          <w:iCs w:val="1"/>
          <w:color w:val="000000"/>
        </w:rPr>
        <w:t>TSC1</w:t>
      </w:r>
      <w:r>
        <w:rPr>
          <w:rFonts w:ascii="Arial" w:cs="Arial" w:eastAsia="Arial" w:hAnsi="Arial"/>
          <w:sz w:val="18"/>
          <w:szCs w:val="18"/>
          <w:color w:val="000000"/>
        </w:rPr>
        <w:t>” and “</w:t>
      </w:r>
      <w:r>
        <w:rPr>
          <w:rFonts w:ascii="Arial" w:cs="Arial" w:eastAsia="Arial" w:hAnsi="Arial"/>
          <w:sz w:val="18"/>
          <w:szCs w:val="18"/>
          <w:i w:val="1"/>
          <w:iCs w:val="1"/>
          <w:color w:val="000000"/>
        </w:rPr>
        <w:t>TSC2</w:t>
      </w:r>
      <w:r>
        <w:rPr>
          <w:rFonts w:ascii="Arial" w:cs="Arial" w:eastAsia="Arial" w:hAnsi="Arial"/>
          <w:sz w:val="18"/>
          <w:szCs w:val="18"/>
          <w:color w:val="000000"/>
        </w:rPr>
        <w:t>”). FYARRO is licensed to Aadi by Abraxis BioScience, LLC, a wholly owned subsidiary of Celgene Corporation, now Bristol Myers Squibb Company (“Celgene”), for all therapeutic areas including oncology, cardiovascular, and metabolic related diseases.</w:t>
      </w:r>
    </w:p>
    <w:p>
      <w:pPr>
        <w:spacing w:after="0" w:line="8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231F20"/>
        </w:rPr>
        <w:t>The Company’s historical operations have consisted principally of performing research and development activities and raising capital. The Company’s activities are subject to significant risks and uncertainties, including failing to secure additional funding before sustainable revenues and profit from operations are achieved.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Aerpio Pharmaceuticals, Inc. and Name Change</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May 16, 2021, the Company, then operating as Aerpio, entered into the Agreement and Plan of Merger (“Merger Agreement”) with Aspen Merger Subsidiary, Inc., a Delaware corporation and a direct, wholly-owned subsidiary of Aerpio (“Merger Sub”) and Aadi Subsidiary, Inc. (formerly known as Aadi Bioscience, Inc. (“Private Aadi”)).</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terms set forth in the Merger Agreement and effective August 26, 2021 (the “Effective Time”): (i) Merger Sub merged with and into Private Aadi, with Private Aadi surviving as a wholly-owned subsidiary of Aerpio (the “Merger”), (ii) Aerpio changed its name to Aadi Bioscience, Inc. in connection with and immediately prior to the Effective Time of the Merger, and (iii) Aerpio effected a 15:1 reverse stock split of the Aerpio common stock (“Reverse Stock Split”) immediately prior to the Effective Time of the Merger. At the Effective Time, each share of Private Aadi common stock outstanding immediately prior to the Effective Time, including the shares of Private Aadi common stock issuable upon the conversion of all shares of preferred stock and convertible promissory notes immediately prior to the closing of the Merger, were converted into the right to receive shares of the Company’s common stock based on an exchange ratio of 0.3172 (the “Exchange Ratio”), after taking into account the Reverse Stock Split.</w:t>
      </w:r>
    </w:p>
    <w:p>
      <w:pPr>
        <w:spacing w:after="0" w:line="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Merger Agreement, Aerpio assumed all of the outstanding and unexercised options to purchase shares of Private Aadi capital stock under the Private Aadi Amended and Restated 2014 Equity Incentive Plan (the “Private Aadi Plan”), and, in connection with the Merger, such options were converted into options to purchase shares of the Company’s common stock based on the Exchange Ratio. At the closing of the Merger at the Effective Time, the Company issued an aggregate of 5,776,660 shares of common stock to holders of Private Aadi common stock, including for shares of Private Aadi common stock issuable upon the conversion of all shares of preferred stock and convertible promissory notes outstanding immediately prior to the Effective Time. In connection with the Merger, the Company entered into a Contingent Value Rights Agreement (the “CVR Agreement”) with a legacy director of Aerpio, as Holder Representative (as defined in the CVR Agreement), and American Stock Transfer &amp; Trust Company, LLC, as Rights Agent (as defined in the CVR Agreement), in accordance with the terms of the Merger Agreement. The CVR Agreement entitles each holder of Aerpio common stock as of immediately prior to the closing of the Merger (each, a “CVR Holder”) to receive one contingent value right (“CVR”) for each outstanding share of Aerpio common stock held by such CVR Holder as of immediately prior to the closing of the Merger, each representing the right to receive certain net proceeds, if any, derived from the CVR completed during a CVR Payment Period, which means successive six-month periods, prior to the expiration of the CVR Term (as defined in the CVR Agreement), with any potential payment obligations continuing until the earlier of (a) the 20-year anniversary of the Effective Time and (b) the time at which the license agreement with Gossamer Bio, Inc., the underlying basis for the CVR, has expired or been terminated. Under the terms of the Merger Agreement, as related to the CVR, the Company is entitled to 10% of any proceeds paid from the underlying license agreement plus reimbursement of expenses. There can be no assurances that any proceeds will result therefrom.</w:t>
      </w:r>
    </w:p>
    <w:p>
      <w:pPr>
        <w:spacing w:after="0" w:line="5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Merger has been accounted for using the reverse asset acquisition method under U.S. generally accepted accounting principles (“GAAP”). For accounting purposes, Private Aadi is considered to have acquired Aerpio and the Merger has been accounted for as a reverse asset acquisition. Private Aadi is considered the accounting acquirer even though Aerpio issued the common stock in the Merger based on the terms of the Merger Agreement and other factors including: (i) following the Merger, the stockholders of Private Aadi collectively owned a substantial portion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28" w:name="page129"/>
    <w:bookmarkEnd w:id="128"/>
    <w:p>
      <w:pPr>
        <w:ind w:right="40"/>
        <w:spacing w:after="0" w:line="284" w:lineRule="auto"/>
        <w:rPr>
          <w:sz w:val="20"/>
          <w:szCs w:val="20"/>
          <w:color w:val="auto"/>
        </w:rPr>
      </w:pPr>
      <w:r>
        <w:rPr>
          <w:rFonts w:ascii="Arial" w:cs="Arial" w:eastAsia="Arial" w:hAnsi="Arial"/>
          <w:sz w:val="16"/>
          <w:szCs w:val="16"/>
          <w:color w:val="auto"/>
        </w:rPr>
        <w:t>of the voting rights of the Company; (ii) three (3) of seven (7) members of the board of directors of the Company post-Merger were composed of directors designated by Private Aadi under the terms of the Merger Agreement, and one (1) member of the board of directors of the Company post-Merger was a director mutually designated by Private Aadi and Aerpio; (iii) existing members of Private Aadi’s management became the management of the Company post-Merger; (iv) the PIPE Investors (as defined below) consist of individuals and funds, and for purpose of this analysis, while they owned approximately 55.6% on a fully-diluted basis, as of immediately following the Merger (and after giving effect to the PIPE Financing), no one individual or fund held more shares than the holders of Private Aadi collectively owned immediately following the Merger and they are not considered to be a single voting group; and</w:t>
      </w:r>
    </w:p>
    <w:p>
      <w:pPr>
        <w:spacing w:after="0" w:line="4" w:lineRule="exact"/>
        <w:rPr>
          <w:sz w:val="20"/>
          <w:szCs w:val="20"/>
          <w:color w:val="auto"/>
        </w:rPr>
      </w:pPr>
    </w:p>
    <w:p>
      <w:pPr>
        <w:ind w:firstLine="8"/>
        <w:spacing w:after="0" w:line="252"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following the Merger, the Company is named “Aadi Bioscience, Inc.” and headquartered in Pacific Palisades, California, and all ongoing operations of the Company are those of Private Aadi. To determine the accounting for this transaction under GAAP, a company must assess whether an integrated set of assets and activities should be accounted for as an acquisition of a business or an asset acquisition. Upon closing of the Merger, substantially all of the fair value is concentrated in cash, working capital and a long-lived contract intangible asset. As such, the acquisition was treated as an asset acquisition. The net assets of Aerpio have been recorded at their relative fair value in the consolidated financial statements of the Company and the reported operating results prior to the Merger will be those of Private Aadi.</w:t>
      </w:r>
    </w:p>
    <w:p>
      <w:pPr>
        <w:spacing w:after="0" w:line="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closing of the Merger, Private Aadi’s board of directors declared a 4% cumulative dividend on its preferred stock of $4.4 million which was paid at the Effective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Financing and Subscription Agreement</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May 16, 2021, the Company entered into a subscription agreement (“Subscription Agreement”) with certain investors (the “PIPE Investors”), pursuant to which it would sell shares of its Common Stock concurrently with the closing of the Merger (the “PIPE Financing”). At the closing of the PIPE Financing, the Company entered into a Registration Rights Agreement, dated August 26, 2021 (“Registration Rights Agreement”), with the PIPE Investors. The PIPE Investors purchased an aggregate of 11,852,862 shares of common stock of the Company (the “PIPE Shares”) for an aggregate purchase price of $155.0 million pursuant to the Subscription Agreement (“PIPE Financing”). The aggregate net proceeds for the issuance and sale of the of the PIPE Shares was $145.4 million, after deducting certain expenses incurred that were direct and incremental to the issuance of the PIPE Shares.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following the Effective Time, and after giving effect to the Reverse Stock Split and the PIPE Financing, there were approximately</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20.8 million shares of common stock of the Company outstanding. Immediately following the Effective Time and after giving effect to the Reverse Stock Split and the PIPE Financing: (i) the Private Aadi stockholders owned approximately 29.2% of the outstanding shares of common stock; (ii) Aerpio’s stockholders immediately prior to the Merger, whose shares of common stock, as adjusted for the Reverse Stock Split, remain outstanding after the Merger, owned approximately 15.2% of the outstanding shares of common stock; and (iii) the PIPE Investors owned approximately 55.6% of the outstanding shares of common stock, in each case as calculated on a fully-diluted basis.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231F20"/>
        </w:rPr>
        <w:t>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and has not realized revenues from its planned principal operations.</w:t>
      </w:r>
    </w:p>
    <w:p>
      <w:pPr>
        <w:spacing w:after="0" w:line="7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31F20"/>
        </w:rPr>
        <w:t>The Company has experienced net losses since its inception and expects to continue to incur net losses into the foreseeable future. The Company had an accumulated deficit of $142.7 million as of December 31, 2021 and net loss of $110.1 million and $3.5 million for the years ended December 31, 2021 and 2020, respectively. To date, these operating losses have been funded primarily from outside sources of invested capital through the issuance of convertible promissory notes, grant funding, the sale of securities, and proceeds from license agreements.</w:t>
      </w:r>
    </w:p>
    <w:p>
      <w:pPr>
        <w:spacing w:after="0" w:line="6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 xml:space="preserve">During the year ended December 31, 2021, the Company raised capital through the PIPE Financing of $155.0 million which netted $145.4 million after financing expenses. Additionally, the Company assumed $29.7 million of cash from Aerpio in the Merger, which netted to $27.7 million after $2.0 million of compensation related expenses for former Aerpio executives related to the Merger. </w:t>
      </w:r>
      <w:r>
        <w:rPr>
          <w:rFonts w:ascii="Arial" w:cs="Arial" w:eastAsia="Arial" w:hAnsi="Arial"/>
          <w:sz w:val="16"/>
          <w:szCs w:val="16"/>
          <w:color w:val="231F20"/>
        </w:rPr>
        <w:t>The Company had cash and cash equivalents of</w:t>
      </w:r>
      <w:r>
        <w:rPr>
          <w:rFonts w:ascii="Arial" w:cs="Arial" w:eastAsia="Arial" w:hAnsi="Arial"/>
          <w:sz w:val="16"/>
          <w:szCs w:val="16"/>
          <w:color w:val="auto"/>
        </w:rPr>
        <w:t xml:space="preserve"> $149.0 million at December 31, 2021. Management believes that the Company’s current cash and cash equivalents, including the aggregate net proceeds from the PIPE Financing, will provide sufficient funds to enable the Company to meet its obligations for at least twelve months from the filing date of this report.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i w:val="1"/>
          <w:iCs w:val="1"/>
          <w:color w:val="231F20"/>
        </w:rPr>
        <w:t>COVID-19</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December 2019, a strain of coronavirus was reported in Wuhan, China and began to spread globally, including to the United States and Europe, in the following months. The World Health Organization has declared COVID-19 to be a global pandemic. The full impact of the COVID-19 pandemic is inherently uncertain at the time of this report. The COVID-19 pandemic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and many governments have closed most public establishments, including restaurants, workplaces, and schools. Aadi’s clinical trials have been, and may continue to be, affected by the closure of offices, or country borders, among other measures being put in place around the world. The inability to travel and conduct face-to-face meetings, as well as constraints surrounding hospital resources, infrastructure, staff and other resources, can also make it more difficult to enroll new patients in ongoing or planned clinical trials. Any of these circumstances will potentially have a negative impact on the Company’s financial results and the timing of its clinical trials.</w:t>
      </w:r>
    </w:p>
    <w:p>
      <w:pPr>
        <w:spacing w:after="0" w:line="5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COVID-19 pandemic has caused the Company to modify business practices (including but not limited to curtailing or modifying employee travel, moving to full remote work, and cancelling physical participation in meetings, events, and conferences), and may take further actions as may be required by government authorities or that are determined to be in the best interests of the Company’s employees, patients, and business partners.</w:t>
      </w:r>
    </w:p>
    <w:p>
      <w:pPr>
        <w:spacing w:after="0" w:line="4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extent of the impact of the COVID-19 pandemic on Aadi’s future liquidity and operational performance will depend on certain developments, including the duration and spread of the outbreak, the availability and effectiveness of vaccines, the impact on the Company’s clinical trials, patients, and collaboration partners, and the effect on its suppliers.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Related Party Transactions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Presented below are the details of a license agreement with Celgene, an entity which was a stockholder of Private Aadi prior to the Merger and became a stockholder of the Company as a result of the Merger.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License Agreement</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April 9, 2014, the Company entered into a license agreement (the “Celgene License Agreement”) with Celgene for exclusive rights for certain patents and a non-exclusive license for certain technology and know-how pertaining to FYARRO.</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Celgene License Agreement will remain in effect from the effective date of April 9, 2014 until expiration of all milestone and royalty payment obligations under the agreement, unless terminated by either of the parties upon giving an advance notice as specified in the Celgene License Agreement. Under the terms of the Celgene License Agreement, Celgene agreed to supply the Company with licensed products of FYARRO necessary for clinical or non-clinical development.</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Celgene had the option to terminate the Celgene License Agreement and all of the Company’s related rights and licenses upon the occurrence of each of the following: (a) successful completion of the first Phase 2 Trial for a licensed product (“First Trigger Event”), or (b) if Celgene elects not to exercise its option upon the First Trigger Event, then upon the acceptance by the Food and Drug Administration or the European Medicines Agency, as applicable, of the first New Drug Application either in the United States or European Union, whichever occurs first, for a licensed product (“Second Trigger Event”). On May 1, 2019, Celgene terminated its rights to elect an option to terminate the Celgene License Agreement upon the occurrence of a First Trigger Event, Second Trigger Event or Early Exercise. As a result, the Company is free to negotiate and enter into any agreement with respect to an acquisition of all or substantially all of the business or assets of the Company whether by merger, sale of equity or assets, or otherwise and to consummate the same as it sees fit.</w:t>
      </w:r>
    </w:p>
    <w:p>
      <w:pPr>
        <w:spacing w:after="0" w:line="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Celgene is entitled to receive certain development milestone payments, royalties on net sales from licensed products under the agreement and any sublicense fees. No payments related to milestones or royalties under this agreement were paid during the years ended December 31, 2021 and December 31, 2020. See below for discussion on sub-license fee.</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November 15, 2019, Celgene and the Company entered into an amendment to the Celgene License Agreement (the “Amended Celgene License Agreement”) to terminate certain of Celgene’s FYARRO product supply obligations and to transfer control over certain regulatory filings under the original Celgene License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0" w:name="page131"/>
    <w:bookmarkEnd w:id="130"/>
    <w:p>
      <w:pPr>
        <w:ind w:right="140"/>
        <w:spacing w:after="0" w:line="308" w:lineRule="auto"/>
        <w:rPr>
          <w:sz w:val="20"/>
          <w:szCs w:val="20"/>
          <w:color w:val="auto"/>
        </w:rPr>
      </w:pPr>
      <w:r>
        <w:rPr>
          <w:rFonts w:ascii="Arial" w:cs="Arial" w:eastAsia="Arial" w:hAnsi="Arial"/>
          <w:sz w:val="17"/>
          <w:szCs w:val="17"/>
          <w:color w:val="auto"/>
        </w:rPr>
        <w:t>from Celgene to the Company. The Amended Celgene License Agreement also waived the obligations related to certain development milestone payments and waived the liability related to 2016 and 2017 licensed drug manufacturing costs of $1.2 million and $2.7 million, respectively.</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August 30, 2021, the Company and Celgene entered into Amendment No. 1 (the “Amendment”) to the Amended Celgene License Agreement related to certain intellectual property rights of Celgene pertaining to the compound known as FYARRO. Under the terms of the Amendment, the Company paid Celgene $5.8 million representing 50% of the previously outstanding payment obligation under the terms of the Amended Celgene License Agreement, following the Effective Time of the PIPE Financing. Pursuant to the terms of the Amendment, the remaining previously outstanding payment obligation of $5.8 million, is due on the third anniversary of the Effective Time, or August 26, 2024 plus any accrued and unpaid interest due thereon (“Balloon Payment”). The Balloon Payment shall accrue interest, beginning August 26, 2021 until paid in full, at a rate equal to 4.0% per annum based on the weighted average amount outstanding during the applicable calendar quarter, and interest is payable quarterly in arrears. In addition, the parties agreed to amend the royalty rates payable to Celgene based on net sales of products subject to the Amended Celgene License Agreement.</w:t>
      </w:r>
    </w:p>
    <w:p>
      <w:pPr>
        <w:spacing w:after="0" w:line="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FYARRO in the People’s Republic of China, Hong Kong Special Administration Region, Macao Special Administrative Region and Taiwan (the “Licensed Territory”). In accordance with the Celgene License Agreement, the Company is required to pay 20% of all sublicense fees to Celgene. As such, the Company recognized $2.8 million of license expense in the year ended December 31, 2020 and had a corresponding $2.8 million sublicense payable to Celgene on the balance sheet as of December 31, 2020, which was paid in 2021.</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year ended December 31, 2021, the Company recognized license revenue and received $1.0 million from EOC for achieving the FDA approval milestone on November 22, 2021. In accordance with the Celgene License Agreement, the Company recognized $0.2 million of license expense in the year ended December 31, 2021 and had a corresponding $0.2 million sublicense payable to Celgene on the balance sheet as of December 31, 2021, which was paid in 2022. Refer to Note 8 for additional information on the EOC License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consolidated financial statements, and the related disclosures, have been prepared in accordance with generally accepted accounting principles in the United States (“GAAP”) and U.S. Securities and Exchange Commission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of a normal and recurring in nature. The Company’s consolidated financial statements are stated in U.S. Dollars.</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August 26, 2021, when the Company closed the Merger, all outstanding shares of common stock along with preferred stock of Private Aadi were exchanged for new shares of common stock of the Company and the approximately 8.1 million shares of Private Aadi capital stock held by stockholders of Private Aadi immediately prior to the Merger were exchanged for approximately 2.5 million shares of common stock of the Company based on the Exchange Ratio. The authorized number of shares of common stock was not reduced and remains at 300.0 million. The par value of the Company’s common stock remains unchanged at $0.0001 per share.</w:t>
      </w:r>
    </w:p>
    <w:p>
      <w:pPr>
        <w:spacing w:after="0" w:line="8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Also on August 26, 2021, and immediately prior to the closing of the Merger, Aerpio effected the Reverse Stock Split. Accordingly, all share and per share amounts for the period presented in the accompanying consolidated financial statements and notes thereto have been adjusted retroactively, where applicable, to reflect the Reverse Stock Split. No fractional shares were issued in connection with the Reverse Stock Split. Unless otherwise noted, all references to shares of the Company’s common stock and per share amounts have also been adjusted to reflect the Exchange Ratio.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impact the reported amounts of assets, liabilities, revenues and expenses, and the disclosure of contingent assets and liabilities in the Company’s consolidated financial statements and accompanying notes. In the opinion of management, all adjustments, consisting of normal recurring accruals, considered necessary for a fair presentation have been included. The most significant estimates in the Company’s consolidated financial statements relate to fair value of the intangible asset, fair value of the convertible promissory notes, stock-based compensation expense and accrued research and development costs. Although these estimates are based on the Company’s knowledge of current events and actions it may undertake in the future, actual results may materially differ from these estimates and assumptions.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primarily of cash and cash equivalents and certain investments in money market funds.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The Company has not experienced any losses on deposits since inception.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considers all highly liquid marketable securities purchased with original maturities of three months or less at the time of purchase date to be cash equivalents. At December 31, 2021 and 2020, cash and cash equivalents included money market investments totaling $140.0 million and $3.0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Fair Value Option</w:t>
      </w:r>
    </w:p>
    <w:p>
      <w:pPr>
        <w:spacing w:after="0" w:line="117"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231F20"/>
        </w:rPr>
        <w:t>The Company has elected the fair value option to account for its convertible promissory notes issued. The Company records these convertible promissory notes at fair value with changes in fair value recorded in the statements of operations and comprehensive loss. As a result of applying the fair value option, direct costs and fees related to the convertible promissory notes were recognized in earnings as incurred and not deferred. As of December 31, 2021, there were no Convertible Notes outstanding as they were converted to shares of Private Aadi common stock immediately prior to the closing of the Merger.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jc w:val="both"/>
        <w:ind w:left="1300" w:right="360" w:hanging="763"/>
        <w:spacing w:after="0" w:line="286" w:lineRule="auto"/>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 which reflect those that a market participant would use. The valuation of the Level 3 intangible asset was based on fair value measurements including discounted cash flow methodologies when valued at the time of the Merger.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2" w:name="page133"/>
    <w:bookmarkEnd w:id="132"/>
    <w:p>
      <w:pPr>
        <w:ind w:right="180"/>
        <w:spacing w:after="0" w:line="263"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carrying amounts of cash and cash equivalents, accounts receivable, prepaid expenses and other current assets and accounts payable are reasonable estimates of their fair value because of the short maturity of these items.</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the recurring and non-recurring fair value of the Company’s financial assets and liabilities, allocated into the Level 1, Level 2 and Level 3 hierarchy that were measured at fair value on a recurring basis (amounts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measurements:</w:t>
      </w:r>
    </w:p>
    <w:p>
      <w:pPr>
        <w:spacing w:after="0" w:line="244"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w w:val="95"/>
              </w:rPr>
              <w:t>Fair Value Measurements as of December 31, 2021</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417"/>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1060" w:type="dxa"/>
            <w:vAlign w:val="bottom"/>
          </w:tcPr>
          <w:p>
            <w:pPr>
              <w:ind w:left="460"/>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77"/>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 (1)</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140,032</w:t>
            </w:r>
          </w:p>
        </w:tc>
        <w:tc>
          <w:tcPr>
            <w:tcW w:w="1320" w:type="dxa"/>
            <w:vAlign w:val="bottom"/>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w w:val="99"/>
              </w:rPr>
              <w:t>—</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w w:val="95"/>
              </w:rPr>
              <w:t>Fair Value Measurements as of December 31, 2020</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 (1)</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1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Liabilities:</w:t>
            </w:r>
          </w:p>
        </w:tc>
        <w:tc>
          <w:tcPr>
            <w:tcW w:w="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Convertible promissory notes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10,131</w:t>
            </w:r>
          </w:p>
        </w:tc>
        <w:tc>
          <w:tcPr>
            <w:tcW w:w="1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80" w:hanging="470"/>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Non-Recurring fair value measurement:</w:t>
      </w:r>
    </w:p>
    <w:p>
      <w:pPr>
        <w:spacing w:after="0" w:line="55"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9"/>
              </w:rPr>
              <w:t>Fair Value Measurements as of December 31, 2021</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140" w:type="dxa"/>
            <w:vAlign w:val="bottom"/>
          </w:tcPr>
          <w:p>
            <w:pPr>
              <w:jc w:val="right"/>
              <w:ind w:right="147"/>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760" w:type="dxa"/>
            <w:vAlign w:val="bottom"/>
            <w:vMerge w:val="continue"/>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w:t>
            </w:r>
          </w:p>
        </w:tc>
        <w:tc>
          <w:tcPr>
            <w:tcW w:w="1140" w:type="dxa"/>
            <w:vAlign w:val="bottom"/>
            <w:shd w:val="clear" w:color="auto" w:fill="CFF0FC"/>
          </w:tcPr>
          <w:p>
            <w:pPr>
              <w:jc w:val="right"/>
              <w:ind w:right="987"/>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FF0FC"/>
          </w:tcPr>
          <w:p>
            <w:pPr>
              <w:jc w:val="right"/>
              <w:ind w:right="988"/>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3,811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an impairment of the contract intangible asset acquired in connection with the Merger and reduced the contract intangible asset to its estimated fair value which represented a Level 3 fair value measurement as factors used to develop the estimated fair value are unobservable inputs that are not supported by market activity. The total contract intangible asset was valued at $3.9 million utilizing a scenario-based, risk-adjusted, discounted cash flow model with respect to the potential development milestone payments within the underlying license agreement and a Monte Carlo option-pricing model with respect to the sales-based milestone and royalty payments:</w:t>
      </w:r>
    </w:p>
    <w:p>
      <w:pPr>
        <w:spacing w:after="0" w:line="80" w:lineRule="exact"/>
        <w:rPr>
          <w:sz w:val="20"/>
          <w:szCs w:val="20"/>
          <w:color w:val="auto"/>
        </w:rPr>
      </w:pPr>
    </w:p>
    <w:p>
      <w:pPr>
        <w:ind w:left="880" w:right="60" w:hanging="440"/>
        <w:spacing w:after="0" w:line="301" w:lineRule="auto"/>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determined fair value of the potential development milestone payments under the license agreement with inputs based on certain subjective assumptions, including (a) the probability of clinical success determined with reference to various academic studies reporting probabilities of approval for clinical trials; (b) an estimate of the time to achievement of the clinical milestones; and (c) a counterparty credit risk premium determined with reference to the borrowing costs of a benchmark group of comparable market participants.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3" w:name="page134"/>
    <w:bookmarkEnd w:id="133"/>
    <w:p>
      <w:pPr>
        <w:ind w:left="880" w:hanging="440"/>
        <w:spacing w:after="0"/>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Application of the Monte Carlo simulation model in valuing the potential sales-based milestone and royalties involves making assumptions for</w:t>
      </w:r>
    </w:p>
    <w:p>
      <w:pPr>
        <w:spacing w:after="0" w:line="46" w:lineRule="exact"/>
        <w:rPr>
          <w:rFonts w:ascii="Arial" w:cs="Arial" w:eastAsia="Arial" w:hAnsi="Arial"/>
          <w:sz w:val="16"/>
          <w:szCs w:val="16"/>
          <w:color w:val="auto"/>
        </w:rPr>
      </w:pPr>
    </w:p>
    <w:p>
      <w:pPr>
        <w:ind w:left="880" w:right="80"/>
        <w:spacing w:after="0" w:line="270" w:lineRule="auto"/>
        <w:rPr>
          <w:rFonts w:ascii="Arial" w:cs="Arial" w:eastAsia="Arial" w:hAnsi="Arial"/>
          <w:sz w:val="16"/>
          <w:szCs w:val="16"/>
          <w:color w:val="auto"/>
        </w:rPr>
      </w:pPr>
      <w:r>
        <w:rPr>
          <w:rFonts w:ascii="Arial" w:cs="Arial" w:eastAsia="Arial" w:hAnsi="Arial"/>
          <w:sz w:val="17"/>
          <w:szCs w:val="17"/>
          <w:color w:val="auto"/>
        </w:rPr>
        <w:t>(a) the probability of clinical success determined with reference to various academic studies reporting probabilities of approval for clinical trials; (b) a forecast of potential revenues, revenue uptake rate and the period of time from a prospective commercial launch to peak sales, and an estimate of peak sales for each successfully commercialized product covered under the license agreement; (c) drift equal to the risk free rate on revenues following a multivariate Geometric Brownian Motion; (d) a counterparty credit risk premium determined with reference to the borrowing costs of a benchmark group of comparable market participants; and (e) a revenue metric risk premium determined with reference to a long-term risk-free rate, a weighted-average cost of capital, revenue volatility and asset volatility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See Notes 4 and 5 for further discussion of the Intangible Asset acquired through the Merger.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w:t>
      </w:r>
    </w:p>
    <w:p>
      <w:pPr>
        <w:spacing w:after="0" w:line="117"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As further described in Note 9, Private Aadi issued convertible notes in October 2019 and January 2020 (collectively the “Convertible Notes”). The Company elected the fair value option to account for the Convertible Notes. The fair value was estimated using a scenario-based analysis based on the probability-weighted value of expected future investment returns, considering possible outcomes available to the noteholders including conversions in subsequent equity financings, change of control transactions, settlement, and dissolution. The Company adjusts the carrying value of its Convertible Notes to their estimated fair value at each reporting date, with any related increases or decreases in the fair value recorded as a change in fair value of convertible promissory notes in the statements of operations and comprehensive loss.</w:t>
      </w:r>
    </w:p>
    <w:p>
      <w:pPr>
        <w:spacing w:after="0" w:line="70" w:lineRule="exact"/>
        <w:rPr>
          <w:sz w:val="20"/>
          <w:szCs w:val="20"/>
          <w:color w:val="auto"/>
        </w:rPr>
      </w:pPr>
    </w:p>
    <w:p>
      <w:pPr>
        <w:jc w:val="both"/>
        <w:ind w:right="500"/>
        <w:spacing w:after="0" w:line="286" w:lineRule="auto"/>
        <w:rPr>
          <w:sz w:val="20"/>
          <w:szCs w:val="20"/>
          <w:color w:val="auto"/>
        </w:rPr>
      </w:pPr>
      <w:r>
        <w:rPr>
          <w:rFonts w:ascii="Arial" w:cs="Arial" w:eastAsia="Arial" w:hAnsi="Arial"/>
          <w:sz w:val="16"/>
          <w:szCs w:val="16"/>
          <w:color w:val="auto"/>
        </w:rPr>
        <w:t>As of December 31, 2021, there were no Convertible Notes outstanding as the Convertible Notes were converted to shares of Private Aadi common stock immediately prior to the closing of the Merger, which were concurrently exchanged for common stock of the Company based on the Exchange Ratio in connection with the closing of the Merger. As of December 31, 2020, the significant unobservable inputs used in the fair value measurement of the Convertible Notes included an expected settlement date in August 2021 and June 2021, respectively, and an estimated discount rate of 25%.</w:t>
      </w:r>
    </w:p>
    <w:p>
      <w:pPr>
        <w:spacing w:after="0" w:line="1" w:lineRule="exact"/>
        <w:rPr>
          <w:sz w:val="20"/>
          <w:szCs w:val="20"/>
          <w:color w:val="auto"/>
        </w:rPr>
      </w:pPr>
    </w:p>
    <w:p>
      <w:pPr>
        <w:ind w:right="1180"/>
        <w:spacing w:after="0" w:line="260" w:lineRule="auto"/>
        <w:rPr>
          <w:sz w:val="20"/>
          <w:szCs w:val="20"/>
          <w:color w:val="auto"/>
        </w:rPr>
      </w:pPr>
      <w:r>
        <w:rPr>
          <w:rFonts w:ascii="Arial" w:cs="Arial" w:eastAsia="Arial" w:hAnsi="Arial"/>
          <w:sz w:val="18"/>
          <w:szCs w:val="18"/>
          <w:color w:val="auto"/>
        </w:rPr>
        <w:t>Other significant unobservable inputs include the relative weighting applied to the possible outcomes available to the noteholders including conversions in subsequent equity financings, change of control transactions, settlement, and dissolution.</w:t>
      </w:r>
    </w:p>
    <w:p>
      <w:pPr>
        <w:spacing w:after="0" w:line="7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There are significant judgments, assumptions and estimates inherent in the determination of the fair value of the Convertible Notes described above. These include determination of a valuation method and selection of the possible outcomes available to the Company, including the determination of timing and expected future investment returns for such scenarios, as well as the likelihood of repayment, conversion, and dissolution. The related judgments, assumptions and estimates are highly interrelated and changes in any one assumption could necessitate changes in another. Any changes in the probability of a particular outcome would require a related change to the probability of another outcome.</w:t>
      </w:r>
    </w:p>
    <w:p>
      <w:pPr>
        <w:spacing w:after="0" w:line="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reconciliation of the Convertible Notes (refer to Note 9) measured at fair value using significant unobservable inputs (Level 3) (amounts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Convertible Notes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58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(Level 3)</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9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8,165</w:t>
            </w:r>
          </w:p>
        </w:tc>
        <w:tc>
          <w:tcPr>
            <w:tcW w:w="80" w:type="dxa"/>
            <w:vAlign w:val="bottom"/>
            <w:tcBorders>
              <w:top w:val="single" w:sz="8" w:color="CFF0FC"/>
            </w:tcBorders>
            <w:shd w:val="clear" w:color="auto" w:fill="CFF0FC"/>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Issuance of convertible promissory notes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FF0FC"/>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Change in fair value of convertible promissory notes</w:t>
            </w:r>
          </w:p>
        </w:tc>
        <w:tc>
          <w:tcPr>
            <w:tcW w:w="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CFF0FC"/>
            </w:tcBorders>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10,131</w:t>
            </w:r>
          </w:p>
        </w:tc>
        <w:tc>
          <w:tcPr>
            <w:tcW w:w="80" w:type="dxa"/>
            <w:vAlign w:val="bottom"/>
            <w:shd w:val="clear" w:color="auto" w:fill="CFF0FC"/>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Issuance of convertible promissory notes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584</w:t>
            </w:r>
          </w:p>
        </w:tc>
        <w:tc>
          <w:tcPr>
            <w:tcW w:w="80" w:type="dxa"/>
            <w:vAlign w:val="bottom"/>
            <w:shd w:val="clear" w:color="auto" w:fill="CFF0FC"/>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Change in fair value of convertible promissory notes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(1,585)</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Converted into common stock</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(9,130)</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9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120" w:type="dxa"/>
            <w:vAlign w:val="bottom"/>
            <w:vMerge w:val="restart"/>
          </w:tcPr>
          <w:p>
            <w:pPr>
              <w:ind w:left="3900"/>
              <w:spacing w:after="0"/>
              <w:rPr>
                <w:sz w:val="20"/>
                <w:szCs w:val="20"/>
                <w:color w:val="auto"/>
              </w:rPr>
            </w:pPr>
            <w:r>
              <w:rPr>
                <w:rFonts w:ascii="Arial" w:cs="Arial" w:eastAsia="Arial" w:hAnsi="Arial"/>
                <w:sz w:val="18"/>
                <w:szCs w:val="18"/>
                <w:color w:val="auto"/>
              </w:rPr>
              <w:t>133</w:t>
            </w: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5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8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There have been no transfers between levels during the reporting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117"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Accounts receivable represents revenue recognized, but for which payment has not yet been received. Accounts receivable at December 31, 2020 includes $14.0 million receivable related to the EOC upfront payment and $0.1 million grant revenue. These amounts were subsequently collected in 2021. Estimates for allowances for doubtful accounts are determined based on existing contractual obligations and historical payment patterns. No allowance for doubtful accounts was recorded as of December 31, 2021 and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Company capitalizes inventory costs associated with its products upon regulatory approval when, based on management’s judgment, future commercialization is considered probable and the future economic benefit is expected to be realized; otherwise, such costs are expensed. Prior to FDA approval of FYARRO, all costs related to the manufacturing of FYARRO were charged to research and development expense in the period incurred.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Property and equipment, consisting of computers, furniture and fixtures, and office equipment, are stated at cost, less accumulated depreciation. Property and equipment is depreciated using the straight-line method over the estimated useful lives of the assets, generally five years. Such costs are periodically reviewed for recoverability when impairment indicators are present.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intangible asset consists of a single asset, Aerpio’s license agreement with Gossamer Bio., Inc. acquired in the Merger. The intangible asset is stated at fair value and is amortized using the straight-line method over its estimated useful life of 14.3 years. The intangible asset is reviewed for potential impairment when events or circumstances indicate that carrying amounts may not be recoverable.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reviews long-lived assets, including property, equipment, and the intangible asset for impairment whenever events or changes in circumstances indicate that the carrying amount of the assets may not be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An impairment was recorded for the long-lived intangible asset during the year ended December 31, 2021 (see Note 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spacing w:after="0" w:line="6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135" w:name="page136"/>
    <w:bookmarkEnd w:id="135"/>
    <w:p>
      <w:pPr>
        <w:ind w:right="140"/>
        <w:spacing w:after="0" w:line="290" w:lineRule="auto"/>
        <w:rPr>
          <w:sz w:val="20"/>
          <w:szCs w:val="20"/>
          <w:color w:val="auto"/>
        </w:rPr>
      </w:pPr>
      <w:r>
        <w:rPr>
          <w:rFonts w:ascii="Arial" w:cs="Arial" w:eastAsia="Arial" w:hAnsi="Arial"/>
          <w:sz w:val="16"/>
          <w:szCs w:val="16"/>
          <w:color w:val="auto"/>
        </w:rPr>
        <w:t>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statements of operations.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Commitments and Contingencies</w:t>
      </w:r>
    </w:p>
    <w:p>
      <w:pPr>
        <w:spacing w:after="0" w:line="10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December 31, 2021 and 2020</w:t>
      </w:r>
      <w:r>
        <w:rPr>
          <w:rFonts w:ascii="Arial" w:cs="Arial" w:eastAsia="Arial" w:hAnsi="Arial"/>
          <w:sz w:val="17"/>
          <w:szCs w:val="17"/>
          <w:color w:val="231F20"/>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grant revenues are derived from federal grants with the U.S. Food and Drug Administration. The Company has determined that the government agencies providing grants to the Company are not customers. Grant revenue is recognized when there is reasonable assurance of compliance with the conditions of the grant and reasonable assurance that the grant revenue will be received. The Company recognizes grant revenues as reimbursable grant costs are incurred. The costs associated with these reimbursements are reflected as a component of research and development expense in the accompanying statements of operations and comprehensive loss.</w:t>
      </w:r>
    </w:p>
    <w:p>
      <w:pPr>
        <w:spacing w:after="0" w:line="80"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With respect to grant revenue derived from reimbursement of direct out-of-pocket expenses for research costs associated with federal contracts, where the Company acts as principal with discretion to choose suppliers, bears credit risk, and performs part of the services required in the transaction, the Company records revenue for the gross amount of the reimbursement. The costs associated with these reimbursements are reflected as a component of research and development expense in the accompanying statements of operations and comprehensive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Under License Agreement</w:t>
      </w:r>
    </w:p>
    <w:p>
      <w:pPr>
        <w:spacing w:after="0" w:line="117" w:lineRule="exact"/>
        <w:rPr>
          <w:sz w:val="20"/>
          <w:szCs w:val="20"/>
          <w:color w:val="auto"/>
        </w:rPr>
      </w:pPr>
    </w:p>
    <w:p>
      <w:pPr>
        <w:ind w:right="360"/>
        <w:spacing w:after="0" w:line="307" w:lineRule="auto"/>
        <w:rPr>
          <w:sz w:val="20"/>
          <w:szCs w:val="20"/>
          <w:color w:val="auto"/>
        </w:rPr>
      </w:pPr>
      <w:r>
        <w:rPr>
          <w:rFonts w:ascii="Arial" w:cs="Arial" w:eastAsia="Arial" w:hAnsi="Arial"/>
          <w:sz w:val="15"/>
          <w:szCs w:val="15"/>
          <w:color w:val="auto"/>
        </w:rPr>
        <w:t>The Company generates revenues from payments received under a license agreement. Under such license agreement, the Company recognizes revenue when it transfers promised goods or services to partners in an amount that reflects the consideration to which the Company expects to be entitled in exchange for those goods or services. To determine revenue recognition for contracts with partners, the Company performs the following five steps:</w:t>
      </w:r>
    </w:p>
    <w:p>
      <w:pPr>
        <w:jc w:val="both"/>
        <w:ind w:right="20" w:firstLine="8"/>
        <w:spacing w:after="0" w:line="302" w:lineRule="auto"/>
        <w:tabs>
          <w:tab w:leader="none" w:pos="21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identifies the promised goods or services in the contract; (ii) identifies the performance obligations in the contract, including whether they are distinct in the context of the contract; (iii) determines the transaction price, including the constraint on variable consideration; (iv) allocates the transaction price to the performance obligations in the contract; and (v) recognizes revenue when (or as) the Company satisfies the performance obligations.</w:t>
      </w:r>
    </w:p>
    <w:p>
      <w:pPr>
        <w:spacing w:after="0" w:line="4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revenue from such license agreement, the Company generally collects an upfront license payment from the license partner and is also entitled to receive event-based payments subject to the license partner’s achievement of specified development, regulatory and sales-based milestones. In addition, the Company is generally entitled to royalties if products under the license agreement are commercialized.</w:t>
      </w:r>
    </w:p>
    <w:p>
      <w:pPr>
        <w:spacing w:after="0" w:line="76"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Transaction price for a contract represents the amount to which the Company is entitled in exchange for providing goods and services to the partner. Transaction price does not include amounts subject to uncertainties unless it is probable that there will be no significant reversal of revenue when the uncertainty is resolved. Apart from the upfront license payment, all other fees the Company may earn under such license agreements are subject to significant uncertainties of product development. Achievement of many of the event-based development and regulatory milestones may not be probable until such milestones are actually achieved. This generally relates to milestones such as obtaining regulatory approvals and successful completion of clinical trials. With respect to other development milestones, e.g., dosing of a first patient in a clinical trial, achievement could be considered probable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6" w:name="page137"/>
    <w:bookmarkEnd w:id="136"/>
    <w:p>
      <w:pPr>
        <w:ind w:right="40"/>
        <w:spacing w:after="0" w:line="259" w:lineRule="auto"/>
        <w:rPr>
          <w:sz w:val="20"/>
          <w:szCs w:val="20"/>
          <w:color w:val="auto"/>
        </w:rPr>
      </w:pPr>
      <w:r>
        <w:rPr>
          <w:rFonts w:ascii="Arial" w:cs="Arial" w:eastAsia="Arial" w:hAnsi="Arial"/>
          <w:sz w:val="18"/>
          <w:szCs w:val="18"/>
          <w:color w:val="auto"/>
        </w:rPr>
        <w:t>prior to its actual occurrence, based on the progress towards commencement of the trial. The Company does not include any amounts subject to uncertainties into the transaction price until it is probable that the amount will not result in a significant reversal of revenue in the future. At the end of each reporting period, the Company re-evaluates the probability of achievement of such milestones and any related constraint, and if necessary, adjusts the estimate of the overall transaction price.</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Because such agreements generally only have one type of performance obligation, a license, which is generally all transferred at the same time as agreement inception, allocation of the transaction price among multiple performance obligations is not required. Upfront amounts allocated to licenses are recognized as revenue when the licenses are transferred to the partners. Development milestones and other fees are recognized in revenue when their occurrence becomes probable.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Research and development expenses consist of costs incurred in performing research and development activities, including salaries and benefits, materials and supplies, preclinical expenses, stock-based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balance sheet and within research and development expenses in the statements of operations and comprehensive loss. These expenses are a significant component of the Company’s 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recognizes all stock-based payments to employees, including grants of employee stock options in the consolidated statements of operations and comprehensive loss based on their fair values. All the Company’s share-based awards, to employees, non-employees, officers, and directors, are subject only to service-based vesting conditions. The Company estimates the fair value of its stock-based awards using the Black-Scholes option pricing model, which requires the input of assumptions, including (i) the expected stock price volatility, (ii) the calculation of expected term of the award, (iii) the risk-free interest rate and (iv) expected dividends. </w:t>
      </w:r>
      <w:r>
        <w:rPr>
          <w:rFonts w:ascii="Arial" w:cs="Arial" w:eastAsia="Arial" w:hAnsi="Arial"/>
          <w:sz w:val="18"/>
          <w:szCs w:val="18"/>
          <w:color w:val="231F20"/>
        </w:rPr>
        <w:t>Options granted during the year have a maximum contractual term of ten years. Forfeitures are recognized and</w:t>
      </w:r>
      <w:r>
        <w:rPr>
          <w:rFonts w:ascii="Arial" w:cs="Arial" w:eastAsia="Arial" w:hAnsi="Arial"/>
          <w:sz w:val="18"/>
          <w:szCs w:val="18"/>
          <w:color w:val="auto"/>
        </w:rPr>
        <w:t xml:space="preserve"> </w:t>
      </w:r>
      <w:r>
        <w:rPr>
          <w:rFonts w:ascii="Arial" w:cs="Arial" w:eastAsia="Arial" w:hAnsi="Arial"/>
          <w:sz w:val="18"/>
          <w:szCs w:val="18"/>
          <w:color w:val="231F20"/>
        </w:rPr>
        <w:t>accounted for as they occur.</w:t>
      </w:r>
    </w:p>
    <w:p>
      <w:pPr>
        <w:spacing w:after="0" w:line="8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Due to the historical lack of a public market for the trading of the Company’s securities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9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 xml:space="preserve">The Company has limited historical stock option activity and therefore estimates the expected term of stock options granted to employees, officers, and directors using the simplified method, which represents the average of the contractual term of the stock option and its weighted-average vesting period, </w:t>
      </w:r>
      <w:r>
        <w:rPr>
          <w:rFonts w:ascii="Arial" w:cs="Arial" w:eastAsia="Arial" w:hAnsi="Arial"/>
          <w:sz w:val="16"/>
          <w:szCs w:val="16"/>
          <w:color w:val="000000"/>
        </w:rPr>
        <w:t>to</w:t>
      </w:r>
      <w:r>
        <w:rPr>
          <w:rFonts w:ascii="Arial" w:cs="Arial" w:eastAsia="Arial" w:hAnsi="Arial"/>
          <w:sz w:val="16"/>
          <w:szCs w:val="16"/>
          <w:color w:val="231F20"/>
        </w:rPr>
        <w:t xml:space="preserve"> </w:t>
      </w:r>
      <w:r>
        <w:rPr>
          <w:rFonts w:ascii="Arial" w:cs="Arial" w:eastAsia="Arial" w:hAnsi="Arial"/>
          <w:sz w:val="16"/>
          <w:szCs w:val="16"/>
          <w:color w:val="000000"/>
        </w:rPr>
        <w:t>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the U.S. Treasury yield in effect at the time of the grant for zero-coupon U.S. treasury notes with maturities approximately equal to the expected term of the stock options. Compensation expense related to awards to employees is calculated on a straight-line basis by recognizing the grant date fair value over the associated service period of the award, which is generally the vesting term.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and Comprehensive Loss per Share Attributable to Common Stockholders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Basic net loss per share is calculated by dividing the net loss attributable to common stockholders by the weighted-average number of common shares outstanding for the period. 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convertible promissory notes, convertible preferred stock, outstanding stock options and warrants under the Company’s equity incentive plans have been excluded from the computation of diluted net loss per share as they would be anti-dilutive.</w:t>
      </w:r>
    </w:p>
    <w:p>
      <w:pPr>
        <w:spacing w:after="0" w:line="8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Net loss per share is presented as the more dilutive of the treasury stock and as-converted method or the two-class method required for participating securities. The Series A convertible preferred stock is considered a participating security and does not have a contractual obligation to share in Private Aadi’s losses. As such, the two-class method was not required.</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their inclusion would be anti-dilutive (amounts in thousands):</w:t>
      </w:r>
    </w:p>
    <w:p>
      <w:pPr>
        <w:spacing w:after="0" w:line="243" w:lineRule="exact"/>
        <w:rPr>
          <w:sz w:val="20"/>
          <w:szCs w:val="20"/>
          <w:color w:val="auto"/>
        </w:rPr>
      </w:pPr>
    </w:p>
    <w:tbl>
      <w:tblPr>
        <w:tblLayout w:type="fixed"/>
        <w:tblInd w:w="190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7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4"/>
        </w:trPr>
        <w:tc>
          <w:tcPr>
            <w:tcW w:w="5120" w:type="dxa"/>
            <w:vAlign w:val="bottom"/>
            <w:gridSpan w:val="2"/>
          </w:tcPr>
          <w:p>
            <w:pPr>
              <w:ind w:left="4720"/>
              <w:spacing w:after="0"/>
              <w:rPr>
                <w:sz w:val="20"/>
                <w:szCs w:val="20"/>
                <w:color w:val="auto"/>
              </w:rPr>
            </w:pPr>
            <w:r>
              <w:rPr>
                <w:rFonts w:ascii="Arial" w:cs="Arial" w:eastAsia="Arial" w:hAnsi="Arial"/>
                <w:sz w:val="14"/>
                <w:szCs w:val="14"/>
                <w:b w:val="1"/>
                <w:bCs w:val="1"/>
                <w:color w:val="auto"/>
              </w:rPr>
              <w:t>2021</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1,750</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512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Seed convertible preferred stock</w:t>
            </w:r>
          </w:p>
        </w:tc>
        <w:tc>
          <w:tcPr>
            <w:tcW w:w="1760" w:type="dxa"/>
            <w:vAlign w:val="bottom"/>
            <w:gridSpan w:val="3"/>
            <w:shd w:val="clear" w:color="auto" w:fill="CFF0FC"/>
          </w:tcPr>
          <w:p>
            <w:pPr>
              <w:jc w:val="right"/>
              <w:ind w:right="1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60" w:type="dxa"/>
            <w:vAlign w:val="bottom"/>
            <w:shd w:val="clear" w:color="auto" w:fill="CFF0FC"/>
          </w:tcPr>
          <w:p>
            <w:pPr>
              <w:spacing w:after="0"/>
              <w:rPr>
                <w:sz w:val="21"/>
                <w:szCs w:val="2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Series A convertible preferred stock</w:t>
            </w:r>
          </w:p>
        </w:tc>
        <w:tc>
          <w:tcPr>
            <w:tcW w:w="1760" w:type="dxa"/>
            <w:vAlign w:val="bottom"/>
            <w:gridSpan w:val="3"/>
          </w:tcPr>
          <w:p>
            <w:pPr>
              <w:jc w:val="right"/>
              <w:ind w:right="12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7,212</w:t>
            </w:r>
          </w:p>
        </w:tc>
        <w:tc>
          <w:tcPr>
            <w:tcW w:w="60" w:type="dxa"/>
            <w:vAlign w:val="bottom"/>
          </w:tcPr>
          <w:p>
            <w:pPr>
              <w:spacing w:after="0"/>
              <w:rPr>
                <w:sz w:val="20"/>
                <w:szCs w:val="20"/>
                <w:color w:val="auto"/>
              </w:rPr>
            </w:pPr>
          </w:p>
        </w:tc>
      </w:tr>
    </w:tbl>
    <w:p>
      <w:pPr>
        <w:spacing w:after="0" w:line="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above excludes the conversion of the principal balance and accrued interest on the convertible promissory notes which converted into 698,018 shares of common stock in conjunction with the closing of the Merger.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August 2020, the FASB issued ASU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(Subtopic 470-20) and “Derivatives and Hedging – Contracts in Entity’s Own Equity” (Subtopic 815-40). This new guidance is intended to reduce the complexity of accounting for convertible instruments. The guidance also addresses how convertible instruments are accounted for in the diluted earnings per share calculation and requires enhanced disclosures about the terms of convertible instruments. Entities may adopt ASU 2020-06 using either a partial retrospective or fully retrospective method of transition. This ASU is effective for fiscal years beginning after December 15, 2023, including interim periods within those fiscal years for smaller reporting companies. The Company is currently evaluating the impact the adoption of ASU 2020-06 will have on the Company’s consolidated financial statements.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2021, the FASB issued ASU 2021-04, which included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This guidance clarifies and reduces diversity in an issuer’s accounting for modifications or exchanges of freestanding equity-classified written call options due to a lack of explicit guidance in the FASB Codification. ASU 2021-04 is effective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8" w:name="page139"/>
    <w:bookmarkEnd w:id="138"/>
    <w:p>
      <w:pPr>
        <w:ind w:right="260"/>
        <w:spacing w:after="0" w:line="277" w:lineRule="auto"/>
        <w:rPr>
          <w:sz w:val="20"/>
          <w:szCs w:val="20"/>
          <w:color w:val="auto"/>
        </w:rPr>
      </w:pPr>
      <w:r>
        <w:rPr>
          <w:rFonts w:ascii="Arial" w:cs="Arial" w:eastAsia="Arial" w:hAnsi="Arial"/>
          <w:sz w:val="18"/>
          <w:szCs w:val="18"/>
          <w:color w:val="auto"/>
        </w:rPr>
        <w:t>for all entities for fiscal years beginning after December 15, 2021. Early adoption is permitted. The Company has evaluated the impact of adopting ASU 2021-04 and does not expect this will have a material impact on the Company’s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Merger</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Merger was accounted for as a reverse asset acquisition because substantially all of the fair value was concentrated in cash, working capital, and a long-lived contract intangible asset (See Note 1).</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estimated fair value of total consideration given was $110.4 million as detailed below and is based on 3,208,718 shares of common stock, after taking into account the Reverse Stock Split, outstanding immediately prior to the Effective Time.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60" w:type="dxa"/>
            <w:vAlign w:val="bottom"/>
          </w:tcPr>
          <w:p>
            <w:pPr>
              <w:spacing w:after="0"/>
              <w:rPr>
                <w:sz w:val="18"/>
                <w:szCs w:val="18"/>
                <w:color w:val="auto"/>
              </w:rPr>
            </w:pPr>
          </w:p>
        </w:tc>
        <w:tc>
          <w:tcPr>
            <w:tcW w:w="562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1"/>
              </w:rPr>
              <w:t>Number of common shares of the combined company to be owned by Aerpio</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shareholders</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3,208,718</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6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w w:val="92"/>
              </w:rPr>
              <w:t>Multiplied by the fair value per share of Aerpio common stock on August 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ind w:left="186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33.00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60" w:type="dxa"/>
            <w:vAlign w:val="bottom"/>
          </w:tcPr>
          <w:p>
            <w:pPr>
              <w:spacing w:after="0"/>
              <w:rPr>
                <w:sz w:val="19"/>
                <w:szCs w:val="19"/>
                <w:color w:val="auto"/>
              </w:rPr>
            </w:pPr>
          </w:p>
        </w:tc>
        <w:tc>
          <w:tcPr>
            <w:tcW w:w="5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Fair value of Aerpio common stock</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105,887,694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60" w:type="dxa"/>
            <w:vAlign w:val="bottom"/>
          </w:tcPr>
          <w:p>
            <w:pPr>
              <w:spacing w:after="0"/>
              <w:rPr>
                <w:sz w:val="19"/>
                <w:szCs w:val="19"/>
                <w:color w:val="auto"/>
              </w:rPr>
            </w:pPr>
          </w:p>
        </w:tc>
        <w:tc>
          <w:tcPr>
            <w:tcW w:w="53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Aadi transaction costs</w:t>
            </w: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4,500,864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Pr>
          <w:p>
            <w:pPr>
              <w:spacing w:after="0"/>
              <w:rPr>
                <w:sz w:val="19"/>
                <w:szCs w:val="19"/>
                <w:color w:val="auto"/>
              </w:rPr>
            </w:pPr>
          </w:p>
        </w:tc>
        <w:tc>
          <w:tcPr>
            <w:tcW w:w="5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Purchase price</w:t>
            </w: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110,388,558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color w:val="auto"/>
              </w:rPr>
              <w:t>The allocation of the purchase price is as follows (amounts in thousands):</w:t>
            </w: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1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4"/>
          </w:tcPr>
          <w:p>
            <w:pPr>
              <w:ind w:left="40"/>
              <w:spacing w:after="0"/>
              <w:rPr>
                <w:sz w:val="20"/>
                <w:szCs w:val="20"/>
                <w:color w:val="auto"/>
              </w:rPr>
            </w:pPr>
            <w:r>
              <w:rPr>
                <w:rFonts w:ascii="Arial" w:cs="Arial" w:eastAsia="Arial" w:hAnsi="Arial"/>
                <w:sz w:val="14"/>
                <w:szCs w:val="14"/>
                <w:b w:val="1"/>
                <w:bCs w:val="1"/>
                <w:color w:val="auto"/>
              </w:rPr>
              <w:t>August 26, 2021</w:t>
            </w:r>
          </w:p>
        </w:tc>
        <w:tc>
          <w:tcPr>
            <w:tcW w:w="0" w:type="dxa"/>
            <w:vAlign w:val="bottom"/>
          </w:tcPr>
          <w:p>
            <w:pPr>
              <w:spacing w:after="0"/>
              <w:rPr>
                <w:sz w:val="1"/>
                <w:szCs w:val="1"/>
                <w:color w:val="auto"/>
              </w:rPr>
            </w:pPr>
          </w:p>
        </w:tc>
      </w:tr>
      <w:tr>
        <w:trPr>
          <w:trHeight w:val="223"/>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29,700</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2,709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(1)</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78,062</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Pr>
          <w:p>
            <w:pPr>
              <w:spacing w:after="0"/>
              <w:rPr>
                <w:sz w:val="19"/>
                <w:szCs w:val="19"/>
                <w:color w:val="auto"/>
              </w:rPr>
            </w:pPr>
          </w:p>
        </w:tc>
        <w:tc>
          <w:tcPr>
            <w:tcW w:w="5300" w:type="dxa"/>
            <w:vAlign w:val="bottom"/>
            <w:gridSpan w:val="2"/>
          </w:tcPr>
          <w:p>
            <w:pPr>
              <w:ind w:left="80"/>
              <w:spacing w:after="0"/>
              <w:rPr>
                <w:sz w:val="20"/>
                <w:szCs w:val="20"/>
                <w:color w:val="auto"/>
              </w:rPr>
            </w:pPr>
            <w:r>
              <w:rPr>
                <w:rFonts w:ascii="Arial" w:cs="Arial" w:eastAsia="Arial" w:hAnsi="Arial"/>
                <w:sz w:val="18"/>
                <w:szCs w:val="18"/>
                <w:color w:val="auto"/>
              </w:rPr>
              <w:t>Purchase price</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110,388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40" w:right="340" w:hanging="430"/>
        <w:spacing w:after="0" w:line="257" w:lineRule="auto"/>
        <w:tabs>
          <w:tab w:leader="none" w:pos="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long-lived intangible asset represents Aerpio’s out-licensing agreement with Gossamer Bio., Inc. Should payment be received from the underlying license agreement, in accordance with milestones or royalties, the Company will retain 10% of the proceeds with the balance being distributed to the CVR Holders. In accordance with GAAP for asset acquisitions, the excess purchase price over the fair value of the acquired assets and liabilities was ascribed to the acquired contract intangible asset. See Note 5 below for additional discussion of the subsequent impairment recognized.</w:t>
      </w:r>
    </w:p>
    <w:p>
      <w:pPr>
        <w:spacing w:after="0" w:line="183" w:lineRule="exact"/>
        <w:rPr>
          <w:rFonts w:ascii="Arial" w:cs="Arial" w:eastAsia="Arial" w:hAnsi="Arial"/>
          <w:sz w:val="18"/>
          <w:szCs w:val="18"/>
          <w:color w:val="auto"/>
        </w:rPr>
      </w:pPr>
    </w:p>
    <w:p>
      <w:pPr>
        <w:ind w:left="180" w:hanging="172"/>
        <w:spacing w:after="0"/>
        <w:tabs>
          <w:tab w:leader="none" w:pos="180" w:val="left"/>
        </w:tabs>
        <w:numPr>
          <w:ilvl w:val="0"/>
          <w:numId w:val="67"/>
        </w:numPr>
        <w:rPr>
          <w:rFonts w:ascii="Arial" w:cs="Arial" w:eastAsia="Arial" w:hAnsi="Arial"/>
          <w:sz w:val="18"/>
          <w:szCs w:val="18"/>
          <w:b w:val="1"/>
          <w:bCs w:val="1"/>
          <w:color w:val="231F20"/>
        </w:rPr>
      </w:pPr>
      <w:r>
        <w:rPr>
          <w:rFonts w:ascii="Arial" w:cs="Arial" w:eastAsia="Arial" w:hAnsi="Arial"/>
          <w:sz w:val="18"/>
          <w:szCs w:val="18"/>
          <w:b w:val="1"/>
          <w:bCs w:val="1"/>
          <w:color w:val="231F20"/>
        </w:rPr>
        <w:t>Intangible Asset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conjunction with the Merger, the Company recorded a long-lived contract intangible asset related to Aerpio’s license agreement with Gossamer Bio. Inc., which was assumed in the Merger. In accordance with GAAP, for asset acquisitions, the excess purchase price over the fair value of the acquired assets and liabilities was ascribed to the acquired contract intangible asset. Due to the significant excess purchase price being allocated over the fair value of the acquired contract intangible asset, the Company determined that an indicator of impairment was present. The contract intangible asset was assessed for recoverability using an undiscounted cash flow model, which resulted in undiscounted cash flows below the carrying amount. The Company therefore recognized an impairment of $74.2 million to bring the carrying amount of the contract intangible asset down to its estimated fair value of $3.9 million. The fair value estimate of the intangible asset relates to contingent cash flows expected from Aerpio’s out-licensing arrangement, of which 90% of any future net cash proceeds will be remitted to CVR Holders and paid through the CVRs. The fair value determination of the intangible asset was based upon a discounted cash flow valuation of the milestone payments and Monte Carlo valuation for the sales royalties. The estimated useful life of the intangible asset is 14.3 years. Amortization expense was $95,000 for the year ended December 31, 2021. No intangible asset or amortization expense was recorded in 2020.</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estimated amortization expense related to this finite lived intangible asset for the five succeeding years is as follows (amounts in thousands):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9" w:name="page140"/>
    <w:bookmarkEnd w:id="139"/>
    <w:tbl>
      <w:tblPr>
        <w:tblLayout w:type="fixed"/>
        <w:tblInd w:w="29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tcBorders>
              <w:bottom w:val="single" w:sz="8" w:color="CFF0FC"/>
            </w:tcBorders>
          </w:tcPr>
          <w:p>
            <w:pPr>
              <w:spacing w:after="0"/>
              <w:rPr>
                <w:sz w:val="15"/>
                <w:szCs w:val="15"/>
                <w:color w:val="auto"/>
              </w:rPr>
            </w:pPr>
          </w:p>
        </w:tc>
        <w:tc>
          <w:tcPr>
            <w:tcW w:w="10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Less amortization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2023</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2025</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Amounts thereafter</w:t>
            </w:r>
          </w:p>
        </w:tc>
        <w:tc>
          <w:tcPr>
            <w:tcW w:w="10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2021, all development milestones, sales-based milestones and royalty payments within the license agreement are constrained. There can be no assurance that any proceeds will be received under the license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Details of accrued liabilities are presented as follows (amounts in thousands):</w:t>
      </w:r>
    </w:p>
    <w:p>
      <w:pPr>
        <w:spacing w:after="0" w:line="190" w:lineRule="exact"/>
        <w:rPr>
          <w:sz w:val="20"/>
          <w:szCs w:val="20"/>
          <w:color w:val="auto"/>
        </w:rPr>
      </w:pPr>
    </w:p>
    <w:tbl>
      <w:tblPr>
        <w:tblLayout w:type="fixed"/>
        <w:tblInd w:w="22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clinical</w:t>
            </w:r>
          </w:p>
        </w:tc>
        <w:tc>
          <w:tcPr>
            <w:tcW w:w="8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2,507</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Accrued contract manufacturing</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2,287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1,301</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8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1,465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6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1,948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8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FF0FC"/>
          </w:tcPr>
          <w:p>
            <w:pPr>
              <w:spacing w:after="0"/>
              <w:rPr>
                <w:sz w:val="19"/>
                <w:szCs w:val="19"/>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Total accrued liabilities</w:t>
            </w:r>
          </w:p>
        </w:tc>
        <w:tc>
          <w:tcPr>
            <w:tcW w:w="860" w:type="dxa"/>
            <w:vAlign w:val="bottom"/>
          </w:tcPr>
          <w:p>
            <w:pPr>
              <w:spacing w:after="0"/>
              <w:rPr>
                <w:sz w:val="19"/>
                <w:szCs w:val="19"/>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8,445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Lease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 xml:space="preserve">In April 2019, the Company entered into a twenty-eight-month facility lease agreement for 2,760 square feet of office space in Pacific Palisades, California. The lease commenced on May 1, 2019, included </w:t>
      </w:r>
      <w:r>
        <w:rPr>
          <w:rFonts w:ascii="Arial" w:cs="Arial" w:eastAsia="Arial" w:hAnsi="Arial"/>
          <w:sz w:val="18"/>
          <w:szCs w:val="18"/>
          <w:color w:val="000000"/>
        </w:rPr>
        <w:t>four months</w:t>
      </w:r>
      <w:r>
        <w:rPr>
          <w:rFonts w:ascii="Arial" w:cs="Arial" w:eastAsia="Arial" w:hAnsi="Arial"/>
          <w:sz w:val="18"/>
          <w:szCs w:val="18"/>
          <w:color w:val="231F20"/>
        </w:rPr>
        <w:t xml:space="preserve"> of rent abatement and a rent escalation clause and was set to expire on August 31, 2021. In August 2021, the Company exercised its option to extend the term of the lease for an additional three-year period and entered into an amendment to the lease agreement (the “Lease Amendment”). Pursuant to the Lease Amendment, the Company and the landlord agreed to extend the term for an additional period of three (3) years and six (6) months, until February 28, 2025, with an option to renew for an additional three (3) years in accordance with the terms of the lease agreement. Included in the Lease Amendment were nine months of rent abatement and a rent escalation clause. Rent expense is being recorded on a straight-line basis.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the Company’s lease (amounts in thousands):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0" w:right="399" w:bottom="1440" w:gutter="0" w:footer="0" w:header="0"/>
        </w:sectPr>
      </w:pPr>
    </w:p>
    <w:bookmarkStart w:id="140" w:name="page141"/>
    <w:bookmarkEnd w:id="140"/>
    <w:tbl>
      <w:tblPr>
        <w:tblLayout w:type="fixed"/>
        <w:tblInd w:w="114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126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260" w:type="dxa"/>
            <w:vAlign w:val="bottom"/>
            <w:tcBorders>
              <w:bottom w:val="single" w:sz="8" w:color="CFF0FC"/>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1180" w:type="dxa"/>
            <w:vAlign w:val="bottom"/>
          </w:tcPr>
          <w:p>
            <w:pPr>
              <w:jc w:val="right"/>
              <w:ind w:right="994"/>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ind w:left="200"/>
              <w:spacing w:after="0"/>
              <w:rPr>
                <w:sz w:val="20"/>
                <w:szCs w:val="20"/>
                <w:color w:val="auto"/>
              </w:rPr>
            </w:pPr>
            <w:r>
              <w:rPr>
                <w:rFonts w:ascii="Arial" w:cs="Arial" w:eastAsia="Arial" w:hAnsi="Arial"/>
                <w:sz w:val="18"/>
                <w:szCs w:val="18"/>
                <w:b w:val="1"/>
                <w:bCs w:val="1"/>
                <w:color w:val="auto"/>
                <w:w w:val="86"/>
              </w:rPr>
              <w:t>557</w:t>
            </w:r>
          </w:p>
        </w:tc>
        <w:tc>
          <w:tcPr>
            <w:tcW w:w="300" w:type="dxa"/>
            <w:vAlign w:val="bottom"/>
          </w:tcPr>
          <w:p>
            <w:pPr>
              <w:spacing w:after="0"/>
              <w:rPr>
                <w:sz w:val="19"/>
                <w:szCs w:val="19"/>
                <w:color w:val="auto"/>
              </w:rPr>
            </w:pPr>
          </w:p>
        </w:tc>
        <w:tc>
          <w:tcPr>
            <w:tcW w:w="480" w:type="dxa"/>
            <w:vAlign w:val="bottom"/>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right-of-use assets</w:t>
            </w:r>
          </w:p>
        </w:tc>
        <w:tc>
          <w:tcPr>
            <w:tcW w:w="1180" w:type="dxa"/>
            <w:vAlign w:val="bottom"/>
            <w:tcBorders>
              <w:top w:val="single" w:sz="8" w:color="auto"/>
              <w:bottom w:val="single" w:sz="8" w:color="auto"/>
            </w:tcBorders>
            <w:shd w:val="clear" w:color="auto" w:fill="CFF0FC"/>
          </w:tcPr>
          <w:p>
            <w:pPr>
              <w:jc w:val="right"/>
              <w:ind w:right="994"/>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ind w:left="200"/>
              <w:spacing w:after="0"/>
              <w:rPr>
                <w:sz w:val="20"/>
                <w:szCs w:val="20"/>
                <w:color w:val="auto"/>
              </w:rPr>
            </w:pPr>
            <w:r>
              <w:rPr>
                <w:rFonts w:ascii="Arial" w:cs="Arial" w:eastAsia="Arial" w:hAnsi="Arial"/>
                <w:sz w:val="18"/>
                <w:szCs w:val="18"/>
                <w:b w:val="1"/>
                <w:bCs w:val="1"/>
                <w:color w:val="auto"/>
                <w:w w:val="86"/>
              </w:rPr>
              <w:t>557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1180" w:type="dxa"/>
            <w:vAlign w:val="bottom"/>
          </w:tcPr>
          <w:p>
            <w:pPr>
              <w:jc w:val="right"/>
              <w:ind w:right="994"/>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ind w:left="200"/>
              <w:spacing w:after="0"/>
              <w:rPr>
                <w:sz w:val="20"/>
                <w:szCs w:val="20"/>
                <w:color w:val="auto"/>
              </w:rPr>
            </w:pPr>
            <w:r>
              <w:rPr>
                <w:rFonts w:ascii="Arial" w:cs="Arial" w:eastAsia="Arial" w:hAnsi="Arial"/>
                <w:sz w:val="18"/>
                <w:szCs w:val="18"/>
                <w:b w:val="1"/>
                <w:bCs w:val="1"/>
                <w:color w:val="auto"/>
                <w:w w:val="86"/>
              </w:rPr>
              <w:t>131</w:t>
            </w:r>
          </w:p>
        </w:tc>
        <w:tc>
          <w:tcPr>
            <w:tcW w:w="300" w:type="dxa"/>
            <w:vAlign w:val="bottom"/>
          </w:tcPr>
          <w:p>
            <w:pPr>
              <w:spacing w:after="0"/>
              <w:rPr>
                <w:sz w:val="19"/>
                <w:szCs w:val="19"/>
                <w:color w:val="auto"/>
              </w:rPr>
            </w:pPr>
          </w:p>
        </w:tc>
        <w:tc>
          <w:tcPr>
            <w:tcW w:w="480" w:type="dxa"/>
            <w:vAlign w:val="bottom"/>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1180" w:type="dxa"/>
            <w:vAlign w:val="bottom"/>
            <w:shd w:val="clear" w:color="auto" w:fill="CFF0FC"/>
          </w:tcPr>
          <w:p>
            <w:pPr>
              <w:spacing w:after="0"/>
              <w:rPr>
                <w:sz w:val="19"/>
                <w:szCs w:val="19"/>
                <w:color w:val="auto"/>
              </w:rPr>
            </w:pPr>
          </w:p>
        </w:tc>
        <w:tc>
          <w:tcPr>
            <w:tcW w:w="48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w w:val="86"/>
              </w:rPr>
              <w:t>474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1180" w:type="dxa"/>
            <w:vAlign w:val="bottom"/>
            <w:tcBorders>
              <w:top w:val="single" w:sz="8" w:color="auto"/>
              <w:bottom w:val="single" w:sz="8" w:color="auto"/>
            </w:tcBorders>
          </w:tcPr>
          <w:p>
            <w:pPr>
              <w:jc w:val="right"/>
              <w:ind w:right="994"/>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6"/>
              </w:rPr>
              <w:t>605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60"/>
        <w:spacing w:after="0" w:line="276" w:lineRule="auto"/>
        <w:rPr>
          <w:sz w:val="20"/>
          <w:szCs w:val="20"/>
          <w:color w:val="auto"/>
        </w:rPr>
      </w:pPr>
      <w:r>
        <w:rPr>
          <w:rFonts w:ascii="Arial" w:cs="Arial" w:eastAsia="Arial" w:hAnsi="Arial"/>
          <w:sz w:val="18"/>
          <w:szCs w:val="18"/>
          <w:color w:val="231F20"/>
        </w:rPr>
        <w:t>Rent expense related to this lease each of the twelve months ended December 31, 2021 and December 31, 2020 is presented on the following table (amounts in thousands):</w:t>
      </w:r>
    </w:p>
    <w:p>
      <w:pPr>
        <w:spacing w:after="0" w:line="2"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paid included in operating cash flows</w:t>
            </w:r>
          </w:p>
        </w:tc>
        <w:tc>
          <w:tcPr>
            <w:tcW w:w="1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ind w:left="240"/>
              <w:spacing w:after="0"/>
              <w:rPr>
                <w:sz w:val="20"/>
                <w:szCs w:val="20"/>
                <w:color w:val="auto"/>
              </w:rPr>
            </w:pPr>
            <w:r>
              <w:rPr>
                <w:rFonts w:ascii="Arial" w:cs="Arial" w:eastAsia="Arial" w:hAnsi="Arial"/>
                <w:sz w:val="18"/>
                <w:szCs w:val="18"/>
                <w:color w:val="auto"/>
              </w:rPr>
              <w:t>Operating leases rent expense</w:t>
            </w:r>
          </w:p>
        </w:tc>
        <w:tc>
          <w:tcPr>
            <w:tcW w:w="14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payments required under the operating lease as of December 31, 2021, are summarized below (amounts in thousands):</w:t>
      </w:r>
    </w:p>
    <w:p>
      <w:pPr>
        <w:spacing w:after="0" w:line="134" w:lineRule="exact"/>
        <w:rPr>
          <w:sz w:val="20"/>
          <w:szCs w:val="20"/>
          <w:color w:val="auto"/>
        </w:rPr>
      </w:pPr>
    </w:p>
    <w:tbl>
      <w:tblPr>
        <w:tblLayout w:type="fixed"/>
        <w:tblInd w:w="2160" w:type="dxa"/>
        <w:tblCellMar>
          <w:top w:w="0" w:type="dxa"/>
          <w:left w:w="0" w:type="dxa"/>
          <w:bottom w:w="0" w:type="dxa"/>
          <w:right w:w="0" w:type="dxa"/>
        </w:tblCellMar>
      </w:tblPr>
      <w:tr>
        <w:trPr>
          <w:trHeight w:val="186"/>
        </w:trPr>
        <w:tc>
          <w:tcPr>
            <w:tcW w:w="5060" w:type="dxa"/>
            <w:vAlign w:val="bottom"/>
          </w:tcPr>
          <w:p>
            <w:pPr>
              <w:spacing w:after="0"/>
              <w:rPr>
                <w:sz w:val="20"/>
                <w:szCs w:val="20"/>
                <w:color w:val="auto"/>
              </w:rPr>
            </w:pPr>
            <w:r>
              <w:rPr>
                <w:rFonts w:ascii="Arial" w:cs="Arial" w:eastAsia="Arial" w:hAnsi="Arial"/>
                <w:sz w:val="14"/>
                <w:szCs w:val="14"/>
                <w:b w:val="1"/>
                <w:bCs w:val="1"/>
                <w:color w:val="auto"/>
              </w:rPr>
              <w:t>Future Minimum Lease Payments:</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2023</w:t>
            </w:r>
          </w:p>
        </w:tc>
        <w:tc>
          <w:tcPr>
            <w:tcW w:w="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7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tcBorders>
              <w:bottom w:val="single" w:sz="8" w:color="CFF0FC"/>
            </w:tcBorders>
            <w:vMerge w:val="continue"/>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operating lease liabilities</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Less: operating lease liabilities, current</w:t>
            </w:r>
          </w:p>
        </w:tc>
        <w:tc>
          <w:tcPr>
            <w:tcW w:w="7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tcBorders>
              <w:bottom w:val="single" w:sz="8" w:color="CFF0FC"/>
            </w:tcBorders>
            <w:vMerge w:val="continue"/>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Remaining lease term (in years)</w:t>
            </w: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Incremental borrowing rate</w:t>
            </w:r>
          </w:p>
        </w:tc>
        <w:tc>
          <w:tcPr>
            <w:tcW w:w="7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b w:val="1"/>
          <w:bCs w:val="1"/>
          <w:color w:val="231F20"/>
        </w:rPr>
      </w:pPr>
      <w:r>
        <w:rPr>
          <w:rFonts w:ascii="Arial" w:cs="Arial" w:eastAsia="Arial" w:hAnsi="Arial"/>
          <w:sz w:val="18"/>
          <w:szCs w:val="18"/>
          <w:b w:val="1"/>
          <w:bCs w:val="1"/>
          <w:color w:val="auto"/>
        </w:rPr>
        <w:t>EOC License Agreement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2020, the Company entered into the EOC License Agreement with EOC for the further development of ABI-009, now called FYARRO, and commercialization of FYARRO in Greater China, including the Republic of China, Hong Kong, Macau and Taiwan (the “Licensed Territory”). Under the terms of the EOC License Agreement, the Company granted to EOC an exclusive, royalty-bearing license to develop and commercialize the product in the Licensed Territory.</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Unless earlier terminated, the term of the EOC License Agreement continues until the expiration of the royalty obligations. EOC has the right to terminate the agreement for any reason upon 120 days advance written notice. Either party may terminate the EOC License Agreement in the event that the other party breaches the agreement and fails to cure the breach, becomes insolvent or challenges certain of the intellectual property rights licensed under the agreement.</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assessed the EOC License Agreement and concluded that EOC is a customer and identified the license of FYARRO provided to EOC as the sole performance obligation. The $14.0 million upfront payment received from EOC is non-refundable and non-creditable and is considered fixed consideration. The Company recognized revenue of $14.0 million in the year ended December 31, 2020 when the EOC License Agreement was signed, and the $14.0 million upfront payment was received in January 2021.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41" w:name="page142"/>
    <w:bookmarkEnd w:id="141"/>
    <w:p>
      <w:pPr>
        <w:ind w:right="100"/>
        <w:spacing w:after="0" w:line="277" w:lineRule="auto"/>
        <w:rPr>
          <w:sz w:val="20"/>
          <w:szCs w:val="20"/>
          <w:color w:val="auto"/>
        </w:rPr>
      </w:pPr>
      <w:r>
        <w:rPr>
          <w:rFonts w:ascii="Arial" w:cs="Arial" w:eastAsia="Arial" w:hAnsi="Arial"/>
          <w:sz w:val="18"/>
          <w:szCs w:val="18"/>
          <w:color w:val="auto"/>
        </w:rPr>
        <w:t>The potential milestone payments and royalty payments under the EOC License Agreement are considered variable consideration and are constrained with respect to revenue recognition notification from EOC that the milestone and royalty payments have been achieved.</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is eligible to receive an additional $257.0 million in the aggregate upon achievement of certain development, regulatory, and sales milestones, as well as tiered royalties on net sales in the Licensed Territory. Under the terms of the EOC License Agreement, EOC will fund all research, development, regulatory, marketing and commercialization activities in the defined Licensed Territory. The Company earned $1.0 million in milestone revenue upon achievement of the FDA approval milestone on November 22, 2021. EOC paid the $1.0 million milestone payment in December 2021. In accordance with the Company’s agreement with Celgene, 20% of the $1.0 million payment, or $0.2 million was accrued at December 31, 2021, for payment to Celgene in January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Convertible Notes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Private Aadi received $8.1 million in October 2019 and $1.0 million in January 2020 for the proceeds in connection with the issuance of Convertible Notes. The October 2019 Convertible Notes were issued to existing equity holders of Private Aadi. The Convertible Notes issued in October 2019 and January 2020 originally had a maturity date of one year from the date of issuance and an escalating interest rate of 6% per annum for the first four months following the effective date of the loan agreement, 8% per annum for the fifth and sixth months, and 10% per annum for the remaining six months of the note term until maturity at twelve months. The Convertible Notes contain certain redemption features, including conversion to preferred stock upon the closing of Private Aadi’s next issuance of preferred stock resulting in net proceeds to the Company of at least $25.0 million (“Qualified Financing”). The Convertible Notes would convert into a variable, whole number of preferred shares equal to the number obtained by dividing the principal plus accrued interest of the Convertible Notes by 80% of the price per share paid by cash investors in the Qualifying Financing if converted in the first four months following the effective date of the loan agreement, 75% if converted in months five or six, and 70% if converted later than six months. The Convertible Notes also contained a mandatory prepayment provision that required Private Aadi to pay the outstanding principal, plus accrued and unpaid interest together with a premium in the event that a qualified liquidity event occurred. The premium was equal to 120% of the outstanding principal amount to be prepaid in the event the liquidity event occurs within four months of the note date, 130% between the fifth and sixth month, and 140% if after the sixth month but prior to maturity.</w:t>
      </w:r>
    </w:p>
    <w:p>
      <w:pPr>
        <w:spacing w:after="0" w:line="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November 2020, Private Aadi entered into an amendment to the October 2019 and January 2020 Convertible Notes, whereby the term was extended from one year to two years. The amendment was accounted for as a debt modification.</w:t>
      </w:r>
    </w:p>
    <w:p>
      <w:pPr>
        <w:spacing w:after="0" w:line="6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May 2021, Private Aadi entered into an amendment to the October 2019 and January 2020 Convertible Notes, whereby upon the closing of the Merger (see Note 1), the outstanding principal amount of the Convertible Notes and all accrued and unpaid interest as of immediately prior to the closing of the Merger would automatically convert into fully paid and nonassessable shares of Private Aadi common stock at a price per share equal to $4.80 and would be concurrently exchanged for shares of the Company’s common stock based on the Exchange Ratio. In conjunction with the closing of the Merger on August 26, 2021, the outstanding Convertible Notes were converted into shares of Private Aadi common stock which were concurrently exchanged for 698,018 shares of the Company’s common stock after taking into account the Exchange Ratio</w:t>
      </w:r>
      <w:r>
        <w:rPr>
          <w:rFonts w:ascii="Arial" w:cs="Arial" w:eastAsia="Arial" w:hAnsi="Arial"/>
          <w:sz w:val="18"/>
          <w:szCs w:val="18"/>
          <w:color w:val="231F20"/>
        </w:rPr>
        <w:t>.</w:t>
      </w:r>
      <w:r>
        <w:rPr>
          <w:rFonts w:ascii="Arial" w:cs="Arial" w:eastAsia="Arial" w:hAnsi="Arial"/>
          <w:sz w:val="18"/>
          <w:szCs w:val="18"/>
          <w:color w:val="auto"/>
        </w:rPr>
        <w:t xml:space="preserve"> At the date of conversion, the convertible notes were marked to market</w:t>
      </w:r>
      <w:r>
        <w:rPr>
          <w:rFonts w:ascii="Arial" w:cs="Arial" w:eastAsia="Arial" w:hAnsi="Arial"/>
          <w:sz w:val="18"/>
          <w:szCs w:val="18"/>
          <w:color w:val="231F20"/>
        </w:rPr>
        <w:t>.</w:t>
      </w:r>
    </w:p>
    <w:p>
      <w:pPr>
        <w:spacing w:after="0" w:line="83" w:lineRule="exact"/>
        <w:rPr>
          <w:sz w:val="20"/>
          <w:szCs w:val="20"/>
          <w:color w:val="auto"/>
        </w:rPr>
      </w:pPr>
    </w:p>
    <w:p>
      <w:pPr>
        <w:ind w:left="280" w:hanging="272"/>
        <w:spacing w:after="0"/>
        <w:tabs>
          <w:tab w:leader="none" w:pos="2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231F20"/>
        </w:rPr>
        <w:t>Payroll Protection Program Loan</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CARES Act also appropriated funds for the Small Business Administration (“SBA”) Paycheck Protection Program (“PPP”) loans that are forgivable in certain situations to promote continued employment, as well as Economic Injury Disaster Loans to provide liquidity to small businesses harmed by COVID-19</w:t>
      </w:r>
      <w:r>
        <w:rPr>
          <w:rFonts w:ascii="Arial" w:cs="Arial" w:eastAsia="Arial" w:hAnsi="Arial"/>
          <w:sz w:val="18"/>
          <w:szCs w:val="18"/>
          <w:color w:val="231F20"/>
        </w:rPr>
        <w:t>.</w:t>
      </w:r>
    </w:p>
    <w:p>
      <w:pPr>
        <w:spacing w:after="0" w:line="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May 2020, Aadi was approved for a $0.2 million SBA PPP loan, as provided for in the CARES Act (“PPP Loan”). Under certain conditions, the PPP Loan and accrued interest are forgivable after a twenty-four-week covered period as long as the loan proceeds were used for eligible expenses, including payroll, benefits, rent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2" w:name="page143"/>
    <w:bookmarkEnd w:id="142"/>
    <w:p>
      <w:pPr>
        <w:spacing w:after="0" w:line="296" w:lineRule="auto"/>
        <w:rPr>
          <w:sz w:val="20"/>
          <w:szCs w:val="20"/>
          <w:color w:val="auto"/>
        </w:rPr>
      </w:pPr>
      <w:r>
        <w:rPr>
          <w:rFonts w:ascii="Arial" w:cs="Arial" w:eastAsia="Arial" w:hAnsi="Arial"/>
          <w:sz w:val="16"/>
          <w:szCs w:val="16"/>
          <w:color w:val="auto"/>
        </w:rPr>
        <w:t>utilities, and the company maintains certain payroll levels. The amount of loan forgiveness is subject to reduction if the Company terminates employees or reduces salaries during the twenty-four-week covered period. The unforgiven portion of the loan is payable over two years at an interest rate of 1%, with a deferral of payments for the ten months following the end of the twenty-four-week covered period. On April 29, 2021, the Company received notification from the SBA that the Company’s Forgiveness Application of the PPP Loan and accrued interest was approved in full, and the Company had no further obligations related to the PPP Loan. Accordingly, the Company recorded a gain on the forgiveness of the PPP Loan totaling $0.2 million.</w:t>
      </w:r>
    </w:p>
    <w:p>
      <w:pPr>
        <w:spacing w:after="0" w:line="5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SBA has stated that all PPP loans in excess of $2 million, and other PPP loans as appropriate, will be subject to review by the SBA for compliance with program requirements. If the SBA determines in the course of its review that a borrower lacked an adequate basis for the required certification concerning the necessity of the loan request or the subsequent use of loan proceeds, the SBA will seek repayment of the PPP loan, including interest and potential penalties. While the Company believes the loan was properly obtained and forgiven, there can be no assurance regarding the outcome of an SBA review. The Company has not accrued any liability associated with the risk of an adverse SBA review</w:t>
      </w:r>
      <w:r>
        <w:rPr>
          <w:rFonts w:ascii="Arial" w:cs="Arial" w:eastAsia="Arial" w:hAnsi="Arial"/>
          <w:sz w:val="17"/>
          <w:szCs w:val="17"/>
          <w:color w:val="231F20"/>
        </w:rPr>
        <w: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2021, under the Company’s certificate of incorporation, as amended and restated, the Company has 10,000,000 shares of preferred stock, par value $0.0001 per share, in authorized capital with no shares outstanding.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Series Seed Preferred Stock</w:t>
      </w:r>
    </w:p>
    <w:p>
      <w:pPr>
        <w:spacing w:after="0" w:line="11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231F20"/>
        </w:rPr>
        <w:t>On February 23, 2017, Private Aadi converted from a limited liability company to a corporation and at that time converted 734,218 membership units into shares of Series Seed Preferred Stock. All outstanding shares of Series Seed Preferred Stock were converted into Private Aadi’s common stock and concurrently exchanged for the Company’s common stock based on the Exchange Ratio in connection with the closing of the Merger.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Series A Preferred Stock</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231F20"/>
        </w:rPr>
        <w:t xml:space="preserve">In February and March 2017, Private Aadi sold and issued in a private placement 5,847,940 shares of Series A Preferred Stock at $3.42 per share (the “Series A Financing”). Upon the closing of the Series A Financing, convertible notes issued in 2015 converted into 482,426 shares of Series A Preferred Stock at 85% of the $3.42 price per share (the “Series A Original Issue Price”) paid by the Series A Financing investors. Convertible notes issued in 2017 converted into 881,286 shares of Series A Preferred Stock at the Series A Original Issue Price. All outstanding shares of Series A Preferred Stock were converted into shares of Private Aadi common stock and concurrently exchanged for the Company’s common stock based on the Exchange Ratio in connection with the closing of the Merger. </w:t>
      </w:r>
      <w:r>
        <w:rPr>
          <w:rFonts w:ascii="Arial" w:cs="Arial" w:eastAsia="Arial" w:hAnsi="Arial"/>
          <w:sz w:val="17"/>
          <w:szCs w:val="17"/>
          <w:color w:val="000000"/>
        </w:rPr>
        <w:t>Upon the closing of the Merger, Private Aadi’s board of directors declared a 4% cumulative dividend on its</w:t>
      </w:r>
      <w:r>
        <w:rPr>
          <w:rFonts w:ascii="Arial" w:cs="Arial" w:eastAsia="Arial" w:hAnsi="Arial"/>
          <w:sz w:val="17"/>
          <w:szCs w:val="17"/>
          <w:color w:val="231F20"/>
        </w:rPr>
        <w:t xml:space="preserve"> </w:t>
      </w:r>
      <w:r>
        <w:rPr>
          <w:rFonts w:ascii="Arial" w:cs="Arial" w:eastAsia="Arial" w:hAnsi="Arial"/>
          <w:sz w:val="17"/>
          <w:szCs w:val="17"/>
          <w:color w:val="000000"/>
        </w:rPr>
        <w:t>preferred stock of $4.4 million which was paid at the Effective Time.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December 31, 2021 and 2020, the Company had 300,000,000 and 20,000,000 shares of authorized common stock with par value of $0.0001 per share, respectively, under the Company’s certificate of incorporation, as amended and restated. As of December 31, 2021 and 2020, the shares of common stock outstanding were 20,894,695 and 2,542,358, respectively.</w:t>
      </w:r>
    </w:p>
    <w:p>
      <w:pPr>
        <w:spacing w:after="0" w:line="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conjunction with the closing of the Merger, the Company issued an aggregate of 2,558,218 shares of common stock to holders of Private Aadi common stock in exchange for all of the Private Aadi capital stock outstanding immediately prior to the closing of the Merger. Concurrently with the closing of the Merger, the PIPE Investors purchased an aggregate of 11,852,862 shares of the Company’s common stock for an aggregate purchase price of $155.0 million pursuant to the Subscription Agreement entered into with the Company on May 16, 2021. The aggregate net proceeds, after deducting certain expenses incurred that were direct and incremental to the issuance of the PIPE shares, was $145.4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color w:val="auto"/>
        </w:rPr>
        <w:t>The holders of common stock are entitled to receive dividends, if and when declared by the board of directors of the Company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the Company’s inception, no dividends have been declared or paid to the holders of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380"/>
        <w:spacing w:after="0" w:line="308"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 – 2014 Plan (“Private Aadi Plan”)</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connection with the Merger, the Company assumed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Arial" w:cs="Arial" w:eastAsia="Arial" w:hAnsi="Arial"/>
          <w:sz w:val="18"/>
          <w:szCs w:val="18"/>
          <w:color w:val="231F20"/>
        </w:rPr>
        <w:t>The Private Aadi Plan allowed for the grant of incentive stock options, non-statutory stock options,</w:t>
      </w:r>
      <w:r>
        <w:rPr>
          <w:rFonts w:ascii="Arial" w:cs="Arial" w:eastAsia="Arial" w:hAnsi="Arial"/>
          <w:sz w:val="18"/>
          <w:szCs w:val="18"/>
          <w:color w:val="auto"/>
        </w:rPr>
        <w:t xml:space="preserve"> </w:t>
      </w:r>
      <w:r>
        <w:rPr>
          <w:rFonts w:ascii="Arial" w:cs="Arial" w:eastAsia="Arial" w:hAnsi="Arial"/>
          <w:sz w:val="18"/>
          <w:szCs w:val="18"/>
          <w:color w:val="231F20"/>
        </w:rPr>
        <w:t>stock appreciation rights, restricted stock unit awards and other stock awards. In connection with the closing of the Merger and the adoption of the 2021 Plan (as defined below), no further awards will be issued under the Private Aadi Plan.</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 xml:space="preserve">The options that are granted from the Private Aadi Plan are exercisable at various dates as determined upon grant and will expire no more than </w:t>
      </w:r>
      <w:r>
        <w:rPr>
          <w:rFonts w:ascii="Arial" w:cs="Arial" w:eastAsia="Arial" w:hAnsi="Arial"/>
          <w:sz w:val="18"/>
          <w:szCs w:val="18"/>
          <w:color w:val="000000"/>
        </w:rPr>
        <w:t>ten years</w:t>
      </w:r>
      <w:r>
        <w:rPr>
          <w:rFonts w:ascii="Arial" w:cs="Arial" w:eastAsia="Arial" w:hAnsi="Arial"/>
          <w:sz w:val="18"/>
          <w:szCs w:val="18"/>
          <w:color w:val="231F20"/>
        </w:rPr>
        <w:t xml:space="preserve"> from their date of grant. The Private Aadi Plan stock options generally vest over a four-year term.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 – 2011 Plan and 2017 Plan</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connection with the closing of the Merger, the Company assumed the Aerpio 2011 Equity Incentive Plan (the “2011 Plan”) and the Aerpio 2017 Stock Option and Incentive Plan (the “2017 Plan,” and collectively with the 2011 Plan, the “Prior Plans”). No new awards will be granted under the Prior Plans effective upon the closing of the Merger and adoption of the 2021 Plan (as defined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 – 2021 Plan</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the closing of the Merger, the Company adopted the Aadi Bioscience, Inc. 2021 Equity Incentive Plan (the “2021 Plan”), which also permits stock options and restricted stock unit grants to employees, members of the board of directors, and outside consultants.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Merger (provided that the maximum number of shares that may be added to the 2021 Plan pursuant to this sentence is 764,154 shares).</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number of shares available for issuance under the 2021 Plan also will include an annual increase, or the evergreen feature, on the first day of each of the Company’s fiscal years, beginning with the Company’s fiscal year 2022, equal to the least of:</w:t>
      </w:r>
    </w:p>
    <w:p>
      <w:pPr>
        <w:spacing w:after="0" w:line="62" w:lineRule="exact"/>
        <w:rPr>
          <w:sz w:val="20"/>
          <w:szCs w:val="20"/>
          <w:color w:val="auto"/>
        </w:rPr>
      </w:pPr>
    </w:p>
    <w:p>
      <w:pPr>
        <w:ind w:left="880" w:hanging="440"/>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2,070,784 shares of common stock;</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number of shares equal to 4% of the outstanding shares of common stock on the last day of the immediately preceding fiscal year; or</w:t>
      </w:r>
    </w:p>
    <w:p>
      <w:pPr>
        <w:spacing w:after="0" w:line="20" w:lineRule="exact"/>
        <w:rPr>
          <w:rFonts w:ascii="Arial" w:cs="Arial" w:eastAsia="Arial" w:hAnsi="Arial"/>
          <w:sz w:val="17"/>
          <w:szCs w:val="17"/>
          <w:color w:val="auto"/>
        </w:rPr>
      </w:pPr>
    </w:p>
    <w:p>
      <w:pPr>
        <w:ind w:left="880" w:hanging="440"/>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number of shares as the Board or its designated committee may determine.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evergreen increase, a total of 835,787 shares were added to the 2021 Plan on January 1, 2022.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4" w:name="page145"/>
    <w:bookmarkEnd w:id="144"/>
    <w:p>
      <w:pPr>
        <w:ind w:right="240"/>
        <w:spacing w:after="0" w:line="257" w:lineRule="auto"/>
        <w:rPr>
          <w:sz w:val="20"/>
          <w:szCs w:val="20"/>
          <w:color w:val="auto"/>
        </w:rPr>
      </w:pPr>
      <w:r>
        <w:rPr>
          <w:rFonts w:ascii="Arial" w:cs="Arial" w:eastAsia="Arial" w:hAnsi="Arial"/>
          <w:sz w:val="18"/>
          <w:szCs w:val="18"/>
          <w:color w:val="auto"/>
        </w:rPr>
        <w:t>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31, 2021, zero, 432,978, 126,267 and 1,190,631 shares were subject to awards outstanding under the 2011 Plan, Private Aadi Plan, 2017 Plan and 2021 Plan,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twelve months ended December 31, 2021 and December 31, 2020:</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4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0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2021</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390,949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1,248,520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Assumed through Merger</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248,258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(72,316)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Expired/cancelled</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(65,535)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as of December 31, 2021</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1,749,876</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Vested and exercisable as of December 31, 2021</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444,700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Vested and expected to vest as of December 31, 2021</w:t>
            </w:r>
          </w:p>
        </w:tc>
        <w:tc>
          <w:tcPr>
            <w:tcW w:w="1220" w:type="dxa"/>
            <w:vAlign w:val="bottom"/>
          </w:tcPr>
          <w:p>
            <w:pPr>
              <w:jc w:val="right"/>
              <w:spacing w:after="0"/>
              <w:rPr>
                <w:sz w:val="20"/>
                <w:szCs w:val="20"/>
                <w:color w:val="auto"/>
              </w:rPr>
            </w:pPr>
            <w:r>
              <w:rPr>
                <w:rFonts w:ascii="Arial" w:cs="Arial" w:eastAsia="Arial" w:hAnsi="Arial"/>
                <w:sz w:val="18"/>
                <w:szCs w:val="18"/>
                <w:color w:val="auto"/>
              </w:rPr>
              <w:t>1,749,876</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December 31, 2021, the aggregate intrinsic value of options outstanding was $10.0 million. The intrinsic value for stock options is calculated based on the difference between the exercise prices of the underlying awards and the quoted stock price of the Company’s common stock as of the reporting date.</w:t>
      </w:r>
    </w:p>
    <w:p>
      <w:pPr>
        <w:spacing w:after="0" w:line="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2021, there was $22.1 million of unrecognized compensation cost related to stock options, which is expected to be recognized over a weighted average period of 2.9 years.</w:t>
      </w:r>
    </w:p>
    <w:p>
      <w:pPr>
        <w:spacing w:after="0" w:line="89" w:lineRule="exact"/>
        <w:rPr>
          <w:sz w:val="20"/>
          <w:szCs w:val="20"/>
          <w:color w:val="auto"/>
        </w:rPr>
      </w:pPr>
    </w:p>
    <w:p>
      <w:pPr>
        <w:ind w:right="1300"/>
        <w:spacing w:after="0" w:line="375" w:lineRule="auto"/>
        <w:rPr>
          <w:sz w:val="20"/>
          <w:szCs w:val="20"/>
          <w:color w:val="auto"/>
        </w:rPr>
      </w:pPr>
      <w:r>
        <w:rPr>
          <w:rFonts w:ascii="Arial" w:cs="Arial" w:eastAsia="Arial" w:hAnsi="Arial"/>
          <w:sz w:val="18"/>
          <w:szCs w:val="18"/>
          <w:color w:val="auto"/>
        </w:rPr>
        <w:t xml:space="preserve">As of December 31, 2021, zero and 1,390,606 shares were reserved for issuance under the Private Aadi Plan and 2021 Plan, respectively. </w:t>
      </w:r>
      <w:r>
        <w:rPr>
          <w:rFonts w:ascii="Arial" w:cs="Arial" w:eastAsia="Arial" w:hAnsi="Arial"/>
          <w:sz w:val="18"/>
          <w:szCs w:val="18"/>
          <w:b w:val="1"/>
          <w:bCs w:val="1"/>
          <w:i w:val="1"/>
          <w:iCs w:val="1"/>
          <w:color w:val="auto"/>
        </w:rPr>
        <w:t>Compensation Expense Summary</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recognized the following compensation cost related to employee and non-employee stock-based compensation activity for the periods presented (amounts in thousands):</w:t>
      </w:r>
    </w:p>
    <w:p>
      <w:pPr>
        <w:spacing w:after="0" w:line="27" w:lineRule="exact"/>
        <w:rPr>
          <w:sz w:val="20"/>
          <w:szCs w:val="20"/>
          <w:color w:val="auto"/>
        </w:rPr>
      </w:pPr>
    </w:p>
    <w:tbl>
      <w:tblPr>
        <w:tblLayout w:type="fixed"/>
        <w:tblInd w:w="222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0" w:type="dxa"/>
            <w:vAlign w:val="bottom"/>
            <w:gridSpan w:val="4"/>
          </w:tcPr>
          <w:p>
            <w:pPr>
              <w:jc w:val="right"/>
              <w:ind w:right="307"/>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4"/>
        </w:trPr>
        <w:tc>
          <w:tcPr>
            <w:tcW w:w="2700" w:type="dxa"/>
            <w:vAlign w:val="bottom"/>
          </w:tcPr>
          <w:p>
            <w:pPr>
              <w:spacing w:after="0"/>
              <w:rPr>
                <w:sz w:val="15"/>
                <w:szCs w:val="15"/>
                <w:color w:val="auto"/>
              </w:rPr>
            </w:pPr>
          </w:p>
        </w:tc>
        <w:tc>
          <w:tcPr>
            <w:tcW w:w="176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30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2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657</w:t>
            </w:r>
          </w:p>
        </w:tc>
        <w:tc>
          <w:tcPr>
            <w:tcW w:w="2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1,449</w:t>
            </w:r>
          </w:p>
        </w:tc>
        <w:tc>
          <w:tcPr>
            <w:tcW w:w="2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FF0FC"/>
            </w:tcBorders>
          </w:tcPr>
          <w:p>
            <w:pPr>
              <w:spacing w:after="0"/>
              <w:rPr>
                <w:sz w:val="19"/>
                <w:szCs w:val="19"/>
                <w:color w:val="auto"/>
              </w:rPr>
            </w:pPr>
          </w:p>
        </w:tc>
      </w:tr>
      <w:tr>
        <w:trPr>
          <w:trHeight w:val="223"/>
        </w:trPr>
        <w:tc>
          <w:tcPr>
            <w:tcW w:w="2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2,106</w:t>
            </w:r>
          </w:p>
        </w:tc>
        <w:tc>
          <w:tcPr>
            <w:tcW w:w="2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Included in the twelve months ended December 31, 2021 is $0.3 million of expense related to the acceleration of vesting associated with individual awards assumed in the Merger.</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uses the Black-Scholes option pricing model to determine the estimated fair value for stock-based awards. Option pricing and models require the input of various assumptions, including the option’s expected life, expected dividend yield, price volatility and risk-free interest rate of the underlying stock. Accordingly, the weighted-average fair value of the options granted during the twelve months ended December 31, 2021 and 2020 was $18.88 and $2.56 per share, respectively.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The calculation was based on the following assumptions:</w:t>
      </w:r>
    </w:p>
    <w:p>
      <w:pPr>
        <w:spacing w:after="0" w:line="12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4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3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91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FF0FC"/>
          </w:tcPr>
          <w:p>
            <w:pPr>
              <w:jc w:val="right"/>
              <w:ind w:right="774"/>
              <w:spacing w:after="0"/>
              <w:rPr>
                <w:sz w:val="20"/>
                <w:szCs w:val="20"/>
                <w:color w:val="auto"/>
              </w:rPr>
            </w:pPr>
            <w:r>
              <w:rPr>
                <w:rFonts w:ascii="Arial" w:cs="Arial" w:eastAsia="Arial" w:hAnsi="Arial"/>
                <w:sz w:val="18"/>
                <w:szCs w:val="18"/>
                <w:color w:val="auto"/>
              </w:rPr>
              <w:t>18.88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0.84%</w:t>
            </w:r>
          </w:p>
        </w:tc>
        <w:tc>
          <w:tcPr>
            <w:tcW w:w="1200" w:type="dxa"/>
            <w:vAlign w:val="bottom"/>
          </w:tcPr>
          <w:p>
            <w:pPr>
              <w:ind w:left="40"/>
              <w:spacing w:after="0"/>
              <w:rPr>
                <w:sz w:val="20"/>
                <w:szCs w:val="20"/>
                <w:color w:val="auto"/>
              </w:rPr>
            </w:pPr>
            <w:r>
              <w:rPr>
                <w:rFonts w:ascii="Arial" w:cs="Arial" w:eastAsia="Arial" w:hAnsi="Arial"/>
                <w:sz w:val="18"/>
                <w:szCs w:val="18"/>
                <w:color w:val="auto"/>
              </w:rPr>
              <w:t>- 1.38%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0.34%</w:t>
            </w:r>
          </w:p>
        </w:tc>
        <w:tc>
          <w:tcPr>
            <w:tcW w:w="1180" w:type="dxa"/>
            <w:vAlign w:val="bottom"/>
          </w:tcPr>
          <w:p>
            <w:pPr>
              <w:ind w:left="20"/>
              <w:spacing w:after="0"/>
              <w:rPr>
                <w:sz w:val="20"/>
                <w:szCs w:val="20"/>
                <w:color w:val="auto"/>
              </w:rPr>
            </w:pPr>
            <w:r>
              <w:rPr>
                <w:rFonts w:ascii="Arial" w:cs="Arial" w:eastAsia="Arial" w:hAnsi="Arial"/>
                <w:sz w:val="18"/>
                <w:szCs w:val="18"/>
                <w:color w:val="auto"/>
              </w:rPr>
              <w:t>- 0.80%</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85.21%</w:t>
            </w:r>
          </w:p>
        </w:tc>
        <w:tc>
          <w:tcPr>
            <w:tcW w:w="1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- 87.88%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89.57%</w:t>
            </w:r>
          </w:p>
        </w:tc>
        <w:tc>
          <w:tcPr>
            <w:tcW w:w="1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- 92.52%</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1200" w:type="dxa"/>
            <w:vAlign w:val="bottom"/>
          </w:tcPr>
          <w:p>
            <w:pPr>
              <w:ind w:left="40"/>
              <w:spacing w:after="0"/>
              <w:rPr>
                <w:sz w:val="20"/>
                <w:szCs w:val="20"/>
                <w:color w:val="auto"/>
              </w:rPr>
            </w:pPr>
            <w:r>
              <w:rPr>
                <w:rFonts w:ascii="Arial" w:cs="Arial" w:eastAsia="Arial" w:hAnsi="Arial"/>
                <w:sz w:val="18"/>
                <w:szCs w:val="18"/>
                <w:color w:val="auto"/>
              </w:rPr>
              <w:t>- 6.3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1180" w:type="dxa"/>
            <w:vAlign w:val="bottom"/>
          </w:tcPr>
          <w:p>
            <w:pPr>
              <w:ind w:left="20"/>
              <w:spacing w:after="0"/>
              <w:rPr>
                <w:sz w:val="20"/>
                <w:szCs w:val="20"/>
                <w:color w:val="auto"/>
              </w:rPr>
            </w:pPr>
            <w:r>
              <w:rPr>
                <w:rFonts w:ascii="Arial" w:cs="Arial" w:eastAsia="Arial" w:hAnsi="Arial"/>
                <w:sz w:val="18"/>
                <w:szCs w:val="18"/>
                <w:color w:val="auto"/>
              </w:rPr>
              <w:t>- 6.3</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8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right="104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the assumptions used in the option pricing model in the following manner: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For the determination of the risk-free interest rates, the Company utilizes the U.S. Treasury yield curve for instruments in effect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measurement with a term commensurate with the expected term assumption.</w:t>
      </w:r>
    </w:p>
    <w:p>
      <w:pPr>
        <w:spacing w:after="0" w:line="6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Due to the Company’s limited historical stock price volatility data, the Company based its estimate of expected volatility on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and expected volatilities of a guideline group of publicly traded companies. For these analyses, the Company selected companies with comparable characteristics including enterprise value, risk profiles, and with historical share price information sufficient to meet the expected life of the stock-based awards. The Company computes the historical volatility data using the daily closing prices for the selected companies’ shares during the equivalent period of the calculated expected term of its stock-based awards. The Company will continue to apply this process until a sufficient amount of historical information regarding the volatility of its own stock price becomes available.</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expected dividend yield is assumed to be zero since the Company has never paid dividends and does not have current plans to pay</w:t>
      </w:r>
      <w:r>
        <w:rPr>
          <w:rFonts w:ascii="Arial" w:cs="Arial" w:eastAsia="Arial" w:hAnsi="Arial"/>
          <w:sz w:val="18"/>
          <w:szCs w:val="18"/>
          <w:i w:val="1"/>
          <w:iCs w:val="1"/>
          <w:color w:val="auto"/>
        </w:rPr>
        <w:t xml:space="preserve"> </w:t>
      </w:r>
      <w:r>
        <w:rPr>
          <w:rFonts w:ascii="Arial" w:cs="Arial" w:eastAsia="Arial" w:hAnsi="Arial"/>
          <w:sz w:val="18"/>
          <w:szCs w:val="18"/>
          <w:color w:val="auto"/>
        </w:rPr>
        <w:t>any dividends on its common stock.</w:t>
      </w:r>
    </w:p>
    <w:p>
      <w:pPr>
        <w:spacing w:after="0" w:line="62"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The Company estimates the expected term of its stock options granted to employees and non-employee directors using the simplified</w:t>
      </w:r>
      <w:r>
        <w:rPr>
          <w:rFonts w:ascii="Arial" w:cs="Arial" w:eastAsia="Arial" w:hAnsi="Arial"/>
          <w:sz w:val="16"/>
          <w:szCs w:val="16"/>
          <w:i w:val="1"/>
          <w:iCs w:val="1"/>
          <w:color w:val="auto"/>
        </w:rPr>
        <w:t xml:space="preserve"> </w:t>
      </w:r>
      <w:r>
        <w:rPr>
          <w:rFonts w:ascii="Arial" w:cs="Arial" w:eastAsia="Arial" w:hAnsi="Arial"/>
          <w:sz w:val="16"/>
          <w:szCs w:val="16"/>
          <w:color w:val="auto"/>
        </w:rPr>
        <w:t>method, whereby, the expected term equals the average of the vesting term and the original contractual term of the option. The Company utilizes this method since it does not have sufficient historical exercise data to provide a reasonable basis upon which to estimate the expected term.</w:t>
      </w:r>
    </w:p>
    <w:p>
      <w:pPr>
        <w:spacing w:after="0" w:line="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Prior to the Company’s Merger, given the absence of a public trading market for the Company’s common stock, its board of directors exercised their judgment and considered a number of objective and subjective factors to determine the best estimate of the fair value of the Company’s common stock underlying the stock options, such as: contemporaneous valuations performed by independent third-party specialists, its stage of development, including the status of its research and development efforts of its therapeutic candidates and the material risks related to its business and industry, its results of operations and financial condition, including its levels of capital resources, the prices at which its sold shares of its convertible preferred stock, the rights, preferences and privileges of its convertible preferred stock relative to those of its common stock, the conditions in the biotechnology industry and the economy in general, the stock price performance and volatility of comparable life sciences public companies, as well as recently completed mergers and acquisitions of peer companies, the likelihood of achieving a liquidity event for the holders of its common stock or convertible preferred stock, such as an IPO or a sale of the Company given prevailing market conditions, trends and developments in its industry, external market conditions affecting the life sciences and biotechnology sectors, and the lack of liquidity of its common stock, among other factors.</w:t>
      </w:r>
    </w:p>
    <w:p>
      <w:pPr>
        <w:spacing w:after="0" w:line="7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Subsequent to the Company’s Merger, the fair value of the Company’s common stock is determined based on its closing market price on the date of the grant. The Company’s board of directors intended all options granted to be exercisable at a price per share not less than the per share fair value of its common stock underlying those options on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117"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 Company had warrants outstanding for the purchase of 36,666 shares of the Company’s common stock at December 31, 2021. There were no warrants outstanding as of December 31, 2020. These warrants were assumed in the Merger and were issued by Aerpio in October 2019, for the purchase of 40,000 shares (after taking into account the Reverse Stock Split) of the Company’s common stock at an exercise price of $7.29 per share (after taking into account the Reverse Stock Split). These warrants were fully vested as of the date of the Merger and expire on October 24, 2024.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6" w:name="page147"/>
    <w:bookmarkEnd w:id="146"/>
    <w:p>
      <w:pPr>
        <w:ind w:right="140"/>
        <w:spacing w:after="0" w:line="308" w:lineRule="auto"/>
        <w:rPr>
          <w:sz w:val="20"/>
          <w:szCs w:val="20"/>
          <w:color w:val="auto"/>
        </w:rPr>
      </w:pPr>
      <w:r>
        <w:rPr>
          <w:rFonts w:ascii="Arial" w:cs="Arial" w:eastAsia="Arial" w:hAnsi="Arial"/>
          <w:sz w:val="17"/>
          <w:szCs w:val="17"/>
          <w:color w:val="auto"/>
        </w:rPr>
        <w:t>The number of shares and the exercise price shall be adjusted for standard anti-dilution events such as stock splits, combinations, reorganizations, or issue shares as part of a stock dividend. The warrants meet the criteria to be classified within stockholders’ equity (deficit).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Stock Purchase Plan</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August 17, 2021, a special meeting of the Company’s stockholders was held to approve the Merger and related matters which included, among others, an employee stock purchase plan (“Special Meeting”). At the Special Meeting, the Company’s stockholders considered and approved the Company’s 2021 Employee Stock Purchase Plan (the “2021 ESPP”). Upon approval of the 2021 ESPP by the stockholders, Aerpio’s Amended and Restated 2017 Employee Stock Purchase Plan terminated. An aggregate of 310,617 shares of common stock have been reserved and are available for issuance under the 2021 ESPP. The number of shares of common stock available for issuance under the 2021 ESPP will be increased on the first day of each fiscal year beginning with the 2022 fiscal year in an amount equal to the least of (i) 310,617 shares of common stock, (ii) one percent (1%) of the outstanding shares of all classes of common stock on the last day of the immediately preceding fiscal year, or (iii) an amount to be determined by the Board or its designated committee no later than the last day of the immediately preceding fiscal year. On January 1, 2022, 208,946 shares of common stock were added to the 2021 ESPP.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No shares were issued under the 2021 ESPP as of December 31, 2021.</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did not record a current or deferred income tax expense or benefit for the years ended December 31, 2021 and 2020, due to the Company’s net and comprehensive losses and increases in its deferred tax asset valuation allowance. A reconciliation of the statutory federal income tax with the provision for income taxes are as follows:</w:t>
      </w:r>
    </w:p>
    <w:p>
      <w:pPr>
        <w:spacing w:after="0" w:line="243" w:lineRule="exact"/>
        <w:rPr>
          <w:sz w:val="20"/>
          <w:szCs w:val="20"/>
          <w:color w:val="auto"/>
        </w:rPr>
      </w:pPr>
    </w:p>
    <w:tbl>
      <w:tblPr>
        <w:tblLayout w:type="fixed"/>
        <w:tblInd w:w="188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r>
      <w:tr>
        <w:trPr>
          <w:trHeight w:val="188"/>
        </w:trPr>
        <w:tc>
          <w:tcPr>
            <w:tcW w:w="362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3"/>
        </w:trPr>
        <w:tc>
          <w:tcPr>
            <w:tcW w:w="362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Federal tax at statutory rate</w:t>
            </w:r>
          </w:p>
        </w:tc>
        <w:tc>
          <w:tcPr>
            <w:tcW w:w="7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21.0</w:t>
            </w: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tcPr>
          <w:p>
            <w:pPr>
              <w:ind w:left="120"/>
              <w:spacing w:after="0"/>
              <w:rPr>
                <w:sz w:val="20"/>
                <w:szCs w:val="20"/>
                <w:color w:val="auto"/>
              </w:rPr>
            </w:pPr>
            <w:r>
              <w:rPr>
                <w:rFonts w:ascii="Arial" w:cs="Arial" w:eastAsia="Arial" w:hAnsi="Arial"/>
                <w:sz w:val="18"/>
                <w:szCs w:val="18"/>
                <w:color w:val="auto"/>
              </w:rPr>
              <w:t>State income tax, net of federal benefit</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3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Nondeductible interest</w:t>
            </w: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(0.1)</w:t>
            </w: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9"/>
                <w:szCs w:val="19"/>
                <w:color w:val="auto"/>
              </w:rPr>
            </w:pPr>
          </w:p>
        </w:tc>
      </w:tr>
      <w:tr>
        <w:trPr>
          <w:trHeight w:val="229"/>
        </w:trPr>
        <w:tc>
          <w:tcPr>
            <w:tcW w:w="3620" w:type="dxa"/>
            <w:vAlign w:val="bottom"/>
          </w:tcPr>
          <w:p>
            <w:pPr>
              <w:ind w:left="120"/>
              <w:spacing w:after="0"/>
              <w:rPr>
                <w:sz w:val="20"/>
                <w:szCs w:val="20"/>
                <w:color w:val="auto"/>
              </w:rPr>
            </w:pPr>
            <w:r>
              <w:rPr>
                <w:rFonts w:ascii="Arial" w:cs="Arial" w:eastAsia="Arial" w:hAnsi="Arial"/>
                <w:sz w:val="18"/>
                <w:szCs w:val="18"/>
                <w:color w:val="auto"/>
              </w:rPr>
              <w:t>Other permanent items</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r>
      <w:tr>
        <w:trPr>
          <w:trHeight w:val="230"/>
        </w:trPr>
        <w:tc>
          <w:tcPr>
            <w:tcW w:w="3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Nondeductible impairment</w:t>
            </w: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93"/>
              </w:rPr>
              <w:t>(13.8)</w:t>
            </w: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r>
      <w:tr>
        <w:trPr>
          <w:trHeight w:val="229"/>
        </w:trPr>
        <w:tc>
          <w:tcPr>
            <w:tcW w:w="3620" w:type="dxa"/>
            <w:vAlign w:val="bottom"/>
          </w:tcPr>
          <w:p>
            <w:pPr>
              <w:ind w:left="120"/>
              <w:spacing w:after="0"/>
              <w:rPr>
                <w:sz w:val="20"/>
                <w:szCs w:val="20"/>
                <w:color w:val="auto"/>
              </w:rPr>
            </w:pPr>
            <w:r>
              <w:rPr>
                <w:rFonts w:ascii="Arial" w:cs="Arial" w:eastAsia="Arial" w:hAnsi="Arial"/>
                <w:sz w:val="18"/>
                <w:szCs w:val="18"/>
                <w:color w:val="auto"/>
              </w:rPr>
              <w:t>Research credit</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3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 in valuation allowance</w:t>
            </w: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(8.9)</w:t>
            </w: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FF0FC"/>
          </w:tcPr>
          <w:p>
            <w:pPr>
              <w:spacing w:after="0"/>
              <w:rPr>
                <w:sz w:val="19"/>
                <w:szCs w:val="19"/>
                <w:color w:val="auto"/>
              </w:rPr>
            </w:pPr>
          </w:p>
        </w:tc>
      </w:tr>
      <w:tr>
        <w:trPr>
          <w:trHeight w:val="223"/>
        </w:trPr>
        <w:tc>
          <w:tcPr>
            <w:tcW w:w="3620" w:type="dxa"/>
            <w:vAlign w:val="bottom"/>
          </w:tcPr>
          <w:p>
            <w:pPr>
              <w:ind w:left="120"/>
              <w:spacing w:after="0"/>
              <w:rPr>
                <w:sz w:val="20"/>
                <w:szCs w:val="20"/>
                <w:color w:val="auto"/>
              </w:rPr>
            </w:pPr>
            <w:r>
              <w:rPr>
                <w:rFonts w:ascii="Arial" w:cs="Arial" w:eastAsia="Arial" w:hAnsi="Arial"/>
                <w:sz w:val="18"/>
                <w:szCs w:val="18"/>
                <w:color w:val="auto"/>
              </w:rPr>
              <w:t>Effective tax rate</w:t>
            </w:r>
          </w:p>
        </w:tc>
        <w:tc>
          <w:tcPr>
            <w:tcW w:w="7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3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6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260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34,228</w:t>
            </w:r>
          </w:p>
        </w:tc>
        <w:tc>
          <w:tcPr>
            <w:tcW w:w="28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credits</w:t>
            </w:r>
          </w:p>
        </w:tc>
        <w:tc>
          <w:tcPr>
            <w:tcW w:w="1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3,732</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FF0FC"/>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4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1,214</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FF0FC"/>
            </w:tcBorders>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1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39,174</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10,274</w:t>
            </w:r>
          </w:p>
        </w:tc>
        <w:tc>
          <w:tcPr>
            <w:tcW w:w="100" w:type="dxa"/>
            <w:vAlign w:val="bottom"/>
            <w:shd w:val="clear" w:color="auto" w:fill="CFF0FC"/>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Valuation allowance</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(38,410)</w:t>
            </w:r>
          </w:p>
        </w:tc>
        <w:tc>
          <w:tcPr>
            <w:tcW w:w="4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(10,255)</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Total gross deferred tax assets, net of valuation allowance</w:t>
            </w:r>
          </w:p>
        </w:tc>
        <w:tc>
          <w:tcPr>
            <w:tcW w:w="16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764</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800"/>
              <w:spacing w:after="0"/>
              <w:rPr>
                <w:sz w:val="20"/>
                <w:szCs w:val="20"/>
                <w:color w:val="auto"/>
              </w:rPr>
            </w:pPr>
            <w:r>
              <w:rPr>
                <w:rFonts w:ascii="Arial" w:cs="Arial" w:eastAsia="Arial" w:hAnsi="Arial"/>
                <w:sz w:val="18"/>
                <w:szCs w:val="18"/>
                <w:b w:val="1"/>
                <w:bCs w:val="1"/>
                <w:color w:val="auto"/>
              </w:rPr>
              <w:t>Deferred tax liabilities:</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(764)</w:t>
            </w:r>
          </w:p>
        </w:tc>
        <w:tc>
          <w:tcPr>
            <w:tcW w:w="4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800"/>
              <w:spacing w:after="0"/>
              <w:rPr>
                <w:sz w:val="20"/>
                <w:szCs w:val="20"/>
                <w:color w:val="auto"/>
              </w:rPr>
            </w:pPr>
            <w:r>
              <w:rPr>
                <w:rFonts w:ascii="Arial" w:cs="Arial" w:eastAsia="Arial" w:hAnsi="Arial"/>
                <w:sz w:val="18"/>
                <w:szCs w:val="18"/>
                <w:color w:val="auto"/>
              </w:rPr>
              <w:t>Total gross deferred tax liabilities</w:t>
            </w:r>
          </w:p>
        </w:tc>
        <w:tc>
          <w:tcPr>
            <w:tcW w:w="16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(764)</w:t>
            </w: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 / (liabilities)</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0" w:type="dxa"/>
            <w:vAlign w:val="bottom"/>
            <w:vMerge w:val="restart"/>
          </w:tcPr>
          <w:p>
            <w:pPr>
              <w:jc w:val="right"/>
              <w:ind w:right="976"/>
              <w:spacing w:after="0"/>
              <w:rPr>
                <w:sz w:val="20"/>
                <w:szCs w:val="20"/>
                <w:color w:val="auto"/>
              </w:rPr>
            </w:pPr>
            <w:r>
              <w:rPr>
                <w:rFonts w:ascii="Arial" w:cs="Arial" w:eastAsia="Arial" w:hAnsi="Arial"/>
                <w:sz w:val="18"/>
                <w:szCs w:val="18"/>
                <w:color w:val="auto"/>
              </w:rPr>
              <w:t>146</w:t>
            </w: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7" w:name="page148"/>
    <w:bookmarkEnd w:id="147"/>
    <w:p>
      <w:pPr>
        <w:spacing w:after="0" w:line="311" w:lineRule="auto"/>
        <w:rPr>
          <w:sz w:val="20"/>
          <w:szCs w:val="20"/>
          <w:color w:val="auto"/>
        </w:rPr>
      </w:pPr>
      <w:r>
        <w:rPr>
          <w:rFonts w:ascii="Arial" w:cs="Arial" w:eastAsia="Arial" w:hAnsi="Arial"/>
          <w:sz w:val="16"/>
          <w:szCs w:val="16"/>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 in future periods.</w:t>
      </w:r>
    </w:p>
    <w:p>
      <w:pPr>
        <w:spacing w:after="0" w:line="41"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color w:val="auto"/>
        </w:rPr>
        <w:t>The Company has evaluated the available evidence supporting the realization of its gross deferred tax assets, including the amount and timing of future taxable income and has determined it is more likely than not that the assets will not be realized. As a result, the Company has concluded that a full valuation allowance against its deferred tax asset is necessary at this time.</w:t>
      </w:r>
    </w:p>
    <w:p>
      <w:pPr>
        <w:spacing w:after="0" w:line="6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December 31, 2021, the Company has federal and state net operating loss (“NOL”) carryforwards of $150.9 million and $55.8 million, respectively. Of the amount of federal NOL carryforwards, $106.6 million can be carried forward indefinitely. The remaining federal and state NOL carryforwards begin to expire in 2030, unless previously utilized. The Company also has federal and state research credit carryforwards of approximately $3.1 million and $1.7 million, respectively, unless previously utilized. The federal and New Jersey research credit carryforwards will begin to expire in 2037 and 2027, respectively, unless previously utilized. The California research and development (“R&amp;D”) credit will carry forward indefinitely. The increase in the valuation allowance is $28.2 million and $1.6 million for the years ended December 31, 2021 and 2020, respectively.</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Pursuant to Section 382 and 383 of the Internal Revenue Code (“IRC”), utilization of the Company’s NOL carryforwards and R&amp;D credits may be subject to annual limitations in the event of any significant future changes in its ownership structure. These annual limitations may result in the expiration of NOL carryforwards and R&amp;D credits prior to utilization. As of December 31, 2021, the Company has completed an IRC Section 382 analysis through the date of the Merger. Ownership changes were identified that will result in annual limitations on future utilization of NOL and R&amp;D credit carryforwards. To the extent such limitations will cause NOL and R&amp;D credit carryforwards to expire unused, these tax attributes have been removed from deferred tax asset table above.</w:t>
      </w:r>
    </w:p>
    <w:p>
      <w:pPr>
        <w:spacing w:after="0" w:line="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by tax authorities.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changes to the Company’s gross unrecognized tax benefits for the years ended December 31, 2021 and 2020 (amounts in thousands):</w:t>
      </w:r>
    </w:p>
    <w:p>
      <w:pPr>
        <w:spacing w:after="0" w:line="202" w:lineRule="exact"/>
        <w:rPr>
          <w:sz w:val="20"/>
          <w:szCs w:val="20"/>
          <w:color w:val="auto"/>
        </w:rPr>
      </w:pPr>
    </w:p>
    <w:tbl>
      <w:tblPr>
        <w:tblLayout w:type="fixed"/>
        <w:tblInd w:w="196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9"/>
                <w:szCs w:val="19"/>
                <w:color w:val="auto"/>
              </w:rPr>
            </w:pPr>
          </w:p>
        </w:tc>
      </w:tr>
      <w:tr>
        <w:trPr>
          <w:trHeight w:val="25"/>
        </w:trPr>
        <w:tc>
          <w:tcPr>
            <w:tcW w:w="50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year</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2,404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8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Decrease related to prior year positions</w:t>
            </w: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w:t>
            </w:r>
          </w:p>
        </w:tc>
        <w:tc>
          <w:tcPr>
            <w:tcW w:w="3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Increase related to current year positions</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294</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2,674</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Due to the existence of the valuation allowance, future recognition of previously unrecognized tax benefits will not impact the Company’s effective tax rate. The Company’s practice is to recognize interest and penalties related to income tax matters in income tax expense. The Company is subject to taxation in the United States federal and certain state jurisdictions. The Company’s tax years from inception are subject to examination by the United States federal and state authorities due to the carryforward of unutilized NOLs and R&amp;D credits.</w:t>
      </w:r>
    </w:p>
    <w:p>
      <w:pPr>
        <w:spacing w:after="0" w:line="7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had no accrued interest and no penalties related to income tax matters in the Company’s balance sheet as of December 31, 2021 and has not recognized interest or penalties in the Company’s statement of operations and loss for the year ended December 31, 2021. Further, the Company is not currently under examination by any federal, state or local tax authority.</w:t>
      </w:r>
    </w:p>
    <w:p>
      <w:pPr>
        <w:spacing w:after="0" w:line="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CARES Act provides sweeping tax changes in response to the COVID-19 pandemic. Some of the more significant provisions are removal of certain limitations on utilization of NOL’s, increasing the loss carryback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8" w:name="page149"/>
    <w:bookmarkEnd w:id="148"/>
    <w:p>
      <w:pPr>
        <w:ind w:right="80"/>
        <w:spacing w:after="0" w:line="259" w:lineRule="auto"/>
        <w:rPr>
          <w:sz w:val="20"/>
          <w:szCs w:val="20"/>
          <w:color w:val="auto"/>
        </w:rPr>
      </w:pPr>
      <w:r>
        <w:rPr>
          <w:rFonts w:ascii="Arial" w:cs="Arial" w:eastAsia="Arial" w:hAnsi="Arial"/>
          <w:sz w:val="18"/>
          <w:szCs w:val="18"/>
          <w:color w:val="auto"/>
        </w:rPr>
        <w:t>for certain losses to five years, and increasing the ability to deduct interest expense, as well as amending certain provisions of the previously enacted Tax Cuts and Jobs Act. As of December 31, 2021, the Company has not recorded any material adjustments to its income tax provision related to the provisions with the CARES Act. The Company will continue to analyze the impact that the CARES Act will have, if any, on its financial positions,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is not party to any material legal proceedings. From time to time, it may be involved in legal proceedings or subject to claims incident to the ordinary course of business. Regardless of the outcome, such proceedings or claims can have an adverse impact on the Company because of defense and settlement costs, diversion of resources and other factors, and there can be no assurances that favorable outcomes will be obtained.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has ongoing contracts with vendors for clinical trials and contract manufacturing. These contracts are generally cancellable, with notice, at the Company’s option. The Company recorded accrued expenses of $4.8 million and $3.3 million in its consolidated balance sheet for expenditures incurred by clinical and contract manufacturing vendors as of December 31, 2021 and 2020, respectively.</w:t>
      </w:r>
    </w:p>
    <w:p>
      <w:pPr>
        <w:spacing w:after="0" w:line="13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At December 31, 2021 the Company does not have any significant contracts that contain specific activities such as non-cancellable commitments, minimum purchase commitments, or binding annual forecasts.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Retirement Plan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maintains a 401(k) plan (the “401k Plan”) created in 2015 for the benefit of its employees. All employees who have attained the age of 21 are eligible to participate in the 401k Plan as of the first Entry Date, as defined by the 401k Plan document, following the employment date. Each employee can contribute a percentage of compensation up to a maximum of the statutory limits per year. Company contributions are discretionary. No contributions were made during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January 13, 2022, the Company entered into a Negotiated Purchase Order Terms and Conditions for Clinical and Commercial Product (the “Fresenius Agreement”) with Fresenius Kabi, LLC (“Fresenius Kabi”) pursuant to which Fresenius Kabi will manufacture FYARRO for the Company, and the Company will purchase FYARRO as a finished drug product from Fresenius Kabi, on a purchase-order basis. Under the Agreement, which shall be effective through December 22, 2022 (or such later date as may be agreed between the parties in writing and currently being discussed), the Company may purchase FYARRO for either clinical or commercial purposes for use in the United States and Canada. In addition to manufacturing, Fresenius Kabi will perform specified labeling, packaging and serialization activities in respect of FYARRO for the Company’s benefit. The price of FYARRO will be fixed, subject to the ability of Fresenius Kabi to increase pricing under specified circumstances. The Company has an obligation to purchase certain minimum quantities of FYARRO. Failure to purchase those minimum quantities will result in an additional payment from the Company to Fresenius Kabi.</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Company’s reports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Management necessarily was required to apply its judgment in evaluating the cost-benefit relationship of possible controls and procedures.</w:t>
      </w:r>
    </w:p>
    <w:p>
      <w:pPr>
        <w:spacing w:after="0" w:line="87"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 connection with the preparation of this Annual Report for the year ended December 31, 2021,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December 31, 2021. Based on that evaluation, our Chief Executive Officer and Chief Financial Officer have concluded based upon the evaluation described above that, as of December 31, 2021,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us. Internal control over financial reporting (as defined in Rule 13a-15(f) of the Exchange Act) is a process to provide reasonable assurance regarding the reliability of our financial reporting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Management conducted an evaluation of the effectiveness, as of December 31, 2021, of our internal control over financial reporting based on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in 2013. Based on this evaluation, management concluded that our internal control over financial reporting was effective as of December 31, 2021.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during the fourth quarter ended December 31, 2021 that have materially affected, or are reasonably likely to materially affect, our internal control over financial reporting.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ind w:right="5280"/>
        <w:spacing w:after="0" w:line="344"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other information required by this item is omitted from this Annual Report on Form 10-K and is incorporated herein by reference from our definitive proxy statement relating to our 2022 Annual Meeting of Stockholders (the “Definitive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adopted a code of business conduct and ethics that applies to all of our employees, officers and directors, including those officers responsible for financial reporting. Our code of business conduct and ethics is available on our website, which is located at www.aadibio.com. We intend to disclose any amendments to the code, or any waivers of its requirements, on our website, or in a current report on Form 8-K as may be required by law.</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11 will be contained in the Definitive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12 will be contained in the Definitive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13 will be contained in the Definitive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14 will be contained in the Definitive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53" w:right="49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consolidated financial statements required by this item are submitted in a separate section beginning on page 122 of this Annual Report.</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(a)(2) Exhibits.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exhibits filed as part of this Annual Report are set forth on the Exhibit Index immediately preceding the signature page of this Annual Report.</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Exhibit Index is incorporated herein by reference.</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00" w:type="dxa"/>
            <w:vAlign w:val="bottom"/>
            <w:gridSpan w:val="22"/>
          </w:tcPr>
          <w:p>
            <w:pPr>
              <w:ind w:left="1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720" w:type="dxa"/>
            <w:vAlign w:val="bottom"/>
            <w:gridSpan w:val="21"/>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72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20" w:type="dxa"/>
            <w:vAlign w:val="bottom"/>
            <w:tcBorders>
              <w:top w:val="single" w:sz="8" w:color="auto"/>
            </w:tcBorders>
          </w:tcPr>
          <w:p>
            <w:pPr>
              <w:jc w:val="right"/>
              <w:ind w:right="612"/>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9720" w:type="dxa"/>
            <w:vAlign w:val="bottom"/>
            <w:tcBorders>
              <w:top w:val="single" w:sz="8" w:color="auto"/>
              <w:bottom w:val="single" w:sz="8" w:color="0000EE"/>
            </w:tcBorders>
            <w:gridSpan w:val="23"/>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Agreement and Plan of Merger, dated May 16, 2021, by and among the registrant, Aadi Bioscience, Inc. and Aspen Merger Subsidiary,</w:t>
              </w:r>
            </w:hyperlink>
          </w:p>
        </w:tc>
        <w:tc>
          <w:tcPr>
            <w:tcW w:w="100" w:type="dxa"/>
            <w:vAlign w:val="bottom"/>
            <w:tcBorders>
              <w:top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Inc. (incorporated by reference to Exhibit 2.1 to the Registrant’s Current Report on Form 8-K (File No. 001-38560) filed with the SEC</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20" w:type="dxa"/>
            <w:vAlign w:val="bottom"/>
            <w:gridSpan w:val="27"/>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on May 17, 2021).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9820" w:type="dxa"/>
            <w:vAlign w:val="bottom"/>
            <w:tcBorders>
              <w:bottom w:val="single" w:sz="8" w:color="0000EE"/>
            </w:tcBorders>
            <w:gridSpan w:val="27"/>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Amended and Restated Certificate of Incorporation of the Company (incorporated by reference to Exhibit 3.1 to the Registrant’s Current</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Report on Form 8-K (File No. 001-38560) filed with the SEC on August 27, 2021).</w:t>
              </w:r>
            </w:hyperlink>
          </w:p>
        </w:tc>
        <w:tc>
          <w:tcPr>
            <w:tcW w:w="38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9780" w:type="dxa"/>
            <w:vAlign w:val="bottom"/>
            <w:tcBorders>
              <w:bottom w:val="single" w:sz="8" w:color="0000EE"/>
            </w:tcBorders>
            <w:gridSpan w:val="25"/>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Amended and Restated Bylaws of the Company (incorporated by reference to Exhibit 3.2 to the Registrant’s Current Report on Form 8-</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20" w:type="dxa"/>
            <w:vAlign w:val="bottom"/>
            <w:gridSpan w:val="27"/>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K (File No. 001-38560) filed with the SEC on August 27, 2021).</w:t>
              </w:r>
            </w:hyperlink>
          </w:p>
        </w:tc>
        <w:tc>
          <w:tcPr>
            <w:tcW w:w="0" w:type="dxa"/>
            <w:vAlign w:val="bottom"/>
          </w:tcPr>
          <w:p>
            <w:pPr>
              <w:spacing w:after="0"/>
              <w:rPr>
                <w:sz w:val="1"/>
                <w:szCs w:val="1"/>
                <w:color w:val="auto"/>
              </w:rPr>
            </w:pPr>
          </w:p>
        </w:tc>
      </w:tr>
      <w:tr>
        <w:trPr>
          <w:trHeight w:val="318"/>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4640" w:type="dxa"/>
            <w:vAlign w:val="bottom"/>
            <w:tcBorders>
              <w:top w:val="single" w:sz="8" w:color="0000EE"/>
            </w:tcBorders>
            <w:gridSpan w:val="7"/>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Description of common stock</w:t>
              </w:r>
            </w:hyperlink>
          </w:p>
        </w:tc>
        <w:tc>
          <w:tcPr>
            <w:tcW w:w="51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9520" w:type="dxa"/>
            <w:vAlign w:val="bottom"/>
            <w:tcBorders>
              <w:bottom w:val="single" w:sz="8" w:color="0000EE"/>
            </w:tcBorders>
            <w:gridSpan w:val="18"/>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Contingent Value Rights Agreement dated August 26, 2021, by and between Aerpio Pharmaceuticals, Inc., Cheryl Cohen, as Holder</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Representative, and American Stock Transfer &amp; Trust Company, LLC, as Rights Agent (incorporated by reference to Exhibit 10.1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Registrant’s Current Report on Form 8-K (File No. 001-38560) filed with the SEC on August 27, 2021).</w:t>
              </w:r>
            </w:hyperlink>
          </w:p>
        </w:tc>
        <w:tc>
          <w:tcPr>
            <w:tcW w:w="23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9660" w:type="dxa"/>
            <w:vAlign w:val="bottom"/>
            <w:tcBorders>
              <w:bottom w:val="single" w:sz="8" w:color="0000EE"/>
            </w:tcBorders>
            <w:gridSpan w:val="20"/>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Subscription Agreement, dated May 16, 2021, by and among Aerpio Pharmaceuticals, Inc. and each purchaser identified on Exhibit A</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thereto (incorporated by reference to Exhibit 10.1 to the Registrant’s Current Report on Form 8-K (File No. 001-38560) filed with the</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20" w:type="dxa"/>
            <w:vAlign w:val="bottom"/>
            <w:gridSpan w:val="27"/>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SEC on May 17, 2021.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8740" w:type="dxa"/>
            <w:vAlign w:val="bottom"/>
            <w:tcBorders>
              <w:bottom w:val="single" w:sz="8" w:color="0000EE"/>
            </w:tcBorders>
            <w:gridSpan w:val="15"/>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Registration Rights Agreement dated August 26, 2021, by and between Aadi Bioscience, Inc. (formerly known as Aerpio</w:t>
              </w:r>
            </w:hyperlink>
          </w:p>
        </w:tc>
        <w:tc>
          <w:tcPr>
            <w:tcW w:w="10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20" w:type="dxa"/>
            <w:vAlign w:val="bottom"/>
            <w:gridSpan w:val="27"/>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Pharmaceuticals, Inc.) and certain purchasers listed therein (incorporated by reference to Exhibit 10.3 to the Registrant’s Current Report</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92">
              <w:r>
                <w:rPr>
                  <w:rFonts w:ascii="Arial" w:cs="Arial" w:eastAsia="Arial" w:hAnsi="Arial"/>
                  <w:sz w:val="18"/>
                  <w:szCs w:val="18"/>
                  <w:color w:val="0000EE"/>
                  <w:w w:val="92"/>
                </w:rPr>
                <w:t>on Form 8-K (File No. 001-38560) filed with the SEC on August 27, 2021).</w:t>
              </w:r>
            </w:hyperlink>
          </w:p>
        </w:tc>
        <w:tc>
          <w:tcPr>
            <w:tcW w:w="4320" w:type="dxa"/>
            <w:vAlign w:val="bottom"/>
            <w:tcBorders>
              <w:top w:val="single" w:sz="8" w:color="0000EE"/>
            </w:tcBorders>
            <w:gridSpan w:val="16"/>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EE"/>
                <w:w w:val="92"/>
              </w:rPr>
            </w:pPr>
            <w:hyperlink r:id="rId193">
              <w:r>
                <w:rPr>
                  <w:rFonts w:ascii="Arial" w:cs="Arial" w:eastAsia="Arial" w:hAnsi="Arial"/>
                  <w:sz w:val="18"/>
                  <w:szCs w:val="18"/>
                  <w:color w:val="0000EE"/>
                  <w:w w:val="92"/>
                </w:rPr>
                <w:t>Amended and Restated Employment Agreement, dated August 26, 2021, by and between Aadi Bioscience, Inc. and Neil Desai, Ph.D.</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(incorporated by reference to Exhibit 10.4 to the Registrant’s Current Report on Form 8-K (File No. 001-38560) filed with the SEC on</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August 27, 2021).</w:t>
              </w:r>
            </w:hyperlink>
          </w:p>
        </w:tc>
        <w:tc>
          <w:tcPr>
            <w:tcW w:w="85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120" w:type="dxa"/>
            <w:vAlign w:val="bottom"/>
          </w:tcPr>
          <w:p>
            <w:pPr>
              <w:jc w:val="right"/>
              <w:ind w:right="432"/>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Executive Employment Agreement, dated October 28, 2021, by and between Aadi Bioscience, Inc. and Scott Giacobello.</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2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Aadi Bioscience, Inc. 2021 Equity Incentive Plan (incorporated by reference to Exhibit 10.6 to the Registrant’s Current Report on Form</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94">
              <w:r>
                <w:rPr>
                  <w:rFonts w:ascii="Arial" w:cs="Arial" w:eastAsia="Arial" w:hAnsi="Arial"/>
                  <w:sz w:val="18"/>
                  <w:szCs w:val="18"/>
                  <w:color w:val="0000EE"/>
                  <w:w w:val="92"/>
                </w:rPr>
                <w:t>8-K (File No. 001-38560) filed with the SEC on August 27, 2021).</w:t>
              </w:r>
            </w:hyperlink>
          </w:p>
        </w:tc>
        <w:tc>
          <w:tcPr>
            <w:tcW w:w="4960" w:type="dxa"/>
            <w:vAlign w:val="bottom"/>
            <w:tcBorders>
              <w:top w:val="single" w:sz="8" w:color="0000EE"/>
            </w:tcBorders>
            <w:gridSpan w:val="16"/>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4"/>
                <w:szCs w:val="24"/>
                <w:color w:val="auto"/>
              </w:rPr>
            </w:pPr>
          </w:p>
        </w:tc>
        <w:tc>
          <w:tcPr>
            <w:tcW w:w="9820" w:type="dxa"/>
            <w:vAlign w:val="bottom"/>
            <w:tcBorders>
              <w:bottom w:val="single" w:sz="8" w:color="0000EE"/>
            </w:tcBorders>
            <w:gridSpan w:val="27"/>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Form of Stock Option Agreement under the Aadi Bioscience, Inc. 2021 Equity Incentive Plan (incorporated by reference to Exhibit 10.7</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20" w:type="dxa"/>
            <w:vAlign w:val="bottom"/>
            <w:gridSpan w:val="27"/>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to the Registrant’s Current Report on Form 8-K (File No. 001-38560) filed with the SEC on August 27, 2021).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20" w:type="dxa"/>
            <w:vAlign w:val="bottom"/>
            <w:gridSpan w:val="4"/>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EE"/>
                <w:w w:val="93"/>
              </w:rPr>
            </w:pPr>
            <w:hyperlink r:id="rId196">
              <w:r>
                <w:rPr>
                  <w:rFonts w:ascii="Arial" w:cs="Arial" w:eastAsia="Arial" w:hAnsi="Arial"/>
                  <w:sz w:val="18"/>
                  <w:szCs w:val="18"/>
                  <w:color w:val="0000EE"/>
                  <w:w w:val="93"/>
                </w:rPr>
                <w:t>2021 Employee Stock Purchase Plan (incorporated by reference to Exhibit 10.8 to the Registrant’s Current Report on Form 8-K (File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No. 001-38560) filed with the SEC on August 27, 2021).</w:t>
              </w:r>
            </w:hyperlink>
          </w:p>
        </w:tc>
        <w:tc>
          <w:tcPr>
            <w:tcW w:w="5520" w:type="dxa"/>
            <w:vAlign w:val="bottom"/>
            <w:tcBorders>
              <w:top w:val="single" w:sz="8" w:color="0000EE"/>
            </w:tcBorders>
            <w:gridSpan w:val="13"/>
          </w:tcPr>
          <w:p>
            <w:pPr>
              <w:spacing w:after="0"/>
              <w:rPr>
                <w:sz w:val="17"/>
                <w:szCs w:val="17"/>
                <w:color w:val="auto"/>
              </w:rPr>
            </w:pPr>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8"/>
                <w:szCs w:val="18"/>
                <w:color w:val="0000EE"/>
                <w:w w:val="90"/>
              </w:rPr>
            </w:pPr>
            <w:hyperlink r:id="rId197">
              <w:r>
                <w:rPr>
                  <w:rFonts w:ascii="Arial" w:cs="Arial" w:eastAsia="Arial" w:hAnsi="Arial"/>
                  <w:sz w:val="18"/>
                  <w:szCs w:val="18"/>
                  <w:color w:val="0000EE"/>
                  <w:w w:val="90"/>
                </w:rPr>
                <w:t>Aadi Bioscience, Inc. Amended and Restated 2014 Equity Incentive Plan (incorporated by reference to Exhibit 10.9 to the Registrant’s</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20" w:type="dxa"/>
            <w:vAlign w:val="bottom"/>
            <w:gridSpan w:val="27"/>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Current Report on Form 8-K (File No. 001-38560) filed with the SEC on August 27, 2021).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100" w:type="dxa"/>
            <w:vAlign w:val="bottom"/>
            <w:gridSpan w:val="9"/>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right"/>
              <w:ind w:right="432"/>
              <w:spacing w:after="0"/>
              <w:rPr>
                <w:sz w:val="20"/>
                <w:szCs w:val="20"/>
                <w:color w:val="auto"/>
              </w:rPr>
            </w:pPr>
            <w:r>
              <w:rPr>
                <w:rFonts w:ascii="Arial" w:cs="Arial" w:eastAsia="Arial" w:hAnsi="Arial"/>
                <w:sz w:val="18"/>
                <w:szCs w:val="18"/>
                <w:color w:val="auto"/>
              </w:rPr>
              <w:t>10.10#</w:t>
            </w:r>
          </w:p>
        </w:tc>
        <w:tc>
          <w:tcPr>
            <w:tcW w:w="30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Form of Stock Option Agreement under the Aadi Bioscience, Inc. Amended and Restated 2014 Equity Incentive Plan (incorporated by</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20" w:type="dxa"/>
            <w:vAlign w:val="bottom"/>
            <w:gridSpan w:val="27"/>
          </w:tcPr>
          <w:p>
            <w:pPr>
              <w:spacing w:after="0" w:line="196" w:lineRule="exact"/>
              <w:rPr>
                <w:rFonts w:ascii="Arial" w:cs="Arial" w:eastAsia="Arial" w:hAnsi="Arial"/>
                <w:sz w:val="18"/>
                <w:szCs w:val="18"/>
                <w:color w:val="0000EE"/>
                <w:w w:val="96"/>
              </w:rPr>
            </w:pPr>
            <w:hyperlink r:id="rId198">
              <w:r>
                <w:rPr>
                  <w:rFonts w:ascii="Arial" w:cs="Arial" w:eastAsia="Arial" w:hAnsi="Arial"/>
                  <w:sz w:val="18"/>
                  <w:szCs w:val="18"/>
                  <w:color w:val="0000EE"/>
                  <w:w w:val="96"/>
                </w:rPr>
                <w:t>reference to Exhibit 10.10 to the Registrant’s Current Report on Form 8-K (File No. 001-38560) filed with the SEC on August 27,</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2021).</w:t>
              </w:r>
            </w:hyperlink>
          </w:p>
        </w:tc>
        <w:tc>
          <w:tcPr>
            <w:tcW w:w="8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10.11#</w:t>
            </w:r>
          </w:p>
        </w:tc>
        <w:tc>
          <w:tcPr>
            <w:tcW w:w="30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EE"/>
                <w:w w:val="94"/>
              </w:rPr>
            </w:pPr>
            <w:hyperlink r:id="rId199">
              <w:r>
                <w:rPr>
                  <w:rFonts w:ascii="Arial" w:cs="Arial" w:eastAsia="Arial" w:hAnsi="Arial"/>
                  <w:sz w:val="18"/>
                  <w:szCs w:val="18"/>
                  <w:color w:val="0000EE"/>
                  <w:w w:val="94"/>
                </w:rPr>
                <w:t>Form of Indemnification Agreement between Aadi Bioscience, Inc. and each of its directors and executive officers (incorporated by</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80" w:type="dxa"/>
            <w:vAlign w:val="bottom"/>
            <w:tcBorders>
              <w:top w:val="single" w:sz="8" w:color="0000EE"/>
            </w:tcBorders>
            <w:gridSpan w:val="17"/>
          </w:tcPr>
          <w:p>
            <w:pPr>
              <w:spacing w:after="0" w:line="196"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reference to Exhibit 10.11 to the Registrant’s Current Report on Form 8-K (File No. 001-38560) filed with the SEC on August 27,</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9">
              <w:r>
                <w:rPr>
                  <w:rFonts w:ascii="Arial" w:cs="Arial" w:eastAsia="Arial" w:hAnsi="Arial"/>
                  <w:sz w:val="18"/>
                  <w:szCs w:val="18"/>
                  <w:color w:val="0000EE"/>
                  <w:w w:val="86"/>
                </w:rPr>
                <w:t>2021).</w:t>
              </w:r>
            </w:hyperlink>
          </w:p>
        </w:tc>
        <w:tc>
          <w:tcPr>
            <w:tcW w:w="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40" w:type="dxa"/>
            <w:vAlign w:val="bottom"/>
            <w:gridSpan w:val="7"/>
          </w:tcPr>
          <w:p>
            <w:pPr>
              <w:ind w:left="406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1420" w:type="dxa"/>
            <w:vAlign w:val="bottom"/>
          </w:tcPr>
          <w:p>
            <w:pPr>
              <w:ind w:left="100"/>
              <w:spacing w:after="0"/>
              <w:rPr>
                <w:sz w:val="20"/>
                <w:szCs w:val="20"/>
                <w:color w:val="auto"/>
              </w:rPr>
            </w:pPr>
            <w:r>
              <w:rPr>
                <w:rFonts w:ascii="Arial" w:cs="Arial" w:eastAsia="Arial" w:hAnsi="Arial"/>
                <w:sz w:val="18"/>
                <w:szCs w:val="18"/>
                <w:color w:val="auto"/>
              </w:rPr>
              <w:t>10.12+</w:t>
            </w:r>
          </w:p>
        </w:tc>
        <w:tc>
          <w:tcPr>
            <w:tcW w:w="9580" w:type="dxa"/>
            <w:vAlign w:val="bottom"/>
            <w:tcBorders>
              <w:bottom w:val="single" w:sz="8" w:color="0000EE"/>
            </w:tcBorders>
            <w:gridSpan w:val="18"/>
          </w:tcPr>
          <w:p>
            <w:pPr>
              <w:spacing w:after="0"/>
              <w:rPr>
                <w:rFonts w:ascii="Arial" w:cs="Arial" w:eastAsia="Arial" w:hAnsi="Arial"/>
                <w:sz w:val="18"/>
                <w:szCs w:val="18"/>
                <w:color w:val="0000EE"/>
                <w:w w:val="89"/>
              </w:rPr>
            </w:pPr>
            <w:hyperlink r:id="rId202">
              <w:r>
                <w:rPr>
                  <w:rFonts w:ascii="Arial" w:cs="Arial" w:eastAsia="Arial" w:hAnsi="Arial"/>
                  <w:sz w:val="18"/>
                  <w:szCs w:val="18"/>
                  <w:color w:val="0000EE"/>
                  <w:w w:val="89"/>
                </w:rPr>
                <w:t>Asset Purchase Agreement dated August 17, 2021, by and between Aerpio Pharmaceuticals, Inc. and EyePoint Pharmaceuticals, Inc.</w:t>
              </w:r>
            </w:hyperlink>
          </w:p>
        </w:tc>
        <w:tc>
          <w:tcPr>
            <w:tcW w:w="220" w:type="dxa"/>
            <w:vAlign w:val="bottom"/>
            <w:gridSpan w:val="6"/>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96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(incorporated by reference to Exhibit 10.1 to the Registrant’s Current Report on Form 8-K (File No. 001-38560) filed with the SEC on</w:t>
              </w:r>
            </w:hyperlink>
          </w:p>
        </w:tc>
        <w:tc>
          <w:tcPr>
            <w:tcW w:w="120" w:type="dxa"/>
            <w:vAlign w:val="bottom"/>
            <w:gridSpan w:val="3"/>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August 23, 2021).</w:t>
              </w:r>
            </w:hyperlink>
          </w:p>
        </w:tc>
        <w:tc>
          <w:tcPr>
            <w:tcW w:w="8500" w:type="dxa"/>
            <w:vAlign w:val="bottom"/>
            <w:gridSpan w:val="22"/>
          </w:tcPr>
          <w:p>
            <w:pPr>
              <w:spacing w:after="0"/>
              <w:rPr>
                <w:sz w:val="17"/>
                <w:szCs w:val="17"/>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10.13+</w:t>
            </w:r>
          </w:p>
        </w:tc>
        <w:tc>
          <w:tcPr>
            <w:tcW w:w="9620" w:type="dxa"/>
            <w:vAlign w:val="bottom"/>
            <w:tcBorders>
              <w:bottom w:val="single" w:sz="8" w:color="0000EE"/>
            </w:tcBorders>
            <w:gridSpan w:val="20"/>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Amended and Restated License Agreement by and between Abraxis BioScience, LLC and Aadi Bioscience, Inc. dated November 15,</w:t>
              </w:r>
            </w:hyperlink>
          </w:p>
        </w:tc>
        <w:tc>
          <w:tcPr>
            <w:tcW w:w="180" w:type="dxa"/>
            <w:vAlign w:val="bottom"/>
            <w:gridSpan w:val="4"/>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2019 (incorporated by reference to Exhibit 10.13 to the Registrant’s Quarterly Report on Form 10-Q (File No. 001-38560) filed with the</w:t>
              </w:r>
            </w:hyperlink>
          </w:p>
        </w:tc>
      </w:tr>
      <w:tr>
        <w:trPr>
          <w:trHeight w:val="196"/>
        </w:trPr>
        <w:tc>
          <w:tcPr>
            <w:tcW w:w="142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203">
              <w:r>
                <w:rPr>
                  <w:rFonts w:ascii="Arial" w:cs="Arial" w:eastAsia="Arial" w:hAnsi="Arial"/>
                  <w:sz w:val="18"/>
                  <w:szCs w:val="18"/>
                  <w:color w:val="0000EE"/>
                  <w:w w:val="89"/>
                </w:rPr>
                <w:t>SEC on November 10, 2021).</w:t>
              </w:r>
            </w:hyperlink>
          </w:p>
        </w:tc>
        <w:tc>
          <w:tcPr>
            <w:tcW w:w="7660" w:type="dxa"/>
            <w:vAlign w:val="bottom"/>
            <w:gridSpan w:val="17"/>
          </w:tcPr>
          <w:p>
            <w:pPr>
              <w:spacing w:after="0"/>
              <w:rPr>
                <w:sz w:val="17"/>
                <w:szCs w:val="17"/>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10.14+</w:t>
            </w:r>
          </w:p>
        </w:tc>
        <w:tc>
          <w:tcPr>
            <w:tcW w:w="9400" w:type="dxa"/>
            <w:vAlign w:val="bottom"/>
            <w:tcBorders>
              <w:bottom w:val="single" w:sz="8" w:color="0000EE"/>
            </w:tcBorders>
            <w:gridSpan w:val="14"/>
          </w:tcPr>
          <w:p>
            <w:pPr>
              <w:spacing w:after="0"/>
              <w:rPr>
                <w:rFonts w:ascii="Arial" w:cs="Arial" w:eastAsia="Arial" w:hAnsi="Arial"/>
                <w:sz w:val="18"/>
                <w:szCs w:val="18"/>
                <w:color w:val="0000EE"/>
                <w:w w:val="90"/>
              </w:rPr>
            </w:pPr>
            <w:hyperlink r:id="rId204">
              <w:r>
                <w:rPr>
                  <w:rFonts w:ascii="Arial" w:cs="Arial" w:eastAsia="Arial" w:hAnsi="Arial"/>
                  <w:sz w:val="18"/>
                  <w:szCs w:val="18"/>
                  <w:color w:val="0000EE"/>
                  <w:w w:val="90"/>
                </w:rPr>
                <w:t>Amendment No. 1 to the Amended and Restated License Agreement between Abraxis BioScience, LLC and Aadi Bioscience, Inc.</w:t>
              </w:r>
            </w:hyperlink>
          </w:p>
        </w:tc>
        <w:tc>
          <w:tcPr>
            <w:tcW w:w="400" w:type="dxa"/>
            <w:vAlign w:val="bottom"/>
            <w:gridSpan w:val="10"/>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5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Amended and Restated License Agreement by and between Abraxis BioScience LLC and Aadi Bioscience, Inc. dated November 15,</w:t>
              </w:r>
            </w:hyperlink>
          </w:p>
        </w:tc>
        <w:tc>
          <w:tcPr>
            <w:tcW w:w="240" w:type="dxa"/>
            <w:vAlign w:val="bottom"/>
            <w:gridSpan w:val="7"/>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98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2019 (incorporated by reference to Exhibit 10.14 to the Registrant’s Quarterly Report on Form 10-Q (File No. 001-38560) filed with the</w:t>
              </w:r>
            </w:hyperlink>
          </w:p>
        </w:tc>
      </w:tr>
      <w:tr>
        <w:trPr>
          <w:trHeight w:val="196"/>
        </w:trPr>
        <w:tc>
          <w:tcPr>
            <w:tcW w:w="1420" w:type="dxa"/>
            <w:vAlign w:val="bottom"/>
          </w:tcPr>
          <w:p>
            <w:pPr>
              <w:spacing w:after="0"/>
              <w:rPr>
                <w:sz w:val="17"/>
                <w:szCs w:val="17"/>
                <w:color w:val="auto"/>
              </w:rPr>
            </w:pPr>
          </w:p>
        </w:tc>
        <w:tc>
          <w:tcPr>
            <w:tcW w:w="9800" w:type="dxa"/>
            <w:vAlign w:val="bottom"/>
            <w:gridSpan w:val="24"/>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SEC on November 10, 2021)</w:t>
              </w:r>
              <w:r>
                <w:rPr>
                  <w:rFonts w:ascii="Arial" w:cs="Arial" w:eastAsia="Arial" w:hAnsi="Arial"/>
                  <w:sz w:val="18"/>
                  <w:szCs w:val="18"/>
                  <w:u w:val="single" w:color="auto"/>
                  <w:color w:val="000000"/>
                </w:rPr>
                <w:t>.</w:t>
              </w:r>
            </w:hyperlink>
          </w:p>
        </w:tc>
      </w:tr>
      <w:tr>
        <w:trPr>
          <w:trHeight w:val="20"/>
        </w:trPr>
        <w:tc>
          <w:tcPr>
            <w:tcW w:w="14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10.15</w:t>
            </w:r>
          </w:p>
        </w:tc>
        <w:tc>
          <w:tcPr>
            <w:tcW w:w="8960" w:type="dxa"/>
            <w:vAlign w:val="bottom"/>
            <w:tcBorders>
              <w:bottom w:val="single" w:sz="8" w:color="0000EE"/>
            </w:tcBorders>
            <w:gridSpan w:val="11"/>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First Amendment to Office Lease dated August 30, 2021 by and between BRE Sunset Coast, LLC and Aadi Bioscience, Inc.</w:t>
              </w:r>
            </w:hyperlink>
          </w:p>
        </w:tc>
        <w:tc>
          <w:tcPr>
            <w:tcW w:w="840" w:type="dxa"/>
            <w:vAlign w:val="bottom"/>
            <w:gridSpan w:val="13"/>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00" w:type="dxa"/>
            <w:vAlign w:val="bottom"/>
            <w:gridSpan w:val="24"/>
          </w:tcPr>
          <w:p>
            <w:pPr>
              <w:spacing w:after="0" w:line="196"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(incorporated by reference to Exhibit 10.15 to the Registrant’s Quarterly Report on Form 10-Q (File No. 001-38560) filed with the SEC</w:t>
              </w:r>
            </w:hyperlink>
          </w:p>
        </w:tc>
      </w:tr>
      <w:tr>
        <w:trPr>
          <w:trHeight w:val="196"/>
        </w:trPr>
        <w:tc>
          <w:tcPr>
            <w:tcW w:w="14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205">
              <w:r>
                <w:rPr>
                  <w:rFonts w:ascii="Arial" w:cs="Arial" w:eastAsia="Arial" w:hAnsi="Arial"/>
                  <w:sz w:val="18"/>
                  <w:szCs w:val="18"/>
                  <w:color w:val="0000EE"/>
                  <w:w w:val="89"/>
                </w:rPr>
                <w:t>on November 10, 2021).</w:t>
              </w:r>
            </w:hyperlink>
          </w:p>
        </w:tc>
        <w:tc>
          <w:tcPr>
            <w:tcW w:w="8000" w:type="dxa"/>
            <w:vAlign w:val="bottom"/>
            <w:tcBorders>
              <w:top w:val="single" w:sz="8" w:color="0000EE"/>
            </w:tcBorders>
            <w:gridSpan w:val="19"/>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10.16#</w:t>
            </w:r>
          </w:p>
        </w:tc>
        <w:tc>
          <w:tcPr>
            <w:tcW w:w="9800" w:type="dxa"/>
            <w:vAlign w:val="bottom"/>
            <w:gridSpan w:val="24"/>
          </w:tcPr>
          <w:p>
            <w:pPr>
              <w:spacing w:after="0"/>
              <w:rPr>
                <w:rFonts w:ascii="Arial" w:cs="Arial" w:eastAsia="Arial" w:hAnsi="Arial"/>
                <w:sz w:val="18"/>
                <w:szCs w:val="18"/>
                <w:color w:val="0000EE"/>
                <w:w w:val="94"/>
              </w:rPr>
            </w:pPr>
            <w:hyperlink r:id="rId206">
              <w:r>
                <w:rPr>
                  <w:rFonts w:ascii="Arial" w:cs="Arial" w:eastAsia="Arial" w:hAnsi="Arial"/>
                  <w:sz w:val="18"/>
                  <w:szCs w:val="18"/>
                  <w:color w:val="0000EE"/>
                  <w:w w:val="94"/>
                </w:rPr>
                <w:t>Employment Agreement dated September 14, 2021, by and between Brendan Delaney and Aadi Bioscience, Inc. (incorporated by</w:t>
              </w:r>
            </w:hyperlink>
          </w:p>
        </w:tc>
      </w:tr>
      <w:tr>
        <w:trPr>
          <w:trHeight w:val="20"/>
        </w:trPr>
        <w:tc>
          <w:tcPr>
            <w:tcW w:w="14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9800" w:type="dxa"/>
            <w:vAlign w:val="bottom"/>
            <w:gridSpan w:val="24"/>
          </w:tcPr>
          <w:p>
            <w:pPr>
              <w:spacing w:after="0" w:line="196" w:lineRule="exact"/>
              <w:rPr>
                <w:rFonts w:ascii="Arial" w:cs="Arial" w:eastAsia="Arial" w:hAnsi="Arial"/>
                <w:sz w:val="18"/>
                <w:szCs w:val="18"/>
                <w:color w:val="0000EE"/>
                <w:w w:val="94"/>
              </w:rPr>
            </w:pPr>
            <w:hyperlink r:id="rId206">
              <w:r>
                <w:rPr>
                  <w:rFonts w:ascii="Arial" w:cs="Arial" w:eastAsia="Arial" w:hAnsi="Arial"/>
                  <w:sz w:val="18"/>
                  <w:szCs w:val="18"/>
                  <w:color w:val="0000EE"/>
                  <w:w w:val="94"/>
                </w:rPr>
                <w:t>reference to Exhibit 10.1 to the Registrant’s Current Report on Form 8-K (File No. 001-38560) filed with the SEC on September 20,</w:t>
              </w:r>
            </w:hyperlink>
          </w:p>
        </w:tc>
      </w:tr>
      <w:tr>
        <w:trPr>
          <w:trHeight w:val="196"/>
        </w:trPr>
        <w:tc>
          <w:tcPr>
            <w:tcW w:w="14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06">
              <w:r>
                <w:rPr>
                  <w:rFonts w:ascii="Arial" w:cs="Arial" w:eastAsia="Arial" w:hAnsi="Arial"/>
                  <w:sz w:val="18"/>
                  <w:szCs w:val="18"/>
                  <w:color w:val="0000EE"/>
                  <w:w w:val="86"/>
                </w:rPr>
                <w:t>2021).</w:t>
              </w:r>
            </w:hyperlink>
          </w:p>
        </w:tc>
        <w:tc>
          <w:tcPr>
            <w:tcW w:w="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4"/>
        </w:trPr>
        <w:tc>
          <w:tcPr>
            <w:tcW w:w="1420" w:type="dxa"/>
            <w:vAlign w:val="bottom"/>
          </w:tcPr>
          <w:p>
            <w:pPr>
              <w:ind w:left="100"/>
              <w:spacing w:after="0"/>
              <w:rPr>
                <w:sz w:val="20"/>
                <w:szCs w:val="20"/>
                <w:color w:val="auto"/>
              </w:rPr>
            </w:pPr>
            <w:r>
              <w:rPr>
                <w:rFonts w:ascii="Arial" w:cs="Arial" w:eastAsia="Arial" w:hAnsi="Arial"/>
                <w:sz w:val="18"/>
                <w:szCs w:val="18"/>
                <w:color w:val="auto"/>
              </w:rPr>
              <w:t>10.17#</w:t>
            </w:r>
          </w:p>
        </w:tc>
        <w:tc>
          <w:tcPr>
            <w:tcW w:w="9600" w:type="dxa"/>
            <w:vAlign w:val="bottom"/>
            <w:tcBorders>
              <w:bottom w:val="single" w:sz="8" w:color="0000EE"/>
            </w:tcBorders>
            <w:gridSpan w:val="19"/>
          </w:tcPr>
          <w:p>
            <w:pPr>
              <w:spacing w:after="0"/>
              <w:rPr>
                <w:rFonts w:ascii="Arial" w:cs="Arial" w:eastAsia="Arial" w:hAnsi="Arial"/>
                <w:sz w:val="18"/>
                <w:szCs w:val="18"/>
                <w:color w:val="0000EE"/>
                <w:w w:val="90"/>
              </w:rPr>
            </w:pPr>
            <w:hyperlink r:id="rId207">
              <w:r>
                <w:rPr>
                  <w:rFonts w:ascii="Arial" w:cs="Arial" w:eastAsia="Arial" w:hAnsi="Arial"/>
                  <w:sz w:val="18"/>
                  <w:szCs w:val="18"/>
                  <w:color w:val="0000EE"/>
                  <w:w w:val="90"/>
                </w:rPr>
                <w:t>Employment Agreement dated October 19, 2021, by and between Loretta Itri and Aadi Bioscience, Inc. (incorporated by reference to</w:t>
              </w:r>
            </w:hyperlink>
          </w:p>
        </w:tc>
        <w:tc>
          <w:tcPr>
            <w:tcW w:w="200" w:type="dxa"/>
            <w:vAlign w:val="bottom"/>
            <w:gridSpan w:val="5"/>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00" w:type="dxa"/>
            <w:vAlign w:val="bottom"/>
            <w:gridSpan w:val="24"/>
          </w:tcPr>
          <w:p>
            <w:pPr>
              <w:spacing w:after="0" w:line="196" w:lineRule="exact"/>
              <w:rPr>
                <w:rFonts w:ascii="Arial" w:cs="Arial" w:eastAsia="Arial" w:hAnsi="Arial"/>
                <w:sz w:val="18"/>
                <w:szCs w:val="18"/>
                <w:color w:val="0000EE"/>
                <w:w w:val="95"/>
              </w:rPr>
            </w:pPr>
            <w:hyperlink r:id="rId207">
              <w:r>
                <w:rPr>
                  <w:rFonts w:ascii="Arial" w:cs="Arial" w:eastAsia="Arial" w:hAnsi="Arial"/>
                  <w:sz w:val="18"/>
                  <w:szCs w:val="18"/>
                  <w:color w:val="0000EE"/>
                  <w:w w:val="95"/>
                </w:rPr>
                <w:t>Exhibit 10.17 to the Registrant’s Quarterly Report on Form 10-Q (File No. 001-38560) filed with the SEC on November 10, 2021)</w:t>
              </w:r>
              <w:r>
                <w:rPr>
                  <w:rFonts w:ascii="Arial" w:cs="Arial" w:eastAsia="Arial" w:hAnsi="Arial"/>
                  <w:sz w:val="18"/>
                  <w:szCs w:val="18"/>
                  <w:u w:val="single" w:color="auto"/>
                  <w:color w:val="000000"/>
                  <w:w w:val="95"/>
                </w:rPr>
                <w:t>.</w:t>
              </w:r>
            </w:hyperlink>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10.18+</w:t>
            </w:r>
          </w:p>
        </w:tc>
        <w:tc>
          <w:tcPr>
            <w:tcW w:w="9400" w:type="dxa"/>
            <w:vAlign w:val="bottom"/>
            <w:tcBorders>
              <w:top w:val="single" w:sz="8" w:color="0000EE"/>
            </w:tcBorders>
            <w:gridSpan w:val="14"/>
          </w:tcPr>
          <w:p>
            <w:pPr>
              <w:spacing w:after="0"/>
              <w:rPr>
                <w:rFonts w:ascii="Arial" w:cs="Arial" w:eastAsia="Arial" w:hAnsi="Arial"/>
                <w:sz w:val="18"/>
                <w:szCs w:val="18"/>
                <w:color w:val="0000EE"/>
                <w:w w:val="95"/>
              </w:rPr>
            </w:pPr>
            <w:hyperlink r:id="rId208">
              <w:r>
                <w:rPr>
                  <w:rFonts w:ascii="Arial" w:cs="Arial" w:eastAsia="Arial" w:hAnsi="Arial"/>
                  <w:sz w:val="18"/>
                  <w:szCs w:val="18"/>
                  <w:color w:val="0000EE"/>
                  <w:w w:val="95"/>
                </w:rPr>
                <w:t>License Agreement by and between Aadi Bioscience, Inc. and EOC Pharma (Hong Kong) Limited dated December 8, 2020.</w:t>
              </w:r>
            </w:hyperlink>
          </w:p>
        </w:tc>
        <w:tc>
          <w:tcPr>
            <w:tcW w:w="400" w:type="dxa"/>
            <w:vAlign w:val="bottom"/>
            <w:gridSpan w:val="10"/>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9800" w:type="dxa"/>
            <w:vAlign w:val="bottom"/>
            <w:gridSpan w:val="24"/>
          </w:tcPr>
          <w:p>
            <w:pPr>
              <w:spacing w:after="0" w:line="196" w:lineRule="exact"/>
              <w:rPr>
                <w:rFonts w:ascii="Arial" w:cs="Arial" w:eastAsia="Arial" w:hAnsi="Arial"/>
                <w:sz w:val="18"/>
                <w:szCs w:val="18"/>
                <w:color w:val="0000EE"/>
                <w:w w:val="92"/>
              </w:rPr>
            </w:pPr>
            <w:hyperlink r:id="rId208">
              <w:r>
                <w:rPr>
                  <w:rFonts w:ascii="Arial" w:cs="Arial" w:eastAsia="Arial" w:hAnsi="Arial"/>
                  <w:sz w:val="18"/>
                  <w:szCs w:val="18"/>
                  <w:color w:val="0000EE"/>
                  <w:w w:val="92"/>
                </w:rPr>
                <w:t>(incorporated by reference to Exhibit 10.18 to the Registrant's Quarterly Report on form 10-Q (File No. 001-38560) filed with the SEC</w:t>
              </w:r>
            </w:hyperlink>
          </w:p>
        </w:tc>
      </w:tr>
      <w:tr>
        <w:trPr>
          <w:trHeight w:val="196"/>
        </w:trPr>
        <w:tc>
          <w:tcPr>
            <w:tcW w:w="14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208">
              <w:r>
                <w:rPr>
                  <w:rFonts w:ascii="Arial" w:cs="Arial" w:eastAsia="Arial" w:hAnsi="Arial"/>
                  <w:sz w:val="18"/>
                  <w:szCs w:val="18"/>
                  <w:color w:val="0000EE"/>
                  <w:w w:val="89"/>
                </w:rPr>
                <w:t>on November 10, 2021).</w:t>
              </w:r>
            </w:hyperlink>
          </w:p>
        </w:tc>
        <w:tc>
          <w:tcPr>
            <w:tcW w:w="7940" w:type="dxa"/>
            <w:vAlign w:val="bottom"/>
            <w:tcBorders>
              <w:top w:val="single" w:sz="8" w:color="0000EE"/>
            </w:tcBorders>
            <w:gridSpan w:val="18"/>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10.19#</w:t>
            </w:r>
          </w:p>
        </w:tc>
        <w:tc>
          <w:tcPr>
            <w:tcW w:w="9800" w:type="dxa"/>
            <w:vAlign w:val="bottom"/>
            <w:gridSpan w:val="24"/>
          </w:tcPr>
          <w:p>
            <w:pPr>
              <w:spacing w:after="0"/>
              <w:rPr>
                <w:rFonts w:ascii="Arial" w:cs="Arial" w:eastAsia="Arial" w:hAnsi="Arial"/>
                <w:sz w:val="18"/>
                <w:szCs w:val="18"/>
                <w:color w:val="0000EE"/>
                <w:w w:val="93"/>
              </w:rPr>
            </w:pPr>
            <w:hyperlink r:id="rId209">
              <w:r>
                <w:rPr>
                  <w:rFonts w:ascii="Arial" w:cs="Arial" w:eastAsia="Arial" w:hAnsi="Arial"/>
                  <w:sz w:val="18"/>
                  <w:szCs w:val="18"/>
                  <w:color w:val="0000EE"/>
                  <w:w w:val="93"/>
                </w:rPr>
                <w:t>Senior Cash Incentive Bonus Plan. (incorporated by reference to Exhibit 10.15 in the Registrant’s Annual Report on Form 10-K (File</w:t>
              </w:r>
            </w:hyperlink>
          </w:p>
        </w:tc>
      </w:tr>
      <w:tr>
        <w:trPr>
          <w:trHeight w:val="196"/>
        </w:trPr>
        <w:tc>
          <w:tcPr>
            <w:tcW w:w="1420" w:type="dxa"/>
            <w:vAlign w:val="bottom"/>
          </w:tcPr>
          <w:p>
            <w:pPr>
              <w:spacing w:after="0"/>
              <w:rPr>
                <w:sz w:val="17"/>
                <w:szCs w:val="17"/>
                <w:color w:val="auto"/>
              </w:rPr>
            </w:pPr>
          </w:p>
        </w:tc>
        <w:tc>
          <w:tcPr>
            <w:tcW w:w="95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No. 000-53057) filed with the SEC on March 15, 2017)</w:t>
              </w:r>
              <w:r>
                <w:rPr>
                  <w:rFonts w:ascii="Arial" w:cs="Arial" w:eastAsia="Arial" w:hAnsi="Arial"/>
                  <w:sz w:val="18"/>
                  <w:szCs w:val="18"/>
                  <w:color w:val="000000"/>
                </w:rPr>
                <w:t>.</w:t>
              </w:r>
            </w:hyperlink>
          </w:p>
        </w:tc>
        <w:tc>
          <w:tcPr>
            <w:tcW w:w="220" w:type="dxa"/>
            <w:vAlign w:val="bottom"/>
            <w:gridSpan w:val="6"/>
          </w:tcPr>
          <w:p>
            <w:pPr>
              <w:spacing w:after="0"/>
              <w:rPr>
                <w:sz w:val="17"/>
                <w:szCs w:val="17"/>
                <w:color w:val="auto"/>
              </w:rPr>
            </w:pPr>
          </w:p>
        </w:tc>
      </w:tr>
      <w:tr>
        <w:trPr>
          <w:trHeight w:val="304"/>
        </w:trPr>
        <w:tc>
          <w:tcPr>
            <w:tcW w:w="1420" w:type="dxa"/>
            <w:vAlign w:val="bottom"/>
          </w:tcPr>
          <w:p>
            <w:pPr>
              <w:ind w:left="100"/>
              <w:spacing w:after="0"/>
              <w:rPr>
                <w:sz w:val="20"/>
                <w:szCs w:val="20"/>
                <w:color w:val="auto"/>
              </w:rPr>
            </w:pPr>
            <w:r>
              <w:rPr>
                <w:rFonts w:ascii="Arial" w:cs="Arial" w:eastAsia="Arial" w:hAnsi="Arial"/>
                <w:sz w:val="18"/>
                <w:szCs w:val="18"/>
                <w:color w:val="auto"/>
              </w:rPr>
              <w:t>23.1*</w:t>
            </w:r>
          </w:p>
        </w:tc>
        <w:tc>
          <w:tcPr>
            <w:tcW w:w="19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174">
              <w:r>
                <w:rPr>
                  <w:rFonts w:ascii="Arial" w:cs="Arial" w:eastAsia="Arial" w:hAnsi="Arial"/>
                  <w:sz w:val="18"/>
                  <w:szCs w:val="18"/>
                  <w:color w:val="0000EE"/>
                  <w:w w:val="93"/>
                </w:rPr>
                <w:t>Consent of BDO USA LLP</w:t>
              </w:r>
            </w:hyperlink>
          </w:p>
        </w:tc>
        <w:tc>
          <w:tcPr>
            <w:tcW w:w="2020" w:type="dxa"/>
            <w:vAlign w:val="bottom"/>
            <w:tcBorders>
              <w:top w:val="single" w:sz="8" w:color="0000EE"/>
            </w:tcBorders>
            <w:gridSpan w:val="3"/>
          </w:tcPr>
          <w:p>
            <w:pPr>
              <w:spacing w:after="0"/>
              <w:rPr>
                <w:sz w:val="24"/>
                <w:szCs w:val="24"/>
                <w:color w:val="auto"/>
              </w:rPr>
            </w:pPr>
          </w:p>
        </w:tc>
        <w:tc>
          <w:tcPr>
            <w:tcW w:w="5800" w:type="dxa"/>
            <w:vAlign w:val="bottom"/>
            <w:gridSpan w:val="16"/>
          </w:tcPr>
          <w:p>
            <w:pPr>
              <w:spacing w:after="0"/>
              <w:rPr>
                <w:sz w:val="24"/>
                <w:szCs w:val="24"/>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31.1*</w:t>
            </w:r>
          </w:p>
        </w:tc>
        <w:tc>
          <w:tcPr>
            <w:tcW w:w="9800" w:type="dxa"/>
            <w:vAlign w:val="bottom"/>
            <w:gridSpan w:val="24"/>
          </w:tcPr>
          <w:p>
            <w:pPr>
              <w:spacing w:after="0"/>
              <w:rPr>
                <w:rFonts w:ascii="Arial" w:cs="Arial" w:eastAsia="Arial" w:hAnsi="Arial"/>
                <w:sz w:val="18"/>
                <w:szCs w:val="18"/>
                <w:color w:val="0000EE"/>
                <w:w w:val="92"/>
              </w:rPr>
            </w:pPr>
            <w:hyperlink w:anchor="page175">
              <w:r>
                <w:rPr>
                  <w:rFonts w:ascii="Arial" w:cs="Arial" w:eastAsia="Arial" w:hAnsi="Arial"/>
                  <w:sz w:val="18"/>
                  <w:szCs w:val="18"/>
                  <w:color w:val="0000EE"/>
                  <w:w w:val="92"/>
                </w:rPr>
                <w:t>Certification of Principal Executive Officer Pursuant to Rules 13a-14(a) and 15d-14(a) under the Securities Exchange Act of 1934, as</w:t>
              </w:r>
            </w:hyperlink>
          </w:p>
        </w:tc>
      </w:tr>
      <w:tr>
        <w:trPr>
          <w:trHeight w:val="196"/>
        </w:trPr>
        <w:tc>
          <w:tcPr>
            <w:tcW w:w="142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175">
              <w:r>
                <w:rPr>
                  <w:rFonts w:ascii="Arial" w:cs="Arial" w:eastAsia="Arial" w:hAnsi="Arial"/>
                  <w:sz w:val="18"/>
                  <w:szCs w:val="18"/>
                  <w:color w:val="0000EE"/>
                  <w:w w:val="88"/>
                </w:rPr>
                <w:t>Adopted Pursuant to Section 302 of the Sarbanes-Oxley Act of 2002.</w:t>
              </w:r>
            </w:hyperlink>
          </w:p>
        </w:tc>
        <w:tc>
          <w:tcPr>
            <w:tcW w:w="4500" w:type="dxa"/>
            <w:vAlign w:val="bottom"/>
            <w:tcBorders>
              <w:top w:val="single" w:sz="8" w:color="0000EE"/>
            </w:tcBorders>
            <w:gridSpan w:val="4"/>
          </w:tcPr>
          <w:p>
            <w:pPr>
              <w:spacing w:after="0"/>
              <w:rPr>
                <w:sz w:val="17"/>
                <w:szCs w:val="17"/>
                <w:color w:val="auto"/>
              </w:rPr>
            </w:pPr>
          </w:p>
        </w:tc>
        <w:tc>
          <w:tcPr>
            <w:tcW w:w="440" w:type="dxa"/>
            <w:vAlign w:val="bottom"/>
            <w:gridSpan w:val="11"/>
          </w:tcPr>
          <w:p>
            <w:pPr>
              <w:spacing w:after="0"/>
              <w:rPr>
                <w:sz w:val="17"/>
                <w:szCs w:val="17"/>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31.2*</w:t>
            </w:r>
          </w:p>
        </w:tc>
        <w:tc>
          <w:tcPr>
            <w:tcW w:w="9800" w:type="dxa"/>
            <w:vAlign w:val="bottom"/>
            <w:gridSpan w:val="24"/>
          </w:tcPr>
          <w:p>
            <w:pPr>
              <w:spacing w:after="0"/>
              <w:rPr>
                <w:rFonts w:ascii="Arial" w:cs="Arial" w:eastAsia="Arial" w:hAnsi="Arial"/>
                <w:sz w:val="18"/>
                <w:szCs w:val="18"/>
                <w:color w:val="0000EE"/>
                <w:w w:val="93"/>
              </w:rPr>
            </w:pPr>
            <w:hyperlink w:anchor="page176">
              <w:r>
                <w:rPr>
                  <w:rFonts w:ascii="Arial" w:cs="Arial" w:eastAsia="Arial" w:hAnsi="Arial"/>
                  <w:sz w:val="18"/>
                  <w:szCs w:val="18"/>
                  <w:color w:val="0000EE"/>
                  <w:w w:val="93"/>
                </w:rPr>
                <w:t>Certification of Principal Financial Officer Pursuant to Rules 13a-14(a) and 15d-14(a) under the Securities Exchange Act of 1934, as</w:t>
              </w:r>
            </w:hyperlink>
          </w:p>
        </w:tc>
      </w:tr>
      <w:tr>
        <w:trPr>
          <w:trHeight w:val="196"/>
        </w:trPr>
        <w:tc>
          <w:tcPr>
            <w:tcW w:w="142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176">
              <w:r>
                <w:rPr>
                  <w:rFonts w:ascii="Arial" w:cs="Arial" w:eastAsia="Arial" w:hAnsi="Arial"/>
                  <w:sz w:val="18"/>
                  <w:szCs w:val="18"/>
                  <w:color w:val="0000EE"/>
                  <w:w w:val="88"/>
                </w:rPr>
                <w:t>Adopted Pursuant to Section 302 of the Sarbanes-Oxley Act of 2002.</w:t>
              </w:r>
            </w:hyperlink>
          </w:p>
        </w:tc>
        <w:tc>
          <w:tcPr>
            <w:tcW w:w="4480" w:type="dxa"/>
            <w:vAlign w:val="bottom"/>
            <w:tcBorders>
              <w:top w:val="single" w:sz="8" w:color="0000EE"/>
            </w:tcBorders>
            <w:gridSpan w:val="3"/>
          </w:tcPr>
          <w:p>
            <w:pPr>
              <w:spacing w:after="0"/>
              <w:rPr>
                <w:sz w:val="17"/>
                <w:szCs w:val="17"/>
                <w:color w:val="auto"/>
              </w:rPr>
            </w:pPr>
          </w:p>
        </w:tc>
        <w:tc>
          <w:tcPr>
            <w:tcW w:w="460" w:type="dxa"/>
            <w:vAlign w:val="bottom"/>
            <w:gridSpan w:val="12"/>
          </w:tcPr>
          <w:p>
            <w:pPr>
              <w:spacing w:after="0"/>
              <w:rPr>
                <w:sz w:val="17"/>
                <w:szCs w:val="17"/>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32.1**</w:t>
            </w:r>
          </w:p>
        </w:tc>
        <w:tc>
          <w:tcPr>
            <w:tcW w:w="96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77">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200" w:type="dxa"/>
            <w:vAlign w:val="bottom"/>
            <w:gridSpan w:val="5"/>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00" w:type="dxa"/>
            <w:vAlign w:val="bottom"/>
            <w:gridSpan w:val="24"/>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Oxley Act of 2002.</w:t>
              </w:r>
            </w:hyperlink>
          </w:p>
        </w:tc>
      </w:tr>
      <w:tr>
        <w:trPr>
          <w:trHeight w:val="20"/>
        </w:trPr>
        <w:tc>
          <w:tcPr>
            <w:tcW w:w="14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8160" w:type="dxa"/>
            <w:vAlign w:val="bottom"/>
            <w:gridSpan w:val="1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32.2**</w:t>
            </w:r>
          </w:p>
        </w:tc>
        <w:tc>
          <w:tcPr>
            <w:tcW w:w="9800" w:type="dxa"/>
            <w:vAlign w:val="bottom"/>
            <w:gridSpan w:val="24"/>
          </w:tcPr>
          <w:p>
            <w:pPr>
              <w:spacing w:after="0"/>
              <w:rPr>
                <w:rFonts w:ascii="Arial" w:cs="Arial" w:eastAsia="Arial" w:hAnsi="Arial"/>
                <w:sz w:val="18"/>
                <w:szCs w:val="18"/>
                <w:color w:val="0000EE"/>
                <w:w w:val="93"/>
              </w:rPr>
            </w:pPr>
            <w:hyperlink w:anchor="page178">
              <w:r>
                <w:rPr>
                  <w:rFonts w:ascii="Arial" w:cs="Arial" w:eastAsia="Arial" w:hAnsi="Arial"/>
                  <w:sz w:val="18"/>
                  <w:szCs w:val="18"/>
                  <w:color w:val="0000EE"/>
                  <w:w w:val="93"/>
                </w:rPr>
                <w:t>Certification of Principal Financial Officer Pursuant to 18 U.S.C. Section 1350, as Adopted Pursuant to Section 906 of the Sarbanes-</w:t>
              </w:r>
            </w:hyperlink>
          </w:p>
        </w:tc>
      </w:tr>
      <w:tr>
        <w:trPr>
          <w:trHeight w:val="196"/>
        </w:trPr>
        <w:tc>
          <w:tcPr>
            <w:tcW w:w="1420" w:type="dxa"/>
            <w:vAlign w:val="bottom"/>
          </w:tcPr>
          <w:p>
            <w:pPr>
              <w:spacing w:after="0"/>
              <w:rPr>
                <w:sz w:val="17"/>
                <w:szCs w:val="17"/>
                <w:color w:val="auto"/>
              </w:rPr>
            </w:pPr>
          </w:p>
        </w:tc>
        <w:tc>
          <w:tcPr>
            <w:tcW w:w="95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Oxley Act of 2002.</w:t>
              </w:r>
            </w:hyperlink>
          </w:p>
        </w:tc>
        <w:tc>
          <w:tcPr>
            <w:tcW w:w="260" w:type="dxa"/>
            <w:vAlign w:val="bottom"/>
            <w:gridSpan w:val="8"/>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8420" w:type="dxa"/>
            <w:vAlign w:val="bottom"/>
            <w:gridSpan w:val="21"/>
          </w:tcPr>
          <w:p>
            <w:pPr>
              <w:spacing w:after="0" w:line="20" w:lineRule="exact"/>
              <w:rPr>
                <w:sz w:val="1"/>
                <w:szCs w:val="1"/>
                <w:color w:val="auto"/>
              </w:rPr>
            </w:pPr>
          </w:p>
        </w:tc>
      </w:tr>
      <w:tr>
        <w:trPr>
          <w:trHeight w:val="358"/>
        </w:trPr>
        <w:tc>
          <w:tcPr>
            <w:tcW w:w="1420" w:type="dxa"/>
            <w:vAlign w:val="bottom"/>
          </w:tcPr>
          <w:p>
            <w:pPr>
              <w:spacing w:after="0"/>
              <w:rPr>
                <w:sz w:val="20"/>
                <w:szCs w:val="20"/>
                <w:color w:val="auto"/>
              </w:rPr>
            </w:pPr>
            <w:r>
              <w:rPr>
                <w:rFonts w:ascii="Arial" w:cs="Arial" w:eastAsia="Arial" w:hAnsi="Arial"/>
                <w:sz w:val="18"/>
                <w:szCs w:val="18"/>
                <w:color w:val="auto"/>
              </w:rPr>
              <w:t>101.INS</w:t>
            </w:r>
          </w:p>
        </w:tc>
        <w:tc>
          <w:tcPr>
            <w:tcW w:w="9800" w:type="dxa"/>
            <w:vAlign w:val="bottom"/>
            <w:gridSpan w:val="24"/>
          </w:tcPr>
          <w:p>
            <w:pPr>
              <w:spacing w:after="0"/>
              <w:rPr>
                <w:sz w:val="20"/>
                <w:szCs w:val="20"/>
                <w:color w:val="auto"/>
              </w:rPr>
            </w:pPr>
            <w:r>
              <w:rPr>
                <w:rFonts w:ascii="Arial" w:cs="Arial" w:eastAsia="Arial" w:hAnsi="Arial"/>
                <w:sz w:val="18"/>
                <w:szCs w:val="18"/>
                <w:color w:val="auto"/>
              </w:rPr>
              <w:t>IXBRL Inline Instance Document</w:t>
            </w:r>
          </w:p>
        </w:tc>
      </w:tr>
      <w:tr>
        <w:trPr>
          <w:trHeight w:val="337"/>
        </w:trPr>
        <w:tc>
          <w:tcPr>
            <w:tcW w:w="1420" w:type="dxa"/>
            <w:vAlign w:val="bottom"/>
          </w:tcPr>
          <w:p>
            <w:pPr>
              <w:spacing w:after="0"/>
              <w:rPr>
                <w:sz w:val="20"/>
                <w:szCs w:val="20"/>
                <w:color w:val="auto"/>
              </w:rPr>
            </w:pPr>
            <w:r>
              <w:rPr>
                <w:rFonts w:ascii="Arial" w:cs="Arial" w:eastAsia="Arial" w:hAnsi="Arial"/>
                <w:sz w:val="18"/>
                <w:szCs w:val="18"/>
                <w:color w:val="auto"/>
              </w:rPr>
              <w:t>101.SCH</w:t>
            </w:r>
          </w:p>
        </w:tc>
        <w:tc>
          <w:tcPr>
            <w:tcW w:w="9800" w:type="dxa"/>
            <w:vAlign w:val="bottom"/>
            <w:gridSpan w:val="24"/>
          </w:tcPr>
          <w:p>
            <w:pPr>
              <w:spacing w:after="0"/>
              <w:rPr>
                <w:sz w:val="20"/>
                <w:szCs w:val="20"/>
                <w:color w:val="auto"/>
              </w:rPr>
            </w:pPr>
            <w:r>
              <w:rPr>
                <w:rFonts w:ascii="Arial" w:cs="Arial" w:eastAsia="Arial" w:hAnsi="Arial"/>
                <w:sz w:val="18"/>
                <w:szCs w:val="18"/>
                <w:color w:val="auto"/>
              </w:rPr>
              <w:t>IXBRL Inline Taxonomy Extension Schema Document</w:t>
            </w:r>
          </w:p>
        </w:tc>
      </w:tr>
      <w:tr>
        <w:trPr>
          <w:trHeight w:val="338"/>
        </w:trPr>
        <w:tc>
          <w:tcPr>
            <w:tcW w:w="1420" w:type="dxa"/>
            <w:vAlign w:val="bottom"/>
          </w:tcPr>
          <w:p>
            <w:pPr>
              <w:spacing w:after="0"/>
              <w:rPr>
                <w:sz w:val="20"/>
                <w:szCs w:val="20"/>
                <w:color w:val="auto"/>
              </w:rPr>
            </w:pPr>
            <w:r>
              <w:rPr>
                <w:rFonts w:ascii="Arial" w:cs="Arial" w:eastAsia="Arial" w:hAnsi="Arial"/>
                <w:sz w:val="18"/>
                <w:szCs w:val="18"/>
                <w:color w:val="auto"/>
              </w:rPr>
              <w:t>101.CAL</w:t>
            </w:r>
          </w:p>
        </w:tc>
        <w:tc>
          <w:tcPr>
            <w:tcW w:w="9800" w:type="dxa"/>
            <w:vAlign w:val="bottom"/>
            <w:gridSpan w:val="24"/>
          </w:tcPr>
          <w:p>
            <w:pPr>
              <w:spacing w:after="0"/>
              <w:rPr>
                <w:sz w:val="20"/>
                <w:szCs w:val="20"/>
                <w:color w:val="auto"/>
              </w:rPr>
            </w:pPr>
            <w:r>
              <w:rPr>
                <w:rFonts w:ascii="Arial" w:cs="Arial" w:eastAsia="Arial" w:hAnsi="Arial"/>
                <w:sz w:val="18"/>
                <w:szCs w:val="18"/>
                <w:color w:val="auto"/>
              </w:rPr>
              <w:t>IXBRL Inline Taxonomy Extension Calculation Linkbase Document</w:t>
            </w:r>
          </w:p>
        </w:tc>
      </w:tr>
      <w:tr>
        <w:trPr>
          <w:trHeight w:val="338"/>
        </w:trPr>
        <w:tc>
          <w:tcPr>
            <w:tcW w:w="1420" w:type="dxa"/>
            <w:vAlign w:val="bottom"/>
          </w:tcPr>
          <w:p>
            <w:pPr>
              <w:spacing w:after="0"/>
              <w:rPr>
                <w:sz w:val="20"/>
                <w:szCs w:val="20"/>
                <w:color w:val="auto"/>
              </w:rPr>
            </w:pPr>
            <w:r>
              <w:rPr>
                <w:rFonts w:ascii="Arial" w:cs="Arial" w:eastAsia="Arial" w:hAnsi="Arial"/>
                <w:sz w:val="18"/>
                <w:szCs w:val="18"/>
                <w:color w:val="auto"/>
              </w:rPr>
              <w:t>101.DEF</w:t>
            </w:r>
          </w:p>
        </w:tc>
        <w:tc>
          <w:tcPr>
            <w:tcW w:w="9800" w:type="dxa"/>
            <w:vAlign w:val="bottom"/>
            <w:gridSpan w:val="24"/>
          </w:tcPr>
          <w:p>
            <w:pPr>
              <w:spacing w:after="0"/>
              <w:rPr>
                <w:sz w:val="20"/>
                <w:szCs w:val="20"/>
                <w:color w:val="auto"/>
              </w:rPr>
            </w:pPr>
            <w:r>
              <w:rPr>
                <w:rFonts w:ascii="Arial" w:cs="Arial" w:eastAsia="Arial" w:hAnsi="Arial"/>
                <w:sz w:val="18"/>
                <w:szCs w:val="18"/>
                <w:color w:val="auto"/>
              </w:rPr>
              <w:t>IXBRL Inline Taxonomy Extension Definition Linkbase Document</w:t>
            </w:r>
          </w:p>
        </w:tc>
      </w:tr>
      <w:tr>
        <w:trPr>
          <w:trHeight w:val="338"/>
        </w:trPr>
        <w:tc>
          <w:tcPr>
            <w:tcW w:w="1420" w:type="dxa"/>
            <w:vAlign w:val="bottom"/>
          </w:tcPr>
          <w:p>
            <w:pPr>
              <w:spacing w:after="0"/>
              <w:rPr>
                <w:sz w:val="20"/>
                <w:szCs w:val="20"/>
                <w:color w:val="auto"/>
              </w:rPr>
            </w:pPr>
            <w:r>
              <w:rPr>
                <w:rFonts w:ascii="Arial" w:cs="Arial" w:eastAsia="Arial" w:hAnsi="Arial"/>
                <w:sz w:val="18"/>
                <w:szCs w:val="18"/>
                <w:color w:val="auto"/>
              </w:rPr>
              <w:t>101.LAB</w:t>
            </w:r>
          </w:p>
        </w:tc>
        <w:tc>
          <w:tcPr>
            <w:tcW w:w="9800" w:type="dxa"/>
            <w:vAlign w:val="bottom"/>
            <w:gridSpan w:val="24"/>
          </w:tcPr>
          <w:p>
            <w:pPr>
              <w:spacing w:after="0"/>
              <w:rPr>
                <w:sz w:val="20"/>
                <w:szCs w:val="20"/>
                <w:color w:val="auto"/>
              </w:rPr>
            </w:pPr>
            <w:r>
              <w:rPr>
                <w:rFonts w:ascii="Arial" w:cs="Arial" w:eastAsia="Arial" w:hAnsi="Arial"/>
                <w:sz w:val="18"/>
                <w:szCs w:val="18"/>
                <w:color w:val="auto"/>
              </w:rPr>
              <w:t>IXBRL Inline Taxonomy Extension Label Linkbase Document</w:t>
            </w:r>
          </w:p>
        </w:tc>
      </w:tr>
      <w:tr>
        <w:trPr>
          <w:trHeight w:val="338"/>
        </w:trPr>
        <w:tc>
          <w:tcPr>
            <w:tcW w:w="1420" w:type="dxa"/>
            <w:vAlign w:val="bottom"/>
          </w:tcPr>
          <w:p>
            <w:pPr>
              <w:spacing w:after="0"/>
              <w:rPr>
                <w:sz w:val="20"/>
                <w:szCs w:val="20"/>
                <w:color w:val="auto"/>
              </w:rPr>
            </w:pPr>
            <w:r>
              <w:rPr>
                <w:rFonts w:ascii="Arial" w:cs="Arial" w:eastAsia="Arial" w:hAnsi="Arial"/>
                <w:sz w:val="18"/>
                <w:szCs w:val="18"/>
                <w:color w:val="auto"/>
              </w:rPr>
              <w:t>101.PRE</w:t>
            </w:r>
          </w:p>
        </w:tc>
        <w:tc>
          <w:tcPr>
            <w:tcW w:w="9800" w:type="dxa"/>
            <w:vAlign w:val="bottom"/>
            <w:gridSpan w:val="24"/>
          </w:tcPr>
          <w:p>
            <w:pPr>
              <w:spacing w:after="0"/>
              <w:rPr>
                <w:sz w:val="20"/>
                <w:szCs w:val="20"/>
                <w:color w:val="auto"/>
              </w:rPr>
            </w:pPr>
            <w:r>
              <w:rPr>
                <w:rFonts w:ascii="Arial" w:cs="Arial" w:eastAsia="Arial" w:hAnsi="Arial"/>
                <w:sz w:val="18"/>
                <w:szCs w:val="18"/>
                <w:color w:val="auto"/>
              </w:rPr>
              <w:t>IXBRL Inline Taxonomy Extension Presentation Linkbase Document</w:t>
            </w:r>
          </w:p>
        </w:tc>
      </w:tr>
    </w:tbl>
    <w:p>
      <w:pPr>
        <w:ind w:left="1420" w:right="340" w:hanging="1412"/>
        <w:spacing w:after="0" w:line="260"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18" w:lineRule="exact"/>
        <w:rPr>
          <w:sz w:val="20"/>
          <w:szCs w:val="20"/>
          <w:color w:val="auto"/>
        </w:rPr>
      </w:pPr>
    </w:p>
    <w:p>
      <w:pPr>
        <w:ind w:left="580" w:hanging="572"/>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0972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55" w:name="page156"/>
    <w:bookmarkEnd w:id="155"/>
    <w:p>
      <w:pPr>
        <w:ind w:left="580" w:hanging="572"/>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Indicates the exhibit is being furnished, not filed, with this report</w:t>
      </w:r>
    </w:p>
    <w:p>
      <w:pPr>
        <w:spacing w:after="0" w:line="23" w:lineRule="exact"/>
        <w:rPr>
          <w:sz w:val="20"/>
          <w:szCs w:val="20"/>
          <w:color w:val="auto"/>
        </w:rPr>
      </w:pPr>
    </w:p>
    <w:p>
      <w:pPr>
        <w:ind w:left="580" w:hanging="57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9" w:lineRule="exact"/>
        <w:rPr>
          <w:sz w:val="20"/>
          <w:szCs w:val="20"/>
          <w:color w:val="auto"/>
        </w:rPr>
      </w:pPr>
    </w:p>
    <w:p>
      <w:pPr>
        <w:ind w:left="580" w:hanging="572"/>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of 10-K Summary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voluntarily include a summary of information required by Form 10-K under this Item 16. We have elected not to include such summary information.</w:t>
      </w:r>
    </w:p>
    <w:p>
      <w:pPr>
        <w:spacing w:after="0" w:line="1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557" w:right="117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7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AADI BIOSCIENCE, INC.</w:t>
      </w:r>
    </w:p>
    <w:p>
      <w:pPr>
        <w:spacing w:after="0" w:line="266" w:lineRule="exact"/>
        <w:rPr>
          <w:sz w:val="20"/>
          <w:szCs w:val="20"/>
          <w:color w:val="auto"/>
        </w:rPr>
      </w:pPr>
    </w:p>
    <w:p>
      <w:pPr>
        <w:spacing w:after="0"/>
        <w:tabs>
          <w:tab w:leader="none" w:pos="6680" w:val="left"/>
          <w:tab w:leader="none" w:pos="840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Neil Desai,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Neil Desai, Ph.D.</w:t>
      </w:r>
    </w:p>
    <w:p>
      <w:pPr>
        <w:spacing w:after="0" w:line="27"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8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7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Neil Desai, Ph.D.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Executive Officer and 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0"/>
              </w:rPr>
              <w:t>Neil Desai, Ph.D.</w:t>
            </w:r>
          </w:p>
        </w:tc>
        <w:tc>
          <w:tcPr>
            <w:tcW w:w="120" w:type="dxa"/>
            <w:vAlign w:val="bottom"/>
          </w:tcPr>
          <w:p>
            <w:pPr>
              <w:spacing w:after="0"/>
              <w:rPr>
                <w:sz w:val="19"/>
                <w:szCs w:val="19"/>
                <w:color w:val="auto"/>
              </w:rPr>
            </w:pPr>
          </w:p>
        </w:tc>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Scott Giacobello</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 and Principal</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87"/>
              </w:rPr>
              <w:t>Scott Giacobello</w:t>
            </w:r>
          </w:p>
        </w:tc>
        <w:tc>
          <w:tcPr>
            <w:tcW w:w="120" w:type="dxa"/>
            <w:vAlign w:val="bottom"/>
          </w:tcPr>
          <w:p>
            <w:pPr>
              <w:spacing w:after="0"/>
              <w:rPr>
                <w:sz w:val="19"/>
                <w:szCs w:val="19"/>
                <w:color w:val="auto"/>
              </w:rPr>
            </w:pPr>
          </w:p>
        </w:tc>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Financial and Accounting Officer</w:t>
            </w:r>
          </w:p>
        </w:tc>
        <w:tc>
          <w:tcPr>
            <w:tcW w:w="3140" w:type="dxa"/>
            <w:vAlign w:val="bottom"/>
          </w:tcPr>
          <w:p>
            <w:pPr>
              <w:spacing w:after="0"/>
              <w:rPr>
                <w:sz w:val="19"/>
                <w:szCs w:val="19"/>
                <w:color w:val="auto"/>
              </w:rPr>
            </w:pPr>
          </w:p>
        </w:tc>
      </w:tr>
      <w:tr>
        <w:trPr>
          <w:trHeight w:val="37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Caley Castelein, M.D.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0"/>
              </w:rPr>
              <w:t>Caley Castelein</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/s/ Emma Reeve</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89"/>
              </w:rPr>
              <w:t>Emma Reeve</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Behzad Aghazadeh, Ph.D.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89"/>
              </w:rPr>
              <w:t>Behzad Aghazadeh</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Anupam Dalal, M.D.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3"/>
              </w:rPr>
              <w:t>Anupam Dalal</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387"/>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Karin Hehenberger, M.D., Ph.D.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3"/>
              </w:rPr>
              <w:t>Karin Hehenberger</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8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Richard Maroun, J.D.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6"/>
              </w:rPr>
              <w:t>Richard Maroun</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643"/>
        </w:trPr>
        <w:tc>
          <w:tcPr>
            <w:tcW w:w="4120" w:type="dxa"/>
            <w:vAlign w:val="bottom"/>
          </w:tcPr>
          <w:p>
            <w:pPr>
              <w:spacing w:after="0"/>
              <w:rPr>
                <w:sz w:val="24"/>
                <w:szCs w:val="24"/>
                <w:color w:val="auto"/>
              </w:rPr>
            </w:pPr>
          </w:p>
        </w:tc>
        <w:tc>
          <w:tcPr>
            <w:tcW w:w="3900" w:type="dxa"/>
            <w:vAlign w:val="bottom"/>
            <w:gridSpan w:val="2"/>
          </w:tcPr>
          <w:p>
            <w:pPr>
              <w:jc w:val="right"/>
              <w:ind w:right="2172"/>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i w:val="1"/>
          <w:iCs w:val="1"/>
          <w:color w:val="auto"/>
        </w:rPr>
        <w:t>Exhibit 4.1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ACT OF 1934, AS AMENDED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common stock,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Aadi Bioscience,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us</w:t>
      </w:r>
      <w:r>
        <w:rPr>
          <w:rFonts w:ascii="Arial" w:cs="Arial" w:eastAsia="Arial" w:hAnsi="Arial"/>
          <w:sz w:val="18"/>
          <w:szCs w:val="18"/>
          <w:color w:val="auto"/>
        </w:rPr>
        <w:t>,” “</w:t>
      </w:r>
      <w:r>
        <w:rPr>
          <w:rFonts w:ascii="Arial" w:cs="Arial" w:eastAsia="Arial" w:hAnsi="Arial"/>
          <w:sz w:val="18"/>
          <w:szCs w:val="18"/>
          <w:u w:val="single" w:color="auto"/>
          <w:color w:val="auto"/>
        </w:rPr>
        <w:t>we</w:t>
      </w:r>
      <w:r>
        <w:rPr>
          <w:rFonts w:ascii="Arial" w:cs="Arial" w:eastAsia="Arial" w:hAnsi="Arial"/>
          <w:sz w:val="18"/>
          <w:szCs w:val="18"/>
          <w:color w:val="auto"/>
        </w:rPr>
        <w:t>,” or “</w:t>
      </w:r>
      <w:r>
        <w:rPr>
          <w:rFonts w:ascii="Arial" w:cs="Arial" w:eastAsia="Arial" w:hAnsi="Arial"/>
          <w:sz w:val="18"/>
          <w:szCs w:val="18"/>
          <w:u w:val="single" w:color="auto"/>
          <w:color w:val="auto"/>
        </w:rPr>
        <w:t>our</w:t>
      </w:r>
      <w:r>
        <w:rPr>
          <w:rFonts w:ascii="Arial" w:cs="Arial" w:eastAsia="Arial" w:hAnsi="Arial"/>
          <w:sz w:val="18"/>
          <w:szCs w:val="18"/>
          <w:color w:val="auto"/>
        </w:rPr>
        <w:t>”), is registered under Section 12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following description sets forth certain general terms and provisions of our Common Stock. These descriptions are in all respects subject to and qualified in their entirety by, and should be read in conjunction with, the applicable provisions of, our Amended and Restated Certificate of Incorporation, (the “</w:t>
      </w:r>
      <w:r>
        <w:rPr>
          <w:rFonts w:ascii="Arial" w:cs="Arial" w:eastAsia="Arial" w:hAnsi="Arial"/>
          <w:sz w:val="18"/>
          <w:szCs w:val="18"/>
          <w:u w:val="single" w:color="auto"/>
          <w:color w:val="auto"/>
        </w:rPr>
        <w:t>Charter</w:t>
      </w:r>
      <w:r>
        <w:rPr>
          <w:rFonts w:ascii="Arial" w:cs="Arial" w:eastAsia="Arial" w:hAnsi="Arial"/>
          <w:sz w:val="18"/>
          <w:szCs w:val="18"/>
          <w:color w:val="auto"/>
        </w:rPr>
        <w:t>”) and our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(each of which is incorporated herein by reference and copies of which are incorporated by reference as exhibits to our most recent Annual Report on Form 10-K filed with the Securities and Exchange Commission) and the applicable provisions of the Delaware General Corporation Law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authorized capital stock consists of 300,000,000 shares of Common Stock and 10,000,000 shares of undesignated preferred stock, par value $0.0001 per share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outstanding shares of Common Stock are entitled to receive dividends out of assets or funds legally available for the payment of dividends of such times and in such amounts as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from time to time may determine.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Holders of Common Stock are entitled to one vote for each share held on all matters submitted to a vote of stockholders. There is no cumulative voting of the election of directors then standing for election.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Liquidation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liquidation, dissolution or winding up of the Company, the assets legally available for distribution to stockholders are distributable ratably among the holders of our Common Stock after payment of liquidation preferences, if any, on any outstanding payment of other claims of creditors. Each outstanding share of Common Stock is duly and validly issued, fully paid and non-assessable.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conversion or redemption.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to Preferred Stock</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Shares of Preferred Stock may be issued from time to time in one or more series, each of which will have such distinctive designation or title as shall be determined by our board of directors prior to the issuance of any shares thereof. Preferred Stock will have such voting powers, full or limited, or no voting powers, and such preferences and relative, participating, optional or other special rights and such qualifications, limitations or restrictions thereof, as shall be stated in such resolution or resolutions providing for the issue of such class or series of Preferred Stock as may be adopted from time to time by the board of directors prior to the issuance of any shares thereof. Subject to the terms of any Preferred Stock designation that we may adopt from time to time, the Board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the Charter or the resolution of the Board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While we do not currently have any plans for the issuance of Preferred Stock, the issuance of such Preferred Stock could adversely affect the rights of the holders of common stock and, therefore, reduce the value of the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color w:val="auto"/>
        </w:rPr>
        <w:t>stock. It is not possible to state the actual effect of the issuance of any shares of Preferred Stock on the rights of holders of the common stock until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determines the specific rights of the holders of the Preferred Stock; however, these effects may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34924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10" w:lineRule="exact"/>
        <w:rPr>
          <w:sz w:val="20"/>
          <w:szCs w:val="20"/>
          <w:color w:val="auto"/>
        </w:rPr>
      </w:pPr>
    </w:p>
    <w:p>
      <w:pPr>
        <w:ind w:left="900" w:hanging="329"/>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17" w:lineRule="exact"/>
        <w:rPr>
          <w:rFonts w:ascii="Arial" w:cs="Arial" w:eastAsia="Arial" w:hAnsi="Arial"/>
          <w:sz w:val="18"/>
          <w:szCs w:val="18"/>
          <w:color w:val="auto"/>
        </w:rPr>
      </w:pPr>
    </w:p>
    <w:p>
      <w:pPr>
        <w:ind w:left="900" w:hanging="329"/>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117" w:lineRule="exact"/>
        <w:rPr>
          <w:rFonts w:ascii="Arial" w:cs="Arial" w:eastAsia="Arial" w:hAnsi="Arial"/>
          <w:sz w:val="18"/>
          <w:szCs w:val="18"/>
          <w:color w:val="auto"/>
        </w:rPr>
      </w:pPr>
    </w:p>
    <w:p>
      <w:pPr>
        <w:ind w:left="900" w:hanging="329"/>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117" w:lineRule="exact"/>
        <w:rPr>
          <w:rFonts w:ascii="Arial" w:cs="Arial" w:eastAsia="Arial" w:hAnsi="Arial"/>
          <w:sz w:val="18"/>
          <w:szCs w:val="18"/>
          <w:color w:val="auto"/>
        </w:rPr>
      </w:pPr>
    </w:p>
    <w:p>
      <w:pPr>
        <w:ind w:left="900" w:hanging="329"/>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Delaying or preventing a change in control of our company without further action by the stockholders.</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Other than in connection with shares of Preferred Stock (as explained above), which Preferred Stock is not currently designated nor contemplated by the Company, the Company does not believe that any provision of its Charter or Bylaws would delay, defer or prevent a change in control.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 shares of Preferred Stock are issued and outstanding as of the date of our Annual Report on Form 10-K with which this Exhibit 4.1 is filed as an exhibit.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Charter and Bylaws and Delaware Law</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provisions of Delaware law and our Charter and Bylaws may have an anti-takeover effect, for example, by permitting issuances that would dilute the stock ownership of a person seeking to effect a change in the composition of the Board or contemplating a tender offer or other transaction for the combination of the Company with another company. It is possible that these provisions could make it more difficult to accomplish or could deter transactions that stockholders may otherwise consider to be in their best interest or in our best interests, including transactions that might result in a premium over the price of our Common Stock.</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provisions, summarized below, are expected to discourage coercive takeover practices and inadequate takeover bids. These provisions are also designed to encourage persons seeking to acquire control of us to first negotiate with our Board.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Statute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Section 203 of the DGCL, which prohibits a person deemed an “interested stockholder” from engaging in a “business combination” with a publicly held Delaware corporation for three years following the date such person becomes an interested stockholder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such as discouraging takeover attempts that might result in a premium over the price of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Undesignated Preferred Stock</w:t>
      </w:r>
    </w:p>
    <w:p>
      <w:pPr>
        <w:spacing w:after="0" w:line="11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our company. These and other provisions may have the effect of deterring hostile takeovers or delaying changes in control or management of our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Stockholder Meetings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Charter provides that a special meeting of stockholders may be called only the chairperson of the Board, the chief executive officer of the Company, the president of the Company or the Board acting pursuant to a resolution adopted by a majority of the total number of authorized directorships, whether or not there exist any vacancies or other unfilled seats in previously authorized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establish advance notice procedures with respect to stockholder proposals and the nomination of candidates for election as directors, other than nominations made by or at the direction of the Board or a committee of the Board.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 of Stockholder Action by Written Consent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Charter eliminates the right of stockholders to act by written consent without a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 Election and Removal of Directors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our Common Stock outstanding will be able to elect all of our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Choice of Forum</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Bylaws provides that, unless we consent in writing to the selection of an alternative forum, the Court of Chancery of the State of Delaware (or, if the Court of Chancery does not have jurisdiction, then the United States District Court for the District of Delaware) will be the exclusive forum for any derivative action or proceeding brought on our behalf; any action asserting a breach of fiduciary duty; any action asserting a claim against us arising pursuant to the DGCL or our Charter or Bylaws; or any action asserting a claim against us that is governed by the internal affairs doctrine (the “</w:t>
      </w: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Forum Provision</w:t>
      </w:r>
      <w:r>
        <w:rPr>
          <w:rFonts w:ascii="Arial" w:cs="Arial" w:eastAsia="Arial" w:hAnsi="Arial"/>
          <w:sz w:val="18"/>
          <w:szCs w:val="18"/>
          <w:color w:val="auto"/>
        </w:rPr>
        <w:t>”). In addition, unless we consent in writing to the selection of an alternative forum, the federal district courts of the United States of America shall be the sole and exclusive forum for the resolution of any complaint asserting a cause of action arising under the Securities Act against any person in connection with any offering of our securities, including, without limitation and for the avoidance of doubt, any auditor, underwriter, expert, control person or other defendant.</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provisions of the DGCL, our Charter and our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w:t>
      </w:r>
      <w:r>
        <w:rPr>
          <w:rFonts w:ascii="Arial" w:cs="Arial" w:eastAsia="Arial" w:hAnsi="Arial"/>
          <w:sz w:val="15"/>
          <w:szCs w:val="15"/>
          <w:color w:val="auto"/>
        </w:rPr>
        <w:t>th</w:t>
      </w:r>
      <w:r>
        <w:rPr>
          <w:rFonts w:ascii="Arial" w:cs="Arial" w:eastAsia="Arial" w:hAnsi="Arial"/>
          <w:sz w:val="18"/>
          <w:szCs w:val="18"/>
          <w:color w:val="auto"/>
        </w:rPr>
        <w:t xml:space="preserve"> Avenue, Brooklyn, NY 11219, and its telephone number is (718) 921-8260.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“AADI.”</w:t>
      </w:r>
    </w:p>
    <w:p>
      <w:pPr>
        <w:sectPr>
          <w:pgSz w:w="11900" w:h="16838" w:orient="portrait"/>
          <w:cols w:equalWidth="0" w:num="1">
            <w:col w:w="11240"/>
          </w:cols>
          <w:pgMar w:left="320" w:top="233"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b w:val="1"/>
          <w:bCs w:val="1"/>
          <w:i w:val="1"/>
          <w:iCs w:val="1"/>
          <w:color w:val="auto"/>
        </w:rPr>
        <w:t>Exhibit 10.5</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AADI BIOSCIENCE,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06" w:lineRule="exact"/>
        <w:rPr>
          <w:sz w:val="20"/>
          <w:szCs w:val="20"/>
          <w:color w:val="auto"/>
        </w:rPr>
      </w:pPr>
    </w:p>
    <w:p>
      <w:pPr>
        <w:jc w:val="both"/>
        <w:ind w:firstLine="832"/>
        <w:spacing w:after="0" w:line="236" w:lineRule="auto"/>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October 28, 2021 by and between Aadi Bioscience, Inc. (“</w:t>
      </w:r>
      <w:r>
        <w:rPr>
          <w:rFonts w:ascii="Arial" w:cs="Arial" w:eastAsia="Arial" w:hAnsi="Arial"/>
          <w:sz w:val="22"/>
          <w:szCs w:val="22"/>
          <w:b w:val="1"/>
          <w:bCs w:val="1"/>
          <w:color w:val="auto"/>
        </w:rPr>
        <w:t>Aadi</w:t>
      </w:r>
      <w:r>
        <w:rPr>
          <w:rFonts w:ascii="Arial" w:cs="Arial" w:eastAsia="Arial" w:hAnsi="Arial"/>
          <w:sz w:val="22"/>
          <w:szCs w:val="22"/>
          <w:color w:val="auto"/>
        </w:rPr>
        <w:t>”), and Scott Giacobello (“</w:t>
      </w:r>
      <w:r>
        <w:rPr>
          <w:rFonts w:ascii="Arial" w:cs="Arial" w:eastAsia="Arial" w:hAnsi="Arial"/>
          <w:sz w:val="22"/>
          <w:szCs w:val="22"/>
          <w:b w:val="1"/>
          <w:bCs w:val="1"/>
          <w:color w:val="auto"/>
        </w:rPr>
        <w:t>Executive</w:t>
      </w:r>
      <w:r>
        <w:rPr>
          <w:rFonts w:ascii="Arial" w:cs="Arial" w:eastAsia="Arial" w:hAnsi="Arial"/>
          <w:sz w:val="22"/>
          <w:szCs w:val="22"/>
          <w:color w:val="auto"/>
        </w:rPr>
        <w:t>”). This Agreement will be effective November 1, 2021 (the “</w:t>
      </w:r>
      <w:r>
        <w:rPr>
          <w:rFonts w:ascii="Arial" w:cs="Arial" w:eastAsia="Arial" w:hAnsi="Arial"/>
          <w:sz w:val="22"/>
          <w:szCs w:val="22"/>
          <w:b w:val="1"/>
          <w:bCs w:val="1"/>
          <w:color w:val="auto"/>
        </w:rPr>
        <w:t>Effective Date</w:t>
      </w:r>
      <w:r>
        <w:rPr>
          <w:rFonts w:ascii="Arial" w:cs="Arial" w:eastAsia="Arial" w:hAnsi="Arial"/>
          <w:sz w:val="22"/>
          <w:szCs w:val="22"/>
          <w:color w:val="auto"/>
        </w:rPr>
        <w:t>”). As you know, Aadi recently consummated a merger (with the parent company of the merger being formerly known as Aerpio Pharmaceuticals, Inc. (“</w:t>
      </w:r>
      <w:r>
        <w:rPr>
          <w:rFonts w:ascii="Arial" w:cs="Arial" w:eastAsia="Arial" w:hAnsi="Arial"/>
          <w:sz w:val="22"/>
          <w:szCs w:val="22"/>
          <w:b w:val="1"/>
          <w:bCs w:val="1"/>
          <w:color w:val="auto"/>
        </w:rPr>
        <w:t>Aerpio</w:t>
      </w:r>
      <w:r>
        <w:rPr>
          <w:rFonts w:ascii="Arial" w:cs="Arial" w:eastAsia="Arial" w:hAnsi="Arial"/>
          <w:sz w:val="22"/>
          <w:szCs w:val="22"/>
          <w:color w:val="auto"/>
        </w:rPr>
        <w:t>”)) and Aerpio changed its name to Aadi Bioscience, Inc. as part of the merger. Aadi, together with any other subsidiaries, including the entity employing you, shall be referred to in this letter as 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1460" w:type="dxa"/>
            <w:vAlign w:val="bottom"/>
          </w:tcPr>
          <w:p>
            <w:pPr>
              <w:jc w:val="right"/>
              <w:ind w:right="1192"/>
              <w:spacing w:after="0"/>
              <w:rPr>
                <w:sz w:val="20"/>
                <w:szCs w:val="20"/>
                <w:color w:val="auto"/>
              </w:rPr>
            </w:pPr>
            <w:r>
              <w:rPr>
                <w:rFonts w:ascii="Arial" w:cs="Arial" w:eastAsia="Arial" w:hAnsi="Arial"/>
                <w:sz w:val="22"/>
                <w:szCs w:val="22"/>
                <w:color w:val="auto"/>
                <w:w w:val="76"/>
              </w:rPr>
              <w:t>1.</w:t>
            </w:r>
          </w:p>
        </w:tc>
        <w:tc>
          <w:tcPr>
            <w:tcW w:w="8940" w:type="dxa"/>
            <w:vAlign w:val="bottom"/>
            <w:gridSpan w:val="4"/>
          </w:tcPr>
          <w:p>
            <w:pPr>
              <w:spacing w:after="0"/>
              <w:rPr>
                <w:sz w:val="20"/>
                <w:szCs w:val="20"/>
                <w:color w:val="auto"/>
              </w:rPr>
            </w:pPr>
            <w:r>
              <w:rPr>
                <w:rFonts w:ascii="Arial" w:cs="Arial" w:eastAsia="Arial" w:hAnsi="Arial"/>
                <w:sz w:val="22"/>
                <w:szCs w:val="22"/>
                <w:color w:val="auto"/>
              </w:rPr>
              <w:t>Duties and Scope of Employment.</w:t>
            </w:r>
          </w:p>
        </w:tc>
      </w:tr>
      <w:tr>
        <w:trPr>
          <w:trHeight w:val="20"/>
        </w:trPr>
        <w:tc>
          <w:tcPr>
            <w:tcW w:w="14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439"/>
        </w:trPr>
        <w:tc>
          <w:tcPr>
            <w:tcW w:w="1460" w:type="dxa"/>
            <w:vAlign w:val="bottom"/>
          </w:tcPr>
          <w:p>
            <w:pPr>
              <w:jc w:val="right"/>
              <w:ind w:right="272"/>
              <w:spacing w:after="0"/>
              <w:rPr>
                <w:sz w:val="20"/>
                <w:szCs w:val="20"/>
                <w:color w:val="auto"/>
              </w:rPr>
            </w:pPr>
            <w:r>
              <w:rPr>
                <w:rFonts w:ascii="Arial" w:cs="Arial" w:eastAsia="Arial" w:hAnsi="Arial"/>
                <w:sz w:val="22"/>
                <w:szCs w:val="22"/>
                <w:color w:val="auto"/>
              </w:rPr>
              <w:t>(a)</w:t>
            </w:r>
          </w:p>
        </w:tc>
        <w:tc>
          <w:tcPr>
            <w:tcW w:w="1560" w:type="dxa"/>
            <w:vAlign w:val="bottom"/>
          </w:tcPr>
          <w:p>
            <w:pPr>
              <w:spacing w:after="0"/>
              <w:rPr>
                <w:sz w:val="24"/>
                <w:szCs w:val="24"/>
                <w:color w:val="auto"/>
              </w:rPr>
            </w:pPr>
          </w:p>
        </w:tc>
        <w:tc>
          <w:tcPr>
            <w:tcW w:w="7380" w:type="dxa"/>
            <w:vAlign w:val="bottom"/>
            <w:gridSpan w:val="3"/>
          </w:tcPr>
          <w:p>
            <w:pPr>
              <w:spacing w:after="0"/>
              <w:rPr>
                <w:sz w:val="20"/>
                <w:szCs w:val="20"/>
                <w:color w:val="auto"/>
              </w:rPr>
            </w:pPr>
            <w:r>
              <w:rPr>
                <w:rFonts w:ascii="Arial" w:cs="Arial" w:eastAsia="Arial" w:hAnsi="Arial"/>
                <w:sz w:val="22"/>
                <w:szCs w:val="22"/>
                <w:color w:val="auto"/>
                <w:w w:val="95"/>
              </w:rPr>
              <w:t>Positions and Duties.  Effective as of the Effective Date and until November 28,</w:t>
            </w:r>
          </w:p>
        </w:tc>
      </w:tr>
      <w:tr>
        <w:trPr>
          <w:trHeight w:val="20"/>
        </w:trPr>
        <w:tc>
          <w:tcPr>
            <w:tcW w:w="1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jc w:val="both"/>
        <w:spacing w:after="0" w:line="278" w:lineRule="auto"/>
        <w:rPr>
          <w:sz w:val="20"/>
          <w:szCs w:val="20"/>
          <w:color w:val="auto"/>
        </w:rPr>
      </w:pPr>
      <w:r>
        <w:rPr>
          <w:rFonts w:ascii="Arial" w:cs="Arial" w:eastAsia="Arial" w:hAnsi="Arial"/>
          <w:sz w:val="19"/>
          <w:szCs w:val="19"/>
          <w:color w:val="auto"/>
        </w:rPr>
        <w:t>2021 (the “</w:t>
      </w:r>
      <w:r>
        <w:rPr>
          <w:rFonts w:ascii="Arial" w:cs="Arial" w:eastAsia="Arial" w:hAnsi="Arial"/>
          <w:sz w:val="19"/>
          <w:szCs w:val="19"/>
          <w:b w:val="1"/>
          <w:bCs w:val="1"/>
          <w:color w:val="auto"/>
        </w:rPr>
        <w:t>Transition Period</w:t>
      </w:r>
      <w:r>
        <w:rPr>
          <w:rFonts w:ascii="Arial" w:cs="Arial" w:eastAsia="Arial" w:hAnsi="Arial"/>
          <w:sz w:val="19"/>
          <w:szCs w:val="19"/>
          <w:color w:val="auto"/>
        </w:rPr>
        <w:t>”), Executive will serve in a part-time, non-executive role to commence an orderly transition of duties and responsibilities from the Company’s interim Chief Financial Officer to Executive. During the Transition Period, in no way will Executive provide services as an executive, officer, or manager of the Company. Effective as of November 28, 2021, Executive will be appointed by the 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to serve as the Company’s Chief Financial Officer. Executive will render such business and professional services in the performance of Executive’s duties, consistent with Executive’s position within the Company, as will reasonably be assigned to Executive by the Board. The period of Executive’s employment under this Agreement is referred to herein as the “</w:t>
      </w:r>
      <w:r>
        <w:rPr>
          <w:rFonts w:ascii="Arial" w:cs="Arial" w:eastAsia="Arial" w:hAnsi="Arial"/>
          <w:sz w:val="19"/>
          <w:szCs w:val="19"/>
          <w:b w:val="1"/>
          <w:bCs w:val="1"/>
          <w:color w:val="auto"/>
        </w:rPr>
        <w:t>Employment Term</w:t>
      </w:r>
      <w:r>
        <w:rPr>
          <w:rFonts w:ascii="Arial" w:cs="Arial" w:eastAsia="Arial" w:hAnsi="Arial"/>
          <w:sz w:val="19"/>
          <w:szCs w:val="19"/>
          <w:color w:val="auto"/>
        </w:rPr>
        <w:t>.”</w:t>
      </w:r>
    </w:p>
    <w:p>
      <w:pPr>
        <w:spacing w:after="0" w:line="151" w:lineRule="exact"/>
        <w:rPr>
          <w:sz w:val="20"/>
          <w:szCs w:val="20"/>
          <w:color w:val="auto"/>
        </w:rPr>
      </w:pPr>
    </w:p>
    <w:p>
      <w:pPr>
        <w:jc w:val="both"/>
        <w:ind w:firstLine="1663"/>
        <w:spacing w:after="0" w:line="234"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Obligations</w:t>
      </w:r>
      <w:r>
        <w:rPr>
          <w:rFonts w:ascii="Arial" w:cs="Arial" w:eastAsia="Arial" w:hAnsi="Arial"/>
          <w:sz w:val="22"/>
          <w:szCs w:val="22"/>
          <w:color w:val="auto"/>
        </w:rPr>
        <w:t>. During the Employment Term, Executive will perform Executive’s duties faithfully and to the best of Executive’s ability. Executive will render part-time services during the Transition Period, and thereafter will devote Executive’s full business efforts and time to the Company. Following the Transition Period, and for the duration of the Employment Term, Executive agrees not to actively engage in any other employment, occupation or consulting activity for any direct or indirect remuneration without the prior approval of the Board, except as provided in Schedule 1; provided, however, that Executive may manage personal investments, participate in civic, charitable, educational and professional activities. In the event of any conflict between any policy of the Company and the terms of this Agreement, the terms of this Agreement shall govern and control.</w:t>
      </w:r>
    </w:p>
    <w:p>
      <w:pPr>
        <w:spacing w:after="0" w:line="187" w:lineRule="exact"/>
        <w:rPr>
          <w:sz w:val="20"/>
          <w:szCs w:val="20"/>
          <w:color w:val="auto"/>
        </w:rPr>
      </w:pPr>
    </w:p>
    <w:p>
      <w:pPr>
        <w:jc w:val="both"/>
        <w:ind w:firstLine="1663"/>
        <w:spacing w:after="0"/>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Principal Location of Services</w:t>
      </w:r>
      <w:r>
        <w:rPr>
          <w:rFonts w:ascii="Arial" w:cs="Arial" w:eastAsia="Arial" w:hAnsi="Arial"/>
          <w:sz w:val="22"/>
          <w:szCs w:val="22"/>
          <w:color w:val="auto"/>
        </w:rPr>
        <w:t>. Executive shall perform his duties during the Employment Term principally out of offices located in the Southern California area and shall undertake such travel within or outside of the United States as is necessary or advisable for the efficient operations of the Company.</w:t>
      </w:r>
    </w:p>
    <w:p>
      <w:pPr>
        <w:spacing w:after="0" w:line="186" w:lineRule="exact"/>
        <w:rPr>
          <w:sz w:val="20"/>
          <w:szCs w:val="20"/>
          <w:color w:val="auto"/>
        </w:rPr>
      </w:pPr>
    </w:p>
    <w:p>
      <w:pPr>
        <w:jc w:val="both"/>
        <w:ind w:firstLine="832"/>
        <w:spacing w:after="0" w:line="249" w:lineRule="auto"/>
        <w:rPr>
          <w:sz w:val="20"/>
          <w:szCs w:val="20"/>
          <w:color w:val="auto"/>
        </w:rPr>
      </w:pPr>
      <w:r>
        <w:rPr>
          <w:rFonts w:ascii="Arial" w:cs="Arial" w:eastAsia="Arial" w:hAnsi="Arial"/>
          <w:sz w:val="21"/>
          <w:szCs w:val="21"/>
          <w:color w:val="auto"/>
        </w:rPr>
        <w:t xml:space="preserve">2. </w:t>
      </w:r>
      <w:r>
        <w:rPr>
          <w:rFonts w:ascii="Arial" w:cs="Arial" w:eastAsia="Arial" w:hAnsi="Arial"/>
          <w:sz w:val="21"/>
          <w:szCs w:val="21"/>
          <w:u w:val="single" w:color="auto"/>
          <w:color w:val="auto"/>
        </w:rPr>
        <w:t>At-Will Employment</w:t>
      </w:r>
      <w:r>
        <w:rPr>
          <w:rFonts w:ascii="Arial" w:cs="Arial" w:eastAsia="Arial" w:hAnsi="Arial"/>
          <w:sz w:val="21"/>
          <w:szCs w:val="21"/>
          <w:color w:val="auto"/>
        </w:rPr>
        <w:t>. The parties agree that Executive’s employment with the Company will be “at-will” employment and may be terminated at any time with or without Cause or notice.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However, as described in this Agreement, Executive may be entitled to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benefits depending on the circumstances of Executive’s termination of employment with the Company.</w:t>
      </w:r>
    </w:p>
    <w:p>
      <w:pPr>
        <w:spacing w:after="0" w:line="177"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1460" w:type="dxa"/>
            <w:vAlign w:val="bottom"/>
          </w:tcPr>
          <w:p>
            <w:pPr>
              <w:jc w:val="right"/>
              <w:ind w:right="1192"/>
              <w:spacing w:after="0"/>
              <w:rPr>
                <w:sz w:val="20"/>
                <w:szCs w:val="20"/>
                <w:color w:val="auto"/>
              </w:rPr>
            </w:pPr>
            <w:r>
              <w:rPr>
                <w:rFonts w:ascii="Arial" w:cs="Arial" w:eastAsia="Arial" w:hAnsi="Arial"/>
                <w:sz w:val="22"/>
                <w:szCs w:val="22"/>
                <w:color w:val="auto"/>
                <w:w w:val="76"/>
              </w:rPr>
              <w:t>3.</w:t>
            </w:r>
          </w:p>
        </w:tc>
        <w:tc>
          <w:tcPr>
            <w:tcW w:w="8920" w:type="dxa"/>
            <w:vAlign w:val="bottom"/>
            <w:gridSpan w:val="4"/>
          </w:tcPr>
          <w:p>
            <w:pPr>
              <w:spacing w:after="0"/>
              <w:rPr>
                <w:sz w:val="20"/>
                <w:szCs w:val="20"/>
                <w:color w:val="auto"/>
              </w:rPr>
            </w:pPr>
            <w:r>
              <w:rPr>
                <w:rFonts w:ascii="Arial" w:cs="Arial" w:eastAsia="Arial" w:hAnsi="Arial"/>
                <w:sz w:val="22"/>
                <w:szCs w:val="22"/>
                <w:color w:val="auto"/>
              </w:rPr>
              <w:t>Compensation.</w:t>
            </w:r>
          </w:p>
        </w:tc>
      </w:tr>
      <w:tr>
        <w:trPr>
          <w:trHeight w:val="439"/>
        </w:trPr>
        <w:tc>
          <w:tcPr>
            <w:tcW w:w="1460" w:type="dxa"/>
            <w:vAlign w:val="bottom"/>
          </w:tcPr>
          <w:p>
            <w:pPr>
              <w:jc w:val="right"/>
              <w:ind w:right="272"/>
              <w:spacing w:after="0"/>
              <w:rPr>
                <w:sz w:val="20"/>
                <w:szCs w:val="20"/>
                <w:color w:val="auto"/>
              </w:rPr>
            </w:pPr>
            <w:r>
              <w:rPr>
                <w:rFonts w:ascii="Arial" w:cs="Arial" w:eastAsia="Arial" w:hAnsi="Arial"/>
                <w:sz w:val="22"/>
                <w:szCs w:val="22"/>
                <w:color w:val="auto"/>
              </w:rPr>
              <w:t>(a)</w:t>
            </w:r>
          </w:p>
        </w:tc>
        <w:tc>
          <w:tcPr>
            <w:tcW w:w="12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Arial" w:cs="Arial" w:eastAsia="Arial" w:hAnsi="Arial"/>
                <w:sz w:val="22"/>
                <w:szCs w:val="22"/>
                <w:color w:val="auto"/>
              </w:rPr>
              <w:t>Base Salary.  Effective as of the Effective Date and for the remainder of the</w:t>
            </w:r>
          </w:p>
        </w:tc>
      </w:tr>
      <w:tr>
        <w:trPr>
          <w:trHeight w:val="20"/>
        </w:trPr>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Employment Term, the Company will pay Executive an annual salary of $450,000 as compensation for Executive’s employment services to the Company (the “</w:t>
      </w:r>
      <w:r>
        <w:rPr>
          <w:rFonts w:ascii="Arial" w:cs="Arial" w:eastAsia="Arial" w:hAnsi="Arial"/>
          <w:sz w:val="19"/>
          <w:szCs w:val="19"/>
          <w:b w:val="1"/>
          <w:bCs w:val="1"/>
          <w:color w:val="auto"/>
        </w:rPr>
        <w:t>Base Salary</w:t>
      </w:r>
      <w:r>
        <w:rPr>
          <w:rFonts w:ascii="Arial" w:cs="Arial" w:eastAsia="Arial" w:hAnsi="Arial"/>
          <w:sz w:val="19"/>
          <w:szCs w:val="19"/>
          <w:color w:val="auto"/>
        </w:rPr>
        <w:t>”). The Base Salary will be paid periodically in accordance with the Company’s normal payroll practices and be subject to the usual, required withholdings. Executive’s salary will be subject to review at least annually and adjustments will be made based upon the Company’s normal performance review practices.</w:t>
      </w:r>
    </w:p>
    <w:p>
      <w:pPr>
        <w:spacing w:after="0" w:line="143" w:lineRule="exact"/>
        <w:rPr>
          <w:sz w:val="20"/>
          <w:szCs w:val="20"/>
          <w:color w:val="auto"/>
        </w:rPr>
      </w:pPr>
    </w:p>
    <w:p>
      <w:pPr>
        <w:jc w:val="both"/>
        <w:ind w:firstLine="1663"/>
        <w:spacing w:after="0" w:line="274"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Target Bonus</w:t>
      </w:r>
      <w:r>
        <w:rPr>
          <w:rFonts w:ascii="Arial" w:cs="Arial" w:eastAsia="Arial" w:hAnsi="Arial"/>
          <w:sz w:val="19"/>
          <w:szCs w:val="19"/>
          <w:color w:val="auto"/>
        </w:rPr>
        <w:t>. Effective as of the Effective Date and for the remainder of the Employment Term, Executive will be eligible to receive an annual bonus of up to 45% of Executive’s Base Salary upon achievement of performance objectives to be determined by the Board or its authorized committee (the “</w:t>
      </w:r>
      <w:r>
        <w:rPr>
          <w:rFonts w:ascii="Arial" w:cs="Arial" w:eastAsia="Arial" w:hAnsi="Arial"/>
          <w:sz w:val="19"/>
          <w:szCs w:val="19"/>
          <w:b w:val="1"/>
          <w:bCs w:val="1"/>
          <w:color w:val="auto"/>
        </w:rPr>
        <w:t>Committee</w:t>
      </w:r>
      <w:r>
        <w:rPr>
          <w:rFonts w:ascii="Arial" w:cs="Arial" w:eastAsia="Arial" w:hAnsi="Arial"/>
          <w:sz w:val="19"/>
          <w:szCs w:val="19"/>
          <w:color w:val="auto"/>
        </w:rPr>
        <w:t>”) in its sole discretion, with reasonable input from Executive (the “</w:t>
      </w:r>
      <w:r>
        <w:rPr>
          <w:rFonts w:ascii="Arial" w:cs="Arial" w:eastAsia="Arial" w:hAnsi="Arial"/>
          <w:sz w:val="19"/>
          <w:szCs w:val="19"/>
          <w:b w:val="1"/>
          <w:bCs w:val="1"/>
          <w:color w:val="auto"/>
        </w:rPr>
        <w:t>Target Bonus</w:t>
      </w:r>
      <w:r>
        <w:rPr>
          <w:rFonts w:ascii="Arial" w:cs="Arial" w:eastAsia="Arial" w:hAnsi="Arial"/>
          <w:sz w:val="19"/>
          <w:szCs w:val="19"/>
          <w:color w:val="auto"/>
        </w:rPr>
        <w:t>”). For calendar year 2021, the achieved Target Bonus will be pro-rated for the portion of the calendar year that Executive is actually employed by the Company under the terms of this Agreement. The achieved portion of Executive’s Target Bonus will be paid, less applicable withholdings, as soon as practicable after the Board or Committee determines that the Target Bonus has been earned, but in no event shall the Target Bonus be paid after the later of (i) the fifteenth (15</w:t>
      </w:r>
      <w:r>
        <w:rPr>
          <w:rFonts w:ascii="Arial" w:cs="Arial" w:eastAsia="Arial" w:hAnsi="Arial"/>
          <w:sz w:val="16"/>
          <w:szCs w:val="16"/>
          <w:color w:val="auto"/>
        </w:rPr>
        <w:t>th</w:t>
      </w:r>
      <w:r>
        <w:rPr>
          <w:rFonts w:ascii="Arial" w:cs="Arial" w:eastAsia="Arial" w:hAnsi="Arial"/>
          <w:sz w:val="19"/>
          <w:szCs w:val="19"/>
          <w:color w:val="auto"/>
        </w:rPr>
        <w:t>) day of the third (3</w:t>
      </w:r>
      <w:r>
        <w:rPr>
          <w:rFonts w:ascii="Arial" w:cs="Arial" w:eastAsia="Arial" w:hAnsi="Arial"/>
          <w:sz w:val="16"/>
          <w:szCs w:val="16"/>
          <w:color w:val="auto"/>
        </w:rPr>
        <w:t>rd</w:t>
      </w:r>
      <w:r>
        <w:rPr>
          <w:rFonts w:ascii="Arial" w:cs="Arial" w:eastAsia="Arial" w:hAnsi="Arial"/>
          <w:sz w:val="19"/>
          <w:szCs w:val="19"/>
          <w:color w:val="auto"/>
        </w:rPr>
        <w:t>) month following the close of the Company’s fiscal year in which the Target Bonus is earned or (ii) March 15 following the calendar year in which the Target Bonus is earned.</w:t>
      </w:r>
    </w:p>
    <w:p>
      <w:pPr>
        <w:spacing w:after="0" w:line="158" w:lineRule="exact"/>
        <w:rPr>
          <w:sz w:val="20"/>
          <w:szCs w:val="20"/>
          <w:color w:val="auto"/>
        </w:rPr>
      </w:pPr>
    </w:p>
    <w:p>
      <w:pPr>
        <w:jc w:val="both"/>
        <w:ind w:firstLine="1663"/>
        <w:spacing w:after="0" w:line="244"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u w:val="single" w:color="auto"/>
          <w:color w:val="auto"/>
        </w:rPr>
        <w:t>Stock Option</w:t>
      </w:r>
      <w:r>
        <w:rPr>
          <w:rFonts w:ascii="Arial" w:cs="Arial" w:eastAsia="Arial" w:hAnsi="Arial"/>
          <w:sz w:val="21"/>
          <w:szCs w:val="21"/>
          <w:color w:val="auto"/>
        </w:rPr>
        <w:t>. Subject to the approval of the Board or Committee and on the Effective Date, Executive will be granted a nonstatutory stock option to purchase 200,000 shares of the Company’s common stock at an exercise price per share equal to the fair market value of the Company’s common stock on the date of grant, which will be the closing price of the Company’s common stock as reported by the Nasdaq Stock Market on the Effective Date (the “</w:t>
      </w:r>
      <w:r>
        <w:rPr>
          <w:rFonts w:ascii="Arial" w:cs="Arial" w:eastAsia="Arial" w:hAnsi="Arial"/>
          <w:sz w:val="21"/>
          <w:szCs w:val="21"/>
          <w:b w:val="1"/>
          <w:bCs w:val="1"/>
          <w:color w:val="auto"/>
        </w:rPr>
        <w:t>Option</w:t>
      </w:r>
      <w:r>
        <w:rPr>
          <w:rFonts w:ascii="Arial" w:cs="Arial" w:eastAsia="Arial" w:hAnsi="Arial"/>
          <w:sz w:val="21"/>
          <w:szCs w:val="21"/>
          <w:color w:val="auto"/>
        </w:rPr>
        <w:t>”). Subject to the accelerated vesting provisions set forth herein, the Option will vest as to twenty-five percent (25%) of the shares subject to the Option one (1) year after the Effective Date, and as to 1/48th of the shares subject to the Option monthly thereafter on the same day of the month as the Effective Date (and if there is no corresponding day, the last day of the month), so that the Option will be fully vested and exercisable four (4) years from the Effective Date, subject to Executive continuing to provide services to the Company through the relevant vesting dates. Except as provided herein, the Option will be subject to the terms and conditions of an equity incentive plan and related stock option agreement approved by the Board or Committee, including vesting requirements (collectively, the “</w:t>
      </w:r>
      <w:r>
        <w:rPr>
          <w:rFonts w:ascii="Arial" w:cs="Arial" w:eastAsia="Arial" w:hAnsi="Arial"/>
          <w:sz w:val="21"/>
          <w:szCs w:val="21"/>
          <w:b w:val="1"/>
          <w:bCs w:val="1"/>
          <w:color w:val="auto"/>
        </w:rPr>
        <w:t>Equity Documents</w:t>
      </w:r>
      <w:r>
        <w:rPr>
          <w:rFonts w:ascii="Arial" w:cs="Arial" w:eastAsia="Arial" w:hAnsi="Arial"/>
          <w:sz w:val="21"/>
          <w:szCs w:val="21"/>
          <w:color w:val="auto"/>
        </w:rPr>
        <w:t>”) and will be granted in accordance with the Company’s equity grant policy.</w:t>
      </w:r>
    </w:p>
    <w:p>
      <w:pPr>
        <w:spacing w:after="0" w:line="186" w:lineRule="exact"/>
        <w:rPr>
          <w:sz w:val="20"/>
          <w:szCs w:val="20"/>
          <w:color w:val="auto"/>
        </w:rPr>
      </w:pPr>
    </w:p>
    <w:p>
      <w:pPr>
        <w:jc w:val="both"/>
        <w:ind w:firstLine="1663"/>
        <w:spacing w:after="0" w:line="238"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Equity</w:t>
      </w:r>
      <w:r>
        <w:rPr>
          <w:rFonts w:ascii="Arial" w:cs="Arial" w:eastAsia="Arial" w:hAnsi="Arial"/>
          <w:sz w:val="22"/>
          <w:szCs w:val="22"/>
          <w:color w:val="auto"/>
        </w:rPr>
        <w:t>. During the Employment Term, Executive will be eligible to receive equity awards pursuant to any plans or arrangements the Company may have in effect from time to time. The Board or Committee will determine in its discretion whether Executive will be granted any equity awards and the terms of any equity award in accordance with the terms of any applicable plan or arrangement that may be in effect from time to time.</w:t>
      </w:r>
    </w:p>
    <w:p>
      <w:pPr>
        <w:spacing w:after="0" w:line="185" w:lineRule="exact"/>
        <w:rPr>
          <w:sz w:val="20"/>
          <w:szCs w:val="20"/>
          <w:color w:val="auto"/>
        </w:rPr>
      </w:pPr>
    </w:p>
    <w:p>
      <w:pPr>
        <w:jc w:val="both"/>
        <w:ind w:firstLine="832"/>
        <w:spacing w:after="0" w:line="239" w:lineRule="auto"/>
        <w:rPr>
          <w:sz w:val="20"/>
          <w:szCs w:val="20"/>
          <w:color w:val="auto"/>
        </w:rPr>
      </w:pPr>
      <w:r>
        <w:rPr>
          <w:rFonts w:ascii="Arial" w:cs="Arial" w:eastAsia="Arial" w:hAnsi="Arial"/>
          <w:sz w:val="22"/>
          <w:szCs w:val="22"/>
          <w:color w:val="auto"/>
        </w:rPr>
        <w:t xml:space="preserve">4. </w:t>
      </w:r>
      <w:r>
        <w:rPr>
          <w:rFonts w:ascii="Arial" w:cs="Arial" w:eastAsia="Arial" w:hAnsi="Arial"/>
          <w:sz w:val="22"/>
          <w:szCs w:val="22"/>
          <w:u w:val="single" w:color="auto"/>
          <w:color w:val="auto"/>
        </w:rPr>
        <w:t>Employee Benefits</w:t>
      </w:r>
      <w:r>
        <w:rPr>
          <w:rFonts w:ascii="Arial" w:cs="Arial" w:eastAsia="Arial" w:hAnsi="Arial"/>
          <w:sz w:val="22"/>
          <w:szCs w:val="22"/>
          <w:color w:val="auto"/>
        </w:rPr>
        <w:t>. During the Employment Term, Executive will be entitled to participate in the employee benefit plans currently and hereafter maintained by the Company of</w:t>
      </w: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2" w:name="page163"/>
    <w:bookmarkEnd w:id="162"/>
    <w:p>
      <w:pPr>
        <w:jc w:val="both"/>
        <w:spacing w:after="0" w:line="238" w:lineRule="auto"/>
        <w:rPr>
          <w:sz w:val="20"/>
          <w:szCs w:val="20"/>
          <w:color w:val="auto"/>
        </w:rPr>
      </w:pPr>
      <w:r>
        <w:rPr>
          <w:rFonts w:ascii="Arial" w:cs="Arial" w:eastAsia="Arial" w:hAnsi="Arial"/>
          <w:sz w:val="22"/>
          <w:szCs w:val="22"/>
          <w:color w:val="auto"/>
        </w:rPr>
        <w:t>general applicability to other senior executives of the Company. The Company reserves the right to cancel or change the benefit plans and programs it offers to its employees at any time. Executive shall also be entitled to four weeks of vacation, accruing annually, and participation in any 401(k) or employee benefit plan established by the Company, each as subject to the terms and conditions of such plans or programs adopted by the Company.</w:t>
      </w:r>
    </w:p>
    <w:p>
      <w:pPr>
        <w:spacing w:after="0" w:line="185" w:lineRule="exact"/>
        <w:rPr>
          <w:sz w:val="20"/>
          <w:szCs w:val="20"/>
          <w:color w:val="auto"/>
        </w:rPr>
      </w:pPr>
    </w:p>
    <w:p>
      <w:pPr>
        <w:jc w:val="both"/>
        <w:ind w:firstLine="832"/>
        <w:spacing w:after="0"/>
        <w:rPr>
          <w:sz w:val="20"/>
          <w:szCs w:val="20"/>
          <w:color w:val="auto"/>
        </w:rPr>
      </w:pPr>
      <w:r>
        <w:rPr>
          <w:rFonts w:ascii="Arial" w:cs="Arial" w:eastAsia="Arial" w:hAnsi="Arial"/>
          <w:sz w:val="22"/>
          <w:szCs w:val="22"/>
          <w:color w:val="auto"/>
        </w:rPr>
        <w:t xml:space="preserve">5. </w:t>
      </w:r>
      <w:r>
        <w:rPr>
          <w:rFonts w:ascii="Arial" w:cs="Arial" w:eastAsia="Arial" w:hAnsi="Arial"/>
          <w:sz w:val="22"/>
          <w:szCs w:val="22"/>
          <w:u w:val="single" w:color="auto"/>
          <w:color w:val="auto"/>
        </w:rPr>
        <w:t>Expenses</w:t>
      </w:r>
      <w:r>
        <w:rPr>
          <w:rFonts w:ascii="Arial" w:cs="Arial" w:eastAsia="Arial" w:hAnsi="Arial"/>
          <w:sz w:val="22"/>
          <w:szCs w:val="22"/>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w:t>
      </w:r>
    </w:p>
    <w:p>
      <w:pPr>
        <w:spacing w:after="0" w:line="157"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1460" w:type="dxa"/>
            <w:vAlign w:val="bottom"/>
          </w:tcPr>
          <w:p>
            <w:pPr>
              <w:jc w:val="right"/>
              <w:ind w:right="1192"/>
              <w:spacing w:after="0"/>
              <w:rPr>
                <w:sz w:val="20"/>
                <w:szCs w:val="20"/>
                <w:color w:val="auto"/>
              </w:rPr>
            </w:pPr>
            <w:r>
              <w:rPr>
                <w:rFonts w:ascii="Arial" w:cs="Arial" w:eastAsia="Arial" w:hAnsi="Arial"/>
                <w:sz w:val="22"/>
                <w:szCs w:val="22"/>
                <w:color w:val="auto"/>
                <w:w w:val="76"/>
              </w:rPr>
              <w:t>6.</w:t>
            </w:r>
          </w:p>
        </w:tc>
        <w:tc>
          <w:tcPr>
            <w:tcW w:w="8940" w:type="dxa"/>
            <w:vAlign w:val="bottom"/>
            <w:gridSpan w:val="3"/>
          </w:tcPr>
          <w:p>
            <w:pPr>
              <w:spacing w:after="0"/>
              <w:rPr>
                <w:sz w:val="20"/>
                <w:szCs w:val="20"/>
                <w:color w:val="auto"/>
              </w:rPr>
            </w:pPr>
            <w:r>
              <w:rPr>
                <w:rFonts w:ascii="Arial" w:cs="Arial" w:eastAsia="Arial" w:hAnsi="Arial"/>
                <w:sz w:val="22"/>
                <w:szCs w:val="22"/>
                <w:color w:val="auto"/>
              </w:rPr>
              <w:t>Severance.</w:t>
            </w:r>
          </w:p>
        </w:tc>
      </w:tr>
      <w:tr>
        <w:trPr>
          <w:trHeight w:val="439"/>
        </w:trPr>
        <w:tc>
          <w:tcPr>
            <w:tcW w:w="1460" w:type="dxa"/>
            <w:vAlign w:val="bottom"/>
          </w:tcPr>
          <w:p>
            <w:pPr>
              <w:jc w:val="right"/>
              <w:ind w:right="272"/>
              <w:spacing w:after="0"/>
              <w:rPr>
                <w:sz w:val="20"/>
                <w:szCs w:val="20"/>
                <w:color w:val="auto"/>
              </w:rPr>
            </w:pPr>
            <w:r>
              <w:rPr>
                <w:rFonts w:ascii="Arial" w:cs="Arial" w:eastAsia="Arial" w:hAnsi="Arial"/>
                <w:sz w:val="22"/>
                <w:szCs w:val="22"/>
                <w:color w:val="auto"/>
              </w:rPr>
              <w:t>(a)</w:t>
            </w:r>
          </w:p>
        </w:tc>
        <w:tc>
          <w:tcPr>
            <w:tcW w:w="8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8"/>
              </w:rPr>
              <w:t>Termination for other than Cause, Death or Disability Apart from a Change of</w:t>
            </w:r>
          </w:p>
        </w:tc>
      </w:tr>
    </w:tbl>
    <w:p>
      <w:pPr>
        <w:spacing w:after="0" w:line="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Control</w:t>
      </w:r>
      <w:r>
        <w:rPr>
          <w:rFonts w:ascii="Arial" w:cs="Arial" w:eastAsia="Arial" w:hAnsi="Arial"/>
          <w:sz w:val="19"/>
          <w:szCs w:val="19"/>
          <w:color w:val="auto"/>
        </w:rPr>
        <w:t>. If, outside of the Change of Control Period, (i) the Company (or any parent or subsidiary or successor of the Company) terminates Executive’s employment with the Company other than for Cause, death or Disability, or (ii) the Executive resigns from such employment for Good Reason, then, subject to Section 7, Executive will be entitled to receive:</w:t>
      </w:r>
    </w:p>
    <w:p>
      <w:pPr>
        <w:spacing w:after="0" w:line="134" w:lineRule="exact"/>
        <w:rPr>
          <w:sz w:val="20"/>
          <w:szCs w:val="20"/>
          <w:color w:val="auto"/>
        </w:rPr>
      </w:pPr>
    </w:p>
    <w:p>
      <w:pPr>
        <w:jc w:val="both"/>
        <w:ind w:firstLine="2912"/>
        <w:spacing w:after="0" w:line="277" w:lineRule="auto"/>
        <w:rPr>
          <w:sz w:val="20"/>
          <w:szCs w:val="20"/>
          <w:color w:val="auto"/>
        </w:rPr>
      </w:pPr>
      <w:r>
        <w:rPr>
          <w:rFonts w:ascii="Arial" w:cs="Arial" w:eastAsia="Arial" w:hAnsi="Arial"/>
          <w:sz w:val="19"/>
          <w:szCs w:val="19"/>
          <w:color w:val="auto"/>
        </w:rPr>
        <w:t xml:space="preserve">(i) continuing payments of severance pay for a period of 12 months at a rate equal to (A) one hundred percent (100%) of Executive’s Base Salary rate, as then in effect,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(B) 12. The severance will be paid, less applicable withholdings, in installments over the severance period described herein with the first payment to commence on the sixty-first (61st) day following Executive’s termination of employment (and include any severance payments that otherwise would have been paid to Executive within the sixty (60) days following Executive’s termination date), with any remaining payments paid in accordance with the Company’s normal payroll practices for the remainder of the severance period following Executive’s termination of employment (subject to any delay as may be required by Section 7(b)).</w:t>
      </w:r>
    </w:p>
    <w:p>
      <w:pPr>
        <w:spacing w:after="0" w:line="152" w:lineRule="exact"/>
        <w:rPr>
          <w:sz w:val="20"/>
          <w:szCs w:val="20"/>
          <w:color w:val="auto"/>
        </w:rPr>
      </w:pPr>
    </w:p>
    <w:p>
      <w:pPr>
        <w:jc w:val="both"/>
        <w:ind w:firstLine="2912"/>
        <w:spacing w:after="0" w:line="270" w:lineRule="auto"/>
        <w:rPr>
          <w:sz w:val="20"/>
          <w:szCs w:val="20"/>
          <w:color w:val="auto"/>
        </w:rPr>
      </w:pPr>
      <w:r>
        <w:rPr>
          <w:rFonts w:ascii="Arial" w:cs="Arial" w:eastAsia="Arial" w:hAnsi="Arial"/>
          <w:sz w:val="19"/>
          <w:szCs w:val="19"/>
          <w:color w:val="auto"/>
        </w:rPr>
        <w:t>(ii) if Executive elects continuation coverage pursuant to the Consolidated Omnibus Budget Reconciliation Act of 1985, as amended (“</w:t>
      </w:r>
      <w:r>
        <w:rPr>
          <w:rFonts w:ascii="Arial" w:cs="Arial" w:eastAsia="Arial" w:hAnsi="Arial"/>
          <w:sz w:val="19"/>
          <w:szCs w:val="19"/>
          <w:b w:val="1"/>
          <w:bCs w:val="1"/>
          <w:color w:val="auto"/>
        </w:rPr>
        <w:t>COBRA</w:t>
      </w:r>
      <w:r>
        <w:rPr>
          <w:rFonts w:ascii="Arial" w:cs="Arial" w:eastAsia="Arial" w:hAnsi="Arial"/>
          <w:sz w:val="19"/>
          <w:szCs w:val="19"/>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are no longer eligible for COBRA continuation coverage. The reimbursements will be made by the Company to Executive consistent with the Company’s normal expense reimbursement policy. Notwithstanding the first sentence of this Section 6(a)(ii),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(except as provided by the following sentence), in an amount equal to the monthly COBRA premium that Executive would be required to pay to continue the group health coverage for Executive and/or Executive’s eligible dependents in effect on the termination of employment date (which amount will be based on the premium for the first month of COBRA coverage), which payments will be made regardless of whether Executive and/or Executive’s eligible dependents elect COBRA continuation coverage and will commence on the month following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3" w:name="page164"/>
    <w:bookmarkEnd w:id="163"/>
    <w:p>
      <w:pPr>
        <w:jc w:val="both"/>
        <w:spacing w:after="0" w:line="246" w:lineRule="auto"/>
        <w:rPr>
          <w:sz w:val="20"/>
          <w:szCs w:val="20"/>
          <w:color w:val="auto"/>
        </w:rPr>
      </w:pPr>
      <w:r>
        <w:rPr>
          <w:rFonts w:ascii="Arial" w:cs="Arial" w:eastAsia="Arial" w:hAnsi="Arial"/>
          <w:sz w:val="21"/>
          <w:szCs w:val="21"/>
          <w:color w:val="auto"/>
        </w:rPr>
        <w:t>Executive’s termination of employment and will end on the earlier of (x) the date upon which Executive obtains other employment with comparable health insurance coverage as that provided by Employer to Executive, or (y) the date the Company has paid an amount equal to twelve (12) payments. Any such taxable monthly payments that otherwise would have been paid to Executive within the sixty (60) days following Executive’s termination date instead will be paid on the sixty-first (61st) day following Executive’s termination of employment, with any remaining payments paid as provided in the prior sentence (subject to any delay as may be required by Section 7(b)). For the avoidance of doubt, the taxable payments in lieu of COBRA reimbursements may be used for any purpose, including, but not limited to continuation coverage under COBRA, and will be subject to all applicable tax withholdings.</w:t>
      </w:r>
    </w:p>
    <w:p>
      <w:pPr>
        <w:spacing w:after="0" w:line="180" w:lineRule="exact"/>
        <w:rPr>
          <w:sz w:val="20"/>
          <w:szCs w:val="20"/>
          <w:color w:val="auto"/>
        </w:rPr>
      </w:pPr>
    </w:p>
    <w:p>
      <w:pPr>
        <w:jc w:val="both"/>
        <w:ind w:firstLine="1663"/>
        <w:spacing w:after="0" w:line="236" w:lineRule="auto"/>
        <w:rPr>
          <w:sz w:val="20"/>
          <w:szCs w:val="20"/>
          <w:color w:val="auto"/>
        </w:rPr>
      </w:pPr>
      <w:r>
        <w:rPr>
          <w:rFonts w:ascii="Arial" w:cs="Arial" w:eastAsia="Arial" w:hAnsi="Arial"/>
          <w:sz w:val="22"/>
          <w:szCs w:val="22"/>
          <w:color w:val="auto"/>
        </w:rPr>
        <w:t>(b) Termination for other than Cause, Death or Disability or Resignation by Executive for Good Reason Related to a Change of Control. If, within the Change of Control Period (i) the Company (or any parent or subsidiary or successor of the Company) terminates Executive’s employment with the Company other than for Cause, death or Disability, or (ii) the Executive resigns from such employment for Good Reason, then, subject to Section 8, Executive will be entitled to receive:</w:t>
      </w:r>
    </w:p>
    <w:p>
      <w:pPr>
        <w:spacing w:after="0" w:line="187" w:lineRule="exact"/>
        <w:rPr>
          <w:sz w:val="20"/>
          <w:szCs w:val="20"/>
          <w:color w:val="auto"/>
        </w:rPr>
      </w:pPr>
    </w:p>
    <w:p>
      <w:pPr>
        <w:ind w:left="2920"/>
        <w:spacing w:after="0"/>
        <w:tabs>
          <w:tab w:leader="none" w:pos="570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a lump sum payment equal to one hundred percent (100%) of</w:t>
      </w:r>
    </w:p>
    <w:p>
      <w:pPr>
        <w:spacing w:after="0" w:line="43"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the sum of: (A) Executive’s Base Salary, as then in effect, or if greater, at the level in effect immediately prior to the Change of Control, </w:t>
      </w:r>
      <w:r>
        <w:rPr>
          <w:rFonts w:ascii="Arial" w:cs="Arial" w:eastAsia="Arial" w:hAnsi="Arial"/>
          <w:sz w:val="21"/>
          <w:szCs w:val="21"/>
          <w:i w:val="1"/>
          <w:iCs w:val="1"/>
          <w:color w:val="auto"/>
        </w:rPr>
        <w:t>plus</w:t>
      </w:r>
      <w:r>
        <w:rPr>
          <w:rFonts w:ascii="Arial" w:cs="Arial" w:eastAsia="Arial" w:hAnsi="Arial"/>
          <w:sz w:val="21"/>
          <w:szCs w:val="21"/>
          <w:color w:val="auto"/>
        </w:rPr>
        <w:t xml:space="preserve"> (B) Executive’s Target Bonus in effect for the fiscal year in which Executive’s termination of employment occurs. The severance will be paid, less applicable withholdings, on the sixty-first (61st) day following Executive’s termination of employment in accordance with the Company’s normal payroll practices (subject to any delay as may be required by Section 7(b)). For the avoidance of doubt, if (x) Executive incurred a termination of employment prior to a Change of Control that qualifies Executive for severance payments under Section 6(a)(i); and (y) a Change of Control occurs within the three (3)-month period following Executive’s termination of employment that qualifies Executive for the superior benefits under this Section 6(b) (i), then Executive shall be entitled to a lump-sum payment of the amount calculated under this Section 6(b)(i), less amounts already paid under Section 6(a)(i).</w:t>
      </w:r>
    </w:p>
    <w:p>
      <w:pPr>
        <w:spacing w:after="0" w:line="185" w:lineRule="exact"/>
        <w:rPr>
          <w:sz w:val="20"/>
          <w:szCs w:val="20"/>
          <w:color w:val="auto"/>
        </w:rPr>
      </w:pPr>
    </w:p>
    <w:p>
      <w:pPr>
        <w:jc w:val="both"/>
        <w:ind w:firstLine="2912"/>
        <w:spacing w:after="0" w:line="233" w:lineRule="auto"/>
        <w:rPr>
          <w:sz w:val="20"/>
          <w:szCs w:val="20"/>
          <w:color w:val="auto"/>
        </w:rPr>
      </w:pPr>
      <w:r>
        <w:rPr>
          <w:rFonts w:ascii="Arial" w:cs="Arial" w:eastAsia="Arial" w:hAnsi="Arial"/>
          <w:sz w:val="22"/>
          <w:szCs w:val="22"/>
          <w:color w:val="auto"/>
        </w:rPr>
        <w:t>(ii)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are no longer eligible for COBRA continuation coverage. The reimbursements will be subject to the same conditions, limitations, and restrictions as the COBRA benefits described in Section 6(a)(ii). For the avoidance of doubt, if (x) Executive incurred a termination of employment prior to a Change of Control that qualifies Executive for COBRA benefits under Section 6(a)(ii); and (y) a Change of Control occurs within the three (3)-month period following Executive’s termination of employment that qualifies Executive for the benefits under this Section 6(b)(ii), then Executive’s benefits under this Section 6(b)(ii) shall be offset by the benefits already provided to Executive under Section 6(b)(i); and</w:t>
      </w:r>
    </w:p>
    <w:p>
      <w:pPr>
        <w:spacing w:after="0" w:line="188" w:lineRule="exact"/>
        <w:rPr>
          <w:sz w:val="20"/>
          <w:szCs w:val="20"/>
          <w:color w:val="auto"/>
        </w:rPr>
      </w:pPr>
    </w:p>
    <w:p>
      <w:pPr>
        <w:jc w:val="both"/>
        <w:ind w:firstLine="2912"/>
        <w:spacing w:after="0" w:line="239" w:lineRule="auto"/>
        <w:rPr>
          <w:sz w:val="20"/>
          <w:szCs w:val="20"/>
          <w:color w:val="auto"/>
        </w:rPr>
      </w:pPr>
      <w:r>
        <w:rPr>
          <w:rFonts w:ascii="Arial" w:cs="Arial" w:eastAsia="Arial" w:hAnsi="Arial"/>
          <w:sz w:val="22"/>
          <w:szCs w:val="22"/>
          <w:color w:val="auto"/>
        </w:rPr>
        <w:t>(iii) accelerated vesting as to one hundred percent (100%) of Executive’s then-outstanding and unvested equity awards to acquire Company common stock.</w:t>
      </w: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4" w:name="page165"/>
    <w:bookmarkEnd w:id="164"/>
    <w:p>
      <w:pPr>
        <w:ind w:left="1680"/>
        <w:spacing w:after="0"/>
        <w:tabs>
          <w:tab w:leader="none" w:pos="384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u w:val="single" w:color="auto"/>
          <w:color w:val="auto"/>
        </w:rPr>
        <w:t>Termination for Cause, Death or Disability; Resignation without Good Reason</w:t>
      </w:r>
      <w:r>
        <w:rPr>
          <w:rFonts w:ascii="Arial" w:cs="Arial" w:eastAsia="Arial" w:hAnsi="Arial"/>
          <w:sz w:val="19"/>
          <w:szCs w:val="19"/>
          <w:color w:val="auto"/>
        </w:rPr>
        <w:t>.  If</w:t>
      </w:r>
    </w:p>
    <w:p>
      <w:pPr>
        <w:spacing w:after="0" w:line="43"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Executive’s employment with the Company (or any parent or subsidiary or successor of the Company) terminates voluntarily by Executive (except upon resignation for Good Reason), for Cause by the Company or due to Executive’s death or Disability, then</w:t>
      </w:r>
    </w:p>
    <w:p>
      <w:pPr>
        <w:spacing w:after="0" w:line="2" w:lineRule="exact"/>
        <w:rPr>
          <w:sz w:val="20"/>
          <w:szCs w:val="20"/>
          <w:color w:val="auto"/>
        </w:rPr>
      </w:pPr>
    </w:p>
    <w:p>
      <w:pPr>
        <w:jc w:val="both"/>
        <w:ind w:firstLine="8"/>
        <w:spacing w:after="0" w:line="266" w:lineRule="auto"/>
        <w:tabs>
          <w:tab w:leader="none" w:pos="334" w:val="left"/>
        </w:tabs>
        <w:numPr>
          <w:ilvl w:val="0"/>
          <w:numId w:val="77"/>
        </w:numPr>
        <w:rPr>
          <w:rFonts w:ascii="Arial" w:cs="Arial" w:eastAsia="Arial" w:hAnsi="Arial"/>
          <w:sz w:val="19"/>
          <w:szCs w:val="19"/>
          <w:color w:val="auto"/>
        </w:rPr>
      </w:pPr>
      <w:r>
        <w:rPr>
          <w:rFonts w:ascii="Arial" w:cs="Arial" w:eastAsia="Arial" w:hAnsi="Arial"/>
          <w:sz w:val="19"/>
          <w:szCs w:val="19"/>
          <w:color w:val="auto"/>
        </w:rPr>
        <w:t>all vesting will terminate immediately with respect to Executive’s outstanding equity awards, (ii) all payments of compensation by the Company to Executive hereunder will terminate immediately (except as to amounts already earned), and</w:t>
      </w:r>
    </w:p>
    <w:p>
      <w:pPr>
        <w:spacing w:after="0" w:line="1" w:lineRule="exact"/>
        <w:rPr>
          <w:rFonts w:ascii="Arial" w:cs="Arial" w:eastAsia="Arial" w:hAnsi="Arial"/>
          <w:sz w:val="19"/>
          <w:szCs w:val="19"/>
          <w:color w:val="auto"/>
        </w:rPr>
      </w:pPr>
    </w:p>
    <w:p>
      <w:pPr>
        <w:ind w:firstLine="8"/>
        <w:spacing w:after="0" w:line="236" w:lineRule="auto"/>
        <w:tabs>
          <w:tab w:leader="none" w:pos="386" w:val="left"/>
        </w:tabs>
        <w:numPr>
          <w:ilvl w:val="0"/>
          <w:numId w:val="78"/>
        </w:numPr>
        <w:rPr>
          <w:rFonts w:ascii="Arial" w:cs="Arial" w:eastAsia="Arial" w:hAnsi="Arial"/>
          <w:sz w:val="22"/>
          <w:szCs w:val="22"/>
          <w:color w:val="auto"/>
        </w:rPr>
      </w:pPr>
      <w:r>
        <w:rPr>
          <w:rFonts w:ascii="Arial" w:cs="Arial" w:eastAsia="Arial" w:hAnsi="Arial"/>
          <w:sz w:val="22"/>
          <w:szCs w:val="22"/>
          <w:color w:val="auto"/>
        </w:rPr>
        <w:t>Executive will only be eligible for severance benefits in accordance with the Company’s established policies, if any, as then in effect.</w:t>
      </w:r>
    </w:p>
    <w:p>
      <w:pPr>
        <w:spacing w:after="0" w:line="187" w:lineRule="exact"/>
        <w:rPr>
          <w:sz w:val="20"/>
          <w:szCs w:val="20"/>
          <w:color w:val="auto"/>
        </w:rPr>
      </w:pPr>
    </w:p>
    <w:p>
      <w:pPr>
        <w:jc w:val="both"/>
        <w:ind w:firstLine="1663"/>
        <w:spacing w:after="0" w:line="233"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Termination for Any Reason</w:t>
      </w:r>
      <w:r>
        <w:rPr>
          <w:rFonts w:ascii="Arial" w:cs="Arial" w:eastAsia="Arial" w:hAnsi="Arial"/>
          <w:sz w:val="22"/>
          <w:szCs w:val="22"/>
          <w:color w:val="auto"/>
        </w:rPr>
        <w:t>. Upon termination of Executive’s employment for any reason, Executive (or his estate) shall be entitled to receive (i) his Base Salary accrued through the date of termination, (ii) earned but unused vacation and paid time off as of the date of termination, (iii) reimbursement of expenses properly incurred prior to termination and properly documented in accordance with the Company’s policy, (iv) all benefits, including continuation and conversion rights, provided upon termination of employment under the Company’s employee benefit plans and policies in accordance with the terms of such plans and policies, and (v) except in the case of termination for Cause or resignation without Good Reason, Executive’s Target Bonus actually earned for the fiscal year ending prior to the date of termination to the extent not yet paid on the date of termination (collectively the “</w:t>
      </w:r>
      <w:r>
        <w:rPr>
          <w:rFonts w:ascii="Arial" w:cs="Arial" w:eastAsia="Arial" w:hAnsi="Arial"/>
          <w:sz w:val="22"/>
          <w:szCs w:val="22"/>
          <w:b w:val="1"/>
          <w:bCs w:val="1"/>
          <w:color w:val="auto"/>
        </w:rPr>
        <w:t>Accrued Obligations</w:t>
      </w:r>
      <w:r>
        <w:rPr>
          <w:rFonts w:ascii="Arial" w:cs="Arial" w:eastAsia="Arial" w:hAnsi="Arial"/>
          <w:sz w:val="22"/>
          <w:szCs w:val="22"/>
          <w:color w:val="auto"/>
        </w:rPr>
        <w:t>”). For avoidance of doubt, upon termination for Cause or resignation without Good Reason, Executive shall not be entitled to any payments or benefits other than the Accrued Obligation.</w:t>
      </w:r>
    </w:p>
    <w:p>
      <w:pPr>
        <w:spacing w:after="0" w:line="190" w:lineRule="exact"/>
        <w:rPr>
          <w:sz w:val="20"/>
          <w:szCs w:val="20"/>
          <w:color w:val="auto"/>
        </w:rPr>
      </w:pPr>
    </w:p>
    <w:p>
      <w:pPr>
        <w:jc w:val="both"/>
        <w:ind w:firstLine="1663"/>
        <w:spacing w:after="0" w:line="279"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u w:val="single" w:color="auto"/>
          <w:color w:val="auto"/>
        </w:rPr>
        <w:t>Exclusive Remedy</w:t>
      </w:r>
      <w:r>
        <w:rPr>
          <w:rFonts w:ascii="Arial" w:cs="Arial" w:eastAsia="Arial" w:hAnsi="Arial"/>
          <w:sz w:val="19"/>
          <w:szCs w:val="19"/>
          <w:color w:val="auto"/>
        </w:rPr>
        <w:t>. In the event of a termination of Executive’s employment with the Company (or any parent or subsidiary or successor of the Company), the provisions of this Section 7 are intended to be and are exclusive and in lieu of any other rights or remedies to which Executive or the Company may otherwise be entitled, whether at law, tort or contract, in equity, or under this Agreement, including any prior employment agreements entered into between the Company and Executive. Executive will be entitled to no severance or other benefits upon termination of employment with respect to acceleration of award vesting or severance pay other than those benefits expressly set forth in this Section 7.</w:t>
      </w:r>
    </w:p>
    <w:p>
      <w:pPr>
        <w:spacing w:after="0" w:line="150" w:lineRule="exact"/>
        <w:rPr>
          <w:sz w:val="20"/>
          <w:szCs w:val="20"/>
          <w:color w:val="auto"/>
        </w:rPr>
      </w:pPr>
    </w:p>
    <w:p>
      <w:pPr>
        <w:ind w:left="840"/>
        <w:spacing w:after="0"/>
        <w:tabs>
          <w:tab w:leader="none" w:pos="228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22"/>
          <w:szCs w:val="22"/>
          <w:u w:val="single" w:color="auto"/>
          <w:color w:val="auto"/>
        </w:rPr>
        <w:t>Conditions to Receipt of Severance; No Duty to Mitigate</w:t>
      </w:r>
      <w:r>
        <w:rPr>
          <w:rFonts w:ascii="Arial" w:cs="Arial" w:eastAsia="Arial" w:hAnsi="Arial"/>
          <w:sz w:val="22"/>
          <w:szCs w:val="22"/>
          <w:color w:val="auto"/>
        </w:rPr>
        <w:t>.</w:t>
      </w:r>
    </w:p>
    <w:p>
      <w:pPr>
        <w:spacing w:after="0" w:line="206" w:lineRule="exact"/>
        <w:rPr>
          <w:sz w:val="20"/>
          <w:szCs w:val="20"/>
          <w:color w:val="auto"/>
        </w:rPr>
      </w:pPr>
    </w:p>
    <w:p>
      <w:pPr>
        <w:ind w:left="1680"/>
        <w:spacing w:after="0"/>
        <w:tabs>
          <w:tab w:leader="none" w:pos="384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u w:val="single" w:color="auto"/>
          <w:color w:val="auto"/>
        </w:rPr>
        <w:t>Separation Agreement and Release of Claims</w:t>
      </w:r>
      <w:r>
        <w:rPr>
          <w:rFonts w:ascii="Arial" w:cs="Arial" w:eastAsia="Arial" w:hAnsi="Arial"/>
          <w:sz w:val="19"/>
          <w:szCs w:val="19"/>
          <w:color w:val="auto"/>
        </w:rPr>
        <w:t>. The receipt of any severance pursuant</w:t>
      </w:r>
    </w:p>
    <w:p>
      <w:pPr>
        <w:spacing w:after="0" w:line="4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to Section 6(a) or (b) will be subject to Executive signing and not revoking a separation agreement and release of claims in a form reasonably satisfactory to the Company (the “</w:t>
      </w:r>
      <w:r>
        <w:rPr>
          <w:rFonts w:ascii="Arial" w:cs="Arial" w:eastAsia="Arial" w:hAnsi="Arial"/>
          <w:sz w:val="22"/>
          <w:szCs w:val="22"/>
          <w:b w:val="1"/>
          <w:bCs w:val="1"/>
          <w:color w:val="auto"/>
        </w:rPr>
        <w:t>Release</w:t>
      </w:r>
      <w:r>
        <w:rPr>
          <w:rFonts w:ascii="Arial" w:cs="Arial" w:eastAsia="Arial" w:hAnsi="Arial"/>
          <w:sz w:val="22"/>
          <w:szCs w:val="22"/>
          <w:color w:val="auto"/>
        </w:rPr>
        <w:t>”) and provided that such Release becomes effective and irrevocable no later than sixty (60) days following the termination date (such deadline, the “</w:t>
      </w:r>
      <w:r>
        <w:rPr>
          <w:rFonts w:ascii="Arial" w:cs="Arial" w:eastAsia="Arial" w:hAnsi="Arial"/>
          <w:sz w:val="22"/>
          <w:szCs w:val="22"/>
          <w:b w:val="1"/>
          <w:bCs w:val="1"/>
          <w:color w:val="auto"/>
        </w:rPr>
        <w:t>Release Deadline</w:t>
      </w:r>
      <w:r>
        <w:rPr>
          <w:rFonts w:ascii="Arial" w:cs="Arial" w:eastAsia="Arial" w:hAnsi="Arial"/>
          <w:sz w:val="22"/>
          <w:szCs w:val="22"/>
          <w:color w:val="auto"/>
        </w:rPr>
        <w:t>”). If the Release does not become effective and irrevocable by the Release Deadline, Executive will forfeit any rights to severance or benefits under this Agreement. In no event will severance payments or benefits be paid or provided until the Release becomes effective and irrevocable.</w:t>
      </w:r>
    </w:p>
    <w:p>
      <w:pPr>
        <w:spacing w:after="0" w:line="160" w:lineRule="exact"/>
        <w:rPr>
          <w:sz w:val="20"/>
          <w:szCs w:val="20"/>
          <w:color w:val="auto"/>
        </w:rPr>
      </w:pPr>
    </w:p>
    <w:tbl>
      <w:tblPr>
        <w:tblLayout w:type="fixed"/>
        <w:tblInd w:w="1680" w:type="dxa"/>
        <w:tblCellMar>
          <w:top w:w="0" w:type="dxa"/>
          <w:left w:w="0" w:type="dxa"/>
          <w:bottom w:w="0" w:type="dxa"/>
          <w:right w:w="0" w:type="dxa"/>
        </w:tblCellMar>
      </w:tblPr>
      <w:tr>
        <w:trPr>
          <w:trHeight w:val="253"/>
        </w:trPr>
        <w:tc>
          <w:tcPr>
            <w:tcW w:w="2180" w:type="dxa"/>
            <w:vAlign w:val="bottom"/>
          </w:tcPr>
          <w:p>
            <w:pPr>
              <w:spacing w:after="0"/>
              <w:rPr>
                <w:sz w:val="20"/>
                <w:szCs w:val="20"/>
                <w:color w:val="auto"/>
              </w:rPr>
            </w:pPr>
            <w:r>
              <w:rPr>
                <w:rFonts w:ascii="Arial" w:cs="Arial" w:eastAsia="Arial" w:hAnsi="Arial"/>
                <w:sz w:val="22"/>
                <w:szCs w:val="22"/>
                <w:color w:val="auto"/>
              </w:rPr>
              <w:t>(b)</w:t>
            </w:r>
          </w:p>
        </w:tc>
        <w:tc>
          <w:tcPr>
            <w:tcW w:w="7380" w:type="dxa"/>
            <w:vAlign w:val="bottom"/>
            <w:gridSpan w:val="2"/>
          </w:tcPr>
          <w:p>
            <w:pPr>
              <w:spacing w:after="0"/>
              <w:rPr>
                <w:sz w:val="20"/>
                <w:szCs w:val="20"/>
                <w:color w:val="auto"/>
              </w:rPr>
            </w:pPr>
            <w:r>
              <w:rPr>
                <w:rFonts w:ascii="Arial" w:cs="Arial" w:eastAsia="Arial" w:hAnsi="Arial"/>
                <w:sz w:val="22"/>
                <w:szCs w:val="22"/>
                <w:color w:val="auto"/>
              </w:rPr>
              <w:t>Section 409A.</w:t>
            </w:r>
          </w:p>
        </w:tc>
      </w:tr>
      <w:tr>
        <w:trPr>
          <w:trHeight w:val="476"/>
        </w:trPr>
        <w:tc>
          <w:tcPr>
            <w:tcW w:w="2180" w:type="dxa"/>
            <w:vAlign w:val="bottom"/>
          </w:tcPr>
          <w:p>
            <w:pPr>
              <w:ind w:left="1240"/>
              <w:spacing w:after="0"/>
              <w:rPr>
                <w:sz w:val="20"/>
                <w:szCs w:val="20"/>
                <w:color w:val="auto"/>
              </w:rPr>
            </w:pPr>
            <w:r>
              <w:rPr>
                <w:rFonts w:ascii="Arial" w:cs="Arial" w:eastAsia="Arial" w:hAnsi="Arial"/>
                <w:sz w:val="22"/>
                <w:szCs w:val="22"/>
                <w:color w:val="auto"/>
              </w:rPr>
              <w:t>(i)</w:t>
            </w:r>
          </w:p>
        </w:tc>
        <w:tc>
          <w:tcPr>
            <w:tcW w:w="1180" w:type="dxa"/>
            <w:vAlign w:val="bottom"/>
            <w:tcBorders>
              <w:top w:val="single" w:sz="8" w:color="auto"/>
            </w:tcBorders>
          </w:tcPr>
          <w:p>
            <w:pPr>
              <w:spacing w:after="0"/>
              <w:rPr>
                <w:sz w:val="24"/>
                <w:szCs w:val="24"/>
                <w:color w:val="auto"/>
              </w:rPr>
            </w:pPr>
          </w:p>
        </w:tc>
        <w:tc>
          <w:tcPr>
            <w:tcW w:w="6200" w:type="dxa"/>
            <w:vAlign w:val="bottom"/>
          </w:tcPr>
          <w:p>
            <w:pPr>
              <w:ind w:left="680"/>
              <w:spacing w:after="0"/>
              <w:rPr>
                <w:sz w:val="20"/>
                <w:szCs w:val="20"/>
                <w:color w:val="auto"/>
              </w:rPr>
            </w:pPr>
            <w:r>
              <w:rPr>
                <w:rFonts w:ascii="Arial" w:cs="Arial" w:eastAsia="Arial" w:hAnsi="Arial"/>
                <w:sz w:val="22"/>
                <w:szCs w:val="22"/>
                <w:color w:val="auto"/>
                <w:w w:val="90"/>
              </w:rPr>
              <w:t>Notwithstanding anything to the contrary in this Agreement, no</w:t>
            </w:r>
          </w:p>
        </w:tc>
      </w:tr>
    </w:tbl>
    <w:p>
      <w:pPr>
        <w:jc w:val="both"/>
        <w:spacing w:after="0" w:line="230" w:lineRule="auto"/>
        <w:rPr>
          <w:sz w:val="20"/>
          <w:szCs w:val="20"/>
          <w:color w:val="auto"/>
        </w:rPr>
      </w:pPr>
      <w:r>
        <w:rPr>
          <w:rFonts w:ascii="Arial" w:cs="Arial" w:eastAsia="Arial" w:hAnsi="Arial"/>
          <w:sz w:val="22"/>
          <w:szCs w:val="22"/>
          <w:color w:val="auto"/>
        </w:rPr>
        <w:t>severance pay or benefits to be paid or provided to Executive, if any, pursuant to this Agreement that, when considered together with any other severance payments or separation benefits, are considered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5" w:name="page166"/>
    <w:bookmarkEnd w:id="165"/>
    <w:p>
      <w:pPr>
        <w:jc w:val="both"/>
        <w:spacing w:after="0" w:line="251" w:lineRule="auto"/>
        <w:rPr>
          <w:sz w:val="20"/>
          <w:szCs w:val="20"/>
          <w:color w:val="auto"/>
        </w:rPr>
      </w:pPr>
      <w:r>
        <w:rPr>
          <w:rFonts w:ascii="Arial" w:cs="Arial" w:eastAsia="Arial" w:hAnsi="Arial"/>
          <w:sz w:val="21"/>
          <w:szCs w:val="21"/>
          <w:color w:val="auto"/>
        </w:rPr>
        <w:t>deferred compensation under Code Section 409A, and the final regulations and any guidance promulgated thereunder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409A</w:t>
      </w:r>
      <w:r>
        <w:rPr>
          <w:rFonts w:ascii="Arial" w:cs="Arial" w:eastAsia="Arial" w:hAnsi="Arial"/>
          <w:sz w:val="21"/>
          <w:szCs w:val="21"/>
          <w:color w:val="auto"/>
        </w:rPr>
        <w:t>”) (together, the “</w:t>
      </w:r>
      <w:r>
        <w:rPr>
          <w:rFonts w:ascii="Arial" w:cs="Arial" w:eastAsia="Arial" w:hAnsi="Arial"/>
          <w:sz w:val="21"/>
          <w:szCs w:val="21"/>
          <w:b w:val="1"/>
          <w:bCs w:val="1"/>
          <w:color w:val="auto"/>
        </w:rPr>
        <w:t>Deferred Payments</w:t>
      </w:r>
      <w:r>
        <w:rPr>
          <w:rFonts w:ascii="Arial" w:cs="Arial" w:eastAsia="Arial" w:hAnsi="Arial"/>
          <w:sz w:val="21"/>
          <w:szCs w:val="21"/>
          <w:color w:val="auto"/>
        </w:rPr>
        <w:t>”) will be paid or otherwise provided until Executive has a “separation from service”</w:t>
      </w:r>
      <w:r>
        <w:rPr>
          <w:rFonts w:ascii="Arial" w:cs="Arial" w:eastAsia="Arial" w:hAnsi="Arial"/>
          <w:sz w:val="21"/>
          <w:szCs w:val="21"/>
          <w:b w:val="1"/>
          <w:bCs w:val="1"/>
          <w:color w:val="auto"/>
        </w:rPr>
        <w:t xml:space="preserve"> </w:t>
      </w:r>
      <w:r>
        <w:rPr>
          <w:rFonts w:ascii="Arial" w:cs="Arial" w:eastAsia="Arial" w:hAnsi="Arial"/>
          <w:sz w:val="21"/>
          <w:szCs w:val="21"/>
          <w:color w:val="auto"/>
        </w:rPr>
        <w:t>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74" w:lineRule="exact"/>
        <w:rPr>
          <w:sz w:val="20"/>
          <w:szCs w:val="20"/>
          <w:color w:val="auto"/>
        </w:rPr>
      </w:pPr>
    </w:p>
    <w:p>
      <w:pPr>
        <w:jc w:val="both"/>
        <w:ind w:firstLine="2912"/>
        <w:spacing w:after="0" w:line="273" w:lineRule="auto"/>
        <w:rPr>
          <w:sz w:val="20"/>
          <w:szCs w:val="20"/>
          <w:color w:val="auto"/>
        </w:rPr>
      </w:pPr>
      <w:r>
        <w:rPr>
          <w:rFonts w:ascii="Arial" w:cs="Arial" w:eastAsia="Arial" w:hAnsi="Arial"/>
          <w:sz w:val="19"/>
          <w:szCs w:val="19"/>
          <w:color w:val="auto"/>
        </w:rPr>
        <w:t>(ii) Notwithstanding anything to the contrary in this Agreement, if Executive is a “specified employee” within the meaning of Section 409A at the time of Executive’s termination (other than due to death), then the Deferred Payments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for purposes of Section 1.409A-2(b)(2) of the Treasury Regulations.</w:t>
      </w:r>
    </w:p>
    <w:p>
      <w:pPr>
        <w:spacing w:after="0" w:line="155" w:lineRule="exact"/>
        <w:rPr>
          <w:sz w:val="20"/>
          <w:szCs w:val="20"/>
          <w:color w:val="auto"/>
        </w:rPr>
      </w:pPr>
    </w:p>
    <w:p>
      <w:pPr>
        <w:jc w:val="both"/>
        <w:ind w:firstLine="2912"/>
        <w:spacing w:after="0"/>
        <w:rPr>
          <w:sz w:val="20"/>
          <w:szCs w:val="20"/>
          <w:color w:val="auto"/>
        </w:rPr>
      </w:pPr>
      <w:r>
        <w:rPr>
          <w:rFonts w:ascii="Arial" w:cs="Arial" w:eastAsia="Arial" w:hAnsi="Arial"/>
          <w:sz w:val="22"/>
          <w:szCs w:val="22"/>
          <w:color w:val="auto"/>
        </w:rPr>
        <w:t>(iii) Any amount paid under this Agreement that satisfies the requirements of the “short-term deferral” rule set forth in Section 1.409A-1(b)(4) of the Treasury Regulations will not constitute Deferred Payments for purposes of clause (i) above.</w:t>
      </w:r>
    </w:p>
    <w:p>
      <w:pPr>
        <w:spacing w:after="0" w:line="186" w:lineRule="exact"/>
        <w:rPr>
          <w:sz w:val="20"/>
          <w:szCs w:val="20"/>
          <w:color w:val="auto"/>
        </w:rPr>
      </w:pPr>
    </w:p>
    <w:p>
      <w:pPr>
        <w:jc w:val="both"/>
        <w:ind w:firstLine="2912"/>
        <w:spacing w:after="0" w:line="238" w:lineRule="auto"/>
        <w:rPr>
          <w:sz w:val="20"/>
          <w:szCs w:val="20"/>
          <w:color w:val="auto"/>
        </w:rPr>
      </w:pPr>
      <w:r>
        <w:rPr>
          <w:rFonts w:ascii="Arial" w:cs="Arial" w:eastAsia="Arial" w:hAnsi="Arial"/>
          <w:sz w:val="22"/>
          <w:szCs w:val="22"/>
          <w:color w:val="auto"/>
        </w:rPr>
        <w:t>(iv) 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85" w:lineRule="exact"/>
        <w:rPr>
          <w:sz w:val="20"/>
          <w:szCs w:val="20"/>
          <w:color w:val="auto"/>
        </w:rPr>
      </w:pPr>
    </w:p>
    <w:p>
      <w:pPr>
        <w:jc w:val="both"/>
        <w:ind w:firstLine="2912"/>
        <w:spacing w:after="0" w:line="245" w:lineRule="auto"/>
        <w:rPr>
          <w:sz w:val="20"/>
          <w:szCs w:val="20"/>
          <w:color w:val="auto"/>
        </w:rPr>
      </w:pPr>
      <w:r>
        <w:rPr>
          <w:rFonts w:ascii="Arial" w:cs="Arial" w:eastAsia="Arial" w:hAnsi="Arial"/>
          <w:sz w:val="21"/>
          <w:szCs w:val="21"/>
          <w:color w:val="auto"/>
        </w:rPr>
        <w:t>(v)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Executive agrees and acknowledges that the Company makes no representations or warranties with respect to the application of Section 409A and other tax consequences to any payments hereunder and, by the acceptance of any such payments, Executive agrees to accept the potential application of Section 409A and the other tax consequences of any payments made hereunder.</w:t>
      </w:r>
    </w:p>
    <w:p>
      <w:pPr>
        <w:spacing w:after="0" w:line="184" w:lineRule="exact"/>
        <w:rPr>
          <w:sz w:val="20"/>
          <w:szCs w:val="20"/>
          <w:color w:val="auto"/>
        </w:rPr>
      </w:pPr>
    </w:p>
    <w:p>
      <w:pPr>
        <w:jc w:val="both"/>
        <w:ind w:firstLine="1663"/>
        <w:spacing w:after="0" w:line="236"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Confidential Information Agreement</w:t>
      </w:r>
      <w:r>
        <w:rPr>
          <w:rFonts w:ascii="Arial" w:cs="Arial" w:eastAsia="Arial" w:hAnsi="Arial"/>
          <w:sz w:val="22"/>
          <w:szCs w:val="22"/>
          <w:color w:val="auto"/>
        </w:rPr>
        <w:t>. Executive’s receipt of any payments or benefits under Section 6 will be subject to Executive continuing to comply with the terms of Confidential Information Agreement (as defined in Section 10). In the event Executive breaches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6" w:name="page167"/>
    <w:bookmarkEnd w:id="166"/>
    <w:p>
      <w:pPr>
        <w:jc w:val="both"/>
        <w:spacing w:after="0" w:line="250" w:lineRule="auto"/>
        <w:rPr>
          <w:sz w:val="20"/>
          <w:szCs w:val="20"/>
          <w:color w:val="auto"/>
        </w:rPr>
      </w:pPr>
      <w:r>
        <w:rPr>
          <w:rFonts w:ascii="Arial" w:cs="Arial" w:eastAsia="Arial" w:hAnsi="Arial"/>
          <w:sz w:val="22"/>
          <w:szCs w:val="22"/>
          <w:color w:val="auto"/>
        </w:rPr>
        <w:t>provisions of the Confidential Information Agreement, all continuing payments and benefits to which Executive may otherwise be entitled pursuant to Section 6(a) or (b) will immediately cease.</w:t>
      </w:r>
    </w:p>
    <w:p>
      <w:pPr>
        <w:spacing w:after="0" w:line="175" w:lineRule="exact"/>
        <w:rPr>
          <w:sz w:val="20"/>
          <w:szCs w:val="20"/>
          <w:color w:val="auto"/>
        </w:rPr>
      </w:pPr>
    </w:p>
    <w:p>
      <w:pPr>
        <w:jc w:val="both"/>
        <w:ind w:firstLine="1663"/>
        <w:spacing w:after="0"/>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No Duty to Mitigate</w:t>
      </w:r>
      <w:r>
        <w:rPr>
          <w:rFonts w:ascii="Arial" w:cs="Arial" w:eastAsia="Arial" w:hAnsi="Arial"/>
          <w:sz w:val="22"/>
          <w:szCs w:val="22"/>
          <w:color w:val="auto"/>
        </w:rPr>
        <w:t>. Executive will not be required to mitigate the amount of any payment contemplated by this Agreement, nor will any earnings that Executive may receive from any other source reduce any such payment.</w:t>
      </w:r>
    </w:p>
    <w:p>
      <w:pPr>
        <w:spacing w:after="0" w:line="157"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1460" w:type="dxa"/>
            <w:vAlign w:val="bottom"/>
          </w:tcPr>
          <w:p>
            <w:pPr>
              <w:jc w:val="right"/>
              <w:ind w:right="1192"/>
              <w:spacing w:after="0"/>
              <w:rPr>
                <w:sz w:val="20"/>
                <w:szCs w:val="20"/>
                <w:color w:val="auto"/>
              </w:rPr>
            </w:pPr>
            <w:r>
              <w:rPr>
                <w:rFonts w:ascii="Arial" w:cs="Arial" w:eastAsia="Arial" w:hAnsi="Arial"/>
                <w:sz w:val="22"/>
                <w:szCs w:val="22"/>
                <w:color w:val="auto"/>
                <w:w w:val="76"/>
              </w:rPr>
              <w:t>8.</w:t>
            </w:r>
          </w:p>
        </w:tc>
        <w:tc>
          <w:tcPr>
            <w:tcW w:w="8940" w:type="dxa"/>
            <w:vAlign w:val="bottom"/>
            <w:gridSpan w:val="4"/>
          </w:tcPr>
          <w:p>
            <w:pPr>
              <w:spacing w:after="0"/>
              <w:rPr>
                <w:sz w:val="20"/>
                <w:szCs w:val="20"/>
                <w:color w:val="auto"/>
              </w:rPr>
            </w:pPr>
            <w:r>
              <w:rPr>
                <w:rFonts w:ascii="Arial" w:cs="Arial" w:eastAsia="Arial" w:hAnsi="Arial"/>
                <w:sz w:val="22"/>
                <w:szCs w:val="22"/>
                <w:color w:val="auto"/>
              </w:rPr>
              <w:t>Definitions.</w:t>
            </w:r>
          </w:p>
        </w:tc>
      </w:tr>
      <w:tr>
        <w:trPr>
          <w:trHeight w:val="439"/>
        </w:trPr>
        <w:tc>
          <w:tcPr>
            <w:tcW w:w="1460" w:type="dxa"/>
            <w:vAlign w:val="bottom"/>
          </w:tcPr>
          <w:p>
            <w:pPr>
              <w:jc w:val="right"/>
              <w:ind w:right="272"/>
              <w:spacing w:after="0"/>
              <w:rPr>
                <w:sz w:val="20"/>
                <w:szCs w:val="20"/>
                <w:color w:val="auto"/>
              </w:rPr>
            </w:pPr>
            <w:r>
              <w:rPr>
                <w:rFonts w:ascii="Arial" w:cs="Arial" w:eastAsia="Arial" w:hAnsi="Arial"/>
                <w:sz w:val="22"/>
                <w:szCs w:val="22"/>
                <w:color w:val="auto"/>
              </w:rPr>
              <w:t>(a)</w:t>
            </w:r>
          </w:p>
        </w:tc>
        <w:tc>
          <w:tcPr>
            <w:tcW w:w="9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Arial" w:cs="Arial" w:eastAsia="Arial" w:hAnsi="Arial"/>
                <w:sz w:val="22"/>
                <w:szCs w:val="22"/>
                <w:color w:val="auto"/>
                <w:w w:val="91"/>
              </w:rPr>
              <w:t>Cause. For purposes of this Agreement, “</w:t>
            </w:r>
            <w:r>
              <w:rPr>
                <w:rFonts w:ascii="Arial" w:cs="Arial" w:eastAsia="Arial" w:hAnsi="Arial"/>
                <w:sz w:val="22"/>
                <w:szCs w:val="22"/>
                <w:b w:val="1"/>
                <w:bCs w:val="1"/>
                <w:color w:val="auto"/>
                <w:w w:val="91"/>
              </w:rPr>
              <w:t>Cause</w:t>
            </w:r>
            <w:r>
              <w:rPr>
                <w:rFonts w:ascii="Arial" w:cs="Arial" w:eastAsia="Arial" w:hAnsi="Arial"/>
                <w:sz w:val="22"/>
                <w:szCs w:val="22"/>
                <w:color w:val="auto"/>
                <w:w w:val="91"/>
              </w:rPr>
              <w:t>” is defined as (i) the willful failure,</w:t>
            </w:r>
          </w:p>
        </w:tc>
      </w:tr>
      <w:tr>
        <w:trPr>
          <w:trHeight w:val="20"/>
        </w:trPr>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disregard, or refusal by Executive to perform the services hereunder or follow the reasonable instructions of the Board;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willful failure, disregard, or refusal by Executive to perform the services hereunder shall not constitute Cause</w:t>
      </w:r>
      <w:r>
        <w:rPr>
          <w:rFonts w:ascii="Arial" w:cs="Arial" w:eastAsia="Arial" w:hAnsi="Arial"/>
          <w:sz w:val="21"/>
          <w:szCs w:val="21"/>
          <w:i w:val="1"/>
          <w:iCs w:val="1"/>
          <w:color w:val="auto"/>
        </w:rPr>
        <w:t xml:space="preserve"> </w:t>
      </w:r>
      <w:r>
        <w:rPr>
          <w:rFonts w:ascii="Arial" w:cs="Arial" w:eastAsia="Arial" w:hAnsi="Arial"/>
          <w:sz w:val="21"/>
          <w:szCs w:val="21"/>
          <w:color w:val="auto"/>
        </w:rPr>
        <w:t>unless cure is not effected, as determined in good faith by the Board, within thirty (30) days after notice thereof is received by the Executive from the Company; (ii) any willful or grossly negligent act by the Executive having the effect of injuring, in a material way (whether financial or otherwise) as determined in good faith by the Board, the business or reputation of the Company or any of its subsidiaries or affiliates; (iii) Executive’s conviction of, guilty plea, or plea of nolo contendere to any felony or a misdemeanor involving moral turpitude; (iv) the determination by the Company, after a reasonable and good faith investigation by the Company following a written allegation by an employee of the Company, that the Executive engaged in some form of harassment prohibited by law (including, without limitation, age, sex, disability, or race discrimination) unless Executive’s actions were specifically directed by the Board; or (v) material breach by the Executive of any material provision of this Agreement or any Confidential Information Agreement.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20" w:type="dxa"/>
            <w:vAlign w:val="bottom"/>
          </w:tcPr>
          <w:p>
            <w:pPr>
              <w:ind w:left="1680"/>
              <w:spacing w:after="0"/>
              <w:rPr>
                <w:sz w:val="20"/>
                <w:szCs w:val="20"/>
                <w:color w:val="auto"/>
              </w:rPr>
            </w:pPr>
            <w:r>
              <w:rPr>
                <w:rFonts w:ascii="Arial" w:cs="Arial" w:eastAsia="Arial" w:hAnsi="Arial"/>
                <w:sz w:val="22"/>
                <w:szCs w:val="22"/>
                <w:color w:val="auto"/>
              </w:rPr>
              <w:t>(b)</w:t>
            </w:r>
          </w:p>
        </w:tc>
        <w:tc>
          <w:tcPr>
            <w:tcW w:w="144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Arial" w:cs="Arial" w:eastAsia="Arial" w:hAnsi="Arial"/>
                <w:sz w:val="22"/>
                <w:szCs w:val="22"/>
                <w:color w:val="auto"/>
                <w:w w:val="95"/>
              </w:rPr>
              <w:t>Change of Control.</w:t>
            </w:r>
          </w:p>
        </w:tc>
        <w:tc>
          <w:tcPr>
            <w:tcW w:w="5600" w:type="dxa"/>
            <w:vAlign w:val="bottom"/>
          </w:tcPr>
          <w:p>
            <w:pPr>
              <w:ind w:left="80"/>
              <w:spacing w:after="0"/>
              <w:rPr>
                <w:sz w:val="20"/>
                <w:szCs w:val="20"/>
                <w:color w:val="auto"/>
              </w:rPr>
            </w:pPr>
            <w:r>
              <w:rPr>
                <w:rFonts w:ascii="Arial" w:cs="Arial" w:eastAsia="Arial" w:hAnsi="Arial"/>
                <w:sz w:val="22"/>
                <w:szCs w:val="22"/>
                <w:color w:val="auto"/>
                <w:w w:val="91"/>
              </w:rPr>
              <w:t>For purposes of this Agreement, “</w:t>
            </w:r>
            <w:r>
              <w:rPr>
                <w:rFonts w:ascii="Arial" w:cs="Arial" w:eastAsia="Arial" w:hAnsi="Arial"/>
                <w:sz w:val="22"/>
                <w:szCs w:val="22"/>
                <w:b w:val="1"/>
                <w:bCs w:val="1"/>
                <w:color w:val="auto"/>
                <w:w w:val="91"/>
              </w:rPr>
              <w:t>Change of Control</w:t>
            </w:r>
            <w:r>
              <w:rPr>
                <w:rFonts w:ascii="Arial" w:cs="Arial" w:eastAsia="Arial" w:hAnsi="Arial"/>
                <w:sz w:val="22"/>
                <w:szCs w:val="22"/>
                <w:color w:val="auto"/>
                <w:w w:val="91"/>
              </w:rPr>
              <w:t>” means</w:t>
            </w:r>
          </w:p>
        </w:tc>
      </w:tr>
      <w:tr>
        <w:trPr>
          <w:trHeight w:val="20"/>
        </w:trPr>
        <w:tc>
          <w:tcPr>
            <w:tcW w:w="3860" w:type="dxa"/>
            <w:vAlign w:val="bottom"/>
            <w:gridSpan w:val="2"/>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73"/>
        </w:trPr>
        <w:tc>
          <w:tcPr>
            <w:tcW w:w="5640" w:type="dxa"/>
            <w:vAlign w:val="bottom"/>
            <w:gridSpan w:val="4"/>
          </w:tcPr>
          <w:p>
            <w:pPr>
              <w:spacing w:after="0"/>
              <w:rPr>
                <w:sz w:val="20"/>
                <w:szCs w:val="20"/>
                <w:color w:val="auto"/>
              </w:rPr>
            </w:pPr>
            <w:r>
              <w:rPr>
                <w:rFonts w:ascii="Arial" w:cs="Arial" w:eastAsia="Arial" w:hAnsi="Arial"/>
                <w:sz w:val="22"/>
                <w:szCs w:val="22"/>
                <w:color w:val="auto"/>
              </w:rPr>
              <w:t>the occurrence of any of the following events:</w:t>
            </w:r>
          </w:p>
        </w:tc>
        <w:tc>
          <w:tcPr>
            <w:tcW w:w="5600" w:type="dxa"/>
            <w:vAlign w:val="bottom"/>
          </w:tcPr>
          <w:p>
            <w:pPr>
              <w:spacing w:after="0"/>
              <w:rPr>
                <w:sz w:val="23"/>
                <w:szCs w:val="23"/>
                <w:color w:val="auto"/>
              </w:rPr>
            </w:pPr>
          </w:p>
        </w:tc>
      </w:tr>
      <w:tr>
        <w:trPr>
          <w:trHeight w:val="446"/>
        </w:trPr>
        <w:tc>
          <w:tcPr>
            <w:tcW w:w="2420" w:type="dxa"/>
            <w:vAlign w:val="bottom"/>
          </w:tcPr>
          <w:p>
            <w:pPr>
              <w:spacing w:after="0"/>
              <w:rPr>
                <w:sz w:val="24"/>
                <w:szCs w:val="24"/>
                <w:color w:val="auto"/>
              </w:rPr>
            </w:pPr>
          </w:p>
        </w:tc>
        <w:tc>
          <w:tcPr>
            <w:tcW w:w="3220" w:type="dxa"/>
            <w:vAlign w:val="bottom"/>
            <w:gridSpan w:val="3"/>
          </w:tcPr>
          <w:p>
            <w:pPr>
              <w:ind w:left="500"/>
              <w:spacing w:after="0"/>
              <w:rPr>
                <w:sz w:val="20"/>
                <w:szCs w:val="20"/>
                <w:color w:val="auto"/>
              </w:rPr>
            </w:pPr>
            <w:r>
              <w:rPr>
                <w:rFonts w:ascii="Arial" w:cs="Arial" w:eastAsia="Arial" w:hAnsi="Arial"/>
                <w:sz w:val="22"/>
                <w:szCs w:val="22"/>
                <w:color w:val="auto"/>
              </w:rPr>
              <w:t>(i)</w:t>
            </w:r>
          </w:p>
        </w:tc>
        <w:tc>
          <w:tcPr>
            <w:tcW w:w="5600" w:type="dxa"/>
            <w:vAlign w:val="bottom"/>
          </w:tcPr>
          <w:p>
            <w:pPr>
              <w:ind w:left="80"/>
              <w:spacing w:after="0"/>
              <w:rPr>
                <w:sz w:val="20"/>
                <w:szCs w:val="20"/>
                <w:color w:val="auto"/>
              </w:rPr>
            </w:pPr>
            <w:r>
              <w:rPr>
                <w:rFonts w:ascii="Arial" w:cs="Arial" w:eastAsia="Arial" w:hAnsi="Arial"/>
                <w:sz w:val="22"/>
                <w:szCs w:val="22"/>
                <w:color w:val="auto"/>
                <w:w w:val="88"/>
              </w:rPr>
              <w:t>a change in the ownership of the Company which occurs on the</w:t>
            </w:r>
          </w:p>
        </w:tc>
      </w:tr>
    </w:tbl>
    <w:p>
      <w:pPr>
        <w:jc w:val="both"/>
        <w:spacing w:after="0" w:line="269" w:lineRule="auto"/>
        <w:rPr>
          <w:sz w:val="20"/>
          <w:szCs w:val="20"/>
          <w:color w:val="auto"/>
        </w:rPr>
      </w:pPr>
      <w:r>
        <w:rPr>
          <w:rFonts w:ascii="Arial" w:cs="Arial" w:eastAsia="Arial" w:hAnsi="Arial"/>
          <w:sz w:val="19"/>
          <w:szCs w:val="19"/>
          <w:color w:val="auto"/>
        </w:rPr>
        <w:t>date that any one person (as defined in Section 13(d) and Section 14(d) of the Exchange Act),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of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of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7" w:name="page168"/>
    <w:bookmarkEnd w:id="167"/>
    <w:p>
      <w:pPr>
        <w:jc w:val="both"/>
        <w:ind w:right="20" w:firstLine="2912"/>
        <w:spacing w:after="0" w:line="235" w:lineRule="auto"/>
        <w:rPr>
          <w:sz w:val="20"/>
          <w:szCs w:val="20"/>
          <w:color w:val="auto"/>
        </w:rPr>
      </w:pPr>
      <w:r>
        <w:rPr>
          <w:rFonts w:ascii="Arial" w:cs="Arial" w:eastAsia="Arial" w:hAnsi="Arial"/>
          <w:sz w:val="22"/>
          <w:szCs w:val="22"/>
          <w:color w:val="auto"/>
        </w:rPr>
        <w:t>(ii) A change in the effective control of the Company which occurs on the date that a majority of members of the Board of Directors of the Company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8" w:lineRule="exact"/>
        <w:rPr>
          <w:sz w:val="20"/>
          <w:szCs w:val="20"/>
          <w:color w:val="auto"/>
        </w:rPr>
      </w:pPr>
    </w:p>
    <w:p>
      <w:pPr>
        <w:jc w:val="both"/>
        <w:ind w:right="20" w:firstLine="2912"/>
        <w:spacing w:after="0" w:line="269" w:lineRule="auto"/>
        <w:rPr>
          <w:sz w:val="20"/>
          <w:szCs w:val="20"/>
          <w:color w:val="auto"/>
        </w:rPr>
      </w:pPr>
      <w:r>
        <w:rPr>
          <w:rFonts w:ascii="Arial" w:cs="Arial" w:eastAsia="Arial" w:hAnsi="Arial"/>
          <w:sz w:val="19"/>
          <w:szCs w:val="19"/>
          <w:color w:val="auto"/>
        </w:rPr>
        <w:t>(iii)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w:t>
      </w:r>
    </w:p>
    <w:p>
      <w:pPr>
        <w:spacing w:after="0" w:line="3" w:lineRule="exact"/>
        <w:rPr>
          <w:sz w:val="20"/>
          <w:szCs w:val="20"/>
          <w:color w:val="auto"/>
        </w:rPr>
      </w:pPr>
    </w:p>
    <w:p>
      <w:pPr>
        <w:jc w:val="both"/>
        <w:ind w:right="20" w:firstLine="8"/>
        <w:spacing w:after="0" w:line="232" w:lineRule="auto"/>
        <w:tabs>
          <w:tab w:leader="none" w:pos="328"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(8)(b)(ii). For purposes of this subsection (iii), gross fair market value means the value of the assets of the Company, or the value of the assets being disposed of, determined without regard to any liabilities associated with such assets.</w:t>
      </w:r>
    </w:p>
    <w:p>
      <w:pPr>
        <w:spacing w:after="0" w:line="189" w:lineRule="exact"/>
        <w:rPr>
          <w:sz w:val="20"/>
          <w:szCs w:val="20"/>
          <w:color w:val="auto"/>
        </w:rPr>
      </w:pPr>
    </w:p>
    <w:p>
      <w:pPr>
        <w:jc w:val="both"/>
        <w:ind w:right="20" w:firstLine="2496"/>
        <w:spacing w:after="0"/>
        <w:rPr>
          <w:sz w:val="20"/>
          <w:szCs w:val="20"/>
          <w:color w:val="auto"/>
        </w:rPr>
      </w:pPr>
      <w:r>
        <w:rPr>
          <w:rFonts w:ascii="Arial" w:cs="Arial" w:eastAsia="Arial" w:hAnsi="Arial"/>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86" w:lineRule="exact"/>
        <w:rPr>
          <w:sz w:val="20"/>
          <w:szCs w:val="20"/>
          <w:color w:val="auto"/>
        </w:rPr>
      </w:pPr>
    </w:p>
    <w:p>
      <w:pPr>
        <w:jc w:val="both"/>
        <w:ind w:right="20" w:firstLine="2496"/>
        <w:spacing w:after="0" w:line="238" w:lineRule="auto"/>
        <w:rPr>
          <w:sz w:val="20"/>
          <w:szCs w:val="20"/>
          <w:color w:val="auto"/>
        </w:rPr>
      </w:pPr>
      <w:r>
        <w:rPr>
          <w:rFonts w:ascii="Arial" w:cs="Arial" w:eastAsia="Arial" w:hAnsi="Arial"/>
          <w:sz w:val="22"/>
          <w:szCs w:val="22"/>
          <w:color w:val="auto"/>
        </w:rPr>
        <w:t>Notwithstanding the foregoing, a transaction will not be deemed a Change in Control unless the transaction qualifies as a change in control event within the meaning of Section 409A, as it has been and may be amended from time to time, and any proposed or final Treasury Regulations and Internal Revenue Service guidance that has been promulgated or may be promulgated thereunder from time to time.</w:t>
      </w:r>
    </w:p>
    <w:p>
      <w:pPr>
        <w:spacing w:after="0" w:line="185" w:lineRule="exact"/>
        <w:rPr>
          <w:sz w:val="20"/>
          <w:szCs w:val="20"/>
          <w:color w:val="auto"/>
        </w:rPr>
      </w:pPr>
    </w:p>
    <w:p>
      <w:pPr>
        <w:jc w:val="both"/>
        <w:ind w:right="20" w:firstLine="2496"/>
        <w:spacing w:after="0" w:line="238" w:lineRule="auto"/>
        <w:rPr>
          <w:sz w:val="20"/>
          <w:szCs w:val="20"/>
          <w:color w:val="auto"/>
        </w:rPr>
      </w:pPr>
      <w:r>
        <w:rPr>
          <w:rFonts w:ascii="Arial" w:cs="Arial" w:eastAsia="Arial" w:hAnsi="Arial"/>
          <w:sz w:val="22"/>
          <w:szCs w:val="22"/>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9" w:lineRule="exact"/>
        <w:rPr>
          <w:sz w:val="20"/>
          <w:szCs w:val="20"/>
          <w:color w:val="auto"/>
        </w:rPr>
      </w:pPr>
    </w:p>
    <w:p>
      <w:pPr>
        <w:jc w:val="both"/>
        <w:ind w:right="20" w:firstLine="1663"/>
        <w:spacing w:after="0" w:line="243"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Change of Control Period</w:t>
      </w:r>
      <w:r>
        <w:rPr>
          <w:rFonts w:ascii="Arial" w:cs="Arial" w:eastAsia="Arial" w:hAnsi="Arial"/>
          <w:sz w:val="22"/>
          <w:szCs w:val="22"/>
          <w:color w:val="auto"/>
        </w:rPr>
        <w:t>. For purposes of this Agreement, “</w:t>
      </w:r>
      <w:r>
        <w:rPr>
          <w:rFonts w:ascii="Arial" w:cs="Arial" w:eastAsia="Arial" w:hAnsi="Arial"/>
          <w:sz w:val="22"/>
          <w:szCs w:val="22"/>
          <w:b w:val="1"/>
          <w:bCs w:val="1"/>
          <w:color w:val="auto"/>
        </w:rPr>
        <w:t>Change of Control</w:t>
      </w:r>
      <w:r>
        <w:rPr>
          <w:rFonts w:ascii="Arial" w:cs="Arial" w:eastAsia="Arial" w:hAnsi="Arial"/>
          <w:sz w:val="22"/>
          <w:szCs w:val="22"/>
          <w:color w:val="auto"/>
        </w:rPr>
        <w:t xml:space="preserve"> </w:t>
      </w:r>
      <w:r>
        <w:rPr>
          <w:rFonts w:ascii="Arial" w:cs="Arial" w:eastAsia="Arial" w:hAnsi="Arial"/>
          <w:sz w:val="22"/>
          <w:szCs w:val="22"/>
          <w:b w:val="1"/>
          <w:bCs w:val="1"/>
          <w:color w:val="auto"/>
        </w:rPr>
        <w:t>Period</w:t>
      </w:r>
      <w:r>
        <w:rPr>
          <w:rFonts w:ascii="Arial" w:cs="Arial" w:eastAsia="Arial" w:hAnsi="Arial"/>
          <w:sz w:val="22"/>
          <w:szCs w:val="22"/>
          <w:color w:val="auto"/>
        </w:rPr>
        <w:t>” means the period that begins three (3) months prior to a Change of Control and ends twelve (12) months following a</w:t>
      </w:r>
      <w:r>
        <w:rPr>
          <w:rFonts w:ascii="Arial" w:cs="Arial" w:eastAsia="Arial" w:hAnsi="Arial"/>
          <w:sz w:val="22"/>
          <w:szCs w:val="22"/>
          <w:b w:val="1"/>
          <w:bCs w:val="1"/>
          <w:color w:val="auto"/>
        </w:rPr>
        <w:t xml:space="preserve"> </w:t>
      </w:r>
      <w:r>
        <w:rPr>
          <w:rFonts w:ascii="Arial" w:cs="Arial" w:eastAsia="Arial" w:hAnsi="Arial"/>
          <w:sz w:val="22"/>
          <w:szCs w:val="22"/>
          <w:color w:val="auto"/>
        </w:rPr>
        <w:t>Change of Control.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60" w:type="dxa"/>
            <w:vAlign w:val="bottom"/>
          </w:tcPr>
          <w:p>
            <w:pPr>
              <w:ind w:left="1680"/>
              <w:spacing w:after="0"/>
              <w:rPr>
                <w:sz w:val="20"/>
                <w:szCs w:val="20"/>
                <w:color w:val="auto"/>
              </w:rPr>
            </w:pPr>
            <w:r>
              <w:rPr>
                <w:rFonts w:ascii="Arial" w:cs="Arial" w:eastAsia="Arial" w:hAnsi="Arial"/>
                <w:sz w:val="22"/>
                <w:szCs w:val="22"/>
                <w:color w:val="auto"/>
              </w:rPr>
              <w:t>(d)</w:t>
            </w:r>
          </w:p>
        </w:tc>
        <w:tc>
          <w:tcPr>
            <w:tcW w:w="7400" w:type="dxa"/>
            <w:vAlign w:val="bottom"/>
            <w:gridSpan w:val="2"/>
          </w:tcPr>
          <w:p>
            <w:pPr>
              <w:jc w:val="right"/>
              <w:spacing w:after="0"/>
              <w:rPr>
                <w:sz w:val="20"/>
                <w:szCs w:val="20"/>
                <w:color w:val="auto"/>
              </w:rPr>
            </w:pPr>
            <w:r>
              <w:rPr>
                <w:rFonts w:ascii="Arial" w:cs="Arial" w:eastAsia="Arial" w:hAnsi="Arial"/>
                <w:sz w:val="22"/>
                <w:szCs w:val="22"/>
                <w:color w:val="auto"/>
                <w:w w:val="89"/>
              </w:rPr>
              <w:t>Code. For purposes of this Agreement, “</w:t>
            </w:r>
            <w:r>
              <w:rPr>
                <w:rFonts w:ascii="Arial" w:cs="Arial" w:eastAsia="Arial" w:hAnsi="Arial"/>
                <w:sz w:val="22"/>
                <w:szCs w:val="22"/>
                <w:b w:val="1"/>
                <w:bCs w:val="1"/>
                <w:color w:val="auto"/>
                <w:w w:val="89"/>
              </w:rPr>
              <w:t>Code</w:t>
            </w:r>
            <w:r>
              <w:rPr>
                <w:rFonts w:ascii="Arial" w:cs="Arial" w:eastAsia="Arial" w:hAnsi="Arial"/>
                <w:sz w:val="22"/>
                <w:szCs w:val="22"/>
                <w:color w:val="auto"/>
                <w:w w:val="89"/>
              </w:rPr>
              <w:t>” means the Internal Revenue Code of</w:t>
            </w:r>
          </w:p>
        </w:tc>
        <w:tc>
          <w:tcPr>
            <w:tcW w:w="0" w:type="dxa"/>
            <w:vAlign w:val="bottom"/>
          </w:tcPr>
          <w:p>
            <w:pPr>
              <w:spacing w:after="0"/>
              <w:rPr>
                <w:sz w:val="1"/>
                <w:szCs w:val="1"/>
                <w:color w:val="auto"/>
              </w:rPr>
            </w:pPr>
          </w:p>
        </w:tc>
      </w:tr>
      <w:tr>
        <w:trPr>
          <w:trHeight w:val="274"/>
        </w:trPr>
        <w:tc>
          <w:tcPr>
            <w:tcW w:w="3860" w:type="dxa"/>
            <w:vAlign w:val="bottom"/>
          </w:tcPr>
          <w:p>
            <w:pPr>
              <w:spacing w:after="0"/>
              <w:rPr>
                <w:sz w:val="20"/>
                <w:szCs w:val="20"/>
                <w:color w:val="auto"/>
              </w:rPr>
            </w:pPr>
            <w:r>
              <w:rPr>
                <w:rFonts w:ascii="Arial" w:cs="Arial" w:eastAsia="Arial" w:hAnsi="Arial"/>
                <w:sz w:val="22"/>
                <w:szCs w:val="22"/>
                <w:color w:val="auto"/>
              </w:rPr>
              <w:t>1986, as amended.</w:t>
            </w:r>
          </w:p>
        </w:tc>
        <w:tc>
          <w:tcPr>
            <w:tcW w:w="460" w:type="dxa"/>
            <w:vAlign w:val="bottom"/>
            <w:tcBorders>
              <w:top w:val="single" w:sz="8" w:color="auto"/>
            </w:tcBorders>
            <w:vMerge w:val="restart"/>
          </w:tcPr>
          <w:p>
            <w:pPr>
              <w:spacing w:after="0"/>
              <w:rPr>
                <w:sz w:val="23"/>
                <w:szCs w:val="23"/>
                <w:color w:val="auto"/>
              </w:rPr>
            </w:pPr>
          </w:p>
        </w:tc>
        <w:tc>
          <w:tcPr>
            <w:tcW w:w="6940" w:type="dxa"/>
            <w:vAlign w:val="bottom"/>
            <w:vMerge w:val="restart"/>
          </w:tcPr>
          <w:p>
            <w:pPr>
              <w:jc w:val="right"/>
              <w:ind w:right="5392"/>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6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8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bookmarkStart w:id="168" w:name="page169"/>
    <w:bookmarkEnd w:id="168"/>
    <w:p>
      <w:pPr>
        <w:jc w:val="both"/>
        <w:ind w:firstLine="1663"/>
        <w:spacing w:after="0" w:line="237" w:lineRule="auto"/>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u w:val="single" w:color="auto"/>
          <w:color w:val="auto"/>
        </w:rPr>
        <w:t>Disability</w:t>
      </w:r>
      <w:r>
        <w:rPr>
          <w:rFonts w:ascii="Arial" w:cs="Arial" w:eastAsia="Arial" w:hAnsi="Arial"/>
          <w:sz w:val="22"/>
          <w:szCs w:val="22"/>
          <w:color w:val="auto"/>
        </w:rPr>
        <w:t>. For purposes of this Agreement, “</w:t>
      </w:r>
      <w:r>
        <w:rPr>
          <w:rFonts w:ascii="Arial" w:cs="Arial" w:eastAsia="Arial" w:hAnsi="Arial"/>
          <w:sz w:val="22"/>
          <w:szCs w:val="22"/>
          <w:b w:val="1"/>
          <w:bCs w:val="1"/>
          <w:color w:val="auto"/>
        </w:rPr>
        <w:t>Disability</w:t>
      </w:r>
      <w:r>
        <w:rPr>
          <w:rFonts w:ascii="Arial" w:cs="Arial" w:eastAsia="Arial" w:hAnsi="Arial"/>
          <w:sz w:val="22"/>
          <w:szCs w:val="22"/>
          <w:color w:val="auto"/>
        </w:rPr>
        <w:t>” means that Executive has been unable to engage in any substantial gainful activity by reason of any medically determinable physical or mental impairment for a period of ninety (90) consecutive days or more, or more than one hundred and eighty (180) days within any twelve (12)-month period, in each case, determined by the Board. This provision shall be subject to compliance with all federal, state and local disability laws.</w:t>
      </w:r>
    </w:p>
    <w:p>
      <w:pPr>
        <w:spacing w:after="0" w:line="182" w:lineRule="exact"/>
        <w:rPr>
          <w:sz w:val="20"/>
          <w:szCs w:val="20"/>
          <w:color w:val="auto"/>
        </w:rPr>
      </w:pPr>
    </w:p>
    <w:p>
      <w:pPr>
        <w:jc w:val="both"/>
        <w:ind w:firstLine="1663"/>
        <w:spacing w:after="0" w:line="245" w:lineRule="auto"/>
        <w:rPr>
          <w:sz w:val="20"/>
          <w:szCs w:val="20"/>
          <w:color w:val="auto"/>
        </w:rPr>
      </w:pPr>
      <w:r>
        <w:rPr>
          <w:rFonts w:ascii="Arial" w:cs="Arial" w:eastAsia="Arial" w:hAnsi="Arial"/>
          <w:sz w:val="21"/>
          <w:szCs w:val="21"/>
          <w:color w:val="auto"/>
        </w:rPr>
        <w:t xml:space="preserve">(f) </w:t>
      </w:r>
      <w:r>
        <w:rPr>
          <w:rFonts w:ascii="Arial" w:cs="Arial" w:eastAsia="Arial" w:hAnsi="Arial"/>
          <w:sz w:val="21"/>
          <w:szCs w:val="21"/>
          <w:u w:val="single" w:color="auto"/>
          <w:color w:val="auto"/>
        </w:rPr>
        <w:t>Good Reason</w:t>
      </w:r>
      <w:r>
        <w:rPr>
          <w:rFonts w:ascii="Arial" w:cs="Arial" w:eastAsia="Arial" w:hAnsi="Arial"/>
          <w:sz w:val="21"/>
          <w:szCs w:val="21"/>
          <w:color w:val="auto"/>
        </w:rPr>
        <w:t>. For the purposes of this Agreement, “</w:t>
      </w:r>
      <w:r>
        <w:rPr>
          <w:rFonts w:ascii="Arial" w:cs="Arial" w:eastAsia="Arial" w:hAnsi="Arial"/>
          <w:sz w:val="21"/>
          <w:szCs w:val="21"/>
          <w:b w:val="1"/>
          <w:bCs w:val="1"/>
          <w:color w:val="auto"/>
        </w:rPr>
        <w:t>Good Reason</w:t>
      </w:r>
      <w:r>
        <w:rPr>
          <w:rFonts w:ascii="Arial" w:cs="Arial" w:eastAsia="Arial" w:hAnsi="Arial"/>
          <w:sz w:val="21"/>
          <w:szCs w:val="21"/>
          <w:color w:val="auto"/>
        </w:rPr>
        <w:t>” means Executive’s resignation within thirty (30) days following the expiration of any Company cure period (discussed below) following the occurrence of one or more of the following, without Executive’s express written consent: (i) a material breach of any provision of this Agreement by the Company; (ii) any material reduction by the Company of Executive’s duties, responsibilities, or authority which causes Executive’s position to become materially of less responsibility or authority than Executive’s position as of immediately following the Effective Date; (iii) a material relocation of the Company’s principal place of business of Executive outside of the Southern California area; or (iv) a material (more than 7%) diminution in Executive’s base salary (other than in the context of salary or consideration reductions applied in identical percentages to all executive officers of the Company).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the Company receives such notice during which such condition must not have been cured.</w:t>
      </w:r>
    </w:p>
    <w:p>
      <w:pPr>
        <w:spacing w:after="0" w:line="174" w:lineRule="exact"/>
        <w:rPr>
          <w:sz w:val="20"/>
          <w:szCs w:val="20"/>
          <w:color w:val="auto"/>
        </w:rPr>
      </w:pPr>
    </w:p>
    <w:p>
      <w:pPr>
        <w:jc w:val="both"/>
        <w:ind w:firstLine="1663"/>
        <w:spacing w:after="0" w:line="249" w:lineRule="auto"/>
        <w:rPr>
          <w:sz w:val="20"/>
          <w:szCs w:val="20"/>
          <w:color w:val="auto"/>
        </w:rPr>
      </w:pPr>
      <w:r>
        <w:rPr>
          <w:rFonts w:ascii="Arial" w:cs="Arial" w:eastAsia="Arial" w:hAnsi="Arial"/>
          <w:sz w:val="21"/>
          <w:szCs w:val="21"/>
          <w:color w:val="auto"/>
        </w:rPr>
        <w:t xml:space="preserve">(g) </w:t>
      </w:r>
      <w:r>
        <w:rPr>
          <w:rFonts w:ascii="Arial" w:cs="Arial" w:eastAsia="Arial" w:hAnsi="Arial"/>
          <w:sz w:val="21"/>
          <w:szCs w:val="21"/>
          <w:u w:val="single" w:color="auto"/>
          <w:color w:val="auto"/>
        </w:rPr>
        <w:t>Section 409A Limit</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Section 409A Limit</w:t>
      </w:r>
      <w:r>
        <w:rPr>
          <w:rFonts w:ascii="Arial" w:cs="Arial" w:eastAsia="Arial" w:hAnsi="Arial"/>
          <w:sz w:val="21"/>
          <w:szCs w:val="21"/>
          <w:color w:val="auto"/>
        </w:rPr>
        <w:t>” will mean two (2) times the lesser of: (i) Executive’s annualized compensation based upon the annual rate of pay paid to Executive during the Executive’s taxable year preceding the Executive’s taxable year of Executive’s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77" w:lineRule="exact"/>
        <w:rPr>
          <w:sz w:val="20"/>
          <w:szCs w:val="20"/>
          <w:color w:val="auto"/>
        </w:rPr>
      </w:pPr>
    </w:p>
    <w:p>
      <w:pPr>
        <w:jc w:val="both"/>
        <w:ind w:firstLine="832"/>
        <w:spacing w:after="0" w:line="238" w:lineRule="auto"/>
        <w:rPr>
          <w:sz w:val="20"/>
          <w:szCs w:val="20"/>
          <w:color w:val="auto"/>
        </w:rPr>
      </w:pPr>
      <w:r>
        <w:rPr>
          <w:rFonts w:ascii="Arial" w:cs="Arial" w:eastAsia="Arial" w:hAnsi="Arial"/>
          <w:sz w:val="22"/>
          <w:szCs w:val="22"/>
          <w:color w:val="auto"/>
        </w:rPr>
        <w:t xml:space="preserve">9. </w:t>
      </w:r>
      <w:r>
        <w:rPr>
          <w:rFonts w:ascii="Arial" w:cs="Arial" w:eastAsia="Arial" w:hAnsi="Arial"/>
          <w:sz w:val="22"/>
          <w:szCs w:val="22"/>
          <w:u w:val="single" w:color="auto"/>
          <w:color w:val="auto"/>
        </w:rPr>
        <w:t>Limitation on Payments</w:t>
      </w:r>
      <w:r>
        <w:rPr>
          <w:rFonts w:ascii="Arial" w:cs="Arial" w:eastAsia="Arial" w:hAnsi="Arial"/>
          <w:sz w:val="22"/>
          <w:szCs w:val="22"/>
          <w:color w:val="auto"/>
        </w:rPr>
        <w:t>. In the event that the severance and other benefits provided for in this Agreement or otherwise payable to Executive (i) constitute “parachute payments” within the meaning of Section 280G of the Code and (ii) but for this Section 9, would be subject to the excise tax imposed by Section 4999 of the Code, then Executive’s severance benefits will be either:</w:t>
      </w:r>
    </w:p>
    <w:p>
      <w:pPr>
        <w:sectPr>
          <w:pgSz w:w="11900" w:h="16838" w:orient="portrait"/>
          <w:cols w:equalWidth="0" w:num="1">
            <w:col w:w="11240"/>
          </w:cols>
          <w:pgMar w:left="320" w:top="544" w:right="339" w:bottom="1440" w:gutter="0" w:footer="0" w:header="0"/>
        </w:sectPr>
      </w:pPr>
    </w:p>
    <w:p>
      <w:pPr>
        <w:spacing w:after="0" w:line="185" w:lineRule="exact"/>
        <w:rPr>
          <w:sz w:val="20"/>
          <w:szCs w:val="20"/>
          <w:color w:val="auto"/>
        </w:rPr>
      </w:pPr>
    </w:p>
    <w:p>
      <w:pPr>
        <w:ind w:left="1680"/>
        <w:spacing w:after="0"/>
        <w:rPr>
          <w:sz w:val="20"/>
          <w:szCs w:val="20"/>
          <w:color w:val="auto"/>
        </w:rPr>
      </w:pPr>
      <w:r>
        <w:rPr>
          <w:rFonts w:ascii="Arial" w:cs="Arial" w:eastAsia="Arial" w:hAnsi="Arial"/>
          <w:sz w:val="19"/>
          <w:szCs w:val="19"/>
          <w:color w:val="auto"/>
        </w:rPr>
        <w:t>(a)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delivered in full, or</w:t>
      </w:r>
    </w:p>
    <w:p>
      <w:pPr>
        <w:spacing w:after="0" w:line="200" w:lineRule="exact"/>
        <w:rPr>
          <w:sz w:val="20"/>
          <w:szCs w:val="20"/>
          <w:color w:val="auto"/>
        </w:rPr>
      </w:pPr>
    </w:p>
    <w:p>
      <w:pPr>
        <w:sectPr>
          <w:pgSz w:w="11900" w:h="16838" w:orient="portrait"/>
          <w:cols w:equalWidth="0" w:num="2">
            <w:col w:w="3140" w:space="720"/>
            <w:col w:w="7380"/>
          </w:cols>
          <w:pgMar w:left="320" w:top="544" w:right="339" w:bottom="1440" w:gutter="0" w:footer="0" w:header="0"/>
          <w:type w:val="continuous"/>
        </w:sectPr>
      </w:pPr>
    </w:p>
    <w:p>
      <w:pPr>
        <w:spacing w:after="0" w:line="41" w:lineRule="exact"/>
        <w:rPr>
          <w:sz w:val="20"/>
          <w:szCs w:val="20"/>
          <w:color w:val="auto"/>
        </w:rPr>
      </w:pPr>
    </w:p>
    <w:p>
      <w:pPr>
        <w:ind w:left="1680"/>
        <w:spacing w:after="0"/>
        <w:tabs>
          <w:tab w:leader="none" w:pos="384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delivered as to such lesser extent which would result in no portion of such severance</w:t>
      </w:r>
    </w:p>
    <w:p>
      <w:pPr>
        <w:sectPr>
          <w:pgSz w:w="11900" w:h="16838" w:orient="portrait"/>
          <w:cols w:equalWidth="0" w:num="1">
            <w:col w:w="11240"/>
          </w:cols>
          <w:pgMar w:left="320" w:top="544"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benefits being subject to the excise tax under Section 4999 of the Code,</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cash severance payments; (2) cancellation of accelerated vesting</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69" w:name="page170"/>
    <w:bookmarkEnd w:id="169"/>
    <w:p>
      <w:pPr>
        <w:jc w:val="both"/>
        <w:spacing w:after="0"/>
        <w:rPr>
          <w:sz w:val="20"/>
          <w:szCs w:val="20"/>
          <w:color w:val="auto"/>
        </w:rPr>
      </w:pPr>
      <w:r>
        <w:rPr>
          <w:rFonts w:ascii="Arial" w:cs="Arial" w:eastAsia="Arial" w:hAnsi="Arial"/>
          <w:sz w:val="22"/>
          <w:szCs w:val="22"/>
          <w:color w:val="auto"/>
        </w:rPr>
        <w:t>of equity awards; and (3) reduction of continued employee benefits. In the event that acceleration of vesting of equity award compensation is to be reduced, such acceleration of vesting shall be cancelled in the reverse order of the date of grant of Executive’s equity awards.</w:t>
      </w:r>
    </w:p>
    <w:p>
      <w:pPr>
        <w:spacing w:after="0" w:line="186" w:lineRule="exact"/>
        <w:rPr>
          <w:sz w:val="20"/>
          <w:szCs w:val="20"/>
          <w:color w:val="auto"/>
        </w:rPr>
      </w:pPr>
    </w:p>
    <w:p>
      <w:pPr>
        <w:jc w:val="both"/>
        <w:ind w:firstLine="832"/>
        <w:spacing w:after="0" w:line="273" w:lineRule="auto"/>
        <w:rPr>
          <w:sz w:val="20"/>
          <w:szCs w:val="20"/>
          <w:color w:val="auto"/>
        </w:rPr>
      </w:pPr>
      <w:r>
        <w:rPr>
          <w:rFonts w:ascii="Arial" w:cs="Arial" w:eastAsia="Arial" w:hAnsi="Arial"/>
          <w:sz w:val="19"/>
          <w:szCs w:val="19"/>
          <w:color w:val="auto"/>
        </w:rPr>
        <w:t>A nationally recognized certified professional services firm selected by the Company, the Company’s legal counsel or such other person or entity to which the parties mutually agree (the “</w:t>
      </w:r>
      <w:r>
        <w:rPr>
          <w:rFonts w:ascii="Arial" w:cs="Arial" w:eastAsia="Arial" w:hAnsi="Arial"/>
          <w:sz w:val="19"/>
          <w:szCs w:val="19"/>
          <w:b w:val="1"/>
          <w:bCs w:val="1"/>
          <w:color w:val="auto"/>
        </w:rPr>
        <w:t>Firm</w:t>
      </w:r>
      <w:r>
        <w:rPr>
          <w:rFonts w:ascii="Arial" w:cs="Arial" w:eastAsia="Arial" w:hAnsi="Arial"/>
          <w:sz w:val="19"/>
          <w:szCs w:val="19"/>
          <w:color w:val="auto"/>
        </w:rPr>
        <w:t>”) shall perform the foregoing calculations related to the Excise Tax. The Company shall bear all expenses with respect to the determinations by the Firm required to be made hereunder. For purposes of making the calculations required by this Section, the Firm may make reasonable assumptions and approximations concerning applicable taxes and may rely on reasonable, good faith interpretations concerning the application of Code Sections 280G and 4999. The Company and Executive will furnish to the Firm such information and documents as the Firm may reasonably request in order to make a determination under this Section. The Firm engaged to make the determinations hereunder shall provide its calculations, together with detailed supporting documentation, to the Company and Executive within fifteen (15) calendar days after the date on which Executive’s right to the severance benefits or other payments is triggered (if requested at that time by the Company or Executive) or such other time as requested by the Company or Executive. Any good faith determinations of the Firm made hereunder shall be final, binding, and conclusive upon the Company and Executive.</w:t>
      </w:r>
    </w:p>
    <w:p>
      <w:pPr>
        <w:spacing w:after="0" w:line="155" w:lineRule="exact"/>
        <w:rPr>
          <w:sz w:val="20"/>
          <w:szCs w:val="20"/>
          <w:color w:val="auto"/>
        </w:rPr>
      </w:pPr>
    </w:p>
    <w:p>
      <w:pPr>
        <w:jc w:val="both"/>
        <w:ind w:firstLine="832"/>
        <w:spacing w:after="0"/>
        <w:rPr>
          <w:sz w:val="20"/>
          <w:szCs w:val="20"/>
          <w:color w:val="auto"/>
        </w:rPr>
      </w:pPr>
      <w:r>
        <w:rPr>
          <w:rFonts w:ascii="Arial" w:cs="Arial" w:eastAsia="Arial" w:hAnsi="Arial"/>
          <w:sz w:val="22"/>
          <w:szCs w:val="22"/>
          <w:color w:val="auto"/>
        </w:rPr>
        <w:t xml:space="preserve">10.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Executive agrees to execute the Company’s Confidential Information and Invention Assignment Agreement (the “</w:t>
      </w:r>
      <w:r>
        <w:rPr>
          <w:rFonts w:ascii="Arial" w:cs="Arial" w:eastAsia="Arial" w:hAnsi="Arial"/>
          <w:sz w:val="22"/>
          <w:szCs w:val="22"/>
          <w:b w:val="1"/>
          <w:bCs w:val="1"/>
          <w:color w:val="auto"/>
        </w:rPr>
        <w:t>Confidential Information Agreement</w:t>
      </w:r>
      <w:r>
        <w:rPr>
          <w:rFonts w:ascii="Arial" w:cs="Arial" w:eastAsia="Arial" w:hAnsi="Arial"/>
          <w:sz w:val="22"/>
          <w:szCs w:val="22"/>
          <w:color w:val="auto"/>
        </w:rPr>
        <w:t>”) concurrently with the execution of this Agreement.</w:t>
      </w:r>
    </w:p>
    <w:p>
      <w:pPr>
        <w:spacing w:after="0" w:line="186" w:lineRule="exact"/>
        <w:rPr>
          <w:sz w:val="20"/>
          <w:szCs w:val="20"/>
          <w:color w:val="auto"/>
        </w:rPr>
      </w:pPr>
    </w:p>
    <w:p>
      <w:pPr>
        <w:jc w:val="both"/>
        <w:ind w:firstLine="832"/>
        <w:spacing w:after="0" w:line="235"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Indemnification Agreement</w:t>
      </w:r>
      <w:r>
        <w:rPr>
          <w:rFonts w:ascii="Arial" w:cs="Arial" w:eastAsia="Arial" w:hAnsi="Arial"/>
          <w:sz w:val="22"/>
          <w:szCs w:val="22"/>
          <w:color w:val="auto"/>
        </w:rPr>
        <w:t>. The Company and Executive shall enter into an Indemnification Agreement (the “</w:t>
      </w:r>
      <w:r>
        <w:rPr>
          <w:rFonts w:ascii="Arial" w:cs="Arial" w:eastAsia="Arial" w:hAnsi="Arial"/>
          <w:sz w:val="22"/>
          <w:szCs w:val="22"/>
          <w:b w:val="1"/>
          <w:bCs w:val="1"/>
          <w:color w:val="auto"/>
        </w:rPr>
        <w:t>Indemnification Agreement</w:t>
      </w:r>
      <w:r>
        <w:rPr>
          <w:rFonts w:ascii="Arial" w:cs="Arial" w:eastAsia="Arial" w:hAnsi="Arial"/>
          <w:sz w:val="22"/>
          <w:szCs w:val="22"/>
          <w:color w:val="auto"/>
        </w:rPr>
        <w:t>”) in substantially the form attached as Exhibit 10.11 to the Company’s Current Report on Form 8-K filed with the Securities and Exchange Commission on August 27, 2021. In the event that the Company adopts a more favorable form of Indemnification Agreement, or amendments to the form of Indemnification Agreement, for other executives or Board members in the future, Executive shall be given the opportunity to enter into a new or amended Indemnification Agreement on the same terms</w:t>
      </w:r>
    </w:p>
    <w:p>
      <w:pPr>
        <w:spacing w:after="0" w:line="188" w:lineRule="exact"/>
        <w:rPr>
          <w:sz w:val="20"/>
          <w:szCs w:val="20"/>
          <w:color w:val="auto"/>
        </w:rPr>
      </w:pPr>
    </w:p>
    <w:p>
      <w:pPr>
        <w:jc w:val="both"/>
        <w:ind w:firstLine="832"/>
        <w:spacing w:after="0" w:line="246"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Assignment</w:t>
      </w:r>
      <w:r>
        <w:rPr>
          <w:rFonts w:ascii="Arial" w:cs="Arial" w:eastAsia="Arial" w:hAnsi="Arial"/>
          <w:sz w:val="21"/>
          <w:szCs w:val="21"/>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w:t>
      </w:r>
      <w:r>
        <w:rPr>
          <w:rFonts w:ascii="Arial" w:cs="Arial" w:eastAsia="Arial" w:hAnsi="Arial"/>
          <w:sz w:val="21"/>
          <w:szCs w:val="21"/>
          <w:b w:val="1"/>
          <w:bCs w:val="1"/>
          <w:color w:val="auto"/>
        </w:rPr>
        <w:t>successor</w:t>
      </w:r>
      <w:r>
        <w:rPr>
          <w:rFonts w:ascii="Arial" w:cs="Arial" w:eastAsia="Arial" w:hAnsi="Arial"/>
          <w:sz w:val="21"/>
          <w:szCs w:val="21"/>
          <w:color w:val="auto"/>
        </w:rPr>
        <w:t>”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0" w:lineRule="exact"/>
        <w:rPr>
          <w:sz w:val="20"/>
          <w:szCs w:val="20"/>
          <w:color w:val="auto"/>
        </w:rPr>
      </w:pPr>
    </w:p>
    <w:p>
      <w:pPr>
        <w:jc w:val="both"/>
        <w:ind w:firstLine="832"/>
        <w:spacing w:after="0" w:line="234"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and other communications called for hereunder will be in writing and will be deemed given (i) on the date of delivery if delivered personally, (ii) one (1) day after being sent by a well established commercial overnight service, or (iii) four (4) days after being mailed by registered or certified mail, return receipt requested, prepaid and addressed to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0" w:name="page171"/>
    <w:bookmarkEnd w:id="170"/>
    <w:p>
      <w:pPr>
        <w:spacing w:after="0"/>
        <w:rPr>
          <w:sz w:val="20"/>
          <w:szCs w:val="20"/>
          <w:color w:val="auto"/>
        </w:rPr>
      </w:pPr>
      <w:r>
        <w:rPr>
          <w:rFonts w:ascii="Arial" w:cs="Arial" w:eastAsia="Arial" w:hAnsi="Arial"/>
          <w:sz w:val="19"/>
          <w:szCs w:val="19"/>
          <w:color w:val="auto"/>
        </w:rPr>
        <w:t>parties or their successors at the following addresses, or at such other addresses as the parties may later designate in writing:</w:t>
      </w:r>
    </w:p>
    <w:p>
      <w:pPr>
        <w:spacing w:after="0" w:line="241"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If to the Company:</w:t>
      </w:r>
    </w:p>
    <w:p>
      <w:pPr>
        <w:spacing w:after="0" w:line="98"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Aadi Bioscience, Inc.</w:t>
      </w:r>
    </w:p>
    <w:p>
      <w:pPr>
        <w:ind w:left="1680"/>
        <w:spacing w:after="0" w:line="238" w:lineRule="auto"/>
        <w:rPr>
          <w:sz w:val="20"/>
          <w:szCs w:val="20"/>
          <w:color w:val="auto"/>
        </w:rPr>
      </w:pPr>
      <w:r>
        <w:rPr>
          <w:rFonts w:ascii="Arial" w:cs="Arial" w:eastAsia="Arial" w:hAnsi="Arial"/>
          <w:sz w:val="22"/>
          <w:szCs w:val="22"/>
          <w:color w:val="auto"/>
        </w:rPr>
        <w:t>17383 Sunset Boulevard, Suite A250</w:t>
      </w:r>
    </w:p>
    <w:p>
      <w:pPr>
        <w:ind w:left="1680"/>
        <w:spacing w:after="0" w:line="230" w:lineRule="auto"/>
        <w:rPr>
          <w:sz w:val="20"/>
          <w:szCs w:val="20"/>
          <w:color w:val="auto"/>
        </w:rPr>
      </w:pPr>
      <w:r>
        <w:rPr>
          <w:rFonts w:ascii="Arial" w:cs="Arial" w:eastAsia="Arial" w:hAnsi="Arial"/>
          <w:sz w:val="22"/>
          <w:szCs w:val="22"/>
          <w:color w:val="auto"/>
        </w:rPr>
        <w:t>Pacific Palisades, CA 90272</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22"/>
          <w:szCs w:val="22"/>
          <w:u w:val="single" w:color="auto"/>
          <w:color w:val="auto"/>
        </w:rPr>
        <w:t>Attn</w:t>
      </w:r>
      <w:r>
        <w:rPr>
          <w:rFonts w:ascii="Arial" w:cs="Arial" w:eastAsia="Arial" w:hAnsi="Arial"/>
          <w:sz w:val="22"/>
          <w:szCs w:val="22"/>
          <w:color w:val="auto"/>
        </w:rPr>
        <w:t>: Chief Executive Officer</w:t>
      </w:r>
    </w:p>
    <w:p>
      <w:pPr>
        <w:spacing w:after="0" w:line="188"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If to Executive:</w:t>
      </w:r>
    </w:p>
    <w:p>
      <w:pPr>
        <w:spacing w:after="0" w:line="206"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at the last residential address known by the Company.</w:t>
      </w:r>
    </w:p>
    <w:p>
      <w:pPr>
        <w:spacing w:after="0" w:line="206" w:lineRule="exact"/>
        <w:rPr>
          <w:sz w:val="20"/>
          <w:szCs w:val="20"/>
          <w:color w:val="auto"/>
        </w:rPr>
      </w:pPr>
    </w:p>
    <w:p>
      <w:pPr>
        <w:jc w:val="both"/>
        <w:ind w:firstLine="832"/>
        <w:spacing w:after="0" w:line="274"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hereof becomes or is declared by a court of competent jurisdiction to be illegal, unenforceable or void, this Agreement will continue in full force and effect without said provision.</w:t>
      </w:r>
    </w:p>
    <w:p>
      <w:pPr>
        <w:spacing w:after="0" w:line="151" w:lineRule="exact"/>
        <w:rPr>
          <w:sz w:val="20"/>
          <w:szCs w:val="20"/>
          <w:color w:val="auto"/>
        </w:rPr>
      </w:pPr>
    </w:p>
    <w:p>
      <w:pPr>
        <w:jc w:val="both"/>
        <w:ind w:firstLine="832"/>
        <w:spacing w:after="0" w:line="238" w:lineRule="auto"/>
        <w:rPr>
          <w:sz w:val="20"/>
          <w:szCs w:val="20"/>
          <w:color w:val="auto"/>
        </w:rPr>
      </w:pPr>
      <w:r>
        <w:rPr>
          <w:rFonts w:ascii="Arial" w:cs="Arial" w:eastAsia="Arial" w:hAnsi="Arial"/>
          <w:sz w:val="22"/>
          <w:szCs w:val="22"/>
          <w:color w:val="auto"/>
        </w:rPr>
        <w:t>15.</w:t>
      </w:r>
      <w:r>
        <w:rPr>
          <w:rFonts w:ascii="Arial" w:cs="Arial" w:eastAsia="Arial" w:hAnsi="Arial"/>
          <w:sz w:val="22"/>
          <w:szCs w:val="22"/>
          <w:u w:val="single" w:color="auto"/>
          <w:color w:val="auto"/>
        </w:rPr>
        <w:t>Arbitration</w:t>
      </w:r>
      <w:r>
        <w:rPr>
          <w:rFonts w:ascii="Arial" w:cs="Arial" w:eastAsia="Arial" w:hAnsi="Arial"/>
          <w:sz w:val="22"/>
          <w:szCs w:val="22"/>
          <w:color w:val="auto"/>
        </w:rPr>
        <w:t>. Executive agrees that any and all controversies, claims, or disputes with anyone (including the Company and any employee, officer, director, stockholder or benefit plan of the Company in their capacity as such or otherwise) arising out of, relating to, or resulting from Executive’s service to the Company, shall be subject to arbitration in accordance with the provisions of the Confidential Information Agreement.</w:t>
      </w:r>
    </w:p>
    <w:p>
      <w:pPr>
        <w:spacing w:after="0" w:line="185" w:lineRule="exact"/>
        <w:rPr>
          <w:sz w:val="20"/>
          <w:szCs w:val="20"/>
          <w:color w:val="auto"/>
        </w:rPr>
      </w:pPr>
    </w:p>
    <w:p>
      <w:pPr>
        <w:jc w:val="both"/>
        <w:ind w:firstLine="832"/>
        <w:spacing w:after="0" w:line="279"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along with the Confidential Information Agreement, Equity Documents and Indemnification Agreement, represents the entire agreement and understanding between the parties as to the subject matter herein and supersedes all prior or contemporaneous agreements whether written or oral. With respect to equity awards granted on or after the date of this Agreement, the acceleration of vesting provisions provided herein will apply to such equity awards except to the extent the applicable equity award agreement expressly supersedes this Agreement. This Agreement may be modified only by agreement of the parties by a written instrument executed by the parties that is designated as an amendment to this Agreement.</w:t>
      </w:r>
    </w:p>
    <w:p>
      <w:pPr>
        <w:spacing w:after="0" w:line="150" w:lineRule="exact"/>
        <w:rPr>
          <w:sz w:val="20"/>
          <w:szCs w:val="20"/>
          <w:color w:val="auto"/>
        </w:rPr>
      </w:pPr>
    </w:p>
    <w:p>
      <w:pPr>
        <w:jc w:val="both"/>
        <w:ind w:firstLine="832"/>
        <w:spacing w:after="0" w:line="274" w:lineRule="auto"/>
        <w:rPr>
          <w:sz w:val="20"/>
          <w:szCs w:val="20"/>
          <w:color w:val="auto"/>
        </w:rPr>
      </w:pPr>
      <w:r>
        <w:rPr>
          <w:rFonts w:ascii="Arial" w:cs="Arial" w:eastAsia="Arial" w:hAnsi="Arial"/>
          <w:sz w:val="21"/>
          <w:szCs w:val="21"/>
          <w:color w:val="auto"/>
        </w:rPr>
        <w:t xml:space="preserve">17. </w:t>
      </w:r>
      <w:r>
        <w:rPr>
          <w:rFonts w:ascii="Arial" w:cs="Arial" w:eastAsia="Arial" w:hAnsi="Arial"/>
          <w:sz w:val="21"/>
          <w:szCs w:val="21"/>
          <w:u w:val="single" w:color="auto"/>
          <w:color w:val="auto"/>
        </w:rPr>
        <w:t>Waiver of Breach</w:t>
      </w:r>
      <w:r>
        <w:rPr>
          <w:rFonts w:ascii="Arial" w:cs="Arial" w:eastAsia="Arial" w:hAnsi="Arial"/>
          <w:sz w:val="21"/>
          <w:szCs w:val="21"/>
          <w:color w:val="auto"/>
        </w:rPr>
        <w:t>. The waiver of a breach of any term or provision of this Agreement, which must be in writing, will not operate as or be construed to be a waiver of any other previous or subsequent breach of this Agreement.</w:t>
      </w:r>
    </w:p>
    <w:p>
      <w:pPr>
        <w:spacing w:after="0" w:line="151" w:lineRule="exact"/>
        <w:rPr>
          <w:sz w:val="20"/>
          <w:szCs w:val="20"/>
          <w:color w:val="auto"/>
        </w:rPr>
      </w:pPr>
    </w:p>
    <w:p>
      <w:pPr>
        <w:jc w:val="both"/>
        <w:ind w:right="20" w:firstLine="832"/>
        <w:spacing w:after="0" w:line="250"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75"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Tax Withholding</w:t>
      </w:r>
      <w:r>
        <w:rPr>
          <w:rFonts w:ascii="Arial" w:cs="Arial" w:eastAsia="Arial" w:hAnsi="Arial"/>
          <w:sz w:val="22"/>
          <w:szCs w:val="22"/>
          <w:color w:val="auto"/>
        </w:rPr>
        <w:t>. All payments made pursuant to this Agreement will be subject to withholding of applicable taxes.</w:t>
      </w:r>
    </w:p>
    <w:p>
      <w:pPr>
        <w:spacing w:after="0" w:line="175"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2"/>
          <w:szCs w:val="22"/>
          <w:color w:val="auto"/>
        </w:rPr>
        <w:t xml:space="preserve">20.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the laws of the State of California (with the exception of its conflict of laws provisions).</w:t>
      </w:r>
    </w:p>
    <w:p>
      <w:pPr>
        <w:spacing w:after="0" w:line="175" w:lineRule="exact"/>
        <w:rPr>
          <w:sz w:val="20"/>
          <w:szCs w:val="20"/>
          <w:color w:val="auto"/>
        </w:rPr>
      </w:pPr>
    </w:p>
    <w:p>
      <w:pPr>
        <w:jc w:val="both"/>
        <w:ind w:firstLine="832"/>
        <w:spacing w:after="0" w:line="239"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Acknowledgment</w:t>
      </w:r>
      <w:r>
        <w:rPr>
          <w:rFonts w:ascii="Arial" w:cs="Arial" w:eastAsia="Arial" w:hAnsi="Arial"/>
          <w:sz w:val="22"/>
          <w:szCs w:val="22"/>
          <w:color w:val="auto"/>
        </w:rPr>
        <w:t>. Executive acknowledges that Executive has had the opportunity to discuss this matter with and obtain advice from Executive’s private attorney, has had sufficient time</w:t>
      </w: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1" w:name="page172"/>
    <w:bookmarkEnd w:id="171"/>
    <w:p>
      <w:pPr>
        <w:spacing w:after="0" w:line="250" w:lineRule="auto"/>
        <w:rPr>
          <w:sz w:val="20"/>
          <w:szCs w:val="20"/>
          <w:color w:val="auto"/>
        </w:rPr>
      </w:pPr>
      <w:r>
        <w:rPr>
          <w:rFonts w:ascii="Arial" w:cs="Arial" w:eastAsia="Arial" w:hAnsi="Arial"/>
          <w:sz w:val="22"/>
          <w:szCs w:val="22"/>
          <w:color w:val="auto"/>
        </w:rPr>
        <w:t>to, and has carefully read and fully understands all the provisions of this Agreement, and is knowingly and voluntarily entering into this Agreement.</w:t>
      </w:r>
    </w:p>
    <w:p>
      <w:pPr>
        <w:spacing w:after="0" w:line="175" w:lineRule="exact"/>
        <w:rPr>
          <w:sz w:val="20"/>
          <w:szCs w:val="20"/>
          <w:color w:val="auto"/>
        </w:rPr>
      </w:pPr>
    </w:p>
    <w:p>
      <w:pPr>
        <w:ind w:firstLine="832"/>
        <w:spacing w:after="0" w:line="250"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and each counterpart will have the same force and effect as an original and will constitute an effective, binding agreement on the part of each of the undersigned.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2" w:name="page173"/>
    <w:bookmarkEnd w:id="172"/>
    <w:p>
      <w:pPr>
        <w:ind w:firstLine="832"/>
        <w:spacing w:after="0" w:line="250" w:lineRule="auto"/>
        <w:rPr>
          <w:sz w:val="20"/>
          <w:szCs w:val="20"/>
          <w:color w:val="auto"/>
        </w:rPr>
      </w:pPr>
      <w:r>
        <w:rPr>
          <w:rFonts w:ascii="Arial" w:cs="Arial" w:eastAsia="Arial" w:hAnsi="Arial"/>
          <w:sz w:val="22"/>
          <w:szCs w:val="22"/>
          <w:color w:val="auto"/>
        </w:rPr>
        <w:t>IN WITNESS WHEREOF, each of the parties has executed this Agreement, in the case of the Company by their duly authorized officers, as of the day and year first above written.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AADI BIOSCIENCE, INC.</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5040" w:type="dxa"/>
            <w:vAlign w:val="bottom"/>
            <w:gridSpan w:val="2"/>
          </w:tcPr>
          <w:p>
            <w:pPr>
              <w:ind w:left="100"/>
              <w:spacing w:after="0"/>
              <w:rPr>
                <w:sz w:val="20"/>
                <w:szCs w:val="20"/>
                <w:color w:val="auto"/>
              </w:rPr>
            </w:pPr>
            <w:r>
              <w:rPr>
                <w:rFonts w:ascii="Arial" w:cs="Arial" w:eastAsia="Arial" w:hAnsi="Arial"/>
                <w:sz w:val="22"/>
                <w:szCs w:val="22"/>
                <w:color w:val="auto"/>
              </w:rPr>
              <w:t>/s/ Neil Desai, Ph.D.</w:t>
            </w:r>
          </w:p>
        </w:tc>
        <w:tc>
          <w:tcPr>
            <w:tcW w:w="700" w:type="dxa"/>
            <w:vAlign w:val="bottom"/>
          </w:tcPr>
          <w:p>
            <w:pPr>
              <w:ind w:left="120"/>
              <w:spacing w:after="0"/>
              <w:rPr>
                <w:sz w:val="20"/>
                <w:szCs w:val="20"/>
                <w:color w:val="auto"/>
              </w:rPr>
            </w:pPr>
            <w:r>
              <w:rPr>
                <w:rFonts w:ascii="Arial" w:cs="Arial" w:eastAsia="Arial" w:hAnsi="Arial"/>
                <w:sz w:val="22"/>
                <w:szCs w:val="22"/>
                <w:color w:val="auto"/>
              </w:rPr>
              <w:t>Date:</w:t>
            </w:r>
          </w:p>
        </w:tc>
        <w:tc>
          <w:tcPr>
            <w:tcW w:w="4840" w:type="dxa"/>
            <w:vAlign w:val="bottom"/>
            <w:gridSpan w:val="2"/>
          </w:tcPr>
          <w:p>
            <w:pPr>
              <w:jc w:val="right"/>
              <w:ind w:right="3720"/>
              <w:spacing w:after="0"/>
              <w:rPr>
                <w:sz w:val="20"/>
                <w:szCs w:val="20"/>
                <w:color w:val="auto"/>
              </w:rPr>
            </w:pPr>
            <w:r>
              <w:rPr>
                <w:rFonts w:ascii="Arial" w:cs="Arial" w:eastAsia="Arial" w:hAnsi="Arial"/>
                <w:sz w:val="22"/>
                <w:szCs w:val="22"/>
                <w:color w:val="auto"/>
                <w:w w:val="99"/>
              </w:rPr>
              <w:t>10/28/2021</w:t>
            </w: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r>
      <w:tr>
        <w:trPr>
          <w:trHeight w:val="463"/>
        </w:trPr>
        <w:tc>
          <w:tcPr>
            <w:tcW w:w="660" w:type="dxa"/>
            <w:vAlign w:val="bottom"/>
          </w:tcPr>
          <w:p>
            <w:pPr>
              <w:spacing w:after="0"/>
              <w:rPr>
                <w:sz w:val="20"/>
                <w:szCs w:val="20"/>
                <w:color w:val="auto"/>
              </w:rPr>
            </w:pPr>
            <w:r>
              <w:rPr>
                <w:rFonts w:ascii="Arial" w:cs="Arial" w:eastAsia="Arial" w:hAnsi="Arial"/>
                <w:sz w:val="22"/>
                <w:szCs w:val="22"/>
                <w:color w:val="auto"/>
                <w:w w:val="98"/>
              </w:rPr>
              <w:t>Name:</w:t>
            </w:r>
          </w:p>
        </w:tc>
        <w:tc>
          <w:tcPr>
            <w:tcW w:w="5040" w:type="dxa"/>
            <w:vAlign w:val="bottom"/>
            <w:gridSpan w:val="2"/>
          </w:tcPr>
          <w:p>
            <w:pPr>
              <w:ind w:left="100"/>
              <w:spacing w:after="0"/>
              <w:rPr>
                <w:sz w:val="20"/>
                <w:szCs w:val="20"/>
                <w:color w:val="auto"/>
              </w:rPr>
            </w:pPr>
            <w:r>
              <w:rPr>
                <w:rFonts w:ascii="Arial" w:cs="Arial" w:eastAsia="Arial" w:hAnsi="Arial"/>
                <w:sz w:val="22"/>
                <w:szCs w:val="22"/>
                <w:color w:val="auto"/>
              </w:rPr>
              <w:t>Neil Desai, Ph.D.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59"/>
        </w:trPr>
        <w:tc>
          <w:tcPr>
            <w:tcW w:w="660" w:type="dxa"/>
            <w:vAlign w:val="bottom"/>
          </w:tcPr>
          <w:p>
            <w:pPr>
              <w:spacing w:after="0"/>
              <w:rPr>
                <w:sz w:val="20"/>
                <w:szCs w:val="20"/>
                <w:color w:val="auto"/>
              </w:rPr>
            </w:pPr>
            <w:r>
              <w:rPr>
                <w:rFonts w:ascii="Arial" w:cs="Arial" w:eastAsia="Arial" w:hAnsi="Arial"/>
                <w:sz w:val="22"/>
                <w:szCs w:val="22"/>
                <w:color w:val="auto"/>
              </w:rPr>
              <w:t>Title:</w:t>
            </w:r>
          </w:p>
        </w:tc>
        <w:tc>
          <w:tcPr>
            <w:tcW w:w="5040" w:type="dxa"/>
            <w:vAlign w:val="bottom"/>
            <w:gridSpan w:val="2"/>
          </w:tcPr>
          <w:p>
            <w:pPr>
              <w:ind w:left="100"/>
              <w:spacing w:after="0"/>
              <w:rPr>
                <w:sz w:val="20"/>
                <w:szCs w:val="20"/>
                <w:color w:val="auto"/>
              </w:rPr>
            </w:pPr>
            <w:r>
              <w:rPr>
                <w:rFonts w:ascii="Arial" w:cs="Arial" w:eastAsia="Arial" w:hAnsi="Arial"/>
                <w:sz w:val="22"/>
                <w:szCs w:val="22"/>
                <w:color w:val="auto"/>
              </w:rPr>
              <w:t>President and Chief Executive Officer</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59"/>
        </w:trPr>
        <w:tc>
          <w:tcPr>
            <w:tcW w:w="5700" w:type="dxa"/>
            <w:vAlign w:val="bottom"/>
            <w:gridSpan w:val="3"/>
          </w:tcPr>
          <w:p>
            <w:pPr>
              <w:spacing w:after="0"/>
              <w:rPr>
                <w:sz w:val="20"/>
                <w:szCs w:val="20"/>
                <w:color w:val="auto"/>
              </w:rPr>
            </w:pPr>
            <w:r>
              <w:rPr>
                <w:rFonts w:ascii="Arial" w:cs="Arial" w:eastAsia="Arial" w:hAnsi="Arial"/>
                <w:sz w:val="22"/>
                <w:szCs w:val="22"/>
                <w:color w:val="auto"/>
              </w:rPr>
              <w:t>EXECUTIVE: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49"/>
        </w:trPr>
        <w:tc>
          <w:tcPr>
            <w:tcW w:w="5700" w:type="dxa"/>
            <w:vAlign w:val="bottom"/>
            <w:gridSpan w:val="3"/>
          </w:tcPr>
          <w:p>
            <w:pPr>
              <w:spacing w:after="0"/>
              <w:rPr>
                <w:sz w:val="20"/>
                <w:szCs w:val="20"/>
                <w:color w:val="auto"/>
              </w:rPr>
            </w:pPr>
            <w:r>
              <w:rPr>
                <w:rFonts w:ascii="Arial" w:cs="Arial" w:eastAsia="Arial" w:hAnsi="Arial"/>
                <w:sz w:val="22"/>
                <w:szCs w:val="22"/>
                <w:color w:val="auto"/>
              </w:rPr>
              <w:t>/s/ Scott Giacobello</w:t>
            </w:r>
          </w:p>
        </w:tc>
        <w:tc>
          <w:tcPr>
            <w:tcW w:w="700" w:type="dxa"/>
            <w:vAlign w:val="bottom"/>
          </w:tcPr>
          <w:p>
            <w:pPr>
              <w:ind w:left="120"/>
              <w:spacing w:after="0"/>
              <w:rPr>
                <w:sz w:val="20"/>
                <w:szCs w:val="20"/>
                <w:color w:val="auto"/>
              </w:rPr>
            </w:pPr>
            <w:r>
              <w:rPr>
                <w:rFonts w:ascii="Arial" w:cs="Arial" w:eastAsia="Arial" w:hAnsi="Arial"/>
                <w:sz w:val="22"/>
                <w:szCs w:val="22"/>
                <w:color w:val="auto"/>
              </w:rPr>
              <w:t>Date:</w:t>
            </w:r>
          </w:p>
        </w:tc>
        <w:tc>
          <w:tcPr>
            <w:tcW w:w="4840" w:type="dxa"/>
            <w:vAlign w:val="bottom"/>
            <w:gridSpan w:val="2"/>
          </w:tcPr>
          <w:p>
            <w:pPr>
              <w:jc w:val="right"/>
              <w:ind w:right="3720"/>
              <w:spacing w:after="0"/>
              <w:rPr>
                <w:sz w:val="20"/>
                <w:szCs w:val="20"/>
                <w:color w:val="auto"/>
              </w:rPr>
            </w:pPr>
            <w:r>
              <w:rPr>
                <w:rFonts w:ascii="Arial" w:cs="Arial" w:eastAsia="Arial" w:hAnsi="Arial"/>
                <w:sz w:val="22"/>
                <w:szCs w:val="22"/>
                <w:color w:val="auto"/>
                <w:w w:val="99"/>
              </w:rPr>
              <w:t>10/28/2021</w:t>
            </w:r>
          </w:p>
        </w:tc>
      </w:tr>
      <w:tr>
        <w:trPr>
          <w:trHeight w:val="268"/>
        </w:trPr>
        <w:tc>
          <w:tcPr>
            <w:tcW w:w="570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Scott Giacobello</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20" w:type="dxa"/>
            <w:vAlign w:val="bottom"/>
            <w:tcBorders>
              <w:top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TO EXECUTIVE EMPLOYMENT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334"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Aadi Bioscience,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Pacific Palisades, California</w:t>
      </w:r>
    </w:p>
    <w:p>
      <w:pPr>
        <w:spacing w:after="0" w:line="21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333-259785, 333-255129, 333-223113, 333-217320 and 333-229087) and Form S-8 (No. 333-259787, 333-220057, 333-224189, 333-229089, 333-230114 and 333-237210) of Aadi Bioscience, Inc., of our report dated March 17, 2022, relating to the consolidated financial statements, which appears in this Annual Report on Form 10-K.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ectPr>
          <w:pgSz w:w="11900" w:h="16838" w:orient="portrait"/>
          <w:cols w:equalWidth="0" w:num="1">
            <w:col w:w="11240"/>
          </w:cols>
          <w:pgMar w:left="320" w:top="337"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Neil Desai, certify that:</w:t>
      </w:r>
    </w:p>
    <w:p>
      <w:pPr>
        <w:spacing w:after="0" w:line="225" w:lineRule="exact"/>
        <w:rPr>
          <w:sz w:val="20"/>
          <w:szCs w:val="20"/>
          <w:color w:val="auto"/>
        </w:rPr>
      </w:pPr>
    </w:p>
    <w:p>
      <w:pPr>
        <w:ind w:left="580" w:hanging="572"/>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Aadi Bioscience,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20" w:val="left"/>
          <w:tab w:leader="none" w:pos="848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Neil Desai,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285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Neil Desai, Ph.D.</w:t>
      </w:r>
    </w:p>
    <w:p>
      <w:pPr>
        <w:spacing w:after="0" w:line="27"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Giacobello, certify that:</w:t>
      </w:r>
    </w:p>
    <w:p>
      <w:pPr>
        <w:spacing w:after="0" w:line="225"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Aadi Bioscience,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63" w:lineRule="auto"/>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20" w:val="left"/>
          <w:tab w:leader="none" w:pos="852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285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Scott Giacobello</w:t>
      </w:r>
    </w:p>
    <w:p>
      <w:pPr>
        <w:spacing w:after="0" w:line="27"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Annual Report of Aadi Bioscience,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280" w:val="left"/>
          <w:tab w:leader="none" w:pos="766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Neil Desai,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Neil Desai, Ph.D.</w:t>
      </w:r>
    </w:p>
    <w:p>
      <w:pPr>
        <w:spacing w:after="0" w:line="27"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37"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Annual Report of Aadi Bioscience,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280" w:val="left"/>
          <w:tab w:leader="none" w:pos="770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Scott Giacobello</w:t>
      </w:r>
    </w:p>
    <w:p>
      <w:pPr>
        <w:spacing w:after="0" w:line="27"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lvl w:ilvl="1">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amp;"/>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o"/>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1)"/>
      <w:numFmt w:val="lowerRoman"/>
      <w:start w:val="4"/>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1."/>
      <w:numFmt w:val="decimal"/>
      <w:start w:val="1"/>
    </w:lvl>
  </w:abstractNum>
  <w:abstractNum w:abstractNumId="60">
    <w:nsid w:val="42C296BD"/>
    <w:multiLevelType w:val="hybridMultilevel"/>
    <w:lvl w:ilvl="0">
      <w:lvlJc w:val="left"/>
      <w:lvlText w:val="(%1)"/>
      <w:numFmt w:val="lowerRoman"/>
      <w:start w:val="5"/>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1)"/>
      <w:numFmt w:val="lowerRoman"/>
      <w:start w:val="1"/>
    </w:lvl>
  </w:abstractNum>
  <w:abstractNum w:abstractNumId="65">
    <w:nsid w:val="540A471C"/>
    <w:multiLevelType w:val="hybridMultilevel"/>
    <w:lvl w:ilvl="0">
      <w:lvlJc w:val="left"/>
      <w:lvlText w:val="%1"/>
      <w:numFmt w:val="decimal"/>
      <w:start w:val="1"/>
    </w:lvl>
    <w:lvl w:ilvl="1">
      <w:lvlJc w:val="left"/>
      <w:lvlText w:val="(%2)"/>
      <w:numFmt w:val="decimal"/>
      <w:start w:val="1"/>
    </w:lvl>
  </w:abstractNum>
  <w:abstractNum w:abstractNumId="66">
    <w:nsid w:val="7BD3EE7B"/>
    <w:multiLevelType w:val="hybridMultilevel"/>
    <w:lvl w:ilvl="0">
      <w:lvlJc w:val="left"/>
      <w:lvlText w:val="%1."/>
      <w:numFmt w:val="decimal"/>
      <w:start w:val="5"/>
    </w:lvl>
    <w:lvl w:ilvl="1">
      <w:lvlJc w:val="left"/>
      <w:lvlText w:val="%2"/>
      <w:numFmt w:val="decimal"/>
      <w:start w:val="1"/>
    </w:lvl>
  </w:abstractNum>
  <w:abstractNum w:abstractNumId="67">
    <w:nsid w:val="51D9C564"/>
    <w:multiLevelType w:val="hybridMultilevel"/>
    <w:lvl w:ilvl="0">
      <w:lvlJc w:val="left"/>
      <w:lvlText w:val="%1."/>
      <w:numFmt w:val="decimal"/>
      <w:start w:val="8"/>
    </w:lvl>
  </w:abstractNum>
  <w:abstractNum w:abstractNumId="68">
    <w:nsid w:val="613EFDC5"/>
    <w:multiLevelType w:val="hybridMultilevel"/>
    <w:lvl w:ilvl="0">
      <w:lvlJc w:val="left"/>
      <w:lvlText w:val="%1."/>
      <w:numFmt w:val="decimal"/>
      <w:start w:val="10"/>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1"/>
      <w:numFmt w:val="decimal"/>
      <w:start w:val="104"/>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1)"/>
      <w:numFmt w:val="lowerRoman"/>
      <w:start w:val="1"/>
    </w:lvl>
  </w:abstractNum>
  <w:abstractNum w:abstractNumId="77">
    <w:nsid w:val="4962813B"/>
    <w:multiLevelType w:val="hybridMultilevel"/>
    <w:lvl w:ilvl="0">
      <w:lvlJc w:val="left"/>
      <w:lvlText w:val="(%1)"/>
      <w:numFmt w:val="lowerRoman"/>
      <w:start w:val="3"/>
    </w:lvl>
  </w:abstractNum>
  <w:abstractNum w:abstractNumId="78">
    <w:nsid w:val="60B6DF70"/>
    <w:multiLevelType w:val="hybridMultilevel"/>
    <w:lvl w:ilvl="0">
      <w:lvlJc w:val="left"/>
      <w:lvlText w:val="(%1)"/>
      <w:numFmt w:val="decimal"/>
      <w:start w:val="2"/>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jpe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187" Type="http://schemas.openxmlformats.org/officeDocument/2006/relationships/hyperlink" Target="http://www.sec.gov/Archives/edgar/data/0001422142/000119312521162770/d120588dex21.htm" TargetMode="External"/><Relationship Id="rId188" Type="http://schemas.openxmlformats.org/officeDocument/2006/relationships/hyperlink" Target="http://www.sec.gov/Archives/edgar/data/1422142/000119312521257910/d119681dex31.htm" TargetMode="External"/><Relationship Id="rId189" Type="http://schemas.openxmlformats.org/officeDocument/2006/relationships/hyperlink" Target="http://www.sec.gov/Archives/edgar/data/1422142/000119312521257910/d119681dex32.htm" TargetMode="External"/><Relationship Id="rId190" Type="http://schemas.openxmlformats.org/officeDocument/2006/relationships/hyperlink" Target="http://www.sec.gov/Archives/edgar/data/1422142/000119312521257910/d119681dex101.htm" TargetMode="External"/><Relationship Id="rId191" Type="http://schemas.openxmlformats.org/officeDocument/2006/relationships/hyperlink" Target="http://www.sec.gov/Archives/edgar/data/0001422142/000119312521162770/d120588dex101.htm" TargetMode="External"/><Relationship Id="rId192" Type="http://schemas.openxmlformats.org/officeDocument/2006/relationships/hyperlink" Target="http://www.sec.gov/Archives/edgar/data/1422142/000119312521257910/d119681dex103.htm" TargetMode="External"/><Relationship Id="rId193" Type="http://schemas.openxmlformats.org/officeDocument/2006/relationships/hyperlink" Target="http://www.sec.gov/Archives/edgar/data/1422142/000119312521257910/d119681dex104.htm" TargetMode="External"/><Relationship Id="rId194" Type="http://schemas.openxmlformats.org/officeDocument/2006/relationships/hyperlink" Target="http://www.sec.gov/Archives/edgar/data/1422142/000119312521257910/d119681dex106.htm" TargetMode="External"/><Relationship Id="rId195" Type="http://schemas.openxmlformats.org/officeDocument/2006/relationships/hyperlink" Target="http://www.sec.gov/Archives/edgar/data/1422142/000119312521257910/d119681dex107.htm" TargetMode="External"/><Relationship Id="rId196" Type="http://schemas.openxmlformats.org/officeDocument/2006/relationships/hyperlink" Target="http://www.sec.gov/Archives/edgar/data/1422142/000119312521257910/d119681dex108.htm" TargetMode="External"/><Relationship Id="rId197" Type="http://schemas.openxmlformats.org/officeDocument/2006/relationships/hyperlink" Target="http://www.sec.gov/Archives/edgar/data/1422142/000119312521257910/d119681dex109.htm" TargetMode="External"/><Relationship Id="rId198" Type="http://schemas.openxmlformats.org/officeDocument/2006/relationships/hyperlink" Target="http://www.sec.gov/Archives/edgar/data/1422142/000119312521257910/d119681dex1010.htm" TargetMode="External"/><Relationship Id="rId199" Type="http://schemas.openxmlformats.org/officeDocument/2006/relationships/hyperlink" Target="http://www.sec.gov/Archives/edgar/data/1422142/000119312521257910/d119681dex1011.htm" TargetMode="External"/><Relationship Id="rId202" Type="http://schemas.openxmlformats.org/officeDocument/2006/relationships/hyperlink" Target="http://www.sec.gov/Archives/edgar/data/1422142/000119312521254142/d215509dex101.htm" TargetMode="External"/><Relationship Id="rId203" Type="http://schemas.openxmlformats.org/officeDocument/2006/relationships/hyperlink" Target="http://www.sec.gov/Archives/edgar/data/1422142/000156459021055958/aadi-ex1013_331.htm" TargetMode="External"/><Relationship Id="rId204" Type="http://schemas.openxmlformats.org/officeDocument/2006/relationships/hyperlink" Target="http://www.sec.gov/Archives/edgar/data/1422142/000156459021055958/aadi-ex1014_329.htm" TargetMode="External"/><Relationship Id="rId205" Type="http://schemas.openxmlformats.org/officeDocument/2006/relationships/hyperlink" Target="http://www.sec.gov/Archives/edgar/data/1422142/000156459021055958/aadi-ex1015_224.htm" TargetMode="External"/><Relationship Id="rId206" Type="http://schemas.openxmlformats.org/officeDocument/2006/relationships/hyperlink" Target="http://www.sec.gov/Archives/edgar/data/0001422142/000119312521276826/d234049dex101.htm" TargetMode="External"/><Relationship Id="rId207" Type="http://schemas.openxmlformats.org/officeDocument/2006/relationships/hyperlink" Target="http://www.sec.gov/Archives/edgar/data/1422142/000156459021055958/aadi-ex1017_330.htm" TargetMode="External"/><Relationship Id="rId208" Type="http://schemas.openxmlformats.org/officeDocument/2006/relationships/hyperlink" Target="http://www.sec.gov/Archives/edgar/data/0001422142/000156459021055958/aadi-ex1018_332.htm" TargetMode="External"/><Relationship Id="rId209" Type="http://schemas.openxmlformats.org/officeDocument/2006/relationships/hyperlink" Target="http://www.sec.gov/Archives/edgar/data/1422142/000156459018005868/arpo-ex1015_8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2022-03-17T07:07:31Z</dcterms:created>
  <dcterms:modified xsi:type="dcterms:W3CDTF">2022-03-17T07:07:31Z</dcterms:modified>
</cp:coreProperties>
</file>