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3660" w:right="1640" w:hanging="3634"/>
        <w:spacing w:after="0" w:line="305" w:lineRule="auto"/>
        <w:tabs>
          <w:tab w:leader="none" w:pos="4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060" w:right="1620" w:hanging="3034"/>
        <w:spacing w:after="0" w:line="367" w:lineRule="auto"/>
        <w:tabs>
          <w:tab w:leader="none" w:pos="48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001-38560</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AADI BIOSCIENCE,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91"/>
              </w:rPr>
              <w:t>Delaware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61-1547850</w:t>
            </w:r>
          </w:p>
        </w:tc>
      </w:tr>
      <w:tr>
        <w:trPr>
          <w:trHeight w:val="171"/>
        </w:trPr>
        <w:tc>
          <w:tcPr>
            <w:tcW w:w="6420" w:type="dxa"/>
            <w:vAlign w:val="bottom"/>
          </w:tcPr>
          <w:p>
            <w:pPr>
              <w:jc w:val="center"/>
              <w:ind w:right="3644"/>
              <w:spacing w:after="0"/>
              <w:rPr>
                <w:sz w:val="20"/>
                <w:szCs w:val="20"/>
                <w:color w:val="auto"/>
              </w:rPr>
            </w:pPr>
            <w:r>
              <w:rPr>
                <w:rFonts w:ascii="Arial" w:cs="Arial" w:eastAsia="Arial" w:hAnsi="Arial"/>
                <w:sz w:val="13"/>
                <w:szCs w:val="13"/>
                <w:b w:val="1"/>
                <w:bCs w:val="1"/>
                <w:color w:val="auto"/>
                <w:w w:val="88"/>
              </w:rPr>
              <w:t>(State or other jurisdiction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420" w:type="dxa"/>
            <w:vAlign w:val="bottom"/>
          </w:tcPr>
          <w:p>
            <w:pPr>
              <w:jc w:val="center"/>
              <w:ind w:right="3624"/>
              <w:spacing w:after="0"/>
              <w:rPr>
                <w:sz w:val="20"/>
                <w:szCs w:val="20"/>
                <w:color w:val="auto"/>
              </w:rPr>
            </w:pPr>
            <w:r>
              <w:rPr>
                <w:rFonts w:ascii="Arial" w:cs="Arial" w:eastAsia="Arial" w:hAnsi="Arial"/>
                <w:sz w:val="13"/>
                <w:szCs w:val="13"/>
                <w:b w:val="1"/>
                <w:bCs w:val="1"/>
                <w:color w:val="auto"/>
                <w:w w:val="88"/>
              </w:rPr>
              <w:t>incorporation or organization)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89"/>
              </w:rPr>
              <w:t>17383 Sunset Boulevard Suite A250</w:t>
            </w:r>
          </w:p>
        </w:tc>
        <w:tc>
          <w:tcPr>
            <w:tcW w:w="1040" w:type="dxa"/>
            <w:vAlign w:val="bottom"/>
          </w:tcPr>
          <w:p>
            <w:pPr>
              <w:spacing w:after="0"/>
              <w:rPr>
                <w:sz w:val="20"/>
                <w:szCs w:val="20"/>
                <w:color w:val="auto"/>
              </w:rPr>
            </w:pPr>
          </w:p>
        </w:tc>
      </w:tr>
      <w:tr>
        <w:trPr>
          <w:trHeight w:val="234"/>
        </w:trPr>
        <w:tc>
          <w:tcPr>
            <w:tcW w:w="6420" w:type="dxa"/>
            <w:vAlign w:val="bottom"/>
          </w:tcPr>
          <w:p>
            <w:pPr>
              <w:jc w:val="center"/>
              <w:ind w:right="3624"/>
              <w:spacing w:after="0"/>
              <w:rPr>
                <w:sz w:val="20"/>
                <w:szCs w:val="20"/>
                <w:color w:val="auto"/>
              </w:rPr>
            </w:pPr>
            <w:r>
              <w:rPr>
                <w:rFonts w:ascii="Arial" w:cs="Arial" w:eastAsia="Arial" w:hAnsi="Arial"/>
                <w:sz w:val="18"/>
                <w:szCs w:val="18"/>
                <w:b w:val="1"/>
                <w:bCs w:val="1"/>
                <w:color w:val="auto"/>
                <w:w w:val="90"/>
              </w:rPr>
              <w:t>Pacific Palisades, California</w:t>
            </w:r>
          </w:p>
        </w:tc>
        <w:tc>
          <w:tcPr>
            <w:tcW w:w="1040" w:type="dxa"/>
            <w:vAlign w:val="bottom"/>
          </w:tcPr>
          <w:p>
            <w:pPr>
              <w:jc w:val="right"/>
              <w:ind w:right="186"/>
              <w:spacing w:after="0"/>
              <w:rPr>
                <w:sz w:val="20"/>
                <w:szCs w:val="20"/>
                <w:color w:val="auto"/>
              </w:rPr>
            </w:pPr>
            <w:r>
              <w:rPr>
                <w:rFonts w:ascii="Arial" w:cs="Arial" w:eastAsia="Arial" w:hAnsi="Arial"/>
                <w:sz w:val="18"/>
                <w:szCs w:val="18"/>
                <w:b w:val="1"/>
                <w:bCs w:val="1"/>
                <w:color w:val="auto"/>
              </w:rPr>
              <w:t>90272</w:t>
            </w:r>
          </w:p>
        </w:tc>
      </w:tr>
      <w:tr>
        <w:trPr>
          <w:trHeight w:val="186"/>
        </w:trPr>
        <w:tc>
          <w:tcPr>
            <w:tcW w:w="6420" w:type="dxa"/>
            <w:vAlign w:val="bottom"/>
          </w:tcPr>
          <w:p>
            <w:pPr>
              <w:jc w:val="center"/>
              <w:ind w:right="36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254"/>
        </w:trPr>
        <w:tc>
          <w:tcPr>
            <w:tcW w:w="6420" w:type="dxa"/>
            <w:vAlign w:val="bottom"/>
          </w:tcPr>
          <w:p>
            <w:pPr>
              <w:jc w:val="right"/>
              <w:ind w:right="1624"/>
              <w:spacing w:after="0"/>
              <w:rPr>
                <w:sz w:val="20"/>
                <w:szCs w:val="20"/>
                <w:color w:val="auto"/>
              </w:rPr>
            </w:pPr>
            <w:r>
              <w:rPr>
                <w:rFonts w:ascii="Arial" w:cs="Arial" w:eastAsia="Arial" w:hAnsi="Arial"/>
                <w:sz w:val="18"/>
                <w:szCs w:val="18"/>
                <w:b w:val="1"/>
                <w:bCs w:val="1"/>
                <w:color w:val="auto"/>
              </w:rPr>
              <w:t>(424) 744-8055</w:t>
            </w:r>
          </w:p>
        </w:tc>
        <w:tc>
          <w:tcPr>
            <w:tcW w:w="1040" w:type="dxa"/>
            <w:vAlign w:val="bottom"/>
          </w:tcPr>
          <w:p>
            <w:pPr>
              <w:spacing w:after="0"/>
              <w:rPr>
                <w:sz w:val="22"/>
                <w:szCs w:val="22"/>
                <w:color w:val="auto"/>
              </w:rPr>
            </w:pPr>
          </w:p>
        </w:tc>
      </w:tr>
      <w:tr>
        <w:trPr>
          <w:trHeight w:val="164"/>
        </w:trPr>
        <w:tc>
          <w:tcPr>
            <w:tcW w:w="6420" w:type="dxa"/>
            <w:vAlign w:val="bottom"/>
          </w:tcPr>
          <w:p>
            <w:pPr>
              <w:jc w:val="center"/>
              <w:ind w:left="182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040" w:type="dxa"/>
            <w:vAlign w:val="bottom"/>
          </w:tcPr>
          <w:p>
            <w:pPr>
              <w:spacing w:after="0"/>
              <w:rPr>
                <w:sz w:val="14"/>
                <w:szCs w:val="14"/>
                <w:color w:val="auto"/>
              </w:rPr>
            </w:pPr>
          </w:p>
        </w:tc>
      </w:tr>
      <w:tr>
        <w:trPr>
          <w:trHeight w:val="245"/>
        </w:trPr>
        <w:tc>
          <w:tcPr>
            <w:tcW w:w="6420" w:type="dxa"/>
            <w:vAlign w:val="bottom"/>
          </w:tcPr>
          <w:p>
            <w:pPr>
              <w:jc w:val="center"/>
              <w:ind w:left="1844"/>
              <w:spacing w:after="0"/>
              <w:rPr>
                <w:sz w:val="20"/>
                <w:szCs w:val="20"/>
                <w:color w:val="auto"/>
              </w:rPr>
            </w:pPr>
            <w:r>
              <w:rPr>
                <w:rFonts w:ascii="Arial" w:cs="Arial" w:eastAsia="Arial" w:hAnsi="Arial"/>
                <w:sz w:val="13"/>
                <w:szCs w:val="13"/>
                <w:b w:val="1"/>
                <w:bCs w:val="1"/>
                <w:color w:val="auto"/>
                <w:w w:val="87"/>
              </w:rPr>
              <w:t>(Former name, former address and former fiscal year, if changed since last report)</w:t>
            </w:r>
          </w:p>
        </w:tc>
        <w:tc>
          <w:tcPr>
            <w:tcW w:w="1040" w:type="dxa"/>
            <w:vAlign w:val="bottom"/>
          </w:tcPr>
          <w:p>
            <w:pPr>
              <w:spacing w:after="0"/>
              <w:rPr>
                <w:sz w:val="21"/>
                <w:szCs w:val="21"/>
                <w:color w:val="auto"/>
              </w:rPr>
            </w:pPr>
          </w:p>
        </w:tc>
      </w:tr>
      <w:tr>
        <w:trPr>
          <w:trHeight w:val="230"/>
        </w:trPr>
        <w:tc>
          <w:tcPr>
            <w:tcW w:w="6420" w:type="dxa"/>
            <w:vAlign w:val="bottom"/>
          </w:tcPr>
          <w:p>
            <w:pPr>
              <w:jc w:val="right"/>
              <w:ind w:right="464"/>
              <w:spacing w:after="0"/>
              <w:rPr>
                <w:sz w:val="20"/>
                <w:szCs w:val="20"/>
                <w:color w:val="auto"/>
              </w:rPr>
            </w:pPr>
            <w:r>
              <w:rPr>
                <w:rFonts w:ascii="Arial" w:cs="Arial" w:eastAsia="Arial" w:hAnsi="Arial"/>
                <w:sz w:val="18"/>
                <w:szCs w:val="18"/>
                <w:color w:val="auto"/>
              </w:rPr>
              <w:t>______________________________________</w:t>
            </w:r>
          </w:p>
        </w:tc>
        <w:tc>
          <w:tcPr>
            <w:tcW w:w="1040" w:type="dxa"/>
            <w:vAlign w:val="bottom"/>
          </w:tcPr>
          <w:p>
            <w:pPr>
              <w:spacing w:after="0"/>
              <w:rPr>
                <w:sz w:val="20"/>
                <w:szCs w:val="20"/>
                <w:color w:val="auto"/>
              </w:rPr>
            </w:pPr>
          </w:p>
        </w:tc>
      </w:tr>
    </w:tbl>
    <w:p>
      <w:pPr>
        <w:ind w:left="6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4"/>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AADI</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4"/>
          <w:szCs w:val="24"/>
          <w:color w:val="auto"/>
        </w:rPr>
      </w:pPr>
    </w:p>
    <w:p>
      <w:pPr>
        <w:jc w:val="both"/>
        <w:ind w:right="20"/>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2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o</w:t>
            </w:r>
          </w:p>
        </w:tc>
        <w:tc>
          <w:tcPr>
            <w:tcW w:w="4920" w:type="dxa"/>
            <w:vAlign w:val="bottom"/>
          </w:tcPr>
          <w:p>
            <w:pPr>
              <w:ind w:left="1280"/>
              <w:spacing w:after="0"/>
              <w:rPr>
                <w:sz w:val="20"/>
                <w:szCs w:val="20"/>
                <w:color w:val="auto"/>
              </w:rPr>
            </w:pPr>
            <w:r>
              <w:rPr>
                <w:rFonts w:ascii="Arial" w:cs="Arial" w:eastAsia="Arial" w:hAnsi="Arial"/>
                <w:sz w:val="16"/>
                <w:szCs w:val="16"/>
                <w:color w:val="auto"/>
              </w:rPr>
              <w:t>Accelerated filer</w:t>
            </w:r>
          </w:p>
        </w:tc>
        <w:tc>
          <w:tcPr>
            <w:tcW w:w="194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4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x</w:t>
            </w:r>
          </w:p>
        </w:tc>
        <w:tc>
          <w:tcPr>
            <w:tcW w:w="4920" w:type="dxa"/>
            <w:vAlign w:val="bottom"/>
          </w:tcPr>
          <w:p>
            <w:pPr>
              <w:ind w:left="1280"/>
              <w:spacing w:after="0"/>
              <w:rPr>
                <w:sz w:val="20"/>
                <w:szCs w:val="20"/>
                <w:color w:val="auto"/>
              </w:rPr>
            </w:pPr>
            <w:r>
              <w:rPr>
                <w:rFonts w:ascii="Arial" w:cs="Arial" w:eastAsia="Arial" w:hAnsi="Arial"/>
                <w:sz w:val="16"/>
                <w:szCs w:val="16"/>
                <w:color w:val="auto"/>
              </w:rPr>
              <w:t>Smaller reporting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83"/>
        </w:trPr>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tcPr>
          <w:p>
            <w:pPr>
              <w:ind w:left="1280"/>
              <w:spacing w:after="0"/>
              <w:rPr>
                <w:sz w:val="20"/>
                <w:szCs w:val="20"/>
                <w:color w:val="auto"/>
              </w:rPr>
            </w:pPr>
            <w:r>
              <w:rPr>
                <w:rFonts w:ascii="Arial" w:cs="Arial" w:eastAsia="Arial" w:hAnsi="Arial"/>
                <w:sz w:val="16"/>
                <w:szCs w:val="16"/>
                <w:color w:val="auto"/>
              </w:rPr>
              <w:t>Emerging growth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o</w:t>
            </w:r>
          </w:p>
        </w:tc>
      </w:tr>
    </w:tbl>
    <w:p>
      <w:pPr>
        <w:spacing w:after="0" w:line="118" w:lineRule="exact"/>
        <w:rPr>
          <w:sz w:val="24"/>
          <w:szCs w:val="24"/>
          <w:color w:val="auto"/>
        </w:rPr>
      </w:pPr>
    </w:p>
    <w:p>
      <w:pPr>
        <w:ind w:right="600"/>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3120"/>
        <w:spacing w:after="0" w:line="351"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 As of November 3, 2023, the registrant had 24,525,860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2"/>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6740" w:type="dxa"/>
            <w:vAlign w:val="bottom"/>
            <w:gridSpan w:val="9"/>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12"/>
            <w:vMerge w:val="continue"/>
          </w:tcPr>
          <w:p>
            <w:pPr>
              <w:spacing w:after="0"/>
              <w:rPr>
                <w:sz w:val="15"/>
                <w:szCs w:val="15"/>
                <w:color w:val="auto"/>
              </w:rPr>
            </w:pPr>
          </w:p>
        </w:tc>
        <w:tc>
          <w:tcPr>
            <w:tcW w:w="6740" w:type="dxa"/>
            <w:vAlign w:val="bottom"/>
            <w:gridSpan w:val="9"/>
            <w:vMerge w:val="continue"/>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Balance Sheets – September 30, 2023 and December 31, 2022 (Unaudited)</w:t>
            </w:r>
          </w:p>
        </w:tc>
        <w:tc>
          <w:tcPr>
            <w:tcW w:w="190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w w:val="90"/>
              </w:rPr>
              <w:t>Condensed Consolidated Statements of Operations and Comprehensive Loss – Three and Nine Months Ended September 30,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2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2023 and 2022 (Unaudited)</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w w:val="91"/>
              </w:rPr>
              <w:t>Condensed Consolidated Statements of Stockholders’ Equity – Three and Nine Months Ended September 30, 2023 and 2022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1"/>
              </w:rPr>
              <w:t>(Unaudited)</w:t>
            </w:r>
          </w:p>
        </w:tc>
        <w:tc>
          <w:tcPr>
            <w:tcW w:w="8120" w:type="dxa"/>
            <w:vAlign w:val="bottom"/>
            <w:tcBorders>
              <w:top w:val="single" w:sz="8" w:color="0000FF"/>
            </w:tcBorders>
            <w:gridSpan w:val="17"/>
          </w:tcPr>
          <w:p>
            <w:pPr>
              <w:spacing w:after="0"/>
              <w:rPr>
                <w:sz w:val="15"/>
                <w:szCs w:val="15"/>
                <w:color w:val="auto"/>
              </w:rPr>
            </w:pPr>
          </w:p>
        </w:tc>
        <w:tc>
          <w:tcPr>
            <w:tcW w:w="140" w:type="dxa"/>
            <w:vAlign w:val="bottom"/>
            <w:gridSpan w:val="2"/>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Cash Flows – Nine Months Ended September 30, 2023 and 2022 (Unaudited)</w:t>
            </w:r>
          </w:p>
        </w:tc>
        <w:tc>
          <w:tcPr>
            <w:tcW w:w="68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7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Controls and Procedures</w:t>
            </w:r>
          </w:p>
        </w:tc>
        <w:tc>
          <w:tcPr>
            <w:tcW w:w="7340" w:type="dxa"/>
            <w:vAlign w:val="bottom"/>
            <w:gridSpan w:val="13"/>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gridSpan w:val="21"/>
          </w:tcPr>
          <w:p>
            <w:pPr>
              <w:spacing w:after="0"/>
              <w:rPr>
                <w:sz w:val="20"/>
                <w:szCs w:val="20"/>
                <w:color w:val="auto"/>
              </w:rPr>
            </w:pPr>
            <w:r>
              <w:rPr>
                <w:rFonts w:ascii="Arial" w:cs="Arial" w:eastAsia="Arial" w:hAnsi="Arial"/>
                <w:sz w:val="18"/>
                <w:szCs w:val="18"/>
                <w:b w:val="1"/>
                <w:bCs w:val="1"/>
                <w:color w:val="0000FF"/>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gridSpan w:val="5"/>
          </w:tcPr>
          <w:p>
            <w:pPr>
              <w:spacing w:after="0"/>
              <w:rPr>
                <w:sz w:val="20"/>
                <w:szCs w:val="20"/>
                <w:color w:val="auto"/>
              </w:rPr>
            </w:pPr>
          </w:p>
        </w:tc>
        <w:tc>
          <w:tcPr>
            <w:tcW w:w="712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4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80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4"/>
          </w:tcPr>
          <w:p>
            <w:pPr>
              <w:spacing w:after="0"/>
              <w:rPr>
                <w:sz w:val="20"/>
                <w:szCs w:val="20"/>
                <w:color w:val="auto"/>
              </w:rPr>
            </w:pPr>
          </w:p>
        </w:tc>
        <w:tc>
          <w:tcPr>
            <w:tcW w:w="682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820" w:type="dxa"/>
            <w:vAlign w:val="bottom"/>
            <w:gridSpan w:val="1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 and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39,019</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133,541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180,029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57"/>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to licensor payable (Note 8)</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Due to licensor (Note 8)</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40"/>
              <w:spacing w:after="0" w:line="176" w:lineRule="exact"/>
              <w:rPr>
                <w:sz w:val="20"/>
                <w:szCs w:val="20"/>
                <w:color w:val="auto"/>
              </w:rPr>
            </w:pPr>
            <w:r>
              <w:rPr>
                <w:rFonts w:ascii="Arial" w:cs="Arial" w:eastAsia="Arial" w:hAnsi="Arial"/>
                <w:sz w:val="18"/>
                <w:szCs w:val="18"/>
                <w:color w:val="auto"/>
              </w:rPr>
              <w:t>Preferred stock, $0.0001 par value, 10,000,000 shares authorized; no shares</w:t>
            </w:r>
          </w:p>
        </w:tc>
        <w:tc>
          <w:tcPr>
            <w:tcW w:w="2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140"/>
              <w:spacing w:after="0"/>
              <w:rPr>
                <w:sz w:val="20"/>
                <w:szCs w:val="20"/>
                <w:color w:val="auto"/>
              </w:rPr>
            </w:pPr>
            <w:r>
              <w:rPr>
                <w:rFonts w:ascii="Arial" w:cs="Arial" w:eastAsia="Arial" w:hAnsi="Arial"/>
                <w:sz w:val="18"/>
                <w:szCs w:val="18"/>
                <w:color w:val="auto"/>
              </w:rPr>
              <w:t>issued and outstanding as of September 30, 2023 and December 31, 2022</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1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Common stock, $0.0001 par value; 300,000,000 shares authorized; 24,525,860</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and 24,435,007 shares issued and outstanding as of September 30, 2023 and December 31, 2022, respectively</w:t>
            </w:r>
          </w:p>
        </w:tc>
        <w:tc>
          <w:tcPr>
            <w:tcW w:w="2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370,904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361,689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(252,694)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(203,198)</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i w:val="1"/>
          <w:iCs w:val="1"/>
          <w:color w:val="auto"/>
        </w:rPr>
        <w:t>(In thousands, except share data and earnings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 sales,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23,292</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Arial" w:cs="Arial" w:eastAsia="Arial" w:hAnsi="Arial"/>
                <w:sz w:val="18"/>
                <w:szCs w:val="18"/>
                <w:color w:val="auto"/>
              </w:rPr>
              <w:t>Impairment of acquired contract intangible asset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57,198</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unrealized loss on short-term investments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ind w:left="240"/>
              <w:spacing w:after="0" w:line="142" w:lineRule="exact"/>
              <w:rPr>
                <w:sz w:val="20"/>
                <w:szCs w:val="20"/>
                <w:color w:val="auto"/>
              </w:rPr>
            </w:pPr>
            <w:r>
              <w:rPr>
                <w:rFonts w:ascii="Arial" w:cs="Arial" w:eastAsia="Arial" w:hAnsi="Arial"/>
                <w:sz w:val="16"/>
                <w:szCs w:val="16"/>
                <w:color w:val="auto"/>
              </w:rPr>
              <w:t>Weighted average number of common shares outstanding, basic</w:t>
            </w:r>
          </w:p>
        </w:tc>
        <w:tc>
          <w:tcPr>
            <w:tcW w:w="2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26,946,683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21,269,163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26,901,810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21,052,786</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including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gridSpan w:val="11"/>
          </w:tcPr>
          <w:p>
            <w:pPr>
              <w:jc w:val="center"/>
              <w:ind w:right="540"/>
              <w:spacing w:after="0"/>
              <w:rPr>
                <w:sz w:val="20"/>
                <w:szCs w:val="20"/>
                <w:color w:val="auto"/>
              </w:rPr>
            </w:pPr>
            <w:r>
              <w:rPr>
                <w:rFonts w:ascii="Arial" w:cs="Arial" w:eastAsia="Arial" w:hAnsi="Arial"/>
                <w:sz w:val="14"/>
                <w:szCs w:val="14"/>
                <w:b w:val="1"/>
                <w:bCs w:val="1"/>
                <w:color w:val="auto"/>
                <w:w w:val="93"/>
              </w:rPr>
              <w:t>For the Three and Nine Months Ended September 30, 2023</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left="313"/>
              <w:spacing w:after="0"/>
              <w:rPr>
                <w:sz w:val="20"/>
                <w:szCs w:val="20"/>
                <w:color w:val="auto"/>
              </w:rPr>
            </w:pPr>
            <w:r>
              <w:rPr>
                <w:rFonts w:ascii="Arial" w:cs="Arial" w:eastAsia="Arial" w:hAnsi="Arial"/>
                <w:sz w:val="14"/>
                <w:szCs w:val="14"/>
                <w:b w:val="1"/>
                <w:bCs w:val="1"/>
                <w:color w:val="auto"/>
                <w:w w:val="92"/>
              </w:rPr>
              <w:t>Stockholders' Equity</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920" w:type="dxa"/>
            <w:vAlign w:val="bottom"/>
          </w:tcPr>
          <w:p>
            <w:pPr>
              <w:spacing w:after="0"/>
              <w:rPr>
                <w:sz w:val="24"/>
                <w:szCs w:val="24"/>
                <w:color w:val="auto"/>
              </w:rPr>
            </w:pPr>
          </w:p>
        </w:tc>
        <w:tc>
          <w:tcPr>
            <w:tcW w:w="15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Paid-In</w:t>
            </w:r>
          </w:p>
        </w:tc>
        <w:tc>
          <w:tcPr>
            <w:tcW w:w="14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 Other</w:t>
            </w:r>
          </w:p>
        </w:tc>
        <w:tc>
          <w:tcPr>
            <w:tcW w:w="140" w:type="dxa"/>
            <w:vAlign w:val="bottom"/>
          </w:tcPr>
          <w:p>
            <w:pPr>
              <w:spacing w:after="0"/>
              <w:rPr>
                <w:sz w:val="2"/>
                <w:szCs w:val="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158,378</w:t>
            </w: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Unrealized gain on investments, net of tax</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364,437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145,986</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176"/>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9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Issuance of shares under the employee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plan</w:t>
            </w: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140"/>
              <w:spacing w:after="0"/>
              <w:rPr>
                <w:sz w:val="20"/>
                <w:szCs w:val="20"/>
                <w:color w:val="auto"/>
              </w:rPr>
            </w:pPr>
            <w:r>
              <w:rPr>
                <w:rFonts w:ascii="Arial" w:cs="Arial" w:eastAsia="Arial" w:hAnsi="Arial"/>
                <w:sz w:val="18"/>
                <w:szCs w:val="18"/>
                <w:color w:val="auto"/>
              </w:rPr>
              <w:t>Unrealized loss on investments, net of tax</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June 30,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367,853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(236,392)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131,419</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175"/>
        </w:trPr>
        <w:tc>
          <w:tcPr>
            <w:tcW w:w="3920" w:type="dxa"/>
            <w:vAlign w:val="bottom"/>
          </w:tcPr>
          <w:p>
            <w:pPr>
              <w:ind w:left="140"/>
              <w:spacing w:after="0" w:line="176" w:lineRule="exact"/>
              <w:rPr>
                <w:sz w:val="20"/>
                <w:szCs w:val="20"/>
                <w:color w:val="auto"/>
              </w:rPr>
            </w:pPr>
            <w:r>
              <w:rPr>
                <w:rFonts w:ascii="Arial" w:cs="Arial" w:eastAsia="Arial" w:hAnsi="Arial"/>
                <w:sz w:val="18"/>
                <w:szCs w:val="18"/>
                <w:color w:val="auto"/>
                <w:w w:val="94"/>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92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6"/>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370,904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20" w:type="dxa"/>
            <w:vAlign w:val="bottom"/>
            <w:gridSpan w:val="10"/>
          </w:tcPr>
          <w:p>
            <w:pPr>
              <w:jc w:val="center"/>
              <w:ind w:right="332"/>
              <w:spacing w:after="0"/>
              <w:rPr>
                <w:sz w:val="20"/>
                <w:szCs w:val="20"/>
                <w:color w:val="auto"/>
              </w:rPr>
            </w:pPr>
            <w:r>
              <w:rPr>
                <w:rFonts w:ascii="Arial" w:cs="Arial" w:eastAsia="Arial" w:hAnsi="Arial"/>
                <w:sz w:val="14"/>
                <w:szCs w:val="14"/>
                <w:b w:val="1"/>
                <w:bCs w:val="1"/>
                <w:color w:val="auto"/>
                <w:w w:val="93"/>
              </w:rPr>
              <w:t>For the Three and Nine Months Ended September 30, 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left="332"/>
              <w:spacing w:after="0"/>
              <w:rPr>
                <w:sz w:val="20"/>
                <w:szCs w:val="20"/>
                <w:color w:val="auto"/>
              </w:rPr>
            </w:pPr>
            <w:r>
              <w:rPr>
                <w:rFonts w:ascii="Arial" w:cs="Arial" w:eastAsia="Arial" w:hAnsi="Arial"/>
                <w:sz w:val="14"/>
                <w:szCs w:val="14"/>
                <w:b w:val="1"/>
                <w:bCs w:val="1"/>
                <w:color w:val="auto"/>
                <w:w w:val="93"/>
              </w:rPr>
              <w:t>Stockholders' Equity</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940" w:type="dxa"/>
            <w:vAlign w:val="bottom"/>
          </w:tcPr>
          <w:p>
            <w:pPr>
              <w:spacing w:after="0"/>
              <w:rPr>
                <w:sz w:val="24"/>
                <w:szCs w:val="24"/>
                <w:color w:val="auto"/>
              </w:rPr>
            </w:pPr>
          </w:p>
        </w:tc>
        <w:tc>
          <w:tcPr>
            <w:tcW w:w="15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Paid-In</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
                <w:szCs w:val="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279,089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136,406</w:t>
            </w:r>
          </w:p>
        </w:tc>
        <w:tc>
          <w:tcPr>
            <w:tcW w:w="0" w:type="dxa"/>
            <w:vAlign w:val="bottom"/>
          </w:tcPr>
          <w:p>
            <w:pPr>
              <w:spacing w:after="0"/>
              <w:rPr>
                <w:sz w:val="1"/>
                <w:szCs w:val="1"/>
                <w:color w:val="auto"/>
              </w:rPr>
            </w:pPr>
          </w:p>
        </w:tc>
      </w:tr>
      <w:tr>
        <w:trPr>
          <w:trHeight w:val="257"/>
        </w:trPr>
        <w:tc>
          <w:tcPr>
            <w:tcW w:w="39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upon exercise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140"/>
              <w:spacing w:after="0" w:line="176" w:lineRule="exact"/>
              <w:rPr>
                <w:sz w:val="20"/>
                <w:szCs w:val="20"/>
                <w:color w:val="auto"/>
              </w:rPr>
            </w:pPr>
            <w:r>
              <w:rPr>
                <w:rFonts w:ascii="Arial" w:cs="Arial" w:eastAsia="Arial" w:hAnsi="Arial"/>
                <w:sz w:val="18"/>
                <w:szCs w:val="18"/>
                <w:color w:val="auto"/>
                <w:w w:val="95"/>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394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281,168</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(156,542)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124,628</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75"/>
        </w:trPr>
        <w:tc>
          <w:tcPr>
            <w:tcW w:w="3940" w:type="dxa"/>
            <w:vAlign w:val="bottom"/>
          </w:tcPr>
          <w:p>
            <w:pPr>
              <w:ind w:left="140"/>
              <w:spacing w:after="0" w:line="176" w:lineRule="exact"/>
              <w:rPr>
                <w:sz w:val="20"/>
                <w:szCs w:val="20"/>
                <w:color w:val="auto"/>
              </w:rPr>
            </w:pPr>
            <w:r>
              <w:rPr>
                <w:rFonts w:ascii="Arial" w:cs="Arial" w:eastAsia="Arial" w:hAnsi="Arial"/>
                <w:sz w:val="18"/>
                <w:szCs w:val="18"/>
                <w:color w:val="auto"/>
                <w:w w:val="95"/>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394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940" w:type="dxa"/>
            <w:vAlign w:val="bottom"/>
          </w:tcPr>
          <w:p>
            <w:pPr>
              <w:jc w:val="right"/>
              <w:spacing w:after="0"/>
              <w:rPr>
                <w:sz w:val="20"/>
                <w:szCs w:val="20"/>
                <w:color w:val="auto"/>
              </w:rPr>
            </w:pPr>
            <w:r>
              <w:rPr>
                <w:rFonts w:ascii="Arial" w:cs="Arial" w:eastAsia="Arial" w:hAnsi="Arial"/>
                <w:sz w:val="18"/>
                <w:szCs w:val="18"/>
                <w:color w:val="auto"/>
              </w:rPr>
              <w:t>21,017</w:t>
            </w:r>
          </w:p>
        </w:tc>
        <w:tc>
          <w:tcPr>
            <w:tcW w:w="100" w:type="dxa"/>
            <w:vAlign w:val="bottom"/>
          </w:tcPr>
          <w:p>
            <w:pPr>
              <w:spacing w:after="0"/>
              <w:rPr>
                <w:sz w:val="21"/>
                <w:szCs w:val="21"/>
                <w:color w:val="auto"/>
              </w:rPr>
            </w:pP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283,539</w:t>
            </w:r>
          </w:p>
        </w:tc>
        <w:tc>
          <w:tcPr>
            <w:tcW w:w="8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(174,811)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108,730</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176"/>
        </w:trPr>
        <w:tc>
          <w:tcPr>
            <w:tcW w:w="3940" w:type="dxa"/>
            <w:vAlign w:val="bottom"/>
          </w:tcPr>
          <w:p>
            <w:pPr>
              <w:ind w:left="140"/>
              <w:spacing w:after="0" w:line="176" w:lineRule="exact"/>
              <w:rPr>
                <w:sz w:val="20"/>
                <w:szCs w:val="20"/>
                <w:color w:val="auto"/>
              </w:rPr>
            </w:pPr>
            <w:r>
              <w:rPr>
                <w:rFonts w:ascii="Arial" w:cs="Arial" w:eastAsia="Arial" w:hAnsi="Arial"/>
                <w:sz w:val="18"/>
                <w:szCs w:val="18"/>
                <w:color w:val="auto"/>
                <w:w w:val="95"/>
              </w:rPr>
              <w:t>Issuance of common stock upon exercise of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940" w:type="dxa"/>
            <w:vAlign w:val="bottom"/>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placement, net of transaction costs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72,178</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72,178</w:t>
            </w:r>
          </w:p>
        </w:tc>
        <w:tc>
          <w:tcPr>
            <w:tcW w:w="0" w:type="dxa"/>
            <w:vAlign w:val="bottom"/>
          </w:tcPr>
          <w:p>
            <w:pPr>
              <w:spacing w:after="0"/>
              <w:rPr>
                <w:sz w:val="1"/>
                <w:szCs w:val="1"/>
                <w:color w:val="auto"/>
              </w:rPr>
            </w:pPr>
          </w:p>
        </w:tc>
      </w:tr>
      <w:tr>
        <w:trPr>
          <w:trHeight w:val="257"/>
        </w:trPr>
        <w:tc>
          <w:tcPr>
            <w:tcW w:w="39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780" w:type="dxa"/>
            <w:vAlign w:val="bottom"/>
          </w:tcPr>
          <w:p>
            <w:pPr>
              <w:jc w:val="center"/>
              <w:ind w:left="350"/>
              <w:spacing w:after="0"/>
              <w:rPr>
                <w:sz w:val="20"/>
                <w:szCs w:val="20"/>
                <w:color w:val="auto"/>
              </w:rPr>
            </w:pPr>
            <w:r>
              <w:rPr>
                <w:rFonts w:ascii="Arial" w:cs="Arial" w:eastAsia="Arial" w:hAnsi="Arial"/>
                <w:sz w:val="18"/>
                <w:szCs w:val="18"/>
                <w:color w:val="auto"/>
                <w:w w:val="93"/>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940" w:type="dxa"/>
            <w:vAlign w:val="bottom"/>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1"/>
                <w:szCs w:val="21"/>
                <w:color w:val="auto"/>
              </w:rPr>
            </w:pP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358,490</w:t>
            </w:r>
          </w:p>
        </w:tc>
        <w:tc>
          <w:tcPr>
            <w:tcW w:w="8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350"/>
              <w:spacing w:after="0"/>
              <w:rPr>
                <w:sz w:val="20"/>
                <w:szCs w:val="20"/>
                <w:color w:val="auto"/>
              </w:rPr>
            </w:pPr>
            <w:r>
              <w:rPr>
                <w:rFonts w:ascii="Arial" w:cs="Arial" w:eastAsia="Arial" w:hAnsi="Arial"/>
                <w:sz w:val="18"/>
                <w:szCs w:val="18"/>
                <w:color w:val="auto"/>
                <w:w w:val="93"/>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(189,285)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169,108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AADI BIOSCIENCE, INC.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63"/>
        </w:trPr>
        <w:tc>
          <w:tcPr>
            <w:tcW w:w="81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of acquired contract intangible asset</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premiums and discounts on short-term investments, net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Non-cash interest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(38,330)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Maturity of short-term investments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(48,507)</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sale of common stock and prefunded warrants</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Issuance of common stock upon exercise of stock options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300"/>
              <w:spacing w:after="0"/>
              <w:rPr>
                <w:sz w:val="20"/>
                <w:szCs w:val="20"/>
                <w:color w:val="auto"/>
              </w:rPr>
            </w:pPr>
            <w:r>
              <w:rPr>
                <w:rFonts w:ascii="Arial" w:cs="Arial" w:eastAsia="Arial" w:hAnsi="Arial"/>
                <w:sz w:val="18"/>
                <w:szCs w:val="18"/>
                <w:color w:val="auto"/>
              </w:rPr>
              <w:t>Issuance of common stock upon exercise of warrants</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offering costs paid for financing</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72,727</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148,989</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during the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connection with Private Placement included in 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Deferred transaction costs included in accounts payable and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liability arising from obtaining right-of-use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31F20"/>
        </w:rPr>
        <w:t xml:space="preserve">Aadi Bioscience, Inc. (together with its subsidiaries, the “Company” or “Aadi”) is </w:t>
      </w:r>
      <w:r>
        <w:rPr>
          <w:rFonts w:ascii="Arial" w:cs="Arial" w:eastAsia="Arial" w:hAnsi="Arial"/>
          <w:sz w:val="17"/>
          <w:szCs w:val="17"/>
          <w:color w:val="000000"/>
        </w:rPr>
        <w:t>a biopharmaceutical company focused on developing and</w:t>
      </w:r>
      <w:r>
        <w:rPr>
          <w:rFonts w:ascii="Arial" w:cs="Arial" w:eastAsia="Arial" w:hAnsi="Arial"/>
          <w:sz w:val="17"/>
          <w:szCs w:val="17"/>
          <w:color w:val="231F20"/>
        </w:rPr>
        <w:t xml:space="preserve"> </w:t>
      </w:r>
      <w:r>
        <w:rPr>
          <w:rFonts w:ascii="Arial" w:cs="Arial" w:eastAsia="Arial" w:hAnsi="Arial"/>
          <w:sz w:val="17"/>
          <w:szCs w:val="17"/>
          <w:color w:val="000000"/>
        </w:rPr>
        <w:t>commercializing precision therapies for genetically defined cancers with alterations in mTOR pathway genes. Aadi’s lead drug product, FYARRO</w:t>
      </w:r>
      <w:r>
        <w:rPr>
          <w:rFonts w:ascii="Arial" w:cs="Arial" w:eastAsia="Arial" w:hAnsi="Arial"/>
          <w:sz w:val="22"/>
          <w:szCs w:val="22"/>
          <w:color w:val="000000"/>
          <w:vertAlign w:val="superscript"/>
        </w:rPr>
        <w:t>®</w:t>
      </w:r>
      <w:r>
        <w:rPr>
          <w:rFonts w:ascii="Arial" w:cs="Arial" w:eastAsia="Arial" w:hAnsi="Arial"/>
          <w:sz w:val="17"/>
          <w:szCs w:val="17"/>
          <w:color w:val="000000"/>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w:t>
      </w:r>
      <w:r>
        <w:rPr>
          <w:rFonts w:ascii="Arial" w:cs="Arial" w:eastAsia="Arial" w:hAnsi="Arial"/>
          <w:sz w:val="17"/>
          <w:szCs w:val="17"/>
          <w:color w:val="231F20"/>
        </w:rPr>
        <w:t>“</w:t>
      </w:r>
      <w:r>
        <w:rPr>
          <w:rFonts w:ascii="Arial" w:cs="Arial" w:eastAsia="Arial" w:hAnsi="Arial"/>
          <w:sz w:val="17"/>
          <w:szCs w:val="17"/>
          <w:color w:val="000000"/>
        </w:rPr>
        <w:t>PEComa</w:t>
      </w:r>
      <w:r>
        <w:rPr>
          <w:rFonts w:ascii="Arial" w:cs="Arial" w:eastAsia="Arial" w:hAnsi="Arial"/>
          <w:sz w:val="17"/>
          <w:szCs w:val="17"/>
          <w:color w:val="231F20"/>
        </w:rPr>
        <w:t>”</w:t>
      </w:r>
      <w:r>
        <w:rPr>
          <w:rFonts w:ascii="Arial" w:cs="Arial" w:eastAsia="Arial" w:hAnsi="Arial"/>
          <w:sz w:val="17"/>
          <w:szCs w:val="17"/>
          <w:color w:val="000000"/>
        </w:rPr>
        <w:t>). On February 22, 2022, Aadi launched FYARRO in the United States for treatment of advanced malignant PEComa. FYARRO is licensed to Aadi by Abraxis BioScience, LLC, a wholly owned subsidiary of Celgene Corporation, which is a wholly owned subsidiary of Bristol Myers Squibb Company (“BMS”).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Company has experienced net losses since its inception and expects to continue to incur net losses into the foreseeable future. The Company had an accumulated deficit of $252.7 million as of September 30, 2023. For the three months ended September 30, 2023 and 2022, the Company had a net loss of $16.3 million and $14.5 million, respectively. For the nine months ended September 30, 2023 and 2022, the Company had a net loss of $49.5 million and $46.6 million, respectively. To date, these operating losses have been funded primarily from outside sources of invested capital through the issuance of convertible promissory notes, grant funding, the sale of securities, and proceeds from license agreements.</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w:t>
      </w:r>
      <w:r>
        <w:rPr>
          <w:rFonts w:ascii="Arial" w:cs="Arial" w:eastAsia="Arial" w:hAnsi="Arial"/>
          <w:sz w:val="16"/>
          <w:szCs w:val="16"/>
          <w:color w:val="231F20"/>
        </w:rPr>
        <w:t>had cash, cash equivalents and short-term investments of $119.3 million</w:t>
      </w:r>
      <w:r>
        <w:rPr>
          <w:rFonts w:ascii="Arial" w:cs="Arial" w:eastAsia="Arial" w:hAnsi="Arial"/>
          <w:sz w:val="16"/>
          <w:szCs w:val="16"/>
          <w:color w:val="auto"/>
        </w:rPr>
        <w:t xml:space="preserve"> at September 30, 2023.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Arial" w:cs="Arial" w:eastAsia="Arial" w:hAnsi="Arial"/>
          <w:sz w:val="17"/>
          <w:szCs w:val="17"/>
          <w:color w:val="231F20"/>
        </w:rPr>
        <w:t>September 30, 2023</w:t>
      </w:r>
      <w:r>
        <w:rPr>
          <w:rFonts w:ascii="Arial" w:cs="Arial" w:eastAsia="Arial" w:hAnsi="Arial"/>
          <w:sz w:val="17"/>
          <w:szCs w:val="17"/>
          <w:color w:val="auto"/>
        </w:rPr>
        <w:t>, no shares of common stock had been sold under this Sales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financial statements, and the related disclosures, have been prepared in accordance with accounting principles generally accepted in the United States ("GAAP")and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GAAP have been condensed or omitted. Accordingly, the accompanying unaudited interim financial statements should be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read in conjunction with the audited financial statements and the related notes thereto for the year ended December 31, 2022, which are included in the Company’s Annual Report on Form 10-K filed with the SEC on March 29,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primarily of cash and cash equivalents and investments in money market funds, United States government treasury bills, commercial paper, corporate bonds, and government agency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accounts receivable is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Customer Concentration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2023 and 2022, two customers represented 56% and 44%, and 55% and 45% of the Company's revenue,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and 2022, two customers represented 54% and 46%, and 50% and 48% of the Company’s revenue,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Additionally, two customers accounted for 61% and 39% of net accounts receivable as of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all highly liquid marketable securities purchased with original maturities of three months or less at the time of purchase date to be cash equivalents. As of September 30, 2023 and December 31, 2022, cash and cash equivalents including money market investments totaled $66.3 million and $32.0 million, respectively. Restricted cash consists of a letter of credit secured by restricted cash in connection with one of the Company's office leases described in Note 7, and is included in other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39,019</w:t>
            </w:r>
          </w:p>
        </w:tc>
      </w:tr>
      <w:tr>
        <w:trPr>
          <w:trHeight w:val="25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980" w:hanging="647"/>
        <w:spacing w:after="0" w:line="277"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 which reflect those that a market participant would use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accrued liabilities, and due to licensor payable are reasonable estimates of their fair value because of the short maturity of these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Short-Term Investments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 See Note 4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terms of the customer contracts. As of September 30, 2023 and December 31, 2022, recorded customer allowances for chargebacks were $1.5 million and $0.1 million, respectively. There were no allowances for credit losses and no receivables were written off for the periods ended September 30, 2023 and December 31,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Details of inventory are presented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r>
      <w:tr>
        <w:trPr>
          <w:trHeight w:val="27"/>
        </w:trPr>
        <w:tc>
          <w:tcPr>
            <w:tcW w:w="7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Details of property and equipment are presented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1"/>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jc w:val="both"/>
        <w:ind w:firstLine="8"/>
        <w:spacing w:after="0" w:line="252" w:lineRule="auto"/>
        <w:tabs>
          <w:tab w:leader="none" w:pos="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Arial" w:cs="Arial" w:eastAsia="Arial" w:hAnsi="Arial"/>
          <w:sz w:val="16"/>
          <w:szCs w:val="16"/>
          <w:color w:val="231F20"/>
        </w:rPr>
        <w:t>condensed consolidated</w:t>
      </w:r>
      <w:r>
        <w:rPr>
          <w:rFonts w:ascii="Arial" w:cs="Arial" w:eastAsia="Arial" w:hAnsi="Arial"/>
          <w:sz w:val="16"/>
          <w:szCs w:val="16"/>
          <w:color w:val="auto"/>
        </w:rPr>
        <w:t xml:space="preserve"> </w:t>
      </w:r>
      <w:r>
        <w:rPr>
          <w:rFonts w:ascii="Arial" w:cs="Arial" w:eastAsia="Arial" w:hAnsi="Arial"/>
          <w:sz w:val="16"/>
          <w:szCs w:val="16"/>
          <w:color w:val="231F20"/>
        </w:rPr>
        <w:t>statements of operations and comprehensive loss</w:t>
      </w:r>
      <w:r>
        <w:rPr>
          <w:rFonts w:ascii="Arial" w:cs="Arial" w:eastAsia="Arial" w:hAnsi="Arial"/>
          <w:sz w:val="16"/>
          <w:szCs w:val="16"/>
          <w:color w:val="000000"/>
        </w:rPr>
        <w:t>. For operating leases, lease cost is recognized on a straight-line basis over the lease term and variable</w:t>
      </w:r>
      <w:r>
        <w:rPr>
          <w:rFonts w:ascii="Arial" w:cs="Arial" w:eastAsia="Arial" w:hAnsi="Arial"/>
          <w:sz w:val="16"/>
          <w:szCs w:val="16"/>
          <w:color w:val="231F20"/>
        </w:rPr>
        <w:t xml:space="preserve"> </w:t>
      </w:r>
      <w:r>
        <w:rPr>
          <w:rFonts w:ascii="Arial" w:cs="Arial" w:eastAsia="Arial" w:hAnsi="Arial"/>
          <w:sz w:val="16"/>
          <w:szCs w:val="16"/>
          <w:color w:val="000000"/>
        </w:rPr>
        <w:t>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Commitments and Contingencies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2023 and December 31, 2022</w:t>
      </w:r>
      <w:r>
        <w:rPr>
          <w:rFonts w:ascii="Arial" w:cs="Arial" w:eastAsia="Arial" w:hAnsi="Arial"/>
          <w:sz w:val="17"/>
          <w:szCs w:val="17"/>
          <w:color w:val="231F20"/>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Related Allowances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Net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Distribution Fees</w:t>
      </w:r>
      <w:r>
        <w:rPr>
          <w:rFonts w:ascii="Arial" w:cs="Arial" w:eastAsia="Arial" w:hAnsi="Arial"/>
          <w:sz w:val="18"/>
          <w:szCs w:val="18"/>
          <w:color w:val="auto"/>
        </w:rPr>
        <w:t>: Distribution fees include distribution service fees paid to the SDs and SP based on a contractually fixed percentage of the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cost (“WAC”). Distribution fees are recorded as an offset to product sales based on contractual terms at the time revenue from the sale is recognized.</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Rebates</w:t>
      </w:r>
      <w:r>
        <w:rPr>
          <w:rFonts w:ascii="Arial" w:cs="Arial" w:eastAsia="Arial" w:hAnsi="Arial"/>
          <w:sz w:val="16"/>
          <w:szCs w:val="16"/>
          <w:color w:val="auto"/>
        </w:rPr>
        <w:t>: Allowance for rebates includes mandated discounts under the Medicaid Drug Rebate Program and TRICARE program. Rebates are amounts owed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and fees that relate to contracts with government and other entities purchasing from the SDs and SP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The Company offers co-payment assistance to commercially insured patients meeting certain eligibility requirements. Co-payment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the Company offers the SDs and SP limited product return rights for damages, shipment errors,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amount deducted from gross product sales for the allowances described above for the three months ended September 30, 2023, and 2022, was $1.3 million and $0.8 million, respectively, and for the nine months ended September 30, 2023 and 2022 was $3.4 million and $1.8 million,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changes in the accrued revenue allowances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6"/>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8"/>
              </w:rPr>
              <w:t>1,434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Current Period Sales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left="556"/>
              <w:spacing w:after="0"/>
              <w:rPr>
                <w:sz w:val="20"/>
                <w:szCs w:val="20"/>
                <w:color w:val="auto"/>
              </w:rPr>
            </w:pPr>
            <w:r>
              <w:rPr>
                <w:rFonts w:ascii="Arial" w:cs="Arial" w:eastAsia="Arial" w:hAnsi="Arial"/>
                <w:sz w:val="18"/>
                <w:szCs w:val="18"/>
                <w:color w:val="auto"/>
                <w:w w:val="88"/>
              </w:rPr>
              <w:t>3,399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1"/>
              </w:rPr>
              <w:t>(2,187)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88"/>
              </w:rPr>
              <w:t>2,646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r>
      <w:tr>
        <w:trPr>
          <w:trHeight w:val="21"/>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all share-based payments to employees, including grants of employee stock options in the condensed consolidated statements of operations and comprehensive loss based on their fair values. All of the Company’s share-based awards, to employees, non-employees, officers, and directors, are subject only to service-based vesting conditions. The Company estimates the fair value of its share-based awards using the Black-Scholes option pricing model, which requires the input of assumptions, including (i) the expected stock price volatility, (ii) the calculation of expected term of the award, (iii) the risk-free interest rate and (iv) expected dividends. </w:t>
      </w:r>
      <w:r>
        <w:rPr>
          <w:rFonts w:ascii="Arial" w:cs="Arial" w:eastAsia="Arial" w:hAnsi="Arial"/>
          <w:sz w:val="18"/>
          <w:szCs w:val="18"/>
          <w:color w:val="231F20"/>
        </w:rPr>
        <w:t>Options granted during the year have a maximum contractual term of ten years.</w:t>
      </w:r>
      <w:r>
        <w:rPr>
          <w:rFonts w:ascii="Arial" w:cs="Arial" w:eastAsia="Arial" w:hAnsi="Arial"/>
          <w:sz w:val="18"/>
          <w:szCs w:val="18"/>
          <w:color w:val="auto"/>
        </w:rPr>
        <w:t xml:space="preserve"> </w:t>
      </w:r>
      <w:r>
        <w:rPr>
          <w:rFonts w:ascii="Arial" w:cs="Arial" w:eastAsia="Arial" w:hAnsi="Arial"/>
          <w:sz w:val="18"/>
          <w:szCs w:val="18"/>
          <w:color w:val="231F20"/>
        </w:rPr>
        <w:t>Forfeitures are recognized and accounted for as they occur.</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 Company has limited historical stock option activity and therefore estimates the expected term of stock options granted to employees, officers, and directors using the simplified method, which represents the average of the contractual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term of the stock option and its weighted-average vesting period, </w:t>
      </w:r>
      <w:r>
        <w:rPr>
          <w:rFonts w:ascii="Arial" w:cs="Arial" w:eastAsia="Arial" w:hAnsi="Arial"/>
          <w:sz w:val="17"/>
          <w:szCs w:val="17"/>
          <w:color w:val="000000"/>
        </w:rPr>
        <w:t>to calculate the expected term, as it does not have sufficient historical exercise data to</w:t>
      </w:r>
      <w:r>
        <w:rPr>
          <w:rFonts w:ascii="Arial" w:cs="Arial" w:eastAsia="Arial" w:hAnsi="Arial"/>
          <w:sz w:val="17"/>
          <w:szCs w:val="17"/>
          <w:color w:val="231F20"/>
        </w:rPr>
        <w:t xml:space="preserve"> </w:t>
      </w:r>
      <w:r>
        <w:rPr>
          <w:rFonts w:ascii="Arial" w:cs="Arial" w:eastAsia="Arial" w:hAnsi="Arial"/>
          <w:sz w:val="17"/>
          <w:szCs w:val="17"/>
          <w:color w:val="000000"/>
        </w:rPr>
        <w:t>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common shares outstanding for the period. Basic and diluted weighted average shares of common stock outstanding for the three and nine months ended September 30, 2023, includes the weighted average effect of 2,426,493 Pre-Funded Warrants (as defined below), which were issued in September 2022, for the purchase of shares of common stock, for which the remaining unfunded exercise price is $0.0001 per share.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and warrants have been excluded from the computation of diluted net loss per share as they would be anti-dilutive.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and Nine Months Ended September 30,</w:t>
            </w:r>
          </w:p>
        </w:tc>
        <w:tc>
          <w:tcPr>
            <w:tcW w:w="500" w:type="dxa"/>
            <w:vAlign w:val="bottom"/>
          </w:tcPr>
          <w:p>
            <w:pPr>
              <w:spacing w:after="0"/>
              <w:rPr>
                <w:sz w:val="16"/>
                <w:szCs w:val="16"/>
                <w:color w:val="auto"/>
              </w:rPr>
            </w:pPr>
          </w:p>
        </w:tc>
      </w:tr>
      <w:tr>
        <w:trPr>
          <w:trHeight w:val="216"/>
        </w:trPr>
        <w:tc>
          <w:tcPr>
            <w:tcW w:w="8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8"/>
                <w:szCs w:val="18"/>
                <w:color w:val="auto"/>
              </w:rPr>
            </w:pPr>
          </w:p>
        </w:tc>
      </w:tr>
      <w:tr>
        <w:trPr>
          <w:trHeight w:val="25"/>
        </w:trPr>
        <w:tc>
          <w:tcPr>
            <w:tcW w:w="73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2,938</w:t>
            </w:r>
          </w:p>
        </w:tc>
      </w:tr>
      <w:tr>
        <w:trPr>
          <w:trHeight w:val="243"/>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Warrants to purchase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The Company adopted ASU 2016-13 beginning in January 2023. The Company determined that the adoption of this standard did not result in a material impact to the condensed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Fair Value Measurement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recurring fair value of the Company’s financial assets and liabilities, allocated into the Level 1, Level 2 and Level 3 hierarchy that were measured at fair value on a recurring basis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b w:val="1"/>
                <w:bCs w:val="1"/>
                <w:color w:val="auto"/>
                <w:w w:val="92"/>
              </w:rPr>
              <w:t>Fair Value Measurements as of September 30,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16"/>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Money market funds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66,282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66,282</w:t>
            </w:r>
          </w:p>
        </w:tc>
      </w:tr>
      <w:tr>
        <w:trPr>
          <w:trHeight w:val="229"/>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treasury bills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w:t>
            </w: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11,313</w:t>
            </w:r>
          </w:p>
        </w:tc>
      </w:tr>
      <w:tr>
        <w:trPr>
          <w:trHeight w:val="229"/>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r>
      <w:tr>
        <w:trPr>
          <w:trHeight w:val="229"/>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Government agency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10,877</w:t>
            </w: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as of December 31, 2022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Money market funds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32,035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32,035</w:t>
            </w: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treasury bills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53,296</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30"/>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Government agency</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w:t>
            </w:r>
          </w:p>
        </w:tc>
      </w:tr>
      <w:tr>
        <w:trPr>
          <w:trHeight w:val="24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cash and cash equivalents in the accompanying condensed consolidated balance sheets.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2023, net unrealized loss on investments was $16,000. All marketable securities had a contractual maturity of less than one year as of September 30,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Short-Term Investments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short-term investments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ind w:left="600"/>
              <w:spacing w:after="0"/>
              <w:rPr>
                <w:sz w:val="20"/>
                <w:szCs w:val="20"/>
                <w:color w:val="auto"/>
              </w:rPr>
            </w:pPr>
            <w:r>
              <w:rPr>
                <w:rFonts w:ascii="Arial" w:cs="Arial" w:eastAsia="Arial" w:hAnsi="Arial"/>
                <w:sz w:val="14"/>
                <w:szCs w:val="14"/>
                <w:b w:val="1"/>
                <w:bCs w:val="1"/>
                <w:color w:val="auto"/>
              </w:rPr>
              <w:t>As of September 30,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Maturity (In Years)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U.S. government treasury bills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20,312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agency</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5"/>
          </w:tcPr>
          <w:p>
            <w:pPr>
              <w:ind w:left="620"/>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Maturity (In Years)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U.S. government treasury bills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70,708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agency</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Less than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165,576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Intangible Asset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26, 2021, the Company closed its reverse merger pursuant to which the Company’s wholly-owned subsidiary merged with and into Aadi Subsidiary, Inc. (formerly Aadi Bioscience, Inc.) (“Private Aadi”), with Private Aadi surviving as a wholly owned subsidiary of the Company (the “Merger”). The Company recorded a long-lived contract intangible asset as a result of the Merger, related to the license agreement, dated June 24, 2018, with Gossamer Bio, Inc. (“Gossamer”), as amended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of the Merger, the Company recognized an impairment of $74.2 million to bring the carrying amount of the contract intangible asset down to its estimated fair value of $3.9 million. The fair value estimate of the intangible asset related to contingent cash flows expected from the out-licensing arrangement, of which 90% of any future net cash proceeds will be remitted to each holder of common stock of the Company’s predecessor, Aerpio, as of immediately prior to the closing of the Merger and paid through the contingent value rights (“CVRs”) pursuant to a Contingent Value Rights Agreement, dated as of August 26, 2021 (the “CVR Agreement”). The useful life of the intangible asset was estimated to be approximately 14.3 years.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2022, the Company received a formal notice of termination from Gossamer for the Gossamer License Agreement, relating to Gossamer’s GB004 product candidate, a legacy product candidate of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year ended December 31, 2022.</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amortization expense for the three and nine months ended September 30, 2023. Amortization expense was $0 and $87,000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amortization expense and impairment of the finite lived intangible asset for the nine months ended September 30, 2022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2022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December 31, 2021</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Less amortization</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contract intangible</w:t>
            </w:r>
          </w:p>
        </w:tc>
        <w:tc>
          <w:tcPr>
            <w:tcW w:w="2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 net</w:t>
            </w:r>
          </w:p>
        </w:tc>
        <w:tc>
          <w:tcPr>
            <w:tcW w:w="200" w:type="dxa"/>
            <w:vAlign w:val="bottom"/>
          </w:tcPr>
          <w:p>
            <w:pPr>
              <w:spacing w:after="0"/>
              <w:rPr>
                <w:sz w:val="22"/>
                <w:szCs w:val="22"/>
                <w:color w:val="auto"/>
              </w:rPr>
            </w:pPr>
          </w:p>
        </w:tc>
        <w:tc>
          <w:tcPr>
            <w:tcW w:w="1280" w:type="dxa"/>
            <w:vAlign w:val="bottom"/>
            <w:tcBorders>
              <w:bottom w:val="single" w:sz="8" w:color="auto"/>
            </w:tcBorders>
          </w:tcPr>
          <w:p>
            <w:pPr>
              <w:jc w:val="right"/>
              <w:ind w:right="109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color w:val="auto"/>
              </w:rPr>
              <w:t>Details of accrued liabilities are presented as follows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Accrued salaries and payroll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Accrued clinical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manufacturing</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Advanced customer payments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 sales related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Leases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the Company’s leases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0"/>
        </w:trPr>
        <w:tc>
          <w:tcPr>
            <w:tcW w:w="76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3"/>
        </w:trPr>
        <w:tc>
          <w:tcPr>
            <w:tcW w:w="7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3"/>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50"/>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r>
      <w:tr>
        <w:trPr>
          <w:trHeight w:val="275"/>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Rent expense </w:t>
      </w:r>
      <w:r>
        <w:rPr>
          <w:rFonts w:ascii="Arial" w:cs="Arial" w:eastAsia="Arial" w:hAnsi="Arial"/>
          <w:sz w:val="18"/>
          <w:szCs w:val="18"/>
          <w:color w:val="000000"/>
        </w:rPr>
        <w:t>for the three and nine months ended September 30, 2023 and 2022 is presented on the following table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03"/>
        </w:trPr>
        <w:tc>
          <w:tcPr>
            <w:tcW w:w="486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6"/>
        </w:trPr>
        <w:tc>
          <w:tcPr>
            <w:tcW w:w="4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rent expense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leases and included in operating cash flows for the nine months ended September 30, 2023 and 2022 is presented on the following table (in thousands):</w:t>
      </w:r>
    </w:p>
    <w:p>
      <w:pPr>
        <w:spacing w:after="0" w:line="108"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Nine Months Ended September 30,</w:t>
      </w:r>
    </w:p>
    <w:p>
      <w:pPr>
        <w:spacing w:after="0" w:line="42" w:lineRule="exact"/>
        <w:rPr>
          <w:sz w:val="20"/>
          <w:szCs w:val="20"/>
          <w:color w:val="auto"/>
        </w:rPr>
      </w:pPr>
    </w:p>
    <w:p>
      <w:pPr>
        <w:ind w:left="8580"/>
        <w:spacing w:after="0"/>
        <w:tabs>
          <w:tab w:leader="none" w:pos="101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12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980" w:val="left"/>
          <w:tab w:leader="none" w:pos="9100" w:val="left"/>
          <w:tab w:leader="none" w:pos="9560" w:val="left"/>
          <w:tab w:leader="none" w:pos="10680" w:val="left"/>
        </w:tabs>
        <w:rPr>
          <w:sz w:val="20"/>
          <w:szCs w:val="20"/>
          <w:color w:val="auto"/>
        </w:rPr>
      </w:pPr>
      <w:r>
        <w:rPr>
          <w:rFonts w:ascii="Arial" w:cs="Arial" w:eastAsia="Arial" w:hAnsi="Arial"/>
          <w:sz w:val="18"/>
          <w:szCs w:val="18"/>
          <w:color w:val="auto"/>
        </w:rPr>
        <w:t>Cash paid included in operating cash flows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375</w:t>
        <w:tab/>
        <w:t>$</w:t>
      </w:r>
      <w:r>
        <w:rPr>
          <w:sz w:val="20"/>
          <w:szCs w:val="20"/>
          <w:color w:val="auto"/>
        </w:rPr>
        <w:tab/>
      </w:r>
      <w:r>
        <w:rPr>
          <w:rFonts w:ascii="Arial" w:cs="Arial" w:eastAsia="Arial" w:hAnsi="Arial"/>
          <w:sz w:val="16"/>
          <w:szCs w:val="16"/>
          <w:color w:val="auto"/>
        </w:rPr>
        <w:t>170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payments required under the operating leases as of September 30, 2023, are summarized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20" w:type="dxa"/>
            <w:vAlign w:val="bottom"/>
          </w:tcPr>
          <w:p>
            <w:pPr>
              <w:ind w:left="20"/>
              <w:spacing w:after="0"/>
              <w:rPr>
                <w:sz w:val="20"/>
                <w:szCs w:val="20"/>
                <w:color w:val="auto"/>
              </w:rPr>
            </w:pPr>
            <w:r>
              <w:rPr>
                <w:rFonts w:ascii="Arial" w:cs="Arial" w:eastAsia="Arial" w:hAnsi="Arial"/>
                <w:sz w:val="18"/>
                <w:szCs w:val="18"/>
                <w:b w:val="1"/>
                <w:bCs w:val="1"/>
                <w:color w:val="auto"/>
              </w:rPr>
              <w:t>Future Minimum Lease Payments:</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6"/>
        </w:trPr>
        <w:tc>
          <w:tcPr>
            <w:tcW w:w="9620" w:type="dxa"/>
            <w:vAlign w:val="bottom"/>
          </w:tcPr>
          <w:p>
            <w:pPr>
              <w:ind w:left="18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9620" w:type="dxa"/>
            <w:vAlign w:val="bottom"/>
          </w:tcPr>
          <w:p>
            <w:pPr>
              <w:ind w:left="180"/>
              <w:spacing w:after="0"/>
              <w:rPr>
                <w:sz w:val="20"/>
                <w:szCs w:val="20"/>
                <w:color w:val="auto"/>
              </w:rPr>
            </w:pPr>
            <w:r>
              <w:rPr>
                <w:rFonts w:ascii="Arial" w:cs="Arial" w:eastAsia="Arial" w:hAnsi="Arial"/>
                <w:sz w:val="18"/>
                <w:szCs w:val="18"/>
                <w:color w:val="auto"/>
              </w:rPr>
              <w:t>2026</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2027</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 representing interest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operating lease liabilities, current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Remaining lease term (in years)</w:t>
            </w:r>
          </w:p>
        </w:tc>
        <w:tc>
          <w:tcPr>
            <w:tcW w:w="5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borrowing rate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L</w:t>
      </w:r>
      <w:r>
        <w:rPr>
          <w:rFonts w:ascii="Arial" w:cs="Arial" w:eastAsia="Arial" w:hAnsi="Arial"/>
          <w:sz w:val="18"/>
          <w:szCs w:val="18"/>
          <w:b w:val="1"/>
          <w:bCs w:val="1"/>
          <w:color w:val="000000"/>
        </w:rPr>
        <w:t>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 Myers Squibb Company License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9, 2014, the Company entered into a license agreement (as amended, the “BMS License Agreement”) with BMS for exclusive rights for certain patents and a non-exclusive license for certain technology and know-how pertaining to FYARRO.</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BMS License Agreement, BMS is entitled to receive certain development milestone payments, royalties on net sales from licensed products under the agreement and any sublicense fees. During the three months ended September 30, 2023 and 2022, royalties on net product sales were $0.4 million and $0.3 million, respectively. During the nine months ended September 30, 2023 and 2022, royalties on net product sales were $1.3 million and $0.7 million, respectively. No payments related to development milestones were paid during the three and nine months ended September 30, 2023 or 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investment in public equity financing (the “2021 PIPE Financing”). Pursuant to the terms of the Amendment, the remaining previously outstanding payment obligation of $5.8 million, is due on the third anniversary of the effective time of the 2021 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EOC License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September 30, 2023 and </w:t>
      </w:r>
      <w:r>
        <w:rPr>
          <w:rFonts w:ascii="Arial" w:cs="Arial" w:eastAsia="Arial" w:hAnsi="Arial"/>
          <w:sz w:val="18"/>
          <w:szCs w:val="18"/>
          <w:color w:val="231F20"/>
        </w:rPr>
        <w:t>December 31, 2022</w:t>
      </w:r>
      <w:r>
        <w:rPr>
          <w:rFonts w:ascii="Arial" w:cs="Arial" w:eastAsia="Arial" w:hAnsi="Arial"/>
          <w:sz w:val="18"/>
          <w:szCs w:val="18"/>
          <w:color w:val="auto"/>
        </w:rPr>
        <w:t>, under the Company’s certificate of incorporation, as amended and restated, the Company has 10,000,000 shares of preferred stock, par value $0.0001 per share, in authorized capital with no shares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the Company had 300,000,000 shares of authorized common stock, par value of $0.0001 per share, under the Company's certificate of incorporation, as amended and restated. As of September 30, 2023 and December 31, 2022, the shares of common stock outstanding were 24,525,860 and 24,435,007, respectively.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common stock under the Sales Agreement. As of September 30, 2023, no shares of common stock had been sold pursuant to the Sales Agreement.</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The 2022 PIPE Financing closed on September 26, 2022. Aggregate net proceeds, after deducting certain expenses incurred of $0.3 million related to the issuance of the shares, were $72.2 million.</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22,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September 30, 2023, all Pre-Funded Warrants are still outstanding.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common stock are entitled to one vote at all meetings of stockholders for each share of common stock held by such stockholder as of the record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Plan (as amended and restated in February 2017, the “Private Aadi Plan”)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Arial" w:cs="Arial" w:eastAsia="Arial" w:hAnsi="Arial"/>
          <w:sz w:val="18"/>
          <w:szCs w:val="18"/>
          <w:color w:val="231F20"/>
        </w:rPr>
        <w:t>The Private Aadi Plan allowed for the grant of incentive stock options, non-statutory stock options,</w:t>
      </w:r>
      <w:r>
        <w:rPr>
          <w:rFonts w:ascii="Arial" w:cs="Arial" w:eastAsia="Arial" w:hAnsi="Arial"/>
          <w:sz w:val="18"/>
          <w:szCs w:val="18"/>
          <w:color w:val="auto"/>
        </w:rPr>
        <w:t xml:space="preserve"> </w:t>
      </w:r>
      <w:r>
        <w:rPr>
          <w:rFonts w:ascii="Arial" w:cs="Arial" w:eastAsia="Arial" w:hAnsi="Arial"/>
          <w:sz w:val="18"/>
          <w:szCs w:val="18"/>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Plan and 2017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the adoption of the 2021 Plan (as defined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available for issuance under the 2021 Plan will include an annual increase, or the evergreen feature, on the first day of each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fiscal years, beginning with the Company’s fiscal year 2022, equal to the least of:</w:t>
      </w:r>
    </w:p>
    <w:p>
      <w:pPr>
        <w:spacing w:after="0" w:line="121"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18"/>
          <w:szCs w:val="18"/>
          <w:color w:val="auto"/>
        </w:rPr>
        <w:t>2,070,784 shares of common stock;</w:t>
      </w:r>
    </w:p>
    <w:p>
      <w:pPr>
        <w:spacing w:after="0" w:line="26" w:lineRule="exact"/>
        <w:rPr>
          <w:rFonts w:ascii="Arial" w:cs="Arial" w:eastAsia="Arial" w:hAnsi="Arial"/>
          <w:sz w:val="22"/>
          <w:szCs w:val="22"/>
          <w:color w:val="auto"/>
        </w:rPr>
      </w:pPr>
    </w:p>
    <w:p>
      <w:pPr>
        <w:ind w:left="1140" w:hanging="484"/>
        <w:spacing w:after="0"/>
        <w:tabs>
          <w:tab w:leader="none" w:pos="1140" w:val="left"/>
        </w:tabs>
        <w:numPr>
          <w:ilvl w:val="0"/>
          <w:numId w:val="4"/>
        </w:numPr>
        <w:rPr>
          <w:rFonts w:ascii="Arial" w:cs="Arial" w:eastAsia="Arial" w:hAnsi="Arial"/>
          <w:sz w:val="19"/>
          <w:szCs w:val="19"/>
          <w:color w:val="auto"/>
        </w:rPr>
      </w:pPr>
      <w:r>
        <w:rPr>
          <w:rFonts w:ascii="Arial" w:cs="Arial" w:eastAsia="Arial" w:hAnsi="Arial"/>
          <w:sz w:val="16"/>
          <w:szCs w:val="16"/>
          <w:color w:val="auto"/>
        </w:rPr>
        <w:t>a number of shares equal to 4% of the outstanding shares of common stock on the last day of the immediately preceding fiscal year; or</w:t>
      </w:r>
    </w:p>
    <w:p>
      <w:pPr>
        <w:spacing w:after="0" w:line="21" w:lineRule="exact"/>
        <w:rPr>
          <w:rFonts w:ascii="Arial" w:cs="Arial" w:eastAsia="Arial" w:hAnsi="Arial"/>
          <w:sz w:val="19"/>
          <w:szCs w:val="19"/>
          <w:color w:val="auto"/>
        </w:rPr>
      </w:pPr>
    </w:p>
    <w:p>
      <w:pPr>
        <w:ind w:left="1140" w:hanging="484"/>
        <w:spacing w:after="0" w:line="233"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18"/>
          <w:szCs w:val="18"/>
          <w:color w:val="auto"/>
        </w:rPr>
        <w:t>such number of shares as the board of directors or its designated committee may determine.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evergreen increase, a total of 977,400 shares of common stock were added to the 2021 Plan on January 1, 2023.</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Inducement Equity Incentive Plan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256,456, 99,025 and 3,761,029 shares were outstanding under the Private Aadi Plan, 2017 Plan and 2021 Plan, respectively. As of September 30, 2023, no shares were outstanding under the 2011 Plan and the 2023 Inducement Equity Incentive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nine months ended September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c>
          <w:tcPr>
            <w:tcW w:w="138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100" w:type="dxa"/>
            <w:vAlign w:val="bottom"/>
          </w:tcPr>
          <w:p>
            <w:pPr>
              <w:spacing w:after="0"/>
              <w:rPr>
                <w:sz w:val="16"/>
                <w:szCs w:val="16"/>
                <w:color w:val="auto"/>
              </w:rPr>
            </w:pPr>
          </w:p>
        </w:tc>
        <w:tc>
          <w:tcPr>
            <w:tcW w:w="13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Value (in thousands)</w:t>
            </w:r>
          </w:p>
        </w:tc>
      </w:tr>
      <w:tr>
        <w:trPr>
          <w:trHeight w:val="25"/>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56"/>
        </w:trPr>
        <w:tc>
          <w:tcPr>
            <w:tcW w:w="5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1,775,709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Expired/cancelled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(607,989)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4,116,510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Options exercisable as of September 30, 2023</w:t>
            </w:r>
          </w:p>
        </w:tc>
        <w:tc>
          <w:tcPr>
            <w:tcW w:w="1480" w:type="dxa"/>
            <w:vAlign w:val="bottom"/>
          </w:tcPr>
          <w:p>
            <w:pPr>
              <w:jc w:val="right"/>
              <w:spacing w:after="0"/>
              <w:rPr>
                <w:sz w:val="20"/>
                <w:szCs w:val="20"/>
                <w:color w:val="auto"/>
              </w:rPr>
            </w:pPr>
            <w:r>
              <w:rPr>
                <w:rFonts w:ascii="Arial" w:cs="Arial" w:eastAsia="Arial" w:hAnsi="Arial"/>
                <w:sz w:val="18"/>
                <w:szCs w:val="18"/>
                <w:color w:val="auto"/>
              </w:rPr>
              <w:t>1,345,041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4,116,510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aggregate intrinsic value of options outstanding was $0.5 million. For the nine months ended September 30, 2023, and 2022, the weighted-average grant-date fair value of options granted was $7.78 and $9.93 per share,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$26.9 million of unrecognized compensation cost related to stock options, which is expected to be recognized over a weighted average period of 2.6 years.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intrinsic value of the options exercised during the three months ended September 30, 2023 and 2022, was $31,000 and $45,000, respectively. The total intrinsic value of the options exercised during the nine months ended September 30, 2023 and 2022 was $0.2 million and $1.6 million,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December 31, 2022, 663,441 and 853,760 shares were reserved for issuance under the 2021 Plan,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 Summary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share-based compensation activity for the periods presented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determine the estimated fair value for share-based awards. Option pricing and models require the input of various assumptions, including the option’s expected life, expected dividend yield, price volatility and risk-free interest rate of the underlying stock.</w:t>
      </w:r>
    </w:p>
    <w:p>
      <w:pPr>
        <w:sectPr>
          <w:pgSz w:w="11900" w:h="16838" w:orient="portrait"/>
          <w:cols w:equalWidth="0" w:num="1">
            <w:col w:w="11240"/>
          </w:cols>
          <w:pgMar w:left="320" w:top="341" w:right="3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was based on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48520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520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grant date fair value (per share)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85203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2035"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volatility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term (in years)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dividend yield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Warrants to Purchase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4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500" w:type="dxa"/>
            <w:vAlign w:val="bottom"/>
            <w:gridSpan w:val="4"/>
          </w:tcPr>
          <w:p>
            <w:pPr>
              <w:ind w:lef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$4.77</w:t>
            </w:r>
          </w:p>
        </w:tc>
        <w:tc>
          <w:tcPr>
            <w:tcW w:w="100" w:type="dxa"/>
            <w:vAlign w:val="bottom"/>
          </w:tcPr>
          <w:p>
            <w:pPr>
              <w:spacing w:after="0"/>
              <w:rPr>
                <w:sz w:val="20"/>
                <w:szCs w:val="20"/>
                <w:color w:val="auto"/>
              </w:rPr>
            </w:pPr>
          </w:p>
        </w:tc>
        <w:tc>
          <w:tcPr>
            <w:tcW w:w="16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$9.93</w:t>
            </w:r>
          </w:p>
        </w:tc>
        <w:tc>
          <w:tcPr>
            <w:tcW w:w="100" w:type="dxa"/>
            <w:vAlign w:val="bottom"/>
            <w:tcBorders>
              <w:top w:val="single" w:sz="8" w:color="CFF0FC"/>
            </w:tcBorders>
            <w:shd w:val="clear" w:color="auto" w:fill="CFF0FC"/>
          </w:tcPr>
          <w:p>
            <w:pPr>
              <w:spacing w:after="0"/>
              <w:rPr>
                <w:sz w:val="20"/>
                <w:szCs w:val="20"/>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$7.78</w:t>
            </w: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4"/>
              </w:rPr>
              <w:t>$9.93</w:t>
            </w:r>
          </w:p>
        </w:tc>
        <w:tc>
          <w:tcPr>
            <w:tcW w:w="0" w:type="dxa"/>
            <w:vAlign w:val="bottom"/>
          </w:tcPr>
          <w:p>
            <w:pPr>
              <w:spacing w:after="0"/>
              <w:rPr>
                <w:sz w:val="1"/>
                <w:szCs w:val="1"/>
                <w:color w:val="auto"/>
              </w:rPr>
            </w:pPr>
          </w:p>
        </w:tc>
      </w:tr>
      <w:tr>
        <w:trPr>
          <w:trHeight w:val="223"/>
        </w:trPr>
        <w:tc>
          <w:tcPr>
            <w:tcW w:w="1680" w:type="dxa"/>
            <w:vAlign w:val="bottom"/>
          </w:tcPr>
          <w:p>
            <w:pPr>
              <w:jc w:val="center"/>
              <w:spacing w:after="0"/>
              <w:rPr>
                <w:sz w:val="20"/>
                <w:szCs w:val="20"/>
                <w:color w:val="auto"/>
              </w:rPr>
            </w:pPr>
            <w:r>
              <w:rPr>
                <w:rFonts w:ascii="Arial" w:cs="Arial" w:eastAsia="Arial" w:hAnsi="Arial"/>
                <w:sz w:val="16"/>
                <w:szCs w:val="16"/>
                <w:color w:val="auto"/>
                <w:w w:val="91"/>
              </w:rPr>
              <w:t>4.06% - 4.34%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w:t>
            </w:r>
          </w:p>
        </w:tc>
        <w:tc>
          <w:tcPr>
            <w:tcW w:w="880" w:type="dxa"/>
            <w:vAlign w:val="bottom"/>
          </w:tcPr>
          <w:p>
            <w:pPr>
              <w:ind w:left="20"/>
              <w:spacing w:after="0"/>
              <w:rPr>
                <w:sz w:val="20"/>
                <w:szCs w:val="20"/>
                <w:color w:val="auto"/>
              </w:rPr>
            </w:pPr>
            <w:r>
              <w:rPr>
                <w:rFonts w:ascii="Arial" w:cs="Arial" w:eastAsia="Arial" w:hAnsi="Arial"/>
                <w:sz w:val="16"/>
                <w:szCs w:val="16"/>
                <w:color w:val="auto"/>
              </w:rPr>
              <w:t>- 3.15%</w:t>
            </w:r>
          </w:p>
        </w:tc>
        <w:tc>
          <w:tcPr>
            <w:tcW w:w="1800" w:type="dxa"/>
            <w:vAlign w:val="bottom"/>
            <w:gridSpan w:val="2"/>
          </w:tcPr>
          <w:p>
            <w:pPr>
              <w:jc w:val="center"/>
              <w:ind w:left="22"/>
              <w:spacing w:after="0"/>
              <w:rPr>
                <w:sz w:val="20"/>
                <w:szCs w:val="20"/>
                <w:color w:val="auto"/>
              </w:rPr>
            </w:pPr>
            <w:r>
              <w:rPr>
                <w:rFonts w:ascii="Arial" w:cs="Arial" w:eastAsia="Arial" w:hAnsi="Arial"/>
                <w:sz w:val="16"/>
                <w:szCs w:val="16"/>
                <w:color w:val="auto"/>
                <w:w w:val="93"/>
              </w:rPr>
              <w:t>3.42% - 4.33%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w:t>
            </w:r>
          </w:p>
        </w:tc>
        <w:tc>
          <w:tcPr>
            <w:tcW w:w="900" w:type="dxa"/>
            <w:vAlign w:val="bottom"/>
          </w:tcPr>
          <w:p>
            <w:pPr>
              <w:ind w:left="20"/>
              <w:spacing w:after="0"/>
              <w:rPr>
                <w:sz w:val="20"/>
                <w:szCs w:val="20"/>
                <w:color w:val="auto"/>
              </w:rPr>
            </w:pPr>
            <w:r>
              <w:rPr>
                <w:rFonts w:ascii="Arial" w:cs="Arial" w:eastAsia="Arial" w:hAnsi="Arial"/>
                <w:sz w:val="16"/>
                <w:szCs w:val="16"/>
                <w:color w:val="auto"/>
              </w:rPr>
              <w:t>- 3.38%</w:t>
            </w:r>
          </w:p>
        </w:tc>
        <w:tc>
          <w:tcPr>
            <w:tcW w:w="0" w:type="dxa"/>
            <w:vAlign w:val="bottom"/>
          </w:tcPr>
          <w:p>
            <w:pPr>
              <w:spacing w:after="0"/>
              <w:rPr>
                <w:sz w:val="1"/>
                <w:szCs w:val="1"/>
                <w:color w:val="auto"/>
              </w:rPr>
            </w:pPr>
          </w:p>
        </w:tc>
      </w:tr>
      <w:tr>
        <w:trPr>
          <w:trHeight w:val="33"/>
        </w:trPr>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2"/>
              </w:rPr>
              <w:t>97.58% - 101.03%</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86.81%</w:t>
            </w:r>
          </w:p>
        </w:tc>
        <w:tc>
          <w:tcPr>
            <w:tcW w:w="880" w:type="dxa"/>
            <w:vAlign w:val="bottom"/>
          </w:tcPr>
          <w:p>
            <w:pPr>
              <w:ind w:left="20"/>
              <w:spacing w:after="0"/>
              <w:rPr>
                <w:sz w:val="20"/>
                <w:szCs w:val="20"/>
                <w:color w:val="auto"/>
              </w:rPr>
            </w:pPr>
            <w:r>
              <w:rPr>
                <w:rFonts w:ascii="Arial" w:cs="Arial" w:eastAsia="Arial" w:hAnsi="Arial"/>
                <w:sz w:val="16"/>
                <w:szCs w:val="16"/>
                <w:color w:val="auto"/>
              </w:rPr>
              <w:t>- 87.85%</w:t>
            </w:r>
          </w:p>
        </w:tc>
        <w:tc>
          <w:tcPr>
            <w:tcW w:w="1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89.94% - 101.03%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- 87.85%</w:t>
            </w:r>
          </w:p>
        </w:tc>
        <w:tc>
          <w:tcPr>
            <w:tcW w:w="0" w:type="dxa"/>
            <w:vAlign w:val="bottom"/>
          </w:tcPr>
          <w:p>
            <w:pPr>
              <w:spacing w:after="0"/>
              <w:rPr>
                <w:sz w:val="1"/>
                <w:szCs w:val="1"/>
                <w:color w:val="auto"/>
              </w:rPr>
            </w:pPr>
          </w:p>
        </w:tc>
      </w:tr>
      <w:tr>
        <w:trPr>
          <w:trHeight w:val="224"/>
        </w:trPr>
        <w:tc>
          <w:tcPr>
            <w:tcW w:w="1680" w:type="dxa"/>
            <w:vAlign w:val="bottom"/>
          </w:tcPr>
          <w:p>
            <w:pPr>
              <w:jc w:val="center"/>
              <w:spacing w:after="0"/>
              <w:rPr>
                <w:sz w:val="20"/>
                <w:szCs w:val="20"/>
                <w:color w:val="auto"/>
              </w:rPr>
            </w:pPr>
            <w:r>
              <w:rPr>
                <w:rFonts w:ascii="Arial" w:cs="Arial" w:eastAsia="Arial" w:hAnsi="Arial"/>
                <w:sz w:val="16"/>
                <w:szCs w:val="16"/>
                <w:color w:val="auto"/>
                <w:w w:val="91"/>
              </w:rPr>
              <w:t>5.15 - 6.08</w:t>
            </w:r>
          </w:p>
        </w:tc>
        <w:tc>
          <w:tcPr>
            <w:tcW w:w="1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color w:val="auto"/>
                <w:w w:val="89"/>
              </w:rPr>
              <w:t>6.08</w:t>
            </w:r>
          </w:p>
        </w:tc>
        <w:tc>
          <w:tcPr>
            <w:tcW w:w="1800" w:type="dxa"/>
            <w:vAlign w:val="bottom"/>
            <w:gridSpan w:val="2"/>
          </w:tcPr>
          <w:p>
            <w:pPr>
              <w:jc w:val="center"/>
              <w:ind w:left="22"/>
              <w:spacing w:after="0"/>
              <w:rPr>
                <w:sz w:val="20"/>
                <w:szCs w:val="20"/>
                <w:color w:val="auto"/>
              </w:rPr>
            </w:pPr>
            <w:r>
              <w:rPr>
                <w:rFonts w:ascii="Arial" w:cs="Arial" w:eastAsia="Arial" w:hAnsi="Arial"/>
                <w:sz w:val="16"/>
                <w:szCs w:val="16"/>
                <w:color w:val="auto"/>
                <w:w w:val="91"/>
              </w:rPr>
              <w:t>5.15 - 6.08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w:t>
            </w:r>
          </w:p>
        </w:tc>
        <w:tc>
          <w:tcPr>
            <w:tcW w:w="900" w:type="dxa"/>
            <w:vAlign w:val="bottom"/>
          </w:tcPr>
          <w:p>
            <w:pPr>
              <w:ind w:left="20"/>
              <w:spacing w:after="0"/>
              <w:rPr>
                <w:sz w:val="20"/>
                <w:szCs w:val="20"/>
                <w:color w:val="auto"/>
              </w:rPr>
            </w:pPr>
            <w:r>
              <w:rPr>
                <w:rFonts w:ascii="Arial" w:cs="Arial" w:eastAsia="Arial" w:hAnsi="Arial"/>
                <w:sz w:val="16"/>
                <w:szCs w:val="16"/>
                <w:color w:val="auto"/>
              </w:rPr>
              <w:t>- 6.08</w:t>
            </w:r>
          </w:p>
        </w:tc>
        <w:tc>
          <w:tcPr>
            <w:tcW w:w="0" w:type="dxa"/>
            <w:vAlign w:val="bottom"/>
          </w:tcPr>
          <w:p>
            <w:pPr>
              <w:spacing w:after="0"/>
              <w:rPr>
                <w:sz w:val="1"/>
                <w:szCs w:val="1"/>
                <w:color w:val="auto"/>
              </w:rPr>
            </w:pPr>
          </w:p>
        </w:tc>
      </w:tr>
      <w:tr>
        <w:trPr>
          <w:trHeight w:val="243"/>
        </w:trPr>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-132715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45" w:lineRule="exact"/>
        <w:rPr>
          <w:sz w:val="20"/>
          <w:szCs w:val="20"/>
          <w:color w:val="auto"/>
        </w:rPr>
      </w:pPr>
    </w:p>
    <w:p>
      <w:pPr>
        <w:sectPr>
          <w:pgSz w:w="11900" w:h="16838" w:orient="portrait"/>
          <w:cols w:equalWidth="0" w:num="2">
            <w:col w:w="4120" w:space="60"/>
            <w:col w:w="7060"/>
          </w:cols>
          <w:pgMar w:left="320" w:top="341" w:right="339" w:bottom="1440" w:gutter="0" w:footer="0" w:header="0"/>
          <w:type w:val="continuous"/>
        </w:sectPr>
      </w:pPr>
    </w:p>
    <w:p>
      <w:pPr>
        <w:jc w:val="both"/>
        <w:spacing w:after="0" w:line="293" w:lineRule="auto"/>
        <w:rPr>
          <w:sz w:val="20"/>
          <w:szCs w:val="20"/>
          <w:color w:val="auto"/>
        </w:rPr>
      </w:pPr>
      <w:r>
        <w:rPr>
          <w:rFonts w:ascii="Arial" w:cs="Arial" w:eastAsia="Arial" w:hAnsi="Arial"/>
          <w:sz w:val="16"/>
          <w:szCs w:val="16"/>
          <w:color w:val="auto"/>
        </w:rPr>
        <w:t>The Company had warrants outstanding for the purchase of 29,167 shares of the Company’s common stock at both September 30, 2023, and December 31, 2022.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nine months ended September 30, 2023. At the grant date, the fair value of these awards was determined using a Black-Scholes option pricing model.</w:t>
      </w:r>
    </w:p>
    <w:p>
      <w:pPr>
        <w:spacing w:after="0" w:line="5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2023, 244,350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was based on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shd w:val="clear" w:color="auto" w:fill="CCEEFF"/>
          </w:tcPr>
          <w:p>
            <w:pPr>
              <w:spacing w:after="0"/>
              <w:rPr>
                <w:sz w:val="17"/>
                <w:szCs w:val="17"/>
                <w:color w:val="auto"/>
              </w:rPr>
            </w:pPr>
          </w:p>
        </w:tc>
        <w:tc>
          <w:tcPr>
            <w:tcW w:w="3700" w:type="dxa"/>
            <w:vAlign w:val="bottom"/>
            <w:gridSpan w:val="4"/>
            <w:shd w:val="clear" w:color="auto" w:fill="CCEEFF"/>
          </w:tcPr>
          <w:p>
            <w:pPr>
              <w:ind w:left="680"/>
              <w:spacing w:after="0"/>
              <w:rPr>
                <w:sz w:val="20"/>
                <w:szCs w:val="20"/>
                <w:color w:val="auto"/>
              </w:rPr>
            </w:pPr>
            <w:r>
              <w:rPr>
                <w:rFonts w:ascii="Arial" w:cs="Arial" w:eastAsia="Arial" w:hAnsi="Arial"/>
                <w:sz w:val="14"/>
                <w:szCs w:val="14"/>
                <w:b w:val="1"/>
                <w:bCs w:val="1"/>
                <w:color w:val="auto"/>
              </w:rPr>
              <w:t>Three Months Ended September 30,</w:t>
            </w:r>
          </w:p>
        </w:tc>
        <w:tc>
          <w:tcPr>
            <w:tcW w:w="3820" w:type="dxa"/>
            <w:vAlign w:val="bottom"/>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Nine Months Ended September 30,</w:t>
            </w:r>
          </w:p>
        </w:tc>
      </w:tr>
      <w:tr>
        <w:trPr>
          <w:trHeight w:val="190"/>
        </w:trPr>
        <w:tc>
          <w:tcPr>
            <w:tcW w:w="32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32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(per share)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$5.98</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$11.66</w:t>
            </w: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$5.98 - $11.40</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$11.66</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5.24%</w:t>
            </w: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1.54%</w:t>
            </w:r>
          </w:p>
        </w:tc>
        <w:tc>
          <w:tcPr>
            <w:tcW w:w="140" w:type="dxa"/>
            <w:vAlign w:val="bottom"/>
          </w:tcPr>
          <w:p>
            <w:pPr>
              <w:spacing w:after="0"/>
              <w:rPr>
                <w:sz w:val="19"/>
                <w:szCs w:val="19"/>
                <w:color w:val="auto"/>
              </w:rPr>
            </w:pPr>
          </w:p>
        </w:tc>
        <w:tc>
          <w:tcPr>
            <w:tcW w:w="1960" w:type="dxa"/>
            <w:vAlign w:val="bottom"/>
          </w:tcPr>
          <w:p>
            <w:pPr>
              <w:jc w:val="right"/>
              <w:ind w:right="339"/>
              <w:spacing w:after="0"/>
              <w:rPr>
                <w:sz w:val="20"/>
                <w:szCs w:val="20"/>
                <w:color w:val="auto"/>
              </w:rPr>
            </w:pPr>
            <w:r>
              <w:rPr>
                <w:rFonts w:ascii="Arial" w:cs="Arial" w:eastAsia="Arial" w:hAnsi="Arial"/>
                <w:sz w:val="18"/>
                <w:szCs w:val="18"/>
                <w:color w:val="auto"/>
              </w:rPr>
              <w:t>4.40% - 5.24%</w:t>
            </w: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1.54%</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176.11%</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92.59%</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105.68% - 176.11%</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92.59%</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0.5</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and December 31, 2022, 687,491 and 492,361 shares of common stock were available for issuance under the 2021 ESPP, respectively. The Company had an outstanding liability of $0.1 million and $0.1 million as of September 30, 2023, and December 31, 2022, respectively, which will be recognized over six months. As of September 30, 2023 and December 31, 2022, 49,220 and 27,202 shares were issued under the 2021 ESPP,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no income tax expense for the three months ended September 30, 2023 and 2022. The Company recorded no income tax expense for the nine months ended September 30, 2023 and $9,000 for the nine months ended September 30, 2022. The Company continues to maintain a full valuation allowance.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w:t>
      </w:r>
    </w:p>
    <w:p>
      <w:pPr>
        <w:jc w:val="both"/>
        <w:spacing w:after="0" w:line="259" w:lineRule="auto"/>
        <w:rPr>
          <w:sz w:val="20"/>
          <w:szCs w:val="20"/>
          <w:color w:val="auto"/>
        </w:rPr>
      </w:pPr>
      <w:r>
        <w:rPr>
          <w:rFonts w:ascii="Arial" w:cs="Arial" w:eastAsia="Arial" w:hAnsi="Arial"/>
          <w:sz w:val="18"/>
          <w:szCs w:val="18"/>
          <w:color w:val="auto"/>
        </w:rPr>
        <w:t>provide certain manufacturing information to EOC. As a result, EOC is seeking monetary damages. The arbitration process is ongoing. The Company intends to defend itself vigorously in this matter and pursue all relief to which the Company is entitled. The Company is unable to estimate the possible loss or range of loss, therefore no amounts have been accrued as of September 30, 2023. See Note 8 for more information about the EOC License Agreement and its termination.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ongoing contracts with vendors for clinical trials and contract manufacturing. These contracts are generally cancellable, with notice, at the Company’s option. The Company recorded accrued expenses of $2.4 million and $2.8 million for expenditures incurred by clinical and contract manufacturing vendors as of September 30, 2023, and December 31, 2022, respectively.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 Company was party to a Negotiated Purchase Order Terms and Conditions for Clinical and Commercial Product, as amended effective as of August 1, 2022 (the "Fresenius Agreement"), with Fresenius Kabi that contains specific activities including non-cancellable commitments, minimum purchase commitments, and binding annual forecasts. As of September 30, 2023, there were non-cancellable purchase commitments under the Fresenius Agreement related to the purchase of inventory for $3.6 million to be paid in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Mirati Collaboration</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2022, the Company entered into a collaboration and supply agreement with Mirati Therapeutics, Inc. (“Mirati”) to evaluate the combination of Mirati’s adagrasib,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selective inhibitor, and FYARRO in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mutant non-small cell lung cancer (NSCLC) and other solid tumors. Under the terms of the agreement, Mirati will be responsible for sponsoring and operating the Phase 1/2 study and the Company will supply study drug and jointly share the cost of the study.</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primary objective of this multi-center, single-arm, open-label Phase 1/2 trial is to determine the optimal dose and recommended Phase 2 dose for the combination of adagrasib and FYARRO in patients with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mutant solid tumors. In addition, the study will investigate the safety, tolerability and efficacy of adagrasib and FYARRO in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combination in patients both with and without prior exposure to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inhibitor. The trial will build on preclinical data showing enhanced anti-tumor efficacy with the combination of adagrasib and FYARRO relative to either agent alone.</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2023, the Company incurred $0.1 million and $0.7 million in expenses related to the Mirati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spacing w:after="0" w:line="69" w:lineRule="exact"/>
        <w:rPr>
          <w:sz w:val="20"/>
          <w:szCs w:val="20"/>
          <w:color w:val="auto"/>
        </w:rPr>
      </w:pPr>
    </w:p>
    <w:p>
      <w:pPr>
        <w:jc w:val="both"/>
        <w:ind w:left="660" w:hanging="328"/>
        <w:spacing w:after="0" w:line="23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regulatory approval for FYARRO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and potential for success relating to commercializing FYARRO, or any other product candidate that we may develop, if approved;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timing of releasing data for any current or future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timing of commencement, enrollment, and completion of any current or future clinical trials for FYARRO in additional indications, or any other product candidates we may develop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further development and manufacturing of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FYARRO and any other product candidates we may develop in the future, if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FYARRO and any other product candidates we may develop in the future, if approved;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the impact of the COVID-19 pandemic,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enroll suitable patients in our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expectations regarding the beneficial characteristics, safety, efficacy and therapeutic effects of FYARRO and any other product candidates that we may develop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and rely on third parties to assist in conducting our clinical trials and manufacturing FYARRO and any other product candidates we may develop in the future;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FYARRO and any other product candidates we may develop in the future, if approved, and our ability to serve those markets, either alone or in partnership with others;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over which we anticipate our existing cash and cash equivalents will be sufficient to fund our operating expenses and capital expenditure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for our business development efforts to maximize the potential value of our portfolio;</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legal proceedings related to the termination of the EOC License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2022 filed with the SEC on March 29, 2023.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References in the following discussion to “we,” “our,” “us,” or “Aadi” refer to Aadi Bioscience, Inc. and its subsidiaries.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 Myers Squibb Company and collaboration agreement with Mirati Therapeutics, Inc., all further discussed throughout this document.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biopharmaceutical company focused on developing and commercializing precision therapies for genetically defined cancers with alterations in mTOR pathway genes. Our lead drug product, FYARRO</w:t>
      </w:r>
      <w:r>
        <w:rPr>
          <w:rFonts w:ascii="Arial" w:cs="Arial" w:eastAsia="Arial" w:hAnsi="Arial"/>
          <w:sz w:val="22"/>
          <w:szCs w:val="22"/>
          <w:color w:val="auto"/>
          <w:vertAlign w:val="superscript"/>
        </w:rPr>
        <w:t>®</w:t>
      </w:r>
      <w:r>
        <w:rPr>
          <w:rFonts w:ascii="Arial" w:cs="Arial" w:eastAsia="Arial" w:hAnsi="Arial"/>
          <w:sz w:val="17"/>
          <w:szCs w:val="17"/>
          <w:color w:val="auto"/>
        </w:rPr>
        <w:t>, is a form of sirolimus bound to albumin. Sirolimus is a potent inhibitor of the mTOR biological pathway, the activation of which pathway can promote tumor growth. We believe our approach to utilizing albumin bound sirolimus has the potential to produce transformational therapies to cancer patients with mTOR pathway driver alterations where other mTOR inhibitors have not or cannot be effectively exploited due to problems of pharmacology, effective drug delivery, safety, or effective targeting to the disease site.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$6.0 million and $18.0 million for the three and nine months ended September 30, 2023, respectively. See “Results of Consolidated Operations” for further discussion of our results.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advanced malignant PEComa, based on exploratory data from our completed Phase 2 registrational study, Advanced Malignant PEComa Trial (“AMPECT trial"), and our expanded access program for FYARRO, we have initiated a registration-directed tumor-agnostic Phase 2 study (“PRECISION1 trial”) of FYARRO in patients with malignant solid tumors with alterations of the Tuberous Sclerosis Complex 1 and 2 (“</w:t>
      </w:r>
      <w:r>
        <w:rPr>
          <w:rFonts w:ascii="Arial" w:cs="Arial" w:eastAsia="Arial" w:hAnsi="Arial"/>
          <w:sz w:val="17"/>
          <w:szCs w:val="17"/>
          <w:i w:val="1"/>
          <w:iCs w:val="1"/>
          <w:color w:val="auto"/>
        </w:rPr>
        <w:t>TSC1</w:t>
      </w:r>
      <w:r>
        <w:rPr>
          <w:rFonts w:ascii="Arial" w:cs="Arial" w:eastAsia="Arial" w:hAnsi="Arial"/>
          <w:sz w:val="17"/>
          <w:szCs w:val="17"/>
          <w:color w:val="auto"/>
        </w:rPr>
        <w:t xml:space="preserve"> &amp; </w:t>
      </w:r>
      <w:r>
        <w:rPr>
          <w:rFonts w:ascii="Arial" w:cs="Arial" w:eastAsia="Arial" w:hAnsi="Arial"/>
          <w:sz w:val="17"/>
          <w:szCs w:val="17"/>
          <w:i w:val="1"/>
          <w:iCs w:val="1"/>
          <w:color w:val="auto"/>
        </w:rPr>
        <w:t>TSC2”</w:t>
      </w:r>
      <w:r>
        <w:rPr>
          <w:rFonts w:ascii="Arial" w:cs="Arial" w:eastAsia="Arial" w:hAnsi="Arial"/>
          <w:sz w:val="17"/>
          <w:szCs w:val="17"/>
          <w:color w:val="auto"/>
        </w:rPr>
        <w:t xml:space="preserve">) genes. The PRECISION1 trial was opened for enrollment in the United States during the first quarter of 2022, with dosing of our first patient in March 2022. Based on initial information from the PRECISION1 trial, enrollment is well-balanced, the trial is accruing relatively evenly between the </w:t>
      </w:r>
      <w:r>
        <w:rPr>
          <w:rFonts w:ascii="Arial" w:cs="Arial" w:eastAsia="Arial" w:hAnsi="Arial"/>
          <w:sz w:val="17"/>
          <w:szCs w:val="17"/>
          <w:i w:val="1"/>
          <w:iCs w:val="1"/>
          <w:color w:val="auto"/>
        </w:rPr>
        <w:t>TSC1</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TSC2 </w:t>
      </w:r>
      <w:r>
        <w:rPr>
          <w:rFonts w:ascii="Arial" w:cs="Arial" w:eastAsia="Arial" w:hAnsi="Arial"/>
          <w:sz w:val="17"/>
          <w:szCs w:val="17"/>
          <w:color w:val="auto"/>
        </w:rPr>
        <w:t>arms, and more than 25 discrete tumor types have been enrolled. Presentation of an interim analysis on the first third of trial participants (n=40)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minimum of 4.5 months of follow-up is planned for mid-December 2023. The presentation is expected to include safety and investigator-assessed response in approximately 20 patients in each of the </w:t>
      </w:r>
      <w:r>
        <w:rPr>
          <w:rFonts w:ascii="Arial" w:cs="Arial" w:eastAsia="Arial" w:hAnsi="Arial"/>
          <w:sz w:val="17"/>
          <w:szCs w:val="17"/>
          <w:i w:val="1"/>
          <w:iCs w:val="1"/>
          <w:color w:val="auto"/>
        </w:rPr>
        <w:t>TSC1</w:t>
      </w:r>
      <w:r>
        <w:rPr>
          <w:rFonts w:ascii="Arial" w:cs="Arial" w:eastAsia="Arial" w:hAnsi="Arial"/>
          <w:sz w:val="17"/>
          <w:szCs w:val="17"/>
          <w:color w:val="auto"/>
        </w:rPr>
        <w:t xml:space="preserve"> and </w:t>
      </w:r>
      <w:r>
        <w:rPr>
          <w:rFonts w:ascii="Arial" w:cs="Arial" w:eastAsia="Arial" w:hAnsi="Arial"/>
          <w:sz w:val="17"/>
          <w:szCs w:val="17"/>
          <w:i w:val="1"/>
          <w:iCs w:val="1"/>
          <w:color w:val="auto"/>
        </w:rPr>
        <w:t>TSC2</w:t>
      </w:r>
      <w:r>
        <w:rPr>
          <w:rFonts w:ascii="Arial" w:cs="Arial" w:eastAsia="Arial" w:hAnsi="Arial"/>
          <w:sz w:val="17"/>
          <w:szCs w:val="17"/>
          <w:color w:val="auto"/>
        </w:rPr>
        <w:t xml:space="preserve"> arms.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Leadership Transition and Board Appointment</w:t>
      </w:r>
      <w:r>
        <w:rPr>
          <w:rFonts w:ascii="Arial" w:cs="Arial" w:eastAsia="Arial" w:hAnsi="Arial"/>
          <w:sz w:val="18"/>
          <w:szCs w:val="18"/>
          <w:color w:val="auto"/>
        </w:rPr>
        <w:t>. On September 27, 2023, our board of directors (the "Board") appointed David J. Lennon, Ph.D., to</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our President and Chief Executive Officer, effective as of October 2, 2023, replacing Scott Giacobello in such roles. Mr. Giacobello had served as our Interim CEO and President since March 15, 2023, and will continue to serve as the Company’s Chief Financial Officer, a position he has held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since November 2021, following Dr. Lennon’s appointment. In addition, effective October 2, 2023, Dr. Lennon was appointed to the Board as a Class II director and his term of office will expire at our 2025 annual meeting of stockholders or until his successor is duly elected and qualified.</w:t>
      </w:r>
    </w:p>
    <w:p>
      <w:pPr>
        <w:spacing w:after="0" w:line="16" w:lineRule="exact"/>
        <w:rPr>
          <w:sz w:val="20"/>
          <w:szCs w:val="20"/>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Adoption of the Aadi Bioscience, Inc. 2023 Inducement Equity Incentive Plan. </w:t>
      </w:r>
      <w:r>
        <w:rPr>
          <w:rFonts w:ascii="Arial" w:cs="Arial" w:eastAsia="Arial" w:hAnsi="Arial"/>
          <w:sz w:val="18"/>
          <w:szCs w:val="18"/>
          <w:color w:val="auto"/>
        </w:rPr>
        <w:t>On September 27, 2023, the Board adopted the Aadi Bioscience,</w:t>
      </w:r>
      <w:r>
        <w:rPr>
          <w:rFonts w:ascii="Arial" w:cs="Arial" w:eastAsia="Arial" w:hAnsi="Arial"/>
          <w:sz w:val="18"/>
          <w:szCs w:val="18"/>
          <w:i w:val="1"/>
          <w:iCs w:val="1"/>
          <w:color w:val="auto"/>
        </w:rPr>
        <w:t xml:space="preserve"> </w:t>
      </w:r>
      <w:r>
        <w:rPr>
          <w:rFonts w:ascii="Arial" w:cs="Arial" w:eastAsia="Arial" w:hAnsi="Arial"/>
          <w:sz w:val="18"/>
          <w:szCs w:val="18"/>
          <w:color w:val="auto"/>
        </w:rPr>
        <w:t>Inc. 2023 Inducement Equity Incentive Plan (the “Inducement Plan”), pursuant to which we may from time to time make equity grants to new employees as a material inducement to their employment. The Board reserved 600,000 shares of our common stock for issuance under the Inducement Plan. The Inducement Plan was adopted without stockholder approval pursuant to Nasdaq Listing Rule 5635(c)(4) and will be administered by the Compensation Committee of the Board.</w:t>
      </w:r>
    </w:p>
    <w:p>
      <w:pPr>
        <w:spacing w:after="0" w:line="7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New Clinical Indications</w:t>
      </w:r>
      <w:r>
        <w:rPr>
          <w:rFonts w:ascii="Arial" w:cs="Arial" w:eastAsia="Arial" w:hAnsi="Arial"/>
          <w:sz w:val="18"/>
          <w:szCs w:val="18"/>
          <w:color w:val="auto"/>
        </w:rPr>
        <w:t>. On August 9, 2023, we announced the expansion of our FYARRO pipeline through the further investigation of mTOR</w:t>
      </w:r>
      <w:r>
        <w:rPr>
          <w:rFonts w:ascii="Arial" w:cs="Arial" w:eastAsia="Arial" w:hAnsi="Arial"/>
          <w:sz w:val="18"/>
          <w:szCs w:val="18"/>
          <w:i w:val="1"/>
          <w:iCs w:val="1"/>
          <w:color w:val="auto"/>
        </w:rPr>
        <w:t xml:space="preserve"> </w:t>
      </w:r>
      <w:r>
        <w:rPr>
          <w:rFonts w:ascii="Arial" w:cs="Arial" w:eastAsia="Arial" w:hAnsi="Arial"/>
          <w:sz w:val="18"/>
          <w:szCs w:val="18"/>
          <w:color w:val="auto"/>
        </w:rPr>
        <w:t>pathway inhibition in endometrial cancer and neuroendocrine tumors (NETs). As part of our continued evaluation of potential new clinical programs for FYARRO, either as a single agent or in combination with other targeted therapies, we selected these new clinical indications based on preclinical data supporting these programs, which we believe are promising, and the prospect of providing enhanced therapeutic benefit in these indications with meaningful patient populations and high unmet needs.</w:t>
      </w:r>
    </w:p>
    <w:p>
      <w:pPr>
        <w:spacing w:after="0" w:line="8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are currently enrolling patients in a Phase 2 open-label, multi-institutional study to evaluate the efficacy and safety of the combination of FYARRO with letrozole for the treatment of advanced or recurrent endometrioid-type endometrial cancer (EEC) and a Phase 2 multicenter, open-label, single-arm trial to evaluate FYARRO in adult patients with functional or non-functional, well-differentiated, locally advanced unresectable or metastatic NETs of the GI tract, lung, or pancreas who have received no more than two prior lines of therapy.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License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Bristol Myers Squibb Company ("BMS"). Under the BMS License Agreement, BMS is entitled to receive certain development milestone payments, royalties on net sales from licensed products under the agreement and any sublicense fees. During the three months ended September 30, 2023 and 2022, royalties on net product sales were $0.4 million and $0.3 million, respectively under the terms of this agreement. During the nine months ended September 30, 2023 and 2022, royalties on net product sales were $1.3 million and $0.7 million, respectively under the terms of this agreement. No development payments related to milestones under this agreement were paid during the three and nine months ended September 30, 2023. See Note 8 to the condensed consolidated financial statements for more information about the BMS License Agreement.</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30, 2021, the Company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amendment, the remaining portion of the previously outstanding payment obligation ($5.8 million), which is recorded on our condensed consolidated balance sheets as due to licensor, is due on the third anniversary of the effective time of the 2021 PIPE Financing (i.e., August 26, 2024), plus any accrued and unpaid interest due thereon.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EOC License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2020, we entered into the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2021, we recognized license revenue and received $1.0 million from EOC for achieving the FDA approval milestone in November 2021. In accordance with the BMS License Agreement, we recognized $0.2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license expense in the fourth quarter of 2021 and had a corresponding $0.2 million sublicense payable to BMS as of December 31, 2021, which was paid in 2022.</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September 30, 2023. See Notes 8 and 13 to the condensed consolidated financial statements for more information about the EOC License Agreement, its termination and pending arbitration.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Mirati Collaboration</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2022, we entered into a collaboration and supply agreement with Mirati Therapeutics, Inc. (“Mirati”) to evaluate the combination of Mirati’s adagrasib,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selective inhibitor, and FYARRO in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primary objective of this multi-center, single-arm, open-label Phase 1/2 trial is to determine the optimal dose and recommended Phase 2 dose for the combination of adagrasib and FYARRO in patients with KRAS</w:t>
      </w:r>
      <w:r>
        <w:rPr>
          <w:rFonts w:ascii="Arial" w:cs="Arial" w:eastAsia="Arial" w:hAnsi="Arial"/>
          <w:sz w:val="23"/>
          <w:szCs w:val="23"/>
          <w:color w:val="auto"/>
          <w:vertAlign w:val="superscript"/>
        </w:rPr>
        <w:t>G12C-</w:t>
      </w:r>
      <w:r>
        <w:rPr>
          <w:rFonts w:ascii="Arial" w:cs="Arial" w:eastAsia="Arial" w:hAnsi="Arial"/>
          <w:sz w:val="18"/>
          <w:szCs w:val="18"/>
          <w:color w:val="auto"/>
        </w:rPr>
        <w:t>mutant solid tumors. In addition, the study will investigate the safety, tolerability and efficacy of adagrasib and FYARRO in combination in patients both with and without prior exposure to a KRAS</w:t>
      </w:r>
      <w:r>
        <w:rPr>
          <w:rFonts w:ascii="Arial" w:cs="Arial" w:eastAsia="Arial" w:hAnsi="Arial"/>
          <w:sz w:val="23"/>
          <w:szCs w:val="23"/>
          <w:color w:val="auto"/>
          <w:vertAlign w:val="superscript"/>
        </w:rPr>
        <w:t>G12C</w:t>
      </w:r>
      <w:r>
        <w:rPr>
          <w:rFonts w:ascii="Arial" w:cs="Arial" w:eastAsia="Arial" w:hAnsi="Arial"/>
          <w:sz w:val="18"/>
          <w:szCs w:val="18"/>
          <w:color w:val="auto"/>
        </w:rPr>
        <w:t xml:space="preserve"> inhibitor. The trial will build on preclinical data showing enhanced anti-tumor efficacy with the combination of adagrasib and FYARRO relative to either agent alone. In August 2023, we announced that the first patient dosing occurred in the Phase 1/2 trial.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Negative Global or National Events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have been, and may continue to be, affected by the closure of offices, lack of resources or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the remainder of fiscal year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Factors Affecting Comparability Between Periods</w:t>
      </w:r>
    </w:p>
    <w:p>
      <w:pPr>
        <w:spacing w:after="0" w:line="117" w:lineRule="exact"/>
        <w:rPr>
          <w:sz w:val="20"/>
          <w:szCs w:val="20"/>
          <w:color w:val="auto"/>
        </w:rPr>
      </w:pPr>
    </w:p>
    <w:p>
      <w:pPr>
        <w:ind w:left="66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Commercial sale of FYARRO was launched on February 22, 2022, for the treatment of patients with advanced malignant PEComa. We recorded net product sales of $6.0 million and $18.0 million during the three and nine months ended September 30, 2023, respectively.</w:t>
      </w:r>
    </w:p>
    <w:p>
      <w:pPr>
        <w:spacing w:after="0" w:line="38"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including personnel expenses, sales support, and marketing are included in selling, general and administrative expenses for the three and nine months ended September 30, 2023. We expect these expenses will continue to increase, as compared to prior periods, with the ongoing commercialization of FYARRO and preparation for potential future launches.</w:t>
      </w:r>
    </w:p>
    <w:p>
      <w:pPr>
        <w:spacing w:after="0" w:line="53"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build out our research and development team and we expect our research and development costs will increase in 2023, as compared to 2022, as a result of significant expenses related to the PRECISION1 trial which was open to enrollment during the year ended December 31, 2022, with the first patient dosed in March 2022. We also expect our research and development costs to increase in 2023 and in future periods, as compared to 2022, based on anticipated expenses related to the two new clinical programs for FYARRO described under "Recent Developments - New Clinical Indications" above.</w:t>
      </w:r>
    </w:p>
    <w:p>
      <w:pPr>
        <w:spacing w:after="0" w:line="7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public company our expenses have increased due to (i) costs to comply with the rules and regulations of the SEC and those of the Nasdaq Capital Market (“Nasdaq”), (ii) legal, accounting and other professional services, (iii) insurance, (iv) investor relations activities, and (v) other administrative and professional services, and these expenses may increase further since we are no longer an “emerging growth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September 30, 2023, we had $119.3 million of cash, cash equivalents and short-term investments. Based on our current plans, we believe our existing cash, cash equivalents and short-term investments will enable us to conduct our planned operations into 2025. We have incurred net losses in each year since inception and as of September 30, 2023, we had an accumulated deficit of $252.7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w:t>
      </w:r>
    </w:p>
    <w:p>
      <w:pPr>
        <w:spacing w:after="0" w:line="4" w:lineRule="exact"/>
        <w:rPr>
          <w:sz w:val="20"/>
          <w:szCs w:val="20"/>
          <w:color w:val="auto"/>
        </w:rPr>
      </w:pPr>
    </w:p>
    <w:p>
      <w:pPr>
        <w:ind w:right="360"/>
        <w:spacing w:after="0" w:line="360" w:lineRule="auto"/>
        <w:rPr>
          <w:sz w:val="20"/>
          <w:szCs w:val="20"/>
          <w:color w:val="auto"/>
        </w:rPr>
      </w:pPr>
      <w:r>
        <w:rPr>
          <w:rFonts w:ascii="Arial" w:cs="Arial" w:eastAsia="Arial" w:hAnsi="Arial"/>
          <w:sz w:val="18"/>
          <w:szCs w:val="18"/>
          <w:color w:val="auto"/>
        </w:rPr>
        <w:t>the United States and in additional indications and any other product candidates we may develop in the future and the commercial launch of FYARRO</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FYARRO was approved by the FDA in November 2021for treating adult patients in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Distribution Fees</w:t>
      </w:r>
      <w:r>
        <w:rPr>
          <w:rFonts w:ascii="Arial" w:cs="Arial" w:eastAsia="Arial" w:hAnsi="Arial"/>
          <w:sz w:val="18"/>
          <w:szCs w:val="18"/>
          <w:color w:val="auto"/>
        </w:rPr>
        <w:t>: Distribution fees include distribution service fees paid to the SDs and SP based on a contractually fixed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acquisition cost (“WAC”). Distribution fees are recorded as an offset to product sales based on contractual terms at the time the sale is recognized.</w:t>
      </w:r>
    </w:p>
    <w:p>
      <w:pPr>
        <w:spacing w:after="0" w:line="7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Rebates</w:t>
      </w:r>
      <w:r>
        <w:rPr>
          <w:rFonts w:ascii="Arial" w:cs="Arial" w:eastAsia="Arial" w:hAnsi="Arial"/>
          <w:sz w:val="18"/>
          <w:szCs w:val="18"/>
          <w:color w:val="auto"/>
        </w:rPr>
        <w:t>: Allowance for rebates include mandated discounts under the Medicaid Drug Rebate Program and TRICARE program. Rebates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8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and fees that relate to contracts with government and other entities purchasing from the SDs and SP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8"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We offer co-payment assistance to commercially insured patients meeting certain eligibility requirements. Co-payment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we offer the SDs and SP limited product return rights for damages, shipment errors,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Additionally, we have incurred, and expect to continue to incur, significant additional expenses associated with being a public company that we did not incur as a privately 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of acquired contract intangible asset relates to a write down of the acquired contract intangible asset to fair value. During the nine months ended September 30, 2022, we recognized an impairment of $3.7 million to fully impair the contract intangible asset based on Gossamer's termination of the license agreement, dated June 24, 2018, with Gossamer Bio, Inc. (“Gossamer”), as amended (the “Gossamer License Agreement”), as a result of Gossamer not meeting its primary or secondary endpoint in the UC-SHIFT clinical trial.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net consists of interest income earned on cash, cash equivalents and short-term investments, partially offset by interest expense related to the convertible promissory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and nine months ended September 30, 2023, we recognized no income tax expense on the condensed consolidated statements of operations and comprehensive loss. No income tax expense was recognized for the three months ended September 30, 2022 and we recognized $9,000 of income tax expense for the nine months ended September 30, 2022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 sales,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w:t>
            </w: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23,292</w:t>
            </w:r>
          </w:p>
        </w:tc>
      </w:tr>
      <w:tr>
        <w:trPr>
          <w:trHeight w:val="25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57"/>
        </w:trPr>
        <w:tc>
          <w:tcPr>
            <w:tcW w:w="5040" w:type="dxa"/>
            <w:vAlign w:val="bottom"/>
          </w:tcPr>
          <w:p>
            <w:pPr>
              <w:ind w:left="240"/>
              <w:spacing w:after="0"/>
              <w:rPr>
                <w:sz w:val="20"/>
                <w:szCs w:val="20"/>
                <w:color w:val="auto"/>
              </w:rPr>
            </w:pPr>
            <w:r>
              <w:rPr>
                <w:rFonts w:ascii="Arial" w:cs="Arial" w:eastAsia="Arial" w:hAnsi="Arial"/>
                <w:sz w:val="18"/>
                <w:szCs w:val="18"/>
                <w:color w:val="auto"/>
              </w:rPr>
              <w:t>Impairment of acquired contract intangible asset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3,724</w:t>
            </w:r>
          </w:p>
        </w:tc>
      </w:tr>
      <w:tr>
        <w:trPr>
          <w:trHeight w:val="25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57,198</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(47,209)</w:t>
            </w:r>
          </w:p>
        </w:tc>
      </w:tr>
      <w:tr>
        <w:trPr>
          <w:trHeight w:val="25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(46,591)</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(46,600)</w:t>
            </w: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sales, net consist of sales of FYARRO since its launch in the United States on February 22, 2022. Product sales, net for the three and nine months ended September 30, 2023 were $6.0 million and $18.0 million, respectively. For the three and nine months ended September 30, 2022, product sales, net were $4.2 million and $10.0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Selling, general and administrative expenses for the three months ended September 30, 2023 and 2022 were $11.2 million and $9.9 million, respectively. The $1.3 million increase was primarily driven by $0.8 million of legal and other related expenses, $0.7 million of marketing expense, and $0.1 million of personnel expenses related to increased headcount, incentive bonuses and share-based compensation, offset by a decrease of $0.3 million of consulting expenses and insurance</w:t>
      </w:r>
      <w:r>
        <w:rPr>
          <w:rFonts w:ascii="Arial" w:cs="Arial" w:eastAsia="Arial" w:hAnsi="Arial"/>
          <w:sz w:val="21"/>
          <w:szCs w:val="21"/>
          <w:color w:val="auto"/>
        </w:rPr>
        <w:t>.</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Selling, general and administrative expenses for the nine months ended September 30, 2023 and 2022 were $34.2 million and $29.1 million, respectively. The $5.1 million increase was driven by $3.0 million of legal, and other related expenses, $2.1 million of personnel expenses related to increased headcount, incentive bonuses and share-based compensation, and $1.5 million of marketing expense, offset by a decrease of $1.5 million of consulting expenses and insurance.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research and development expenses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16"/>
        </w:trPr>
        <w:tc>
          <w:tcPr>
            <w:tcW w:w="50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Consultants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clinical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Clinical drug product manufacturing</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11,890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23,292</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for the three months ended September 30, 2023 and 2022 were $11.9 million and $8.8 million, respectively. The $3.1 million increase was primarily driven by a $1.4 million increase in headcount, consultants, and other expenses, $1.3 million of clinical development expenses related to the PRECISION1 trial, and $0.4 million in clinical drug product manufacturing.</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and development expenses for the nine months ended September 30, 2023 and 2022 were $36.2 million and $23.3 million, respectively. The $12.9 million increase was primarily driven by a $5.8 million increase in headcount, consultants, and other expenses, $4.7 million of clinical development expenses related to the PRECISION1 trial, and $2.4 million in clinical drug product manufacturing.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for the three months ended September 30, 2023 and 2022 was $0.7 million and $0.6 million, respectively. Cost of goods sold for the nine months ended September 30, 2023 and 2022 was $1.9 million and $1.1 million, respectively. The increase of cost goods sold is primarily driven by royalties incurred on product sold.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we recorded a $3.7 million impairment charge to reduce the carrying value of the intangible asset to its fair value of zero, based on a formal notice of termination we received on April 25, 2022 (the “Notice of Termination”) from Gossamer for the Gossamer License Agreement. The Gossamer License Agreement terminated effective July 24, 2022.</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Based on the Notice of Termination, we fully impaired the intangible asset during the nine months ended September 30, 2022, as the Gossamer License</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Agreement is the sole underlying asset. In connection with the termination of the Gossamer License Agreement, the CVR Agreement (as defined in Note 5 to the condensed consolidated financial statements), pursuant to which the contingent value rights (“CVRs”) were issued to legacy holders of common stock of Aerpio</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immediately prior to the Merger, automatically terminated in accordance with its terms and the CVRs were automatically cancelled and forfeited without any consideration or payment, in each case effective July 24,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September 30, 2023 was $1.5 million, compared to other income, net of $0.6 million for the three months ended September 30, 2022. The change was primarily driven by higher interest rates on short-term investments held during the three months ended September 30, 2023, compared to the three months ended September 30,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nine months ended September 30, 2023 was $4.7 million, compared to other income, net of $0.6 million for the nine months ended September 30, 2022. The change was primarily driven by higher interest rates on short-term investments held during the nine months ended September 30, 2023, compared to the nine months ended September 30,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$119.3 million of cash, cash equivalents and short-term investments. Based on our current plans, we believe our existing cash, cash equivalents and short-term investments will enable us to conduct our planned operations into 2025.</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incurred net losses in each year since inception and as of September 30, 2023, we had an accumulated deficit of $252.7 million. Our net losses were $16.3 million and $14.5 million for the three months ended September 30, 2023 and 2022, respectively, and $49.5 million and $$46.6 million for the nine months ended September 30, 2023 and 2022,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continued commercial launch of FYARRO. We expect our expenses, and the potential for losses, to increase as we conduct clinical trials of FYARRO in additional indications and seek to expand our pipeline.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inception through September 30, 2023, we received funding of $25.4 million from our initial seed financing and the sale of Series A convertible preferred stock, $9.1 million from the issuance of convertible promissory notes, $145.4 million, net from the 2021 PIPE Financing in connection with the Merger, $29.7 million of cash assumed in the Merger, and $72.2 million, net from a private investment in public equity financing (the “2022 PIPE Financing”) with certain investors (the “2022 PIPE Investors”).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September 30, 2023, no shares of common stock had been sold under the Sales Agreement.</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22, 2022, the Company entered into the Purchase Agreement for the 2022 PIPE Financing with the 2022 PIPE Investors for the sale of 3,373,526 shares of our common stock for a price of $12.50 per share and Pre-Funded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Warrants to purchase an aggregate of 2,426,493 shares of our common stock, at a purchase price of $12.4999 per Pre-Funded Warrant. The Pre-Funded Warrants are exercisable at an exercise price of $0.0001 and will be exercisable until exercised in full. The 2022 PIPE Financing closed on September 26, 2022. Aggregate net proceeds, after deducting certain expenses incurred of $0.3 million related to the issuance of the shares, were $72.2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420" w:type="dxa"/>
            <w:vAlign w:val="bottom"/>
            <w:gridSpan w:val="5"/>
          </w:tcPr>
          <w:p>
            <w:pPr>
              <w:jc w:val="right"/>
              <w:ind w:right="554"/>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7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26"/>
        </w:trPr>
        <w:tc>
          <w:tcPr>
            <w:tcW w:w="7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(50,019)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2"/>
              </w:rPr>
              <w:t>(38,330)</w:t>
            </w: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center"/>
              <w:ind w:left="514"/>
              <w:spacing w:after="0"/>
              <w:rPr>
                <w:sz w:val="20"/>
                <w:szCs w:val="20"/>
                <w:color w:val="auto"/>
              </w:rPr>
            </w:pPr>
            <w:r>
              <w:rPr>
                <w:rFonts w:ascii="Arial" w:cs="Arial" w:eastAsia="Arial" w:hAnsi="Arial"/>
                <w:sz w:val="18"/>
                <w:szCs w:val="18"/>
                <w:color w:val="auto"/>
                <w:w w:val="92"/>
              </w:rPr>
              <w:t>(48,507)</w:t>
            </w: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7"/>
              </w:rPr>
              <w:t>72,727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2"/>
              </w:rPr>
              <w:t>(14,110)</w:t>
            </w:r>
          </w:p>
        </w:tc>
      </w:tr>
      <w:tr>
        <w:trPr>
          <w:trHeight w:val="27"/>
        </w:trPr>
        <w:tc>
          <w:tcPr>
            <w:tcW w:w="7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2023, cash used in operating activities was $50.0 million and resulted from (i) our net loss of $49.5 million, and</w:t>
      </w:r>
    </w:p>
    <w:p>
      <w:pPr>
        <w:spacing w:after="0" w:line="46" w:lineRule="exact"/>
        <w:rPr>
          <w:sz w:val="20"/>
          <w:szCs w:val="20"/>
          <w:color w:val="auto"/>
        </w:rPr>
      </w:pPr>
    </w:p>
    <w:p>
      <w:pPr>
        <w:jc w:val="both"/>
        <w:ind w:firstLine="8"/>
        <w:spacing w:after="0" w:line="253"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$7.2 million net decrease in our working capital accounts, primarily driven by an increase in accounts receivable, prepaid expenses and other current assets, inventory and a decrease in other non-current assets and accounts payable and accrued liabilities; offset by net non-cash adjustments totaling $6.7 million, which was primarily related share based compensation, discount amortization on short-term investments, lease expense, depreciation and amortization.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2022, cash used in operating activities was $38.3 million and resulted from (i) our net loss of $46.6 million, and</w:t>
      </w:r>
    </w:p>
    <w:p>
      <w:pPr>
        <w:spacing w:after="0" w:line="46" w:lineRule="exact"/>
        <w:rPr>
          <w:sz w:val="20"/>
          <w:szCs w:val="20"/>
          <w:color w:val="auto"/>
        </w:rPr>
      </w:pPr>
    </w:p>
    <w:p>
      <w:pPr>
        <w:jc w:val="both"/>
        <w:ind w:firstLine="8"/>
        <w:spacing w:after="0" w:line="302" w:lineRule="auto"/>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$2.5 million net decrease in our working capital accounts, primarily driven by an increase in prepaid expenses, accounts receivable, inventory related to the commercial launch of FYARRO in February 2022, and accounts payable and accrued expenses; offset by non-cash adjustments totaling $10.7 million, which was primarily related to the impairment of the contract intangible asset, share based compensation, depreciation and amortization.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provided by investing activities for the nine months ended September 30, 2023 was $79.6 million and related to purchases of fixed assets of $3.2 million, and short-term investments of $50.5 million, offset by maturities of short-term investments of $133.3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2022 was $48.5 million and related to purchases of fixed assets of $0.4 million and short-term investments of $48.1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2023 was $0.2 million and related to the issuance of common stock under the employee purchases plan and exercise of stock options offset by financing costs related to the Sales Agreement.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2022 was $72.7 million and related to $72.5 million gross cash proceeds from our 2022 PIPE Financing, $0.4 million from exercise of stock options and $0.1 million from exercise of warrants offset by $0.2 million of deferred financing costs related to the Sales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2022, we entered into a lease for 10,615 square feet of office space in Morristown, New Jersey. The term of the lease is seventy-three months unless terminated sooner.</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August 2021, we entered into an amendment to extend the lease of our 2,760 square feet of office space in Pacific Palisades, California. We </w:t>
      </w:r>
      <w:r>
        <w:rPr>
          <w:rFonts w:ascii="Arial" w:cs="Arial" w:eastAsia="Arial" w:hAnsi="Arial"/>
          <w:sz w:val="18"/>
          <w:szCs w:val="18"/>
          <w:color w:val="231F20"/>
        </w:rPr>
        <w:t>exercised an</w:t>
      </w:r>
      <w:r>
        <w:rPr>
          <w:rFonts w:ascii="Arial" w:cs="Arial" w:eastAsia="Arial" w:hAnsi="Arial"/>
          <w:sz w:val="18"/>
          <w:szCs w:val="18"/>
          <w:color w:val="auto"/>
        </w:rPr>
        <w:t xml:space="preserve"> </w:t>
      </w:r>
      <w:r>
        <w:rPr>
          <w:rFonts w:ascii="Arial" w:cs="Arial" w:eastAsia="Arial" w:hAnsi="Arial"/>
          <w:sz w:val="18"/>
          <w:szCs w:val="18"/>
          <w:color w:val="231F20"/>
        </w:rPr>
        <w:t>option, under our prior lease agreement, to extend the term of the lease for an additional three-year period. Included in the renewal were nine months of rent abatement and a rent escalation clause.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 xml:space="preserve">Rent expense is being recorded on a straight-line basis. Rent expense related to the Pacific Palisades and Morristown leases for the nine months ended September 30, 2023 and 2022 was $0.3 million. </w:t>
      </w:r>
      <w:r>
        <w:rPr>
          <w:rFonts w:ascii="Arial" w:cs="Arial" w:eastAsia="Arial" w:hAnsi="Arial"/>
          <w:sz w:val="16"/>
          <w:szCs w:val="16"/>
          <w:color w:val="000000"/>
        </w:rPr>
        <w:t>See Note 7 to the condensed consolidated financial statements for details related to future lease payments.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 order basis. The Fresenius Agreement contains specific activities such as non-cancellable commitments, minimum purchase commitments, or binding annual forecasts. Under the Fresenius Agreement, which is effective through March 31, 2024 (or such later date as may be agreed between the parties in writing), we may purchase FYARRO for either clinical or commercial purposes for use in the United States and Canada.</w:t>
      </w:r>
    </w:p>
    <w:p>
      <w:pPr>
        <w:spacing w:after="0" w:line="7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October 2022, we entered into a collaboration and supply agreement with Mirati to evaluate the combination of Mirati’s adagrasib, a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selective inhibitor, and FYARRO in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a discussion of our critical accounting estimates, please read Part II, Item 7.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our Annual Report on Form 10-K for the year ended December 31, 2022 filed with the SEC on March 29, 2023. There have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changes to the critical accounting estimates previously disclosed in our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supervision of and with the participation of our management, including our principal executive officer and principal financial officer, we conducted an evaluation of the effectiveness of our disclosure controls and procedures as of September 30, 2023,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evaluation, management concluded that our disclosure controls and procedures were effective at the reasonable assurance level as of September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during the quarter ended September 30, 2023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discussion of legal proceedings, see Item 1 of Part 1, “Condensed Consolidated Financial Statements - Note 13” in this Quarterly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62"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we expect to continue to incur significant net losses for the foreseeable future.</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FYARRO and any other product candidates that we may develop in the future.</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obtain United States approval for FYARRO for additional indications or any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following approval and commercialization of FYARRO for the advanced malignant perivascular epithelioid cell tumor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r>
        <w:rPr>
          <w:rFonts w:ascii="Arial" w:cs="Arial" w:eastAsia="Arial" w:hAnsi="Arial"/>
          <w:sz w:val="18"/>
          <w:szCs w:val="18"/>
          <w:color w:val="000000"/>
        </w:rPr>
        <w:t>.</w:t>
      </w:r>
    </w:p>
    <w:p>
      <w:pPr>
        <w:spacing w:after="0" w:line="7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opportunities for FYARRO and any other product candidates we may develop in the future, if approved, may be limited to certain smaller patient subsets.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termination of any of these licenses could result in the loss of significant rights, which would harm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preclinical studies and clinical trials and those third parties may not perform satisfactorily.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Litigation and legal proceedings, including the EOC dispute, may substantially increase our costs and harm our business, irrespective of outcome.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Financial Condition and Capital Requirements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Arial" w:cs="Arial" w:eastAsia="Arial" w:hAnsi="Arial"/>
          <w:sz w:val="17"/>
          <w:szCs w:val="17"/>
          <w:color w:val="000000"/>
        </w:rPr>
        <w:t>for treatment of</w:t>
      </w:r>
      <w:r>
        <w:rPr>
          <w:rFonts w:ascii="Arial" w:cs="Arial" w:eastAsia="Arial" w:hAnsi="Arial"/>
          <w:sz w:val="17"/>
          <w:szCs w:val="17"/>
          <w:color w:val="231F20"/>
        </w:rPr>
        <w:t xml:space="preserve"> advanced malignant perivascular epithelioid cell tumor (“PEComa”) in February 2022. We generated net product sales for FYARRO of $15.2 million for the year ended December 31, 2022 and $6.0 million and $18.0 million for the </w:t>
      </w:r>
      <w:r>
        <w:rPr>
          <w:rFonts w:ascii="Arial" w:cs="Arial" w:eastAsia="Arial" w:hAnsi="Arial"/>
          <w:sz w:val="17"/>
          <w:szCs w:val="17"/>
          <w:color w:val="000000"/>
        </w:rPr>
        <w:t>three and nine months ended</w:t>
      </w:r>
      <w:r>
        <w:rPr>
          <w:rFonts w:ascii="Arial" w:cs="Arial" w:eastAsia="Arial" w:hAnsi="Arial"/>
          <w:sz w:val="17"/>
          <w:szCs w:val="17"/>
          <w:color w:val="231F20"/>
        </w:rPr>
        <w:t xml:space="preserve"> September 30, 2023,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 We conducted a Phase 2 registrational study of </w:t>
      </w:r>
      <w:r>
        <w:rPr>
          <w:rFonts w:ascii="Arial" w:cs="Arial" w:eastAsia="Arial" w:hAnsi="Arial"/>
          <w:sz w:val="18"/>
          <w:szCs w:val="18"/>
          <w:color w:val="000000"/>
        </w:rPr>
        <w:t>FYARRO</w:t>
      </w:r>
      <w:r>
        <w:rPr>
          <w:rFonts w:ascii="Arial" w:cs="Arial" w:eastAsia="Arial" w:hAnsi="Arial"/>
          <w:sz w:val="18"/>
          <w:szCs w:val="18"/>
          <w:color w:val="231F20"/>
        </w:rPr>
        <w:t xml:space="preserve"> (“AMPECT trial") for PEComa and completed a rolling New Drug Application (an “NDA”) submission for </w:t>
      </w:r>
      <w:r>
        <w:rPr>
          <w:rFonts w:ascii="Arial" w:cs="Arial" w:eastAsia="Arial" w:hAnsi="Arial"/>
          <w:sz w:val="18"/>
          <w:szCs w:val="18"/>
          <w:color w:val="000000"/>
        </w:rPr>
        <w:t>FYARRO</w:t>
      </w:r>
      <w:r>
        <w:rPr>
          <w:rFonts w:ascii="Arial" w:cs="Arial" w:eastAsia="Arial" w:hAnsi="Arial"/>
          <w:sz w:val="18"/>
          <w:szCs w:val="18"/>
          <w:color w:val="231F20"/>
        </w:rPr>
        <w:t xml:space="preserve"> in May 2021. The U.S. Food and Drug Administration (the “FDA”) accepted our NDA in July 2021 and approved FYARRO for the treatment of advanced malignant PEComa in November 2021.</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31F20"/>
        </w:rPr>
        <w:t xml:space="preserve">Based on the AMPECT trial and emerging data for </w:t>
      </w:r>
      <w:r>
        <w:rPr>
          <w:rFonts w:ascii="Arial" w:cs="Arial" w:eastAsia="Arial" w:hAnsi="Arial"/>
          <w:sz w:val="17"/>
          <w:szCs w:val="17"/>
          <w:color w:val="000000"/>
        </w:rPr>
        <w:t>FYARRO</w:t>
      </w:r>
      <w:r>
        <w:rPr>
          <w:rFonts w:ascii="Arial" w:cs="Arial" w:eastAsia="Arial" w:hAnsi="Arial"/>
          <w:sz w:val="17"/>
          <w:szCs w:val="17"/>
          <w:color w:val="231F20"/>
        </w:rPr>
        <w:t xml:space="preserve"> in other solid tumors with truncating Tuberous Sclerosis Complex 1 and 2 (“</w:t>
      </w:r>
      <w:r>
        <w:rPr>
          <w:rFonts w:ascii="Arial" w:cs="Arial" w:eastAsia="Arial" w:hAnsi="Arial"/>
          <w:sz w:val="17"/>
          <w:szCs w:val="17"/>
          <w:i w:val="1"/>
          <w:iCs w:val="1"/>
          <w:color w:val="231F20"/>
        </w:rPr>
        <w:t>TSC1 &amp; TSC2”)</w:t>
      </w:r>
      <w:r>
        <w:rPr>
          <w:rFonts w:ascii="Arial" w:cs="Arial" w:eastAsia="Arial" w:hAnsi="Arial"/>
          <w:sz w:val="17"/>
          <w:szCs w:val="17"/>
          <w:color w:val="231F20"/>
        </w:rPr>
        <w:t xml:space="preserve"> alterations, and following discussions with the FDA, we opened enrollment for our registration-directed tumor-agnostic Phase 2 trial (“PRECISION1 trial") in malignant solid tumors harboring </w:t>
      </w:r>
      <w:r>
        <w:rPr>
          <w:rFonts w:ascii="Arial" w:cs="Arial" w:eastAsia="Arial" w:hAnsi="Arial"/>
          <w:sz w:val="17"/>
          <w:szCs w:val="17"/>
          <w:i w:val="1"/>
          <w:iCs w:val="1"/>
          <w:color w:val="231F20"/>
        </w:rPr>
        <w:t>TSC1 &amp; TSC2</w:t>
      </w:r>
      <w:r>
        <w:rPr>
          <w:rFonts w:ascii="Arial" w:cs="Arial" w:eastAsia="Arial" w:hAnsi="Arial"/>
          <w:sz w:val="17"/>
          <w:szCs w:val="17"/>
          <w:color w:val="231F20"/>
        </w:rPr>
        <w:t xml:space="preserve"> inactivating alterations in the first quarter of 2022. In addition, in October 2022, we entered into a collaboration and supply agreement with Mirati Therapeutics, Inc. (“Mirati”) to evaluate the combination of Mirati’s adagrasib (KRAZATI™), a KRAS</w:t>
      </w:r>
      <w:r>
        <w:rPr>
          <w:rFonts w:ascii="Arial" w:cs="Arial" w:eastAsia="Arial" w:hAnsi="Arial"/>
          <w:sz w:val="22"/>
          <w:szCs w:val="22"/>
          <w:color w:val="231F20"/>
          <w:vertAlign w:val="superscript"/>
        </w:rPr>
        <w:t>G12C</w:t>
      </w:r>
      <w:r>
        <w:rPr>
          <w:rFonts w:ascii="Arial" w:cs="Arial" w:eastAsia="Arial" w:hAnsi="Arial"/>
          <w:sz w:val="17"/>
          <w:szCs w:val="17"/>
          <w:color w:val="231F20"/>
        </w:rPr>
        <w:t xml:space="preserve"> selective inhibitor, and FYARRO in KRAS</w:t>
      </w:r>
      <w:r>
        <w:rPr>
          <w:rFonts w:ascii="Arial" w:cs="Arial" w:eastAsia="Arial" w:hAnsi="Arial"/>
          <w:sz w:val="22"/>
          <w:szCs w:val="22"/>
          <w:color w:val="231F20"/>
          <w:vertAlign w:val="superscript"/>
        </w:rPr>
        <w:t>G12C</w:t>
      </w:r>
      <w:r>
        <w:rPr>
          <w:rFonts w:ascii="Arial" w:cs="Arial" w:eastAsia="Arial" w:hAnsi="Arial"/>
          <w:sz w:val="17"/>
          <w:szCs w:val="17"/>
          <w:color w:val="231F20"/>
        </w:rPr>
        <w:t xml:space="preserve"> mutant non-small cell lung cancer ("NSCLC") and other solid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 xml:space="preserve">tumors. Under the terms of the agreement, Mirati will be responsible for sponsoring and operating the Phase 1/2 study and we will supply study drug and jointly share the cost of the study. </w:t>
      </w:r>
      <w:r>
        <w:rPr>
          <w:rFonts w:ascii="Arial" w:cs="Arial" w:eastAsia="Arial" w:hAnsi="Arial"/>
          <w:sz w:val="16"/>
          <w:szCs w:val="16"/>
          <w:color w:val="000000"/>
        </w:rPr>
        <w:t>We are currently enrolling patients in (i) a Phase 2 open-label, multi-institutional study to evaluate the efficacy and safety</w:t>
      </w:r>
      <w:r>
        <w:rPr>
          <w:rFonts w:ascii="Arial" w:cs="Arial" w:eastAsia="Arial" w:hAnsi="Arial"/>
          <w:sz w:val="16"/>
          <w:szCs w:val="16"/>
          <w:color w:val="231F20"/>
        </w:rPr>
        <w:t xml:space="preserve"> </w:t>
      </w:r>
      <w:r>
        <w:rPr>
          <w:rFonts w:ascii="Arial" w:cs="Arial" w:eastAsia="Arial" w:hAnsi="Arial"/>
          <w:sz w:val="16"/>
          <w:szCs w:val="16"/>
          <w:color w:val="000000"/>
        </w:rPr>
        <w:t>of the combination of FYARRO with letrozole for the treatment of advanced or recurrent endometrioid-type endometrial cancer ("EEC") and (ii) a Phase 2 multicenter, open-label, single-arm trial to evaluate adult patients with functional or non-functional, well-differentiated, locally advanced unresectable or metastatic neuroendocrine tumors ("NETs") of the GI tract, lung, or pancreas who have received no more than two prior lines of therapy.</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have incurred significant net losses since our inception, and we expect to continue to incur significant net losses for the foreseeable future.</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$60.5 million and $110.1 million for the years ended December 31, 2022 and 2021, respectively, and $49.5 million and $46.6 million for the nine months ended September 30, 2023 and 2022, respectively. We had an accumulated deficit of $252.7 million as of September 30, 2023, and $203.2 million as of December 31, 2022.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$15.2 million for the year ended December 31, 2022 and $6.0 million and $18.0 million for the three and nine months ended September 30, 2023, respectively,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Even if we succeed in commercializing FYARRO for its approved </w:t>
      </w:r>
      <w:r>
        <w:rPr>
          <w:rFonts w:ascii="Arial" w:cs="Arial" w:eastAsia="Arial" w:hAnsi="Arial"/>
          <w:sz w:val="18"/>
          <w:szCs w:val="18"/>
          <w:color w:val="000000"/>
        </w:rPr>
        <w:t>advanced malignant</w:t>
      </w:r>
      <w:r>
        <w:rPr>
          <w:rFonts w:ascii="Arial" w:cs="Arial" w:eastAsia="Arial" w:hAnsi="Arial"/>
          <w:sz w:val="18"/>
          <w:szCs w:val="18"/>
          <w:color w:val="231F20"/>
        </w:rPr>
        <w:t xml:space="preserve"> 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revenues and expenses. Our prior losses and expected future losses have had, and will continue to have, an adverse effect on our working capital, our ability to fund the continued commercialization of FYARRO, the development of FYARRO for additional indications and any future product candidates, our ability to achieve and maintain profitability and the performance of our stock price.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FYARRO and other product candidates that we may develop in the future.</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Arial" w:cs="Arial" w:eastAsia="Arial" w:hAnsi="Arial"/>
          <w:sz w:val="18"/>
          <w:szCs w:val="18"/>
          <w:color w:val="000000"/>
        </w:rPr>
        <w:t>on of additional indications (such as</w:t>
      </w:r>
      <w:r>
        <w:rPr>
          <w:rFonts w:ascii="Arial" w:cs="Arial" w:eastAsia="Arial" w:hAnsi="Arial"/>
          <w:sz w:val="18"/>
          <w:szCs w:val="18"/>
          <w:color w:val="231F20"/>
        </w:rPr>
        <w:t xml:space="preserve"> </w:t>
      </w:r>
      <w:r>
        <w:rPr>
          <w:rFonts w:ascii="Arial" w:cs="Arial" w:eastAsia="Arial" w:hAnsi="Arial"/>
          <w:sz w:val="18"/>
          <w:szCs w:val="18"/>
          <w:i w:val="1"/>
          <w:iCs w:val="1"/>
          <w:color w:val="000000"/>
        </w:rPr>
        <w:t>TSC1</w:t>
      </w:r>
      <w:r>
        <w:rPr>
          <w:rFonts w:ascii="Arial" w:cs="Arial" w:eastAsia="Arial" w:hAnsi="Arial"/>
          <w:sz w:val="18"/>
          <w:szCs w:val="18"/>
          <w:color w:val="231F20"/>
        </w:rPr>
        <w:t xml:space="preserve"> </w:t>
      </w:r>
      <w:r>
        <w:rPr>
          <w:rFonts w:ascii="Arial" w:cs="Arial" w:eastAsia="Arial" w:hAnsi="Arial"/>
          <w:sz w:val="18"/>
          <w:szCs w:val="18"/>
          <w:color w:val="000000"/>
        </w:rPr>
        <w:t>&amp;</w:t>
      </w:r>
      <w:r>
        <w:rPr>
          <w:rFonts w:ascii="Arial" w:cs="Arial" w:eastAsia="Arial" w:hAnsi="Arial"/>
          <w:sz w:val="18"/>
          <w:szCs w:val="18"/>
          <w:color w:val="231F20"/>
        </w:rPr>
        <w:t xml:space="preserve"> </w:t>
      </w:r>
      <w:r>
        <w:rPr>
          <w:rFonts w:ascii="Arial" w:cs="Arial" w:eastAsia="Arial" w:hAnsi="Arial"/>
          <w:sz w:val="18"/>
          <w:szCs w:val="18"/>
          <w:i w:val="1"/>
          <w:iCs w:val="1"/>
          <w:color w:val="000000"/>
        </w:rPr>
        <w:t>TSC2</w:t>
      </w:r>
      <w:r>
        <w:rPr>
          <w:rFonts w:ascii="Arial" w:cs="Arial" w:eastAsia="Arial" w:hAnsi="Arial"/>
          <w:sz w:val="18"/>
          <w:szCs w:val="18"/>
          <w:color w:val="000000"/>
        </w:rPr>
        <w:t>) or</w:t>
      </w:r>
      <w:r>
        <w:rPr>
          <w:rFonts w:ascii="Arial" w:cs="Arial" w:eastAsia="Arial" w:hAnsi="Arial"/>
          <w:sz w:val="18"/>
          <w:szCs w:val="18"/>
          <w:color w:val="231F20"/>
        </w:rPr>
        <w:t xml:space="preserve"> </w:t>
      </w:r>
      <w:r>
        <w:rPr>
          <w:rFonts w:ascii="Arial" w:cs="Arial" w:eastAsia="Arial" w:hAnsi="Arial"/>
          <w:sz w:val="18"/>
          <w:szCs w:val="18"/>
          <w:color w:val="000000"/>
        </w:rPr>
        <w:t>any future product candidates, and commercialize FYARRO or any other future product candidates, if approved, in foreign jurisdictions</w:t>
      </w:r>
      <w:r>
        <w:rPr>
          <w:rFonts w:ascii="Arial" w:cs="Arial" w:eastAsia="Arial" w:hAnsi="Arial"/>
          <w:sz w:val="18"/>
          <w:szCs w:val="18"/>
          <w:color w:val="231F20"/>
        </w:rPr>
        <w:t>. We do not</w:t>
      </w:r>
      <w:r>
        <w:rPr>
          <w:rFonts w:ascii="Arial" w:cs="Arial" w:eastAsia="Arial" w:hAnsi="Arial"/>
          <w:sz w:val="18"/>
          <w:szCs w:val="18"/>
          <w:color w:val="000000"/>
        </w:rPr>
        <w:t xml:space="preserve"> </w:t>
      </w:r>
      <w:r>
        <w:rPr>
          <w:rFonts w:ascii="Arial" w:cs="Arial" w:eastAsia="Arial" w:hAnsi="Arial"/>
          <w:sz w:val="18"/>
          <w:szCs w:val="18"/>
          <w:color w:val="231F20"/>
        </w:rPr>
        <w:t>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231F20"/>
        </w:rPr>
        <w:t xml:space="preserve">demonstrating the safety and efficacy of </w:t>
      </w:r>
      <w:r>
        <w:rPr>
          <w:rFonts w:ascii="Arial" w:cs="Arial" w:eastAsia="Arial" w:hAnsi="Arial"/>
          <w:sz w:val="17"/>
          <w:szCs w:val="17"/>
          <w:color w:val="000000"/>
        </w:rPr>
        <w:t>FYARRO</w:t>
      </w:r>
      <w:r>
        <w:rPr>
          <w:rFonts w:ascii="Arial" w:cs="Arial" w:eastAsia="Arial" w:hAnsi="Arial"/>
          <w:sz w:val="17"/>
          <w:szCs w:val="17"/>
          <w:color w:val="231F20"/>
        </w:rPr>
        <w:t xml:space="preserve"> to the satisfaction of the FDA and obtaining regulatory approval for </w:t>
      </w:r>
      <w:r>
        <w:rPr>
          <w:rFonts w:ascii="Arial" w:cs="Arial" w:eastAsia="Arial" w:hAnsi="Arial"/>
          <w:sz w:val="17"/>
          <w:szCs w:val="17"/>
          <w:color w:val="000000"/>
        </w:rPr>
        <w:t>FYARRO for other</w:t>
      </w:r>
      <w:r>
        <w:rPr>
          <w:rFonts w:ascii="Arial" w:cs="Arial" w:eastAsia="Arial" w:hAnsi="Arial"/>
          <w:sz w:val="17"/>
          <w:szCs w:val="17"/>
          <w:color w:val="231F20"/>
        </w:rPr>
        <w:t xml:space="preserve"> </w:t>
      </w:r>
      <w:r>
        <w:rPr>
          <w:rFonts w:ascii="Arial" w:cs="Arial" w:eastAsia="Arial" w:hAnsi="Arial"/>
          <w:sz w:val="17"/>
          <w:szCs w:val="17"/>
          <w:color w:val="000000"/>
        </w:rPr>
        <w:t xml:space="preserve">indications </w:t>
      </w:r>
      <w:r>
        <w:rPr>
          <w:rFonts w:ascii="Arial" w:cs="Arial" w:eastAsia="Arial" w:hAnsi="Arial"/>
          <w:sz w:val="17"/>
          <w:szCs w:val="17"/>
          <w:color w:val="231F20"/>
        </w:rPr>
        <w:t>and for any other product candidates that we may develop in the future, if any, for which there is a commercial market;</w:t>
      </w:r>
    </w:p>
    <w:p>
      <w:pPr>
        <w:spacing w:after="0" w:line="38"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launching and successfully commercializing FYARRO or any other product candidates that we may develop in the future following any regulatory approval, including the development of a commercial infrastructure, whether in-house or with one or more collaborators;</w:t>
      </w:r>
    </w:p>
    <w:p>
      <w:pPr>
        <w:spacing w:after="0" w:line="38" w:lineRule="exact"/>
        <w:rPr>
          <w:rFonts w:ascii="Arial" w:cs="Arial" w:eastAsia="Arial" w:hAnsi="Arial"/>
          <w:sz w:val="17"/>
          <w:szCs w:val="17"/>
          <w:color w:val="231F20"/>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maintaining a commercially viable supply of, and manufacturing relationships with third parties that can provide adequate, in both amount and quality, products and services to support clinical development and meet the market demand for, FYARRO or any other product candidates that we may develop in the future, if approved;</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 xml:space="preserve">completing development activities, including clinical trials for </w:t>
      </w:r>
      <w:r>
        <w:rPr>
          <w:rFonts w:ascii="Arial" w:cs="Arial" w:eastAsia="Arial" w:hAnsi="Arial"/>
          <w:sz w:val="18"/>
          <w:szCs w:val="18"/>
          <w:color w:val="000000"/>
        </w:rPr>
        <w:t>FYARRO for</w:t>
      </w:r>
      <w:r>
        <w:rPr>
          <w:rFonts w:ascii="Arial" w:cs="Arial" w:eastAsia="Arial" w:hAnsi="Arial"/>
          <w:sz w:val="18"/>
          <w:szCs w:val="18"/>
          <w:color w:val="231F20"/>
        </w:rPr>
        <w:t xml:space="preserve"> </w:t>
      </w:r>
      <w:r>
        <w:rPr>
          <w:rFonts w:ascii="Arial" w:cs="Arial" w:eastAsia="Arial" w:hAnsi="Arial"/>
          <w:sz w:val="18"/>
          <w:szCs w:val="18"/>
          <w:i w:val="1"/>
          <w:iCs w:val="1"/>
          <w:color w:val="000000"/>
        </w:rPr>
        <w:t>TSC1 &amp; TSC2</w:t>
      </w:r>
      <w:r>
        <w:rPr>
          <w:rFonts w:ascii="Arial" w:cs="Arial" w:eastAsia="Arial" w:hAnsi="Arial"/>
          <w:sz w:val="18"/>
          <w:szCs w:val="18"/>
          <w:color w:val="231F20"/>
        </w:rPr>
        <w:t>, successfully and on a timely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additional regulatory and marketing approvals for FYARRO for additional indications;</w:t>
      </w:r>
    </w:p>
    <w:p>
      <w:pPr>
        <w:spacing w:after="0" w:line="117"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 xml:space="preserve">establishing and maintaining relationships with contract research organizations (“CROs”) and clinical sites for the clinical development of </w:t>
      </w:r>
      <w:r>
        <w:rPr>
          <w:rFonts w:ascii="Arial" w:cs="Arial" w:eastAsia="Arial" w:hAnsi="Arial"/>
          <w:sz w:val="18"/>
          <w:szCs w:val="18"/>
          <w:color w:val="000000"/>
        </w:rPr>
        <w:t xml:space="preserve">FYARRO in other indications </w:t>
      </w:r>
      <w:r>
        <w:rPr>
          <w:rFonts w:ascii="Arial" w:cs="Arial" w:eastAsia="Arial" w:hAnsi="Arial"/>
          <w:sz w:val="18"/>
          <w:szCs w:val="18"/>
          <w:color w:val="231F20"/>
        </w:rPr>
        <w:t>and any other future product candidates that we may develop;</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timely receipt of regulatory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developing or contracting for an efficient and scalable manufacturing process for future product candidates, including obtaining finished products that are appropriately packaged for sale;</w:t>
      </w:r>
    </w:p>
    <w:p>
      <w:pPr>
        <w:spacing w:after="0" w:line="62" w:lineRule="exact"/>
        <w:rPr>
          <w:rFonts w:ascii="Arial" w:cs="Arial" w:eastAsia="Arial" w:hAnsi="Arial"/>
          <w:sz w:val="18"/>
          <w:szCs w:val="18"/>
          <w:color w:val="231F20"/>
        </w:rPr>
      </w:pPr>
    </w:p>
    <w:p>
      <w:pPr>
        <w:ind w:left="660" w:right="2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negotiating and maintaining an adequate price for FYARRO or any future product candidates, both in the United States and in foreign countries where our products are commercialized;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regulatory approval of product candidates;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commercial acceptance of product candidates by patients, the medical community and third-party payors;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coverage and adequate reimbursement by third-party payors for FYARRO or any future product candidates;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satisfying any required post-regulatory approval commitments to applicable regulatory authorities;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identifying, assessing and developing new product candidates;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protecting our rights in our intellectual property portfolio;</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defending against third-party interference or infringement claims, if any;</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entering into and maintaining, on favorable terms, any collaboration, licensing or other arrangements that may be necessary or desirable to develop, manufacture or commercialize FYARRO and any future product candidates;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addressing any competing therapies and technological and market developments and attracting, hiring and retaining qualified personnel.</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231F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continued commercialization of </w:t>
      </w:r>
      <w:r>
        <w:rPr>
          <w:rFonts w:ascii="Arial" w:cs="Arial" w:eastAsia="Arial" w:hAnsi="Arial"/>
          <w:sz w:val="16"/>
          <w:szCs w:val="16"/>
          <w:color w:val="000000"/>
        </w:rPr>
        <w:t>FYARRO for its approved indication (advanced malignant PEComa)</w:t>
      </w:r>
      <w:r>
        <w:rPr>
          <w:rFonts w:ascii="Arial" w:cs="Arial" w:eastAsia="Arial" w:hAnsi="Arial"/>
          <w:sz w:val="16"/>
          <w:szCs w:val="16"/>
          <w:color w:val="231F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additional indications for </w:t>
      </w:r>
      <w:r>
        <w:rPr>
          <w:rFonts w:ascii="Arial" w:cs="Arial" w:eastAsia="Arial" w:hAnsi="Arial"/>
          <w:sz w:val="16"/>
          <w:szCs w:val="16"/>
          <w:color w:val="000000"/>
        </w:rPr>
        <w:t>FYARRO or</w:t>
      </w:r>
      <w:r>
        <w:rPr>
          <w:rFonts w:ascii="Arial" w:cs="Arial" w:eastAsia="Arial" w:hAnsi="Arial"/>
          <w:sz w:val="16"/>
          <w:szCs w:val="16"/>
          <w:color w:val="231F20"/>
        </w:rPr>
        <w:t xml:space="preserve"> </w:t>
      </w:r>
      <w:r>
        <w:rPr>
          <w:rFonts w:ascii="Arial" w:cs="Arial" w:eastAsia="Arial" w:hAnsi="Arial"/>
          <w:sz w:val="16"/>
          <w:szCs w:val="16"/>
          <w:color w:val="000000"/>
        </w:rPr>
        <w:t>any other product candidates that we may develop in the future</w:t>
      </w:r>
      <w:r>
        <w:rPr>
          <w:rFonts w:ascii="Arial" w:cs="Arial" w:eastAsia="Arial" w:hAnsi="Arial"/>
          <w:sz w:val="16"/>
          <w:szCs w:val="16"/>
          <w:color w:val="231F20"/>
        </w:rPr>
        <w:t>, we expect to incur significant commercialization expenses related to sales, marketing,</w:t>
      </w:r>
      <w:r>
        <w:rPr>
          <w:rFonts w:ascii="Arial" w:cs="Arial" w:eastAsia="Arial" w:hAnsi="Arial"/>
          <w:sz w:val="16"/>
          <w:szCs w:val="16"/>
          <w:color w:val="000000"/>
        </w:rPr>
        <w:t xml:space="preserve"> </w:t>
      </w:r>
      <w:r>
        <w:rPr>
          <w:rFonts w:ascii="Arial" w:cs="Arial" w:eastAsia="Arial" w:hAnsi="Arial"/>
          <w:sz w:val="16"/>
          <w:szCs w:val="16"/>
          <w:color w:val="231F20"/>
        </w:rPr>
        <w:t xml:space="preserve">manufacturing and distribution activities and ongoing compliance activities. Although we launched FYARRO commercially for advanced malignant PEComa in February 2022, we cannot reasonably estimate the actual amount of resources and funding that will be necessary to successfully commercialize </w:t>
      </w:r>
      <w:r>
        <w:rPr>
          <w:rFonts w:ascii="Arial" w:cs="Arial" w:eastAsia="Arial" w:hAnsi="Arial"/>
          <w:sz w:val="16"/>
          <w:szCs w:val="16"/>
          <w:color w:val="000000"/>
        </w:rPr>
        <w:t xml:space="preserve">FYARRO </w:t>
      </w:r>
      <w:r>
        <w:rPr>
          <w:rFonts w:ascii="Arial" w:cs="Arial" w:eastAsia="Arial" w:hAnsi="Arial"/>
          <w:sz w:val="16"/>
          <w:szCs w:val="16"/>
          <w:color w:val="231F20"/>
        </w:rPr>
        <w:t>for the</w:t>
      </w:r>
      <w:r>
        <w:rPr>
          <w:rFonts w:ascii="Arial" w:cs="Arial" w:eastAsia="Arial" w:hAnsi="Arial"/>
          <w:sz w:val="16"/>
          <w:szCs w:val="16"/>
          <w:color w:val="000000"/>
        </w:rPr>
        <w:t xml:space="preserve"> advanced malignant </w:t>
      </w:r>
      <w:r>
        <w:rPr>
          <w:rFonts w:ascii="Arial" w:cs="Arial" w:eastAsia="Arial" w:hAnsi="Arial"/>
          <w:sz w:val="16"/>
          <w:szCs w:val="16"/>
          <w:color w:val="231F20"/>
        </w:rPr>
        <w:t>PEComa indication or complete the development and, if approved, commercialize FYARRO for any additional</w:t>
      </w:r>
      <w:r>
        <w:rPr>
          <w:rFonts w:ascii="Arial" w:cs="Arial" w:eastAsia="Arial" w:hAnsi="Arial"/>
          <w:sz w:val="16"/>
          <w:szCs w:val="16"/>
          <w:color w:val="000000"/>
        </w:rPr>
        <w:t xml:space="preserve"> </w:t>
      </w:r>
      <w:r>
        <w:rPr>
          <w:rFonts w:ascii="Arial" w:cs="Arial" w:eastAsia="Arial" w:hAnsi="Arial"/>
          <w:sz w:val="16"/>
          <w:szCs w:val="16"/>
          <w:color w:val="231F20"/>
        </w:rPr>
        <w:t xml:space="preserve">indications, or any other product candidates we may develop in the future. Upon receiving regulatory approval for FYARRO from the FDA in November 2021, we are only permitted to market or promote </w:t>
      </w:r>
      <w:r>
        <w:rPr>
          <w:rFonts w:ascii="Arial" w:cs="Arial" w:eastAsia="Arial" w:hAnsi="Arial"/>
          <w:sz w:val="16"/>
          <w:szCs w:val="16"/>
          <w:color w:val="000000"/>
        </w:rPr>
        <w:t>FYARRO for the advanced malignant PEComa indication</w:t>
      </w:r>
      <w:r>
        <w:rPr>
          <w:rFonts w:ascii="Arial" w:cs="Arial" w:eastAsia="Arial" w:hAnsi="Arial"/>
          <w:sz w:val="16"/>
          <w:szCs w:val="16"/>
          <w:color w:val="231F20"/>
        </w:rPr>
        <w:t>, and not for any other indication, or any other product candidate, in the United States. In addition, we have incurred, and will continue to incur, additional costs associated with operating as a public company. Accordingly, we will need to obtain substantial additional funding in order to continue our operations.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As of September 30, 2023, we had $119.3 million in cash, cash equivalents and short-term investments. Based on our current operating plan, we believe that our cash, cash equivalents and short-term investments will enable us to fund our planned operating expenses and capital expenditures into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We plan to use our cash, cash equivalents and short-term investments to fund the continued commercialization of </w:t>
      </w:r>
      <w:r>
        <w:rPr>
          <w:rFonts w:ascii="Arial" w:cs="Arial" w:eastAsia="Arial" w:hAnsi="Arial"/>
          <w:sz w:val="18"/>
          <w:szCs w:val="18"/>
          <w:color w:val="000000"/>
        </w:rPr>
        <w:t>FYARRO</w:t>
      </w:r>
      <w:r>
        <w:rPr>
          <w:rFonts w:ascii="Arial" w:cs="Arial" w:eastAsia="Arial" w:hAnsi="Arial"/>
          <w:sz w:val="18"/>
          <w:szCs w:val="18"/>
          <w:color w:val="231F20"/>
        </w:rPr>
        <w:t xml:space="preserve"> for the </w:t>
      </w:r>
      <w:r>
        <w:rPr>
          <w:rFonts w:ascii="Arial" w:cs="Arial" w:eastAsia="Arial" w:hAnsi="Arial"/>
          <w:sz w:val="18"/>
          <w:szCs w:val="18"/>
          <w:color w:val="000000"/>
        </w:rPr>
        <w:t>advanced malignant</w:t>
      </w:r>
      <w:r>
        <w:rPr>
          <w:rFonts w:ascii="Arial" w:cs="Arial" w:eastAsia="Arial" w:hAnsi="Arial"/>
          <w:sz w:val="18"/>
          <w:szCs w:val="18"/>
          <w:color w:val="231F20"/>
        </w:rPr>
        <w:t xml:space="preserve"> PEComa indication, ongoing and planned clinical trials of </w:t>
      </w:r>
      <w:r>
        <w:rPr>
          <w:rFonts w:ascii="Arial" w:cs="Arial" w:eastAsia="Arial" w:hAnsi="Arial"/>
          <w:sz w:val="18"/>
          <w:szCs w:val="18"/>
          <w:color w:val="000000"/>
        </w:rPr>
        <w:t>FYARRO</w:t>
      </w:r>
      <w:r>
        <w:rPr>
          <w:rFonts w:ascii="Arial" w:cs="Arial" w:eastAsia="Arial" w:hAnsi="Arial"/>
          <w:sz w:val="18"/>
          <w:szCs w:val="18"/>
          <w:color w:val="231F20"/>
        </w:rPr>
        <w:t xml:space="preserve"> for other indications such as the </w:t>
      </w:r>
      <w:r>
        <w:rPr>
          <w:rFonts w:ascii="Arial" w:cs="Arial" w:eastAsia="Arial" w:hAnsi="Arial"/>
          <w:sz w:val="18"/>
          <w:szCs w:val="18"/>
          <w:i w:val="1"/>
          <w:iCs w:val="1"/>
          <w:color w:val="231F20"/>
        </w:rPr>
        <w:t>TSC1 &amp; TSC2</w:t>
      </w:r>
      <w:r>
        <w:rPr>
          <w:rFonts w:ascii="Arial" w:cs="Arial" w:eastAsia="Arial" w:hAnsi="Arial"/>
          <w:sz w:val="18"/>
          <w:szCs w:val="18"/>
          <w:color w:val="231F20"/>
        </w:rPr>
        <w:t xml:space="preserve">, EEC and NETs indications, for manufacturing operations and to fund our other research for other product candidates and development activities, as well as for working capital and other general corporate purposes. Advancing the development of </w:t>
      </w:r>
      <w:r>
        <w:rPr>
          <w:rFonts w:ascii="Arial" w:cs="Arial" w:eastAsia="Arial" w:hAnsi="Arial"/>
          <w:sz w:val="18"/>
          <w:szCs w:val="18"/>
          <w:color w:val="000000"/>
        </w:rPr>
        <w:t>FYARRO</w:t>
      </w:r>
      <w:r>
        <w:rPr>
          <w:rFonts w:ascii="Arial" w:cs="Arial" w:eastAsia="Arial" w:hAnsi="Arial"/>
          <w:sz w:val="18"/>
          <w:szCs w:val="18"/>
          <w:color w:val="231F20"/>
        </w:rPr>
        <w:t xml:space="preserve"> in additional indications and any future product candidate will require a significant amount of capital. Our existing cash, cash equivalents and short-term investments will not be sufficient to fund all of the activities that are necessary to complete the development of </w:t>
      </w:r>
      <w:r>
        <w:rPr>
          <w:rFonts w:ascii="Arial" w:cs="Arial" w:eastAsia="Arial" w:hAnsi="Arial"/>
          <w:sz w:val="18"/>
          <w:szCs w:val="18"/>
          <w:color w:val="000000"/>
        </w:rPr>
        <w:t>FYARRO and any future product candidates</w:t>
      </w:r>
      <w:r>
        <w:rPr>
          <w:rFonts w:ascii="Arial" w:cs="Arial" w:eastAsia="Arial" w:hAnsi="Arial"/>
          <w:sz w:val="18"/>
          <w:szCs w:val="18"/>
          <w:color w:val="231F20"/>
        </w:rPr>
        <w:t>.</w:t>
      </w:r>
    </w:p>
    <w:p>
      <w:pPr>
        <w:spacing w:after="0" w:line="8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further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COVID</w:t>
      </w:r>
      <w:r>
        <w:rPr>
          <w:rFonts w:ascii="MS PGothic" w:cs="MS PGothic" w:eastAsia="MS PGothic" w:hAnsi="MS PGothic"/>
          <w:sz w:val="17"/>
          <w:szCs w:val="17"/>
          <w:color w:val="231F20"/>
        </w:rPr>
        <w:t>‑</w:t>
      </w:r>
      <w:r>
        <w:rPr>
          <w:rFonts w:ascii="Arial" w:cs="Arial" w:eastAsia="Arial" w:hAnsi="Arial"/>
          <w:sz w:val="17"/>
          <w:szCs w:val="17"/>
          <w:color w:val="231F20"/>
        </w:rPr>
        <w:t>19 pandemic, the conflicts in Eastern Europe and the Middle East, and otherwise.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w:t>
      </w:r>
    </w:p>
    <w:p>
      <w:pPr>
        <w:spacing w:after="0"/>
        <w:rPr>
          <w:sz w:val="20"/>
          <w:szCs w:val="20"/>
          <w:color w:val="auto"/>
        </w:rPr>
      </w:pPr>
      <w:r>
        <w:rPr>
          <w:rFonts w:ascii="Arial" w:cs="Arial" w:eastAsia="Arial" w:hAnsi="Arial"/>
          <w:sz w:val="18"/>
          <w:szCs w:val="18"/>
          <w:color w:val="231F20"/>
        </w:rPr>
        <w:t>programs, clinical trials or future commercialization efforts</w:t>
      </w:r>
      <w:r>
        <w:rPr>
          <w:rFonts w:ascii="Arial" w:cs="Arial" w:eastAsia="Arial" w:hAnsi="Arial"/>
          <w:sz w:val="21"/>
          <w:szCs w:val="21"/>
          <w:color w:val="231F20"/>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and Commercialization of Our Product Candidates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 xml:space="preserve">We have only one product, FYARRO, which has completed development and obtained regulatory approval by the FDA for a single indication. We are substantially dependent on the success of </w:t>
      </w:r>
      <w:r>
        <w:rPr>
          <w:rFonts w:ascii="Arial" w:cs="Arial" w:eastAsia="Arial" w:hAnsi="Arial"/>
          <w:sz w:val="18"/>
          <w:szCs w:val="18"/>
          <w:b w:val="1"/>
          <w:bCs w:val="1"/>
          <w:i w:val="1"/>
          <w:iCs w:val="1"/>
          <w:color w:val="000000"/>
        </w:rPr>
        <w:t>FYARRO</w:t>
      </w:r>
      <w:r>
        <w:rPr>
          <w:rFonts w:ascii="Arial" w:cs="Arial" w:eastAsia="Arial" w:hAnsi="Arial"/>
          <w:sz w:val="18"/>
          <w:szCs w:val="18"/>
          <w:b w:val="1"/>
          <w:bCs w:val="1"/>
          <w:i w:val="1"/>
          <w:iCs w:val="1"/>
          <w:color w:val="231F20"/>
        </w:rPr>
        <w:t xml:space="preserve">. If we are unable to successfully commercialize </w:t>
      </w:r>
      <w:r>
        <w:rPr>
          <w:rFonts w:ascii="Arial" w:cs="Arial" w:eastAsia="Arial" w:hAnsi="Arial"/>
          <w:sz w:val="18"/>
          <w:szCs w:val="18"/>
          <w:b w:val="1"/>
          <w:bCs w:val="1"/>
          <w:i w:val="1"/>
          <w:iCs w:val="1"/>
          <w:color w:val="000000"/>
        </w:rPr>
        <w:t>FYARRO for the advanced malignant PEComa</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 xml:space="preserve">indication or complete development of, obtain approval for and commercialize FYARRO </w:t>
      </w:r>
      <w:r>
        <w:rPr>
          <w:rFonts w:ascii="Arial" w:cs="Arial" w:eastAsia="Arial" w:hAnsi="Arial"/>
          <w:sz w:val="18"/>
          <w:szCs w:val="18"/>
          <w:b w:val="1"/>
          <w:bCs w:val="1"/>
          <w:i w:val="1"/>
          <w:iCs w:val="1"/>
          <w:color w:val="231F20"/>
        </w:rPr>
        <w:t>for one or more additional indications in a timely manner, our</w:t>
      </w:r>
      <w:r>
        <w:rPr>
          <w:rFonts w:ascii="Arial" w:cs="Arial" w:eastAsia="Arial" w:hAnsi="Arial"/>
          <w:sz w:val="18"/>
          <w:szCs w:val="18"/>
          <w:b w:val="1"/>
          <w:bCs w:val="1"/>
          <w:i w:val="1"/>
          <w:iCs w:val="1"/>
          <w:color w:val="000000"/>
        </w:rPr>
        <w:t xml:space="preserve"> </w:t>
      </w:r>
      <w:r>
        <w:rPr>
          <w:rFonts w:ascii="Arial" w:cs="Arial" w:eastAsia="Arial" w:hAnsi="Arial"/>
          <w:sz w:val="18"/>
          <w:szCs w:val="18"/>
          <w:b w:val="1"/>
          <w:bCs w:val="1"/>
          <w:i w:val="1"/>
          <w:iCs w:val="1"/>
          <w:color w:val="231F20"/>
        </w:rPr>
        <w:t>business will be harmed.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 xml:space="preserve">We have only one commercial product that has launched, completed development and been approved by the FDA, FYARRO for PEComa. Our future success is dependent on our ability to successfully commercialize FYARRO, and to timely and successfully obtain regulatory approval for additional indications for FYARRO. We are investing the majority of our efforts and financial resources to continue commercialization of FYARRO for the </w:t>
      </w:r>
      <w:r>
        <w:rPr>
          <w:rFonts w:ascii="Arial" w:cs="Arial" w:eastAsia="Arial" w:hAnsi="Arial"/>
          <w:sz w:val="17"/>
          <w:szCs w:val="17"/>
          <w:color w:val="000000"/>
        </w:rPr>
        <w:t>advanced</w:t>
      </w:r>
      <w:r>
        <w:rPr>
          <w:rFonts w:ascii="Arial" w:cs="Arial" w:eastAsia="Arial" w:hAnsi="Arial"/>
          <w:sz w:val="17"/>
          <w:szCs w:val="17"/>
          <w:color w:val="231F20"/>
        </w:rPr>
        <w:t xml:space="preserve"> </w:t>
      </w:r>
      <w:r>
        <w:rPr>
          <w:rFonts w:ascii="Arial" w:cs="Arial" w:eastAsia="Arial" w:hAnsi="Arial"/>
          <w:sz w:val="17"/>
          <w:szCs w:val="17"/>
          <w:color w:val="000000"/>
        </w:rPr>
        <w:t xml:space="preserve">malignant </w:t>
      </w:r>
      <w:r>
        <w:rPr>
          <w:rFonts w:ascii="Arial" w:cs="Arial" w:eastAsia="Arial" w:hAnsi="Arial"/>
          <w:sz w:val="17"/>
          <w:szCs w:val="17"/>
          <w:color w:val="231F20"/>
        </w:rPr>
        <w:t>PEComa indication and in the research and development of</w:t>
      </w:r>
      <w:r>
        <w:rPr>
          <w:rFonts w:ascii="Arial" w:cs="Arial" w:eastAsia="Arial" w:hAnsi="Arial"/>
          <w:sz w:val="17"/>
          <w:szCs w:val="17"/>
          <w:color w:val="000000"/>
        </w:rPr>
        <w:t xml:space="preserve"> FYARRO </w:t>
      </w:r>
      <w:r>
        <w:rPr>
          <w:rFonts w:ascii="Arial" w:cs="Arial" w:eastAsia="Arial" w:hAnsi="Arial"/>
          <w:sz w:val="17"/>
          <w:szCs w:val="17"/>
          <w:color w:val="231F20"/>
        </w:rPr>
        <w:t>for multiple additional indications.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 xml:space="preserve">In May 2021, we completed the filing of a rolling NDA for </w:t>
      </w:r>
      <w:r>
        <w:rPr>
          <w:rFonts w:ascii="Arial" w:cs="Arial" w:eastAsia="Arial" w:hAnsi="Arial"/>
          <w:sz w:val="17"/>
          <w:szCs w:val="17"/>
          <w:color w:val="000000"/>
        </w:rPr>
        <w:t>FYARRO</w:t>
      </w:r>
      <w:r>
        <w:rPr>
          <w:rFonts w:ascii="Arial" w:cs="Arial" w:eastAsia="Arial" w:hAnsi="Arial"/>
          <w:sz w:val="17"/>
          <w:szCs w:val="17"/>
          <w:color w:val="231F20"/>
        </w:rPr>
        <w:t xml:space="preserve"> to the FDA for approval to treat patients with advanced malignant PEComa, and the FDA accepted our NDA in July 2021 and approved FYARRO for advanced malignant PEComa in November 2021. Our NDA was based on results from our AMPECT trial, which involved patients for whom there were no approved therapies in the United States. </w:t>
      </w:r>
      <w:r>
        <w:rPr>
          <w:rFonts w:ascii="Arial" w:cs="Arial" w:eastAsia="Arial" w:hAnsi="Arial"/>
          <w:sz w:val="17"/>
          <w:szCs w:val="17"/>
          <w:color w:val="000000"/>
        </w:rPr>
        <w:t>FYARRO</w:t>
      </w:r>
      <w:r>
        <w:rPr>
          <w:rFonts w:ascii="Arial" w:cs="Arial" w:eastAsia="Arial" w:hAnsi="Arial"/>
          <w:sz w:val="17"/>
          <w:szCs w:val="17"/>
          <w:color w:val="231F20"/>
        </w:rPr>
        <w:t xml:space="preserve"> will require additional clinical development, expansion of manufacturing capabilities, regulatory approval from foreign regulatory authorities in jurisdictions outside of the United States where we plan to market </w:t>
      </w:r>
      <w:r>
        <w:rPr>
          <w:rFonts w:ascii="Arial" w:cs="Arial" w:eastAsia="Arial" w:hAnsi="Arial"/>
          <w:sz w:val="17"/>
          <w:szCs w:val="17"/>
          <w:color w:val="000000"/>
        </w:rPr>
        <w:t>FYARRO for advanced malignant PEComa and potentially in additional indications</w:t>
      </w:r>
      <w:r>
        <w:rPr>
          <w:rFonts w:ascii="Arial" w:cs="Arial" w:eastAsia="Arial" w:hAnsi="Arial"/>
          <w:sz w:val="17"/>
          <w:szCs w:val="17"/>
          <w:color w:val="231F20"/>
        </w:rPr>
        <w:t xml:space="preserve">, if approved, substantial investment and significant marketing efforts before we can generate any substantial revenues from product sales. We are not permitted to market or promote </w:t>
      </w:r>
      <w:r>
        <w:rPr>
          <w:rFonts w:ascii="Arial" w:cs="Arial" w:eastAsia="Arial" w:hAnsi="Arial"/>
          <w:sz w:val="17"/>
          <w:szCs w:val="17"/>
          <w:color w:val="000000"/>
        </w:rPr>
        <w:t>FYARRO for</w:t>
      </w:r>
      <w:r>
        <w:rPr>
          <w:rFonts w:ascii="Arial" w:cs="Arial" w:eastAsia="Arial" w:hAnsi="Arial"/>
          <w:sz w:val="17"/>
          <w:szCs w:val="17"/>
          <w:color w:val="231F20"/>
        </w:rPr>
        <w:t xml:space="preserve"> </w:t>
      </w:r>
      <w:r>
        <w:rPr>
          <w:rFonts w:ascii="Arial" w:cs="Arial" w:eastAsia="Arial" w:hAnsi="Arial"/>
          <w:sz w:val="17"/>
          <w:szCs w:val="17"/>
          <w:color w:val="000000"/>
        </w:rPr>
        <w:t xml:space="preserve">any non-PEComa indications </w:t>
      </w:r>
      <w:r>
        <w:rPr>
          <w:rFonts w:ascii="Arial" w:cs="Arial" w:eastAsia="Arial" w:hAnsi="Arial"/>
          <w:sz w:val="17"/>
          <w:szCs w:val="17"/>
          <w:color w:val="231F20"/>
        </w:rPr>
        <w:t>until we receive regulatory approval from the FDA and comparable foreign regulatory authorities for any such additional</w:t>
      </w:r>
      <w:r>
        <w:rPr>
          <w:rFonts w:ascii="Arial" w:cs="Arial" w:eastAsia="Arial" w:hAnsi="Arial"/>
          <w:sz w:val="17"/>
          <w:szCs w:val="17"/>
          <w:color w:val="000000"/>
        </w:rPr>
        <w:t xml:space="preserve"> </w:t>
      </w:r>
      <w:r>
        <w:rPr>
          <w:rFonts w:ascii="Arial" w:cs="Arial" w:eastAsia="Arial" w:hAnsi="Arial"/>
          <w:sz w:val="17"/>
          <w:szCs w:val="17"/>
          <w:color w:val="231F20"/>
        </w:rPr>
        <w:t>indication, and we may never receive such regulatory approvals.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success of </w:t>
      </w:r>
      <w:r>
        <w:rPr>
          <w:rFonts w:ascii="Arial" w:cs="Arial" w:eastAsia="Arial" w:hAnsi="Arial"/>
          <w:sz w:val="18"/>
          <w:szCs w:val="18"/>
          <w:color w:val="000000"/>
        </w:rPr>
        <w:t>FYARRO</w:t>
      </w:r>
      <w:r>
        <w:rPr>
          <w:rFonts w:ascii="Arial" w:cs="Arial" w:eastAsia="Arial" w:hAnsi="Arial"/>
          <w:sz w:val="18"/>
          <w:szCs w:val="18"/>
          <w:color w:val="231F20"/>
        </w:rPr>
        <w:t xml:space="preserve"> will depend on several factors, including the following:</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efficacy and safety of FYARRO in a larger number of patients in a non-clinical trial setting than those demonstrated in our clinical trials;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maintenance of existing, or the establishment of new, supply arrangements with third-party drug product suppliers and manufacturers for sufficient commercial supplies and additional clinical development of FYARRO;</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success of our commercial sales, including the ongoing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 xml:space="preserve">the timely receipt of regulatory approval for </w:t>
      </w:r>
      <w:r>
        <w:rPr>
          <w:rFonts w:ascii="Arial" w:cs="Arial" w:eastAsia="Arial" w:hAnsi="Arial"/>
          <w:sz w:val="18"/>
          <w:szCs w:val="18"/>
          <w:color w:val="000000"/>
        </w:rPr>
        <w:t>FYARRO</w:t>
      </w:r>
      <w:r>
        <w:rPr>
          <w:rFonts w:ascii="Arial" w:cs="Arial" w:eastAsia="Arial" w:hAnsi="Arial"/>
          <w:sz w:val="18"/>
          <w:szCs w:val="18"/>
          <w:color w:val="231F20"/>
        </w:rPr>
        <w:t xml:space="preserve"> from applicable foreign regulatory authorities for advanced malignant PEComa;</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successful </w:t>
      </w:r>
      <w:r>
        <w:rPr>
          <w:rFonts w:ascii="Arial" w:cs="Arial" w:eastAsia="Arial" w:hAnsi="Arial"/>
          <w:sz w:val="18"/>
          <w:szCs w:val="18"/>
          <w:color w:val="231F20"/>
        </w:rPr>
        <w:t>completion of any clinical trials, regulatory approval and commercialization of FYARRO for one or more label expansion</w:t>
      </w:r>
      <w:r>
        <w:rPr>
          <w:rFonts w:ascii="Arial" w:cs="Arial" w:eastAsia="Arial" w:hAnsi="Arial"/>
          <w:sz w:val="18"/>
          <w:szCs w:val="18"/>
          <w:color w:val="auto"/>
        </w:rPr>
        <w:t xml:space="preserve"> </w:t>
      </w:r>
      <w:r>
        <w:rPr>
          <w:rFonts w:ascii="Arial" w:cs="Arial" w:eastAsia="Arial" w:hAnsi="Arial"/>
          <w:sz w:val="18"/>
          <w:szCs w:val="18"/>
          <w:color w:val="231F20"/>
        </w:rPr>
        <w:t>indications;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extent of any required post-regulatory approval commitments to applicable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medical professionals to prescribe and patients to use FYARRO and continue to use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private and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convenience of prescribing, administrating and initiating patients on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value and relative cost of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 xml:space="preserve">the successful and timely completion of the required preclinical studies and clinical trials of </w:t>
      </w:r>
      <w:r>
        <w:rPr>
          <w:rFonts w:ascii="Arial" w:cs="Arial" w:eastAsia="Arial" w:hAnsi="Arial"/>
          <w:sz w:val="17"/>
          <w:szCs w:val="17"/>
          <w:color w:val="000000"/>
        </w:rPr>
        <w:t>FYARRO</w:t>
      </w:r>
      <w:r>
        <w:rPr>
          <w:rFonts w:ascii="Arial" w:cs="Arial" w:eastAsia="Arial" w:hAnsi="Arial"/>
          <w:sz w:val="17"/>
          <w:szCs w:val="17"/>
          <w:color w:val="231F20"/>
        </w:rPr>
        <w:t xml:space="preserve"> for current and future indications;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INDs going into effect with the FDA for our planned and future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 xml:space="preserve">the initiation and successful patient enrollment and completion of additional clinical trials of </w:t>
      </w:r>
      <w:r>
        <w:rPr>
          <w:rFonts w:ascii="Arial" w:cs="Arial" w:eastAsia="Arial" w:hAnsi="Arial"/>
          <w:sz w:val="18"/>
          <w:szCs w:val="18"/>
          <w:color w:val="000000"/>
        </w:rPr>
        <w:t>FYARRO</w:t>
      </w:r>
      <w:r>
        <w:rPr>
          <w:rFonts w:ascii="Arial" w:cs="Arial" w:eastAsia="Arial" w:hAnsi="Arial"/>
          <w:sz w:val="18"/>
          <w:szCs w:val="18"/>
          <w:color w:val="231F20"/>
        </w:rPr>
        <w:t xml:space="preserve"> on a timely basis, including our PRECISION1 trial;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maintaining and establishing relationships with CROs and clinical sites for the development of FYARRO both in the United States and internationally;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the type, frequency and severity of adverse events in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demonstrating efficacy and safety profiles that are satisfactory to the FDA and any comparable foreign regulatory authority for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obtaining and maintaining patent protection, trade secret protection and regulatory exclusivity, both in the United States and internationally;</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a continued acceptable safety profile following our current and future regulatory approval;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ability to compete with other therapies.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 xml:space="preserve">In addition to advanced malignant PEComa, based on exploratory data from the completed AMPECT trial and our Expanded Access Program for FYARRO, we initiated PRECISION1, our registration-directed tumor-agnostic Phase 2 study of </w:t>
      </w:r>
      <w:r>
        <w:rPr>
          <w:rFonts w:ascii="Arial" w:cs="Arial" w:eastAsia="Arial" w:hAnsi="Arial"/>
          <w:sz w:val="17"/>
          <w:szCs w:val="17"/>
          <w:color w:val="000000"/>
        </w:rPr>
        <w:t>FYARRO</w:t>
      </w:r>
      <w:r>
        <w:rPr>
          <w:rFonts w:ascii="Arial" w:cs="Arial" w:eastAsia="Arial" w:hAnsi="Arial"/>
          <w:sz w:val="17"/>
          <w:szCs w:val="17"/>
          <w:color w:val="231F20"/>
        </w:rPr>
        <w:t xml:space="preserve"> in patients with malignant solid tumors harboring </w:t>
      </w:r>
      <w:r>
        <w:rPr>
          <w:rFonts w:ascii="Arial" w:cs="Arial" w:eastAsia="Arial" w:hAnsi="Arial"/>
          <w:sz w:val="17"/>
          <w:szCs w:val="17"/>
          <w:i w:val="1"/>
          <w:iCs w:val="1"/>
          <w:color w:val="231F20"/>
        </w:rPr>
        <w:t>TSC1 &amp; TSC2</w:t>
      </w:r>
      <w:r>
        <w:rPr>
          <w:rFonts w:ascii="Arial" w:cs="Arial" w:eastAsia="Arial" w:hAnsi="Arial"/>
          <w:sz w:val="17"/>
          <w:szCs w:val="17"/>
          <w:color w:val="231F20"/>
        </w:rPr>
        <w:t xml:space="preserve"> alterations. We completed a Type B meeting with the FDA in which we discussed the trial design. The PRECISION1 trial is ongoing, with the first patient dosed in March 2022. Our product development costs could increase if we experience delays. Significant trial delays also could shorten any periods during which we may have the exclusive right to commercialize </w:t>
      </w:r>
      <w:r>
        <w:rPr>
          <w:rFonts w:ascii="Arial" w:cs="Arial" w:eastAsia="Arial" w:hAnsi="Arial"/>
          <w:sz w:val="17"/>
          <w:szCs w:val="17"/>
          <w:color w:val="000000"/>
        </w:rPr>
        <w:t>FYARRO</w:t>
      </w:r>
      <w:r>
        <w:rPr>
          <w:rFonts w:ascii="Arial" w:cs="Arial" w:eastAsia="Arial" w:hAnsi="Arial"/>
          <w:sz w:val="17"/>
          <w:szCs w:val="17"/>
          <w:color w:val="231F20"/>
        </w:rPr>
        <w:t xml:space="preserve"> or allow our competitors to bring products to market before we do, which would impair our ability to successfully capitalize on </w:t>
      </w:r>
      <w:r>
        <w:rPr>
          <w:rFonts w:ascii="Arial" w:cs="Arial" w:eastAsia="Arial" w:hAnsi="Arial"/>
          <w:sz w:val="17"/>
          <w:szCs w:val="17"/>
          <w:color w:val="000000"/>
        </w:rPr>
        <w:t>FYARRO</w:t>
      </w:r>
      <w:r>
        <w:rPr>
          <w:rFonts w:ascii="Arial" w:cs="Arial" w:eastAsia="Arial" w:hAnsi="Arial"/>
          <w:sz w:val="17"/>
          <w:szCs w:val="17"/>
          <w:color w:val="231F20"/>
        </w:rPr>
        <w:t xml:space="preserve"> and may harm our business, results of operations and prospects. Events that may result in a delay or unsuccessful completion of additional clinical development of FYARRO include, among other things:</w:t>
      </w:r>
    </w:p>
    <w:p>
      <w:pPr>
        <w:spacing w:after="0" w:line="6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unexpectedly high rate of patients withdrawing consent or being lost to follow-up;</w:t>
      </w:r>
    </w:p>
    <w:p>
      <w:pPr>
        <w:spacing w:after="0" w:line="117" w:lineRule="exact"/>
        <w:rPr>
          <w:rFonts w:ascii="Arial" w:cs="Arial" w:eastAsia="Arial" w:hAnsi="Arial"/>
          <w:sz w:val="18"/>
          <w:szCs w:val="18"/>
          <w:color w:val="231F20"/>
        </w:rPr>
      </w:pPr>
    </w:p>
    <w:p>
      <w:pPr>
        <w:ind w:left="1300" w:hanging="644"/>
        <w:spacing w:after="0" w:line="277" w:lineRule="auto"/>
        <w:tabs>
          <w:tab w:leader="none" w:pos="129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62" w:lineRule="exact"/>
        <w:rPr>
          <w:rFonts w:ascii="Arial" w:cs="Arial" w:eastAsia="Arial" w:hAnsi="Arial"/>
          <w:sz w:val="18"/>
          <w:szCs w:val="18"/>
          <w:color w:val="231F20"/>
        </w:rPr>
      </w:pPr>
    </w:p>
    <w:p>
      <w:pPr>
        <w:jc w:val="both"/>
        <w:ind w:left="1300" w:hanging="644"/>
        <w:spacing w:after="0" w:line="342" w:lineRule="auto"/>
        <w:tabs>
          <w:tab w:leader="none" w:pos="1295"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15" w:lineRule="exact"/>
        <w:rPr>
          <w:rFonts w:ascii="Arial" w:cs="Arial" w:eastAsia="Arial" w:hAnsi="Arial"/>
          <w:sz w:val="16"/>
          <w:szCs w:val="16"/>
          <w:color w:val="231F20"/>
        </w:rPr>
      </w:pPr>
    </w:p>
    <w:p>
      <w:pPr>
        <w:ind w:left="1300" w:right="20" w:hanging="644"/>
        <w:spacing w:after="0" w:line="277" w:lineRule="auto"/>
        <w:tabs>
          <w:tab w:leader="none" w:pos="129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failure of third parties, such as CROs, to satisfy their contractual duties or meet expected deadlines;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delays in the testing, validation, manufacturing and delivery of FYARRO to customers or the clinical trial sites;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delays caused by patients dropping out of a trial due to side effects, disease progression or other reasons;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unacceptable risk-benefit profile or unforeseen safety issues or adverse drug reactions;</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failure to demonstrate the efficacy of FYARRO in this clinical trial;</w:t>
      </w:r>
    </w:p>
    <w:p>
      <w:pPr>
        <w:spacing w:after="0" w:line="117" w:lineRule="exact"/>
        <w:rPr>
          <w:rFonts w:ascii="Arial" w:cs="Arial" w:eastAsia="Arial" w:hAnsi="Arial"/>
          <w:sz w:val="18"/>
          <w:szCs w:val="18"/>
          <w:color w:val="231F20"/>
        </w:rPr>
      </w:pPr>
    </w:p>
    <w:p>
      <w:pPr>
        <w:ind w:left="1300" w:hanging="644"/>
        <w:spacing w:after="0"/>
        <w:tabs>
          <w:tab w:leader="none" w:pos="13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changes in government regulations or administrative actions or lack of adequate funding to continue the trials; or</w:t>
      </w:r>
    </w:p>
    <w:p>
      <w:pPr>
        <w:spacing w:after="0" w:line="117" w:lineRule="exact"/>
        <w:rPr>
          <w:rFonts w:ascii="Arial" w:cs="Arial" w:eastAsia="Arial" w:hAnsi="Arial"/>
          <w:sz w:val="18"/>
          <w:szCs w:val="18"/>
          <w:color w:val="231F20"/>
        </w:rPr>
      </w:pPr>
    </w:p>
    <w:p>
      <w:pPr>
        <w:ind w:left="1300" w:hanging="644"/>
        <w:spacing w:after="0" w:line="277" w:lineRule="auto"/>
        <w:tabs>
          <w:tab w:leader="none" w:pos="129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 such as the conflicts in Ukraine and the Middle East, or natural disasters and public health epidemics, such as the COVID-19 pandemic.</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We do not have complete control over many of these factors, including certain aspects of clinical development and the regulatory submission process, and we could face potential threats to our intellectual property rights and the manufacturing, marketing, distribution and sales efforts of our current or any future collaborators. If we are not successful with respect to one or more of these factors, we could experience significant delays or an inability to successfully commercialize FYARRO for multiple indication in a timely manner or at all, which would materially harm our business. If we do not receive regulatory approvals for FYARRO in additional indications or for other product candidates, we may not be 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231F20"/>
        </w:rPr>
        <w:t>The success of other product candidates we may develop will depend on many factors, including the following:</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generating sufficient preclinical data to support the initiation of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obtaining regulatory permission to initiate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contracting with the necessary parties to conduct preclinical studies and clinical trials;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successful enrollment of patients in, and the completion of, clinical trials on a timely basis;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timely manufacture of sufficient quantities of a product candidate for use in clinical trials; and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generating sufficient safety and efficacy data to warrant continued development and which are satisfactory to the FDA or any other regulatory authority for marketing approval.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associated with any approved product candidate;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FYARRO or any other our product candidates that we may develop in the future, in addition to treating target indications, also provide incremental health benefits to patients. Our efforts to educate the medical community and third-party payors about the benefits of FYARRO or any other product candidates that we may develop in the future may require significant resources and may never be successful.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FYARRO and any other product candidates we may develop in the future, if approved, may be limited to certain smaller patient subsets.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we obtain significant market share for FYARRO or any future approved product, if the potential target populations are small, we may never achieve profitability without obtaining regulatory approval for additional indications.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FYARRO, or any product candidates we develop in the future for which we may obtain regulatory approval, may become subject to unfavorable third-party coverage and reimbursement practices, as well as pricing regulations.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FYARRO or any other product candidate we may develop in the future may not be considered medically necessary or cost effective. We cannot be sure that coverage and reimbursement will be available for FYARRO in additional indications, if approved, or any other product that we may commercialize and, if reimbursement is available, what the level of reimbursement will be.</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now that we have begun commercialization for FYARRO or, after obtaining regulatory approval, any of our other product candidates that we may develop in the future. The implementation of cost containment measures or other healthcare reforms may prevent us from being able to generate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it is possible that less favorable coverage policies and reimbursement rates may be implemented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FDA approval of any future NDA for FYARRO or any other product candidates we may develop in the future.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FYARRO and any other product candidates that we may develop in the future, if approved, from being marketed abroad.</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FYARRO and any other product candidates that we may develop in the future, if approved, in any market.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FYARRO and any other product candidates we may develop in the future, if approved, internationally could affect our business.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differing regulatory requirements in foreign countries;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potential liability under the United States Foreign Corrupt Practices Act (“FCPA”) or comparable foreign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addition, recent conflicts in Ukraine and the Middle East have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231F20"/>
        </w:rPr>
        <w:t>These and other risks associated with our international operations may compromise our ability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Before obtaining regulatory approval from the EMA or other foreign regulatory authorities for the sale of FYARRO for advanced malignant PEComa or any additional indications that we may seek approval for, or other product candidates that we may develop in the future,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receipt of feedback from regulatory authorities that require us to modify the design of our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231F20"/>
        </w:rPr>
      </w:pPr>
    </w:p>
    <w:p>
      <w:pPr>
        <w:ind w:left="660" w:right="2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clinical trial sites or our CRO failing to comply with regulatory requirements or meet their contractual obligations to us in a timely manner, or at all;</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cost of clinical trials of our product candidates being greater than anticipated;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7"/>
          <w:szCs w:val="17"/>
          <w:color w:val="231F20"/>
        </w:rPr>
      </w:pPr>
      <w:r>
        <w:rPr>
          <w:rFonts w:ascii="Arial" w:cs="Arial" w:eastAsia="Arial" w:hAnsi="Arial"/>
          <w:sz w:val="17"/>
          <w:szCs w:val="17"/>
          <w:color w:val="231F20"/>
        </w:rPr>
        <w:t>delays due to health epidemics, such as the COVID-19 pandemic, including starting any clinical trials for other indications or programs.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FYARRO in additional indications or any future product candidates beyond those that we currently contemplate, if we are unable to successfully complete clinical trials of FYARRO in additional indications or any future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FYARRO in additional indications or any future product candidates, which may also limit their commercial potential.</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FYARRO or any affected future product candidate, could substantially increase the costs of commercializing our product(s), including FYARRO, and significantly impact our ability to successfully commercialize FYARRO or any other product candidates that we may develop in the future, if approved,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Patients in our completed and planned clinical trials may in the future suffer other significant adverse events or other side effects not observed or anticipated based on our preclinical studies or previous clinical trials. FYARRO or any future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FYARRO or any future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 for FYARRO for advanced malignant PEComa, or if FYARRO receives regulatory approval for any other indication, or if any other product candidate that we may develop in the future, if any,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Arial" w:cs="Arial" w:eastAsia="Arial" w:hAnsi="Arial"/>
          <w:sz w:val="18"/>
          <w:szCs w:val="18"/>
          <w:color w:val="231F20"/>
        </w:rPr>
        <w:t>the way the product is distributed</w:t>
      </w:r>
      <w:r>
        <w:rPr>
          <w:rFonts w:ascii="Arial" w:cs="Arial" w:eastAsia="Arial" w:hAnsi="Arial"/>
          <w:sz w:val="18"/>
          <w:szCs w:val="18"/>
          <w:color w:val="auto"/>
        </w:rPr>
        <w:t xml:space="preserve"> </w:t>
      </w:r>
      <w:r>
        <w:rPr>
          <w:rFonts w:ascii="Arial" w:cs="Arial" w:eastAsia="Arial" w:hAnsi="Arial"/>
          <w:sz w:val="18"/>
          <w:szCs w:val="18"/>
          <w:color w:val="231F20"/>
        </w:rPr>
        <w:t>or administered, (v) implement a risk evaluation and mitigation strategy, or create a medication guide outlining the risks of such side effects for distribution to patients, or (vi) suspend or withdraw the product from the market. We cannot predict whether FYARRO or any other product candidates that we may develop in the future will cause toxicities in humans that would preclude or lead to the revocation of regulatory approval based on preclinical studies or early-stage clinical trials.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231F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open-label clinical trials.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FYARRO or any future product candidates when studied in a controlled environment with a placebo or active control.</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 xml:space="preserve">Interim, topline and preliminary data from our clinical trials that we announce or publish from time to time may change as more patient data become available or as additional analyses are conducted and are subject to audit, </w:t>
      </w:r>
      <w:r>
        <w:rPr>
          <w:rFonts w:ascii="Arial" w:cs="Arial" w:eastAsia="Arial" w:hAnsi="Arial"/>
          <w:sz w:val="18"/>
          <w:szCs w:val="18"/>
          <w:b w:val="1"/>
          <w:bCs w:val="1"/>
          <w:i w:val="1"/>
          <w:iCs w:val="1"/>
          <w:color w:val="000000"/>
        </w:rPr>
        <w:t>independent radiographic or clinical review, a</w:t>
      </w:r>
      <w:r>
        <w:rPr>
          <w:rFonts w:ascii="Arial" w:cs="Arial" w:eastAsia="Arial" w:hAnsi="Arial"/>
          <w:sz w:val="18"/>
          <w:szCs w:val="18"/>
          <w:b w:val="1"/>
          <w:bCs w:val="1"/>
          <w:i w:val="1"/>
          <w:iCs w:val="1"/>
          <w:color w:val="231F20"/>
        </w:rPr>
        <w:t>nd verification procedures that could result in material changes in the final data.</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evaluated. Topline data also remain subject to audit, i</w:t>
      </w:r>
      <w:r>
        <w:rPr>
          <w:rFonts w:ascii="Arial" w:cs="Arial" w:eastAsia="Arial" w:hAnsi="Arial"/>
          <w:sz w:val="17"/>
          <w:szCs w:val="17"/>
          <w:color w:val="000000"/>
        </w:rPr>
        <w:t>ndependent radiographic or clinical review,</w:t>
      </w:r>
      <w:r>
        <w:rPr>
          <w:rFonts w:ascii="Arial" w:cs="Arial" w:eastAsia="Arial" w:hAnsi="Arial"/>
          <w:sz w:val="17"/>
          <w:szCs w:val="17"/>
          <w:color w:val="231F20"/>
        </w:rPr>
        <w:t xml:space="preserve">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commercial sales or further development of FYARRO.</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study are screened using genomic information to identify alterations in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Patient enrollment may be affected if our competitors have ongoing clinical trials for product candidates that are under development for the same indications as FYARRO or any future product candidates, and patients who would otherwise be eligible for our clinical trials instead enroll in clinical trials of our competitors’ product candidates.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severity of the disease under investigation;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 eligibility criteria for the trial in question as defined in the protocol or as mandated by regulatory agencies;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perceived risks and benefits of the product candidate under study;</w:t>
      </w:r>
    </w:p>
    <w:p>
      <w:pPr>
        <w:spacing w:after="0" w:line="117"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recruit clinical study investigators with the appropriate competencies and experience;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clinicians’ willingness to screen their patients for biomarkers to indicate which patients may be eligible for enrollment in our clinical trials;</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 referral practices of physicians;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obtain and maintain patient consents;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monitor patients adequately during and after treatment;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proximity and availability of clinical trial sites for prospective patients; and</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factors we may not be able to control, such as current or potential pandemics that may limit patients, principal investigators or staff or clinical site availability (e.g., the COVID-19 pandemic).</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Our inability to enroll a sufficient number of patients for our clinical trials could result in significant delays or may require us to abandon one or more clinical trials altogether. Furthermore, any negative results we may report in clinical trials of FYARRO or any future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FYARRO and any other product candidates that we may develop in the future and jeopardize our ability to obtain regulatory approval for the sale of FYARRO in additional indications or any future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expect to develop FYARRO and potentially other product candidates in combination with other therapies, which exposes us to additional risks.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231F20"/>
        </w:rPr>
        <w:t>We intend to develop FYARRO and potentially othe</w:t>
      </w:r>
      <w:r>
        <w:rPr>
          <w:rFonts w:ascii="Arial" w:cs="Arial" w:eastAsia="Arial" w:hAnsi="Arial"/>
          <w:sz w:val="17"/>
          <w:szCs w:val="17"/>
          <w:color w:val="000000"/>
        </w:rPr>
        <w:t>r product candidates, in combination with one or more currently approved or unapproved therapies to</w:t>
      </w:r>
      <w:r>
        <w:rPr>
          <w:rFonts w:ascii="Arial" w:cs="Arial" w:eastAsia="Arial" w:hAnsi="Arial"/>
          <w:sz w:val="17"/>
          <w:szCs w:val="17"/>
          <w:color w:val="231F20"/>
        </w:rPr>
        <w:t xml:space="preserve"> </w:t>
      </w:r>
      <w:r>
        <w:rPr>
          <w:rFonts w:ascii="Arial" w:cs="Arial" w:eastAsia="Arial" w:hAnsi="Arial"/>
          <w:sz w:val="17"/>
          <w:szCs w:val="17"/>
          <w:color w:val="000000"/>
        </w:rPr>
        <w:t>treat cancer or other diseases. For example, in October 2022 we entered into a collaboration and supply agreement with Mirati to evaluate the combination of Mirati’s adagrasib (KRAZATI™), a KRAS</w:t>
      </w:r>
      <w:r>
        <w:rPr>
          <w:rFonts w:ascii="Arial" w:cs="Arial" w:eastAsia="Arial" w:hAnsi="Arial"/>
          <w:sz w:val="22"/>
          <w:szCs w:val="22"/>
          <w:color w:val="000000"/>
          <w:vertAlign w:val="superscript"/>
        </w:rPr>
        <w:t>G12C</w:t>
      </w:r>
      <w:r>
        <w:rPr>
          <w:rFonts w:ascii="Arial" w:cs="Arial" w:eastAsia="Arial" w:hAnsi="Arial"/>
          <w:sz w:val="17"/>
          <w:szCs w:val="17"/>
          <w:color w:val="000000"/>
        </w:rPr>
        <w:t xml:space="preserve"> selective inhibitor, and FYARRO in KRAS</w:t>
      </w:r>
      <w:r>
        <w:rPr>
          <w:rFonts w:ascii="Arial" w:cs="Arial" w:eastAsia="Arial" w:hAnsi="Arial"/>
          <w:sz w:val="22"/>
          <w:szCs w:val="22"/>
          <w:color w:val="000000"/>
          <w:vertAlign w:val="superscript"/>
        </w:rPr>
        <w:t>G12C</w:t>
      </w:r>
      <w:r>
        <w:rPr>
          <w:rFonts w:ascii="Arial" w:cs="Arial" w:eastAsia="Arial" w:hAnsi="Arial"/>
          <w:sz w:val="17"/>
          <w:szCs w:val="17"/>
          <w:color w:val="000000"/>
        </w:rPr>
        <w:t xml:space="preserve"> mutant NSCLC and other solid tumors. Patients may not be able to tolerate FYARRO or any of our future product candidates in combination with other therapies or dosing of FYARRO or any of our future product candidates in combination with other therapies may have unexpected consequences. Even though FYARRO has received FDA approval for advanced malignant PEComa, and even if FYARRO receives regulatory approval for additional indications, or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w:t>
      </w:r>
      <w:r>
        <w:rPr>
          <w:rFonts w:ascii="Arial" w:cs="Arial" w:eastAsia="Arial" w:hAnsi="Arial"/>
          <w:sz w:val="17"/>
          <w:szCs w:val="17"/>
          <w:color w:val="231F20"/>
        </w:rPr>
        <w:t>xisting therapies. In addition, it is possible that existing therapies with</w:t>
      </w:r>
      <w:r>
        <w:rPr>
          <w:rFonts w:ascii="Arial" w:cs="Arial" w:eastAsia="Arial" w:hAnsi="Arial"/>
          <w:sz w:val="17"/>
          <w:szCs w:val="17"/>
          <w:color w:val="000000"/>
        </w:rPr>
        <w:t xml:space="preserve"> </w:t>
      </w:r>
      <w:r>
        <w:rPr>
          <w:rFonts w:ascii="Arial" w:cs="Arial" w:eastAsia="Arial" w:hAnsi="Arial"/>
          <w:sz w:val="17"/>
          <w:szCs w:val="17"/>
          <w:color w:val="231F20"/>
        </w:rPr>
        <w:t>which FYARRO or any future product candidates are approved for use could themselves fall out of favor or be relegated to later lines of treatment. This could result in the need to identify other combination therapies for FYARRO or any future product candidates, the FDA, EMA or comparable foreign regulatory authorities in other jurisdictions requiring additional clinical trials, or our own products being removed from the market or being less successful commercially.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We may also evaluate FYARRO or any future product candidates in combination with one or more other therapies that have not yet been approved for marketing by the FDA, EMA or comparable foreign regulatory authorities. We will not be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able to market and sell FYARRO or any future product candidate in combination with any such unapproved therapies that do not ultimately obtain regulatory approval.</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FYARRO or any future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FYARRO or any future product candidates for use in combination. Any setbacks in these companies’ clinical trials, including the emergence of serious adverse effects, may delay or prevent the development and approval of FYARRO in additional indications or any other product candidates that we may develop in the future.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Additionally, if the third-party providers of therapies or therapies in development used in combination with FYARRO or any future product candidates are unable to produce sufficient quantities for clinical trials or for commercialization of FYARRO in additional indications or any future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We are currently focusing our resources and efforts on developing and commercializing FYARRO for particular indications. As a result, due to our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indications for FYARRO could result in our focus on particular indications for FYARRO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FYARRO or any future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FYARRO or any future product candidates. In addition, FYARRO or any future product candidates may need to compete with drugs that physicians currently use to treat the indications for which we seek approval. This may make it difficult for us to replace existing therapies with our products.</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truncating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inactivating alterations, there are no existing FDA or EMA approved products indicated for such use. If FYARRO receives additional regulatory approval for these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successful in growing our product pipeline through acquisitions and in-licenses.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recent global COVID-19 outbreak has affected and may continue to affect our business and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Broad-based business or economic disruptions could adversely affect our ongoing or planned research and development activities. To date, the COVID-19 pandemic has caused significant disruptions to the United States and global economy. Further, additional infections and deaths related to COVID-19 may disrupt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evolving COVID-19 pandemic, we have experienced and may continue to experience disruptions that could severely impact our business, preclinical studies and clinical trials, including:</w:t>
      </w:r>
    </w:p>
    <w:p>
      <w:pPr>
        <w:spacing w:after="0" w:line="62"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delays or difficulties in enrolling and retaining an adequate number of patients in our clinical trials;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authorizations from regulatory authorities to initiate our planned clinical trials;</w:t>
      </w:r>
    </w:p>
    <w:p>
      <w:pPr>
        <w:spacing w:after="0" w:line="117"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w:t>
      </w:r>
    </w:p>
    <w:p>
      <w:pPr>
        <w:spacing w:after="0" w:line="117"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17" w:lineRule="exact"/>
        <w:rPr>
          <w:rFonts w:ascii="Arial" w:cs="Arial" w:eastAsia="Arial" w:hAnsi="Arial"/>
          <w:sz w:val="18"/>
          <w:szCs w:val="18"/>
          <w:color w:val="auto"/>
        </w:rPr>
      </w:pPr>
    </w:p>
    <w:p>
      <w:pPr>
        <w:ind w:left="660" w:hanging="247"/>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changes in the ways in which our clinical trials are conducted, which may result in unexpected costs, or to discontinue such clinical trials altogether; and</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The extent of the impact of the COVID-19 pandemic on our future liquidity and operational performance will depend on certain developments, including the duration and spread of further outbreaks, the availability, acceptance and effectiveness of vaccines, the impact on our clinical trials, patients, and collaboration partners, and the effect on our suppliers. On May 11, 2023, the federal government ended the COVID-19 public health emergency, which ended a number of temporary changes made to federally funded programs while some continue to be in effect. The full impact of this termination of the national emergency and the wind-down of the public health emergency on FDA and other regulatory policies and operations are unclear.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231F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231F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approval and require additional preclinical, clinical or other studies. It is possible that none of our existing product candidates or any product candidates we may seek to develop in the future will ever obtain regulatory approval.</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spacing w:after="0" w:line="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w:t>
      </w:r>
      <w:r>
        <w:rPr>
          <w:rFonts w:ascii="Arial" w:cs="Arial" w:eastAsia="Arial" w:hAnsi="Arial"/>
          <w:sz w:val="17"/>
          <w:szCs w:val="17"/>
          <w:color w:val="000000"/>
        </w:rPr>
        <w:t>r approval and require additional preclinical, clinical or other studies. Even though FYARRO has been approved by the FDA for the treatment</w:t>
      </w:r>
      <w:r>
        <w:rPr>
          <w:rFonts w:ascii="Arial" w:cs="Arial" w:eastAsia="Arial" w:hAnsi="Arial"/>
          <w:sz w:val="17"/>
          <w:szCs w:val="17"/>
          <w:color w:val="231F20"/>
        </w:rPr>
        <w:t xml:space="preserve"> </w:t>
      </w:r>
      <w:r>
        <w:rPr>
          <w:rFonts w:ascii="Arial" w:cs="Arial" w:eastAsia="Arial" w:hAnsi="Arial"/>
          <w:sz w:val="17"/>
          <w:szCs w:val="17"/>
          <w:color w:val="000000"/>
        </w:rPr>
        <w:t xml:space="preserve">of advanced malignant PEComa, and even if we eventually complete clinical testing and receive approval for FYARRO in additional indications or for any other product candidates that we may develop in the future, the FDA, </w:t>
      </w:r>
      <w:r>
        <w:rPr>
          <w:rFonts w:ascii="Arial" w:cs="Arial" w:eastAsia="Arial" w:hAnsi="Arial"/>
          <w:sz w:val="17"/>
          <w:szCs w:val="17"/>
          <w:color w:val="231F20"/>
        </w:rPr>
        <w:t>EMA and other comparable foreign regulatory authorities may approve our product</w:t>
      </w:r>
      <w:r>
        <w:rPr>
          <w:rFonts w:ascii="Arial" w:cs="Arial" w:eastAsia="Arial" w:hAnsi="Arial"/>
          <w:sz w:val="17"/>
          <w:szCs w:val="17"/>
          <w:color w:val="000000"/>
        </w:rPr>
        <w:t xml:space="preserve"> </w:t>
      </w:r>
      <w:r>
        <w:rPr>
          <w:rFonts w:ascii="Arial" w:cs="Arial" w:eastAsia="Arial" w:hAnsi="Arial"/>
          <w:sz w:val="17"/>
          <w:szCs w:val="17"/>
          <w:color w:val="231F20"/>
        </w:rPr>
        <w:t>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231F20"/>
        </w:rPr>
        <w:t>Applications for any future product candidates could fail to receive regulatory approval for many reasons, including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our proposed indication is acceptable;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FDA, EMA or other comparable regulatory authorities may fail to approve companion diagnostic tests for our product candidates, if required;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clinical trials have been and may in the future be undertaken in the United States. We may choose to conduct additional clinical trials internationally as well. For example, we are currently conducting our PRECISION1 trial of FYARRO in the United States, but 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regulatory uncertainty in foreign jurisdictions.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2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(“PMC”). If we fail to comply with the PMR and/or PMC, the FDA may take enforcement actions, which may include, among other things, the issuance of a Warning Letter and assessing civil monetary penalties. The product may also be deemed misbranded.</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adverse inspection findings;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additional warnings or otherwise restrict the product’s indicated use, label, or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our FYARRO products, distribution, manufacturers or manufacturing processes;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issuance of warning letters, safety alerts, dear-healthcare-provider letters, press releases or other communications containing warnings regarding the product that would result in adverse publicity;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 or withdrawal of FYARRO from the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suspension or withdrawal of marketing or regulatory approvals or other permits or voluntary;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requirement to establish or modify a REMS;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requirement to conduct post-marketing studies or surveillance;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drug distribution or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requirements to conduct post-marketing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refusal to approve pending applications or supplements to approved applications that we submit and other delays;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delays in or the rejection of approvals of additional indications for FYARRO;</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or the suspension or termination of, ongoing or planned trials;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fines, restitution or disgorgement of profits or revenue;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reputational harm;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refusal of government contracts or future orders under existing contracts, exclusion from participation in federal health care programs; or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injunctions or the imposition of civil or criminal penalties, including False Claims Act liability.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FDA and other regulatory agencies actively enforce the laws and regulations prohibiting the promotion of off-label uses.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manufactures can provide to the FDA the diagnostic test performance information used to enroll patients into clinical trials for drug approval. Based on assessment of the performance information,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We will continue to evaluate the impact of FDA guidance and other developments in the diagnostic space.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In March 2022 and October 2018, we announced that the FDA granted Fast Track designation for FYARRO for the investigation of the treatment of adult and adolescent patients with malignant solid tumors harboring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and of patients with advanced malignant PEComa, respectively. While the FDA granted us Priority Review of our NDA for FYARRO in patients with advanced malignant PEComa, there is no guarantee that this Fast Track designation for the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Arial" w:cs="Arial" w:eastAsia="Arial" w:hAnsi="Arial"/>
          <w:sz w:val="16"/>
          <w:szCs w:val="16"/>
          <w:i w:val="1"/>
          <w:iCs w:val="1"/>
          <w:color w:val="231F20"/>
        </w:rPr>
        <w:t>TSC1 &amp; TSC2</w:t>
      </w:r>
      <w:r>
        <w:rPr>
          <w:rFonts w:ascii="Arial" w:cs="Arial" w:eastAsia="Arial" w:hAnsi="Arial"/>
          <w:sz w:val="16"/>
          <w:szCs w:val="16"/>
          <w:color w:val="231F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Catalyst Pharms., Inc. v. Becerra</w:t>
      </w:r>
      <w:r>
        <w:rPr>
          <w:rFonts w:ascii="Arial" w:cs="Arial" w:eastAsia="Arial" w:hAnsi="Arial"/>
          <w:sz w:val="16"/>
          <w:szCs w:val="16"/>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Arial" w:cs="Arial" w:eastAsia="Arial" w:hAnsi="Arial"/>
          <w:sz w:val="16"/>
          <w:szCs w:val="16"/>
          <w:i w:val="1"/>
          <w:iCs w:val="1"/>
          <w:color w:val="auto"/>
        </w:rPr>
        <w:t>Catalyst</w:t>
      </w:r>
      <w:r>
        <w:rPr>
          <w:rFonts w:ascii="Arial" w:cs="Arial" w:eastAsia="Arial" w:hAnsi="Arial"/>
          <w:sz w:val="16"/>
          <w:szCs w:val="16"/>
          <w:color w:val="auto"/>
        </w:rPr>
        <w:t>, the FDA intends to continue to apply its longstanding interpretation of the regulations to matters outside of the scope of the</w:t>
      </w:r>
      <w:r>
        <w:rPr>
          <w:rFonts w:ascii="Arial" w:cs="Arial" w:eastAsia="Arial" w:hAnsi="Arial"/>
          <w:sz w:val="16"/>
          <w:szCs w:val="16"/>
          <w:i w:val="1"/>
          <w:iCs w:val="1"/>
          <w:color w:val="auto"/>
        </w:rPr>
        <w:t xml:space="preserve"> Catalyst </w:t>
      </w:r>
      <w:r>
        <w:rPr>
          <w:rFonts w:ascii="Arial" w:cs="Arial" w:eastAsia="Arial" w:hAnsi="Arial"/>
          <w:sz w:val="16"/>
          <w:szCs w:val="16"/>
          <w:color w:val="auto"/>
        </w:rPr>
        <w:t>order – that</w:t>
      </w:r>
      <w:r>
        <w:rPr>
          <w:rFonts w:ascii="Arial" w:cs="Arial" w:eastAsia="Arial" w:hAnsi="Arial"/>
          <w:sz w:val="16"/>
          <w:szCs w:val="16"/>
          <w:i w:val="1"/>
          <w:iCs w:val="1"/>
          <w:color w:val="auto"/>
        </w:rPr>
        <w:t xml:space="preserve"> </w:t>
      </w:r>
      <w:r>
        <w:rPr>
          <w:rFonts w:ascii="Arial" w:cs="Arial" w:eastAsia="Arial" w:hAnsi="Arial"/>
          <w:sz w:val="16"/>
          <w:szCs w:val="16"/>
          <w:color w:val="auto"/>
        </w:rPr>
        <w:t>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spacing w:after="0" w:line="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orphan patient populations may change in size;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there may be changes in the treatment options for patients that may provide alternative treatments to FYARRO;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development costs may be greater than projected revenue of drug sales for the orphan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regulatory agencies may disagree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there may be difficulties in enrolling patients for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FYARRO may not prove to be efficacious in the respective orphan patient populations;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clinical trial results may not meet the level of statistical significance required by the regulatory agencies;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FYARRO may not have a favorable risk/benefit assessment in the respective orphan indication.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w:t>
      </w:r>
      <w:r>
        <w:rPr>
          <w:rFonts w:ascii="Arial" w:cs="Arial" w:eastAsia="Arial" w:hAnsi="Arial"/>
          <w:sz w:val="16"/>
          <w:szCs w:val="16"/>
          <w:color w:val="000000"/>
        </w:rPr>
        <w:t>proval of promotional materials, which could</w:t>
      </w:r>
      <w:r>
        <w:rPr>
          <w:rFonts w:ascii="Arial" w:cs="Arial" w:eastAsia="Arial" w:hAnsi="Arial"/>
          <w:sz w:val="16"/>
          <w:szCs w:val="16"/>
          <w:color w:val="231F20"/>
        </w:rPr>
        <w:t xml:space="preserve"> </w:t>
      </w:r>
      <w:r>
        <w:rPr>
          <w:rFonts w:ascii="Arial" w:cs="Arial" w:eastAsia="Arial" w:hAnsi="Arial"/>
          <w:sz w:val="16"/>
          <w:szCs w:val="16"/>
          <w:color w:val="000000"/>
        </w:rPr>
        <w:t>adversely impact the timing of the commercial launch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w:t>
      </w:r>
    </w:p>
    <w:p>
      <w:pPr>
        <w:jc w:val="both"/>
        <w:spacing w:after="0" w:line="296" w:lineRule="auto"/>
        <w:rPr>
          <w:sz w:val="20"/>
          <w:szCs w:val="20"/>
          <w:color w:val="auto"/>
        </w:rPr>
      </w:pPr>
      <w:r>
        <w:rPr>
          <w:rFonts w:ascii="Arial" w:cs="Arial" w:eastAsia="Arial" w:hAnsi="Arial"/>
          <w:sz w:val="16"/>
          <w:szCs w:val="16"/>
          <w:color w:val="auto"/>
        </w:rPr>
        <w:t>requirements and setting forth procedures for the FDA to withdraw a product on an expedited basis for non-compliance with post-approval requirements. In March 2023,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5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regulations and future legislation.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revises the sequester percentages up to 2% for FY 2030 and 2031.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 able to maintain regulatory compliance, our product candidates may lose any marketing approval that may have been obtained and we may not achieve or sustain profitability, which would adversely affect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Inadequate funding for the FDA, the Securities and Exchange Commission (</w:t>
      </w:r>
      <w:r>
        <w:rPr>
          <w:rFonts w:ascii="Arial" w:cs="Arial" w:eastAsia="Arial" w:hAnsi="Arial"/>
          <w:sz w:val="18"/>
          <w:szCs w:val="18"/>
          <w:color w:val="231F20"/>
        </w:rPr>
        <w:t>“</w:t>
      </w:r>
      <w:r>
        <w:rPr>
          <w:rFonts w:ascii="Arial" w:cs="Arial" w:eastAsia="Arial" w:hAnsi="Arial"/>
          <w:sz w:val="18"/>
          <w:szCs w:val="18"/>
          <w:b w:val="1"/>
          <w:bCs w:val="1"/>
          <w:i w:val="1"/>
          <w:iCs w:val="1"/>
          <w:color w:val="231F20"/>
        </w:rPr>
        <w:t>SEC</w:t>
      </w:r>
      <w:r>
        <w:rPr>
          <w:rFonts w:ascii="Arial" w:cs="Arial" w:eastAsia="Arial" w:hAnsi="Arial"/>
          <w:sz w:val="18"/>
          <w:szCs w:val="18"/>
          <w:color w:val="231F20"/>
        </w:rPr>
        <w:t>”</w:t>
      </w:r>
      <w:r>
        <w:rPr>
          <w:rFonts w:ascii="Arial" w:cs="Arial" w:eastAsia="Arial" w:hAnsi="Arial"/>
          <w:sz w:val="18"/>
          <w:szCs w:val="18"/>
          <w:b w:val="1"/>
          <w:bCs w:val="1"/>
          <w:i w:val="1"/>
          <w:iCs w:val="1"/>
          <w:color w:val="231F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While the FDA has largely caught up with domestic preapproval inspections, it continues to work through its backlog of foreign inspections. Further, in our operations as a public company, future government shutdowns could impact our ability to access the public markets and obtain necessary capital in order to properly capitalize and continue our operations.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which we market, sell and distribute our products for which we obtain regulatory approval. Restrictions under applicable federal and state healthcare laws and regulations may include the following:</w:t>
      </w:r>
    </w:p>
    <w:p>
      <w:pPr>
        <w:spacing w:after="0" w:line="62" w:lineRule="exact"/>
        <w:rPr>
          <w:sz w:val="20"/>
          <w:szCs w:val="20"/>
          <w:color w:val="auto"/>
        </w:rPr>
      </w:pPr>
    </w:p>
    <w:p>
      <w:pPr>
        <w:jc w:val="both"/>
        <w:ind w:left="660" w:hanging="328"/>
        <w:spacing w:after="0" w:line="27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0"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69"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federal criminal laws that prohibit executing a scheme to defraud any healthcare benefit program or making, or causing to be made, false statements relating to healthcare matters;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FCPA, the U.K. Bribery Act of 2010, and other local anti-corruption laws that apply to our international activities;</w:t>
      </w:r>
    </w:p>
    <w:p>
      <w:pPr>
        <w:spacing w:after="0" w:line="117"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660" w:hanging="328"/>
        <w:spacing w:after="0" w:line="269"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7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231F20"/>
        </w:rPr>
        <w:t>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80" w:lineRule="exact"/>
        <w:rPr>
          <w:sz w:val="20"/>
          <w:szCs w:val="20"/>
          <w:color w:val="auto"/>
        </w:rPr>
      </w:pPr>
    </w:p>
    <w:p>
      <w:pPr>
        <w:jc w:val="both"/>
        <w:ind w:left="660" w:hanging="328"/>
        <w:spacing w:after="0" w:line="26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We are exposed to the risk that our employees, independent contractors, consultants, commercial collaborators, principal investigators, CROs, suppliers and vendors may engage in fraud, misconduct or other improper activities. Misconduct by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5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231F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activities may be subject to United States and certain foreign export controls, trade sanctions, and import laws and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with these legal requirements could limit our ability to compete in foreign markets and subject us to liability if we violate them.</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Reliance on Third Parties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Arial" w:cs="Arial" w:eastAsia="Arial" w:hAnsi="Arial"/>
          <w:sz w:val="17"/>
          <w:szCs w:val="17"/>
          <w:color w:val="000000"/>
        </w:rPr>
        <w:t>o alternative manufacturer in place. On January 13,</w:t>
      </w:r>
      <w:r>
        <w:rPr>
          <w:rFonts w:ascii="Arial" w:cs="Arial" w:eastAsia="Arial" w:hAnsi="Arial"/>
          <w:sz w:val="17"/>
          <w:szCs w:val="17"/>
          <w:color w:val="231F20"/>
        </w:rPr>
        <w:t xml:space="preserve"> </w:t>
      </w:r>
      <w:r>
        <w:rPr>
          <w:rFonts w:ascii="Arial" w:cs="Arial" w:eastAsia="Arial" w:hAnsi="Arial"/>
          <w:sz w:val="17"/>
          <w:szCs w:val="17"/>
          <w:color w:val="000000"/>
        </w:rPr>
        <w:t>2022, we entered into a Negotiated Purchase Order Terms and Conditions for Clinical and Commercial Product, as amended effective as of August 1, 2022 (the “Fresenius Agreement”), with Fresenius Kabi pursuant to which Fresenius Kabi will manufacture FYARRO for intravenous use for us, and we will purchase FYARRO as a finished drug product from Fresenius Kabi, on a purchase-order basis. The Fresenius Agreement, as amended in January 2023, will be effective through March 31, 2024 (or such later date as may be agreed between the parties in writing), and we may purchase FYARRO for either clinical or commercial purposes for use in the United States and Canada. The price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FYARRO will be fixed, subject to the ability of Fresenius Kabi to increase pricing under specified circumstances. </w:t>
      </w:r>
      <w:r>
        <w:rPr>
          <w:rFonts w:ascii="Arial" w:cs="Arial" w:eastAsia="Arial" w:hAnsi="Arial"/>
          <w:sz w:val="16"/>
          <w:szCs w:val="16"/>
          <w:color w:val="231F20"/>
        </w:rPr>
        <w:t>We also have an obligation to purchase</w:t>
      </w:r>
      <w:r>
        <w:rPr>
          <w:rFonts w:ascii="Arial" w:cs="Arial" w:eastAsia="Arial" w:hAnsi="Arial"/>
          <w:sz w:val="16"/>
          <w:szCs w:val="16"/>
          <w:color w:val="auto"/>
        </w:rPr>
        <w:t xml:space="preserve"> </w:t>
      </w:r>
      <w:r>
        <w:rPr>
          <w:rFonts w:ascii="Arial" w:cs="Arial" w:eastAsia="Arial" w:hAnsi="Arial"/>
          <w:sz w:val="16"/>
          <w:szCs w:val="16"/>
          <w:color w:val="231F20"/>
        </w:rPr>
        <w:t>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may be unable to ma</w:t>
      </w:r>
      <w:r>
        <w:rPr>
          <w:rFonts w:ascii="Arial" w:cs="Arial" w:eastAsia="Arial" w:hAnsi="Arial"/>
          <w:sz w:val="18"/>
          <w:szCs w:val="18"/>
          <w:color w:val="000000"/>
        </w:rPr>
        <w:t>intain or establish required agreements with third-party manufacturers or to do so on acceptable terms. Further, any delay in</w:t>
      </w:r>
      <w:r>
        <w:rPr>
          <w:rFonts w:ascii="Arial" w:cs="Arial" w:eastAsia="Arial" w:hAnsi="Arial"/>
          <w:sz w:val="18"/>
          <w:szCs w:val="18"/>
          <w:color w:val="231F20"/>
        </w:rPr>
        <w:t xml:space="preserve"> </w:t>
      </w:r>
      <w:r>
        <w:rPr>
          <w:rFonts w:ascii="Arial" w:cs="Arial" w:eastAsia="Arial" w:hAnsi="Arial"/>
          <w:sz w:val="18"/>
          <w:szCs w:val="18"/>
          <w:color w:val="000000"/>
        </w:rPr>
        <w:t xml:space="preserve">identifying and qualifying a manufacturer for commercial production could negatively impact the </w:t>
      </w:r>
      <w:r>
        <w:rPr>
          <w:rFonts w:ascii="Arial" w:cs="Arial" w:eastAsia="Arial" w:hAnsi="Arial"/>
          <w:sz w:val="18"/>
          <w:szCs w:val="18"/>
          <w:color w:val="231F20"/>
        </w:rPr>
        <w:t>commercialization of FYARRO, and, in the event that we</w:t>
      </w:r>
      <w:r>
        <w:rPr>
          <w:rFonts w:ascii="Arial" w:cs="Arial" w:eastAsia="Arial" w:hAnsi="Arial"/>
          <w:sz w:val="18"/>
          <w:szCs w:val="18"/>
          <w:color w:val="000000"/>
        </w:rPr>
        <w:t xml:space="preserve"> </w:t>
      </w:r>
      <w:r>
        <w:rPr>
          <w:rFonts w:ascii="Arial" w:cs="Arial" w:eastAsia="Arial" w:hAnsi="Arial"/>
          <w:sz w:val="18"/>
          <w:szCs w:val="18"/>
          <w:color w:val="231F20"/>
        </w:rPr>
        <w:t>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79" w:lineRule="exact"/>
        <w:rPr>
          <w:sz w:val="20"/>
          <w:szCs w:val="20"/>
          <w:color w:val="auto"/>
        </w:rPr>
      </w:pPr>
    </w:p>
    <w:p>
      <w:pPr>
        <w:jc w:val="both"/>
        <w:ind w:left="660" w:hanging="328"/>
        <w:spacing w:after="0" w:line="286"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 including manufacturing drug supply pursuant to strictly enforced cGMPs;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failure of the third-party contractor to manufacture FYARRO or any of our other product candidates that we may develop in the future according to our specifications;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dependent on a single-source supplier for the drug product FYARRO, and the loss of such supplier could harm our business.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rely on a single-source supplier, Fresenius K</w:t>
      </w:r>
      <w:r>
        <w:rPr>
          <w:rFonts w:ascii="Arial" w:cs="Arial" w:eastAsia="Arial" w:hAnsi="Arial"/>
          <w:sz w:val="16"/>
          <w:szCs w:val="16"/>
          <w:color w:val="000000"/>
        </w:rPr>
        <w:t>abi, for our drug product FYARRO. In January 2022, we entered into the Fresenius Agreement, which we</w:t>
      </w:r>
      <w:r>
        <w:rPr>
          <w:rFonts w:ascii="Arial" w:cs="Arial" w:eastAsia="Arial" w:hAnsi="Arial"/>
          <w:sz w:val="16"/>
          <w:szCs w:val="16"/>
          <w:color w:val="231F20"/>
        </w:rPr>
        <w:t xml:space="preserve"> </w:t>
      </w:r>
      <w:r>
        <w:rPr>
          <w:rFonts w:ascii="Arial" w:cs="Arial" w:eastAsia="Arial" w:hAnsi="Arial"/>
          <w:sz w:val="16"/>
          <w:szCs w:val="16"/>
          <w:color w:val="000000"/>
        </w:rPr>
        <w:t xml:space="preserve">amended in January 2023 to, among other things, extend the term of the Fresenius Agreement to March 31, 2024 (or such later date as may be agreed upon between the parties), and amend certain terms related to pricing and the Company’s obligation to purchase certain minimum quantities of FYARRO from Fresenius Kabi. We also have supply agreements in place for key raw materials used in the manufacture </w:t>
      </w:r>
      <w:r>
        <w:rPr>
          <w:rFonts w:ascii="Arial" w:cs="Arial" w:eastAsia="Arial" w:hAnsi="Arial"/>
          <w:sz w:val="16"/>
          <w:szCs w:val="16"/>
          <w:color w:val="231F20"/>
        </w:rPr>
        <w:t>of FYARRO such as for the drug substance</w:t>
      </w:r>
      <w:r>
        <w:rPr>
          <w:rFonts w:ascii="Arial" w:cs="Arial" w:eastAsia="Arial" w:hAnsi="Arial"/>
          <w:sz w:val="16"/>
          <w:szCs w:val="16"/>
          <w:color w:val="000000"/>
        </w:rPr>
        <w:t xml:space="preserve"> </w:t>
      </w:r>
      <w:r>
        <w:rPr>
          <w:rFonts w:ascii="Arial" w:cs="Arial" w:eastAsia="Arial" w:hAnsi="Arial"/>
          <w:sz w:val="16"/>
          <w:szCs w:val="16"/>
          <w:color w:val="231F20"/>
        </w:rPr>
        <w:t>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 xml:space="preserve">We are dependent on patents, know-how and proprietary technology, </w:t>
      </w:r>
      <w:r>
        <w:rPr>
          <w:rFonts w:ascii="Arial" w:cs="Arial" w:eastAsia="Arial" w:hAnsi="Arial"/>
          <w:sz w:val="16"/>
          <w:szCs w:val="16"/>
          <w:color w:val="000000"/>
        </w:rPr>
        <w:t>both our own and licensed from others. We entered into a license agreement with</w:t>
      </w:r>
      <w:r>
        <w:rPr>
          <w:rFonts w:ascii="Arial" w:cs="Arial" w:eastAsia="Arial" w:hAnsi="Arial"/>
          <w:sz w:val="16"/>
          <w:szCs w:val="16"/>
          <w:color w:val="231F20"/>
        </w:rPr>
        <w:t xml:space="preserve"> </w:t>
      </w:r>
      <w:r>
        <w:rPr>
          <w:rFonts w:ascii="Arial" w:cs="Arial" w:eastAsia="Arial" w:hAnsi="Arial"/>
          <w:sz w:val="16"/>
          <w:szCs w:val="16"/>
          <w:color w:val="000000"/>
        </w:rPr>
        <w:t>Abraxis BioScience, LLC, a wholly owned subsidiary of Celgene Corporation, which is a wholly owned subsidiary of Bristol Myers Squibb Company (“BMS”) pursuant to which we have licensed exclusive global rights to intellectual property and know-how related to FYARRO. We are required t</w:t>
      </w:r>
      <w:r>
        <w:rPr>
          <w:rFonts w:ascii="Arial" w:cs="Arial" w:eastAsia="Arial" w:hAnsi="Arial"/>
          <w:sz w:val="16"/>
          <w:szCs w:val="16"/>
          <w:color w:val="231F20"/>
        </w:rPr>
        <w:t>o use</w:t>
      </w:r>
      <w:r>
        <w:rPr>
          <w:rFonts w:ascii="Arial" w:cs="Arial" w:eastAsia="Arial" w:hAnsi="Arial"/>
          <w:sz w:val="16"/>
          <w:szCs w:val="16"/>
          <w:color w:val="000000"/>
        </w:rPr>
        <w:t xml:space="preserve"> </w:t>
      </w:r>
      <w:r>
        <w:rPr>
          <w:rFonts w:ascii="Arial" w:cs="Arial" w:eastAsia="Arial" w:hAnsi="Arial"/>
          <w:sz w:val="16"/>
          <w:szCs w:val="16"/>
          <w:color w:val="231F20"/>
        </w:rPr>
        <w:t>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We are generally also subject to all of the same risks with respect to protection of intellectual property that we license, as we are for intellectual property that we own, which are described below under “Risks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31F20"/>
        </w:rPr>
        <w:t>If we or our licensors fail to adequately protect this intellectual property, our ability to commercialize products could suffer.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form or seek strategic alliances or collaborations in the future. Such alliances and collaborations may inhibit future opportunities, or we may not realize the benefits of such collaborations or alliances.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We are at risk that any such future collaborations may not be successful. Factors that may affect the success of our collaborations include the following: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collaboration partners may incur financial and cash flow difficulties that force them to limit or reduce their efforts under their collaboration agreement with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our collaboration partners may pursue higher priority programs or change the focus of their development programs, which could affect their commitment to us.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31F20"/>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w:t>
      </w:r>
      <w:r>
        <w:rPr>
          <w:rFonts w:ascii="Arial" w:cs="Arial" w:eastAsia="Arial" w:hAnsi="Arial"/>
          <w:sz w:val="17"/>
          <w:szCs w:val="17"/>
          <w:color w:val="000000"/>
        </w:rPr>
        <w:t>-based milestone payments upon the occurrence of certain milestone events totaling $257 million, as well</w:t>
      </w:r>
      <w:r>
        <w:rPr>
          <w:rFonts w:ascii="Arial" w:cs="Arial" w:eastAsia="Arial" w:hAnsi="Arial"/>
          <w:sz w:val="17"/>
          <w:szCs w:val="17"/>
          <w:color w:val="231F20"/>
        </w:rPr>
        <w:t xml:space="preserve"> </w:t>
      </w:r>
      <w:r>
        <w:rPr>
          <w:rFonts w:ascii="Arial" w:cs="Arial" w:eastAsia="Arial" w:hAnsi="Arial"/>
          <w:sz w:val="17"/>
          <w:szCs w:val="17"/>
          <w:color w:val="000000"/>
        </w:rPr>
        <w:t>as tiered royalties based on annual net sales of FYARRO. In addition, EOC was responsible for development, regulatory submissions, and commercialization in China, Hong Kong, Macau and Taiwan (collectively, the “EOC Territory”). The EOC License Agreement was terminated effective June 27, 2022, and EOC initiated a Request for Arbitration with the International Chamber of Commerce's International Court of Arbitration against us on the same date.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See Notes 8 and 13 to the condensed and consolidated financial statements for more information about the EOC License Agreement, its termination and resulting arbitration.</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Arial" w:cs="Arial" w:eastAsia="Arial" w:hAnsi="Arial"/>
          <w:sz w:val="17"/>
          <w:szCs w:val="17"/>
          <w:color w:val="231F20"/>
        </w:rPr>
        <w:t>s and company culture. We cannot be certain that, following</w:t>
      </w:r>
      <w:r>
        <w:rPr>
          <w:rFonts w:ascii="Arial" w:cs="Arial" w:eastAsia="Arial" w:hAnsi="Arial"/>
          <w:sz w:val="17"/>
          <w:szCs w:val="17"/>
          <w:color w:val="auto"/>
        </w:rPr>
        <w:t xml:space="preserve"> </w:t>
      </w:r>
      <w:r>
        <w:rPr>
          <w:rFonts w:ascii="Arial" w:cs="Arial" w:eastAsia="Arial" w:hAnsi="Arial"/>
          <w:sz w:val="17"/>
          <w:szCs w:val="17"/>
          <w:color w:val="231F20"/>
        </w:rPr>
        <w:t>a strategic transaction or license, we will achieve the revenues or specific net income that justifies such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231F20"/>
        </w:rPr>
        <w:t>If we cannot maintain successful collaborations, our business, financial condition, and operating results may be adversely affected.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assumption of additional indebtedness or contingent liabilities;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diversion of our management’s attention from our existing programs and initiatives in pursuing such a strategic transaction;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Our drug development programs and the potential commercialization of FYARRO in additional indications or any future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FYARRO in additional indications or any future product candidates or bring them to market and generate product revenue.</w:t>
      </w:r>
    </w:p>
    <w:p>
      <w:pPr>
        <w:spacing w:after="0" w:line="8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231F20"/>
        </w:rPr>
        <w:t>We may enter into collaborations with third parties for the development and commercialization of FYARRO in additional indications or any future product candidates. If those collaborations are not successful, we may not be able to capitalize on the market potential of these product candidates.</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If we enter into any collaboration arrangements with any third parties, we will likely have limited control over the amount and timing of resources that our collaborators dedicate to the development or commercialization of FYARRO in additional indications or any future product candidates. Our ability to generate revenues from these arrangements will depend on our collaborators’ abilities and efforts to successfully perform the functions assigned to them in these arrangements. Collaborations involving FYARRO or any future product candidates would pose numerous risks to us, including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we may grant exclusive rights to our collaborators that would prevent us from collaborating with others;</w:t>
      </w:r>
    </w:p>
    <w:p>
      <w:pPr>
        <w:spacing w:after="0" w:line="117"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37"/>
        </w:numPr>
        <w:rPr>
          <w:rFonts w:ascii="Arial" w:cs="Arial" w:eastAsia="Arial" w:hAnsi="Arial"/>
          <w:sz w:val="17"/>
          <w:szCs w:val="17"/>
          <w:color w:val="231F20"/>
        </w:rPr>
      </w:pPr>
      <w:r>
        <w:rPr>
          <w:rFonts w:ascii="Arial" w:cs="Arial" w:eastAsia="Arial" w:hAnsi="Arial"/>
          <w:sz w:val="17"/>
          <w:szCs w:val="17"/>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7" w:lineRule="exact"/>
        <w:rPr>
          <w:rFonts w:ascii="Arial" w:cs="Arial" w:eastAsia="Arial" w:hAnsi="Arial"/>
          <w:sz w:val="17"/>
          <w:szCs w:val="17"/>
          <w:color w:val="231F20"/>
        </w:rPr>
      </w:pPr>
    </w:p>
    <w:p>
      <w:pPr>
        <w:ind w:left="660" w:hanging="328"/>
        <w:spacing w:after="0" w:line="308" w:lineRule="auto"/>
        <w:tabs>
          <w:tab w:leader="none" w:pos="655" w:val="left"/>
        </w:tabs>
        <w:numPr>
          <w:ilvl w:val="0"/>
          <w:numId w:val="37"/>
        </w:numPr>
        <w:rPr>
          <w:rFonts w:ascii="Arial" w:cs="Arial" w:eastAsia="Arial" w:hAnsi="Arial"/>
          <w:sz w:val="17"/>
          <w:szCs w:val="17"/>
          <w:color w:val="231F20"/>
        </w:rPr>
      </w:pPr>
      <w:r>
        <w:rPr>
          <w:rFonts w:ascii="Arial" w:cs="Arial" w:eastAsia="Arial" w:hAnsi="Arial"/>
          <w:sz w:val="17"/>
          <w:szCs w:val="17"/>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collaboration agreements may not lead to development or commercialization of FYARRO or any other product candidates that we may develop in the future in the most efficient manner or at all;</w:t>
      </w:r>
    </w:p>
    <w:p>
      <w:pPr>
        <w:spacing w:after="0" w:line="62" w:lineRule="exact"/>
        <w:rPr>
          <w:rFonts w:ascii="Arial" w:cs="Arial" w:eastAsia="Arial" w:hAnsi="Arial"/>
          <w:sz w:val="18"/>
          <w:szCs w:val="18"/>
          <w:color w:val="231F20"/>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FYARRO or any other product candidates that we may develop in the future;</w:t>
      </w:r>
    </w:p>
    <w:p>
      <w:pPr>
        <w:spacing w:after="0" w:line="75"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 xml:space="preserve">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the matter is currently in arbitration. </w:t>
      </w:r>
      <w:r>
        <w:rPr>
          <w:rFonts w:ascii="Arial" w:cs="Arial" w:eastAsia="Arial" w:hAnsi="Arial"/>
          <w:sz w:val="17"/>
          <w:szCs w:val="17"/>
          <w:color w:val="000000"/>
        </w:rPr>
        <w:t>See Notes 8 and 13 to the</w:t>
      </w:r>
      <w:r>
        <w:rPr>
          <w:rFonts w:ascii="Arial" w:cs="Arial" w:eastAsia="Arial" w:hAnsi="Arial"/>
          <w:sz w:val="17"/>
          <w:szCs w:val="17"/>
          <w:color w:val="231F20"/>
        </w:rPr>
        <w:t xml:space="preserve"> </w:t>
      </w:r>
      <w:r>
        <w:rPr>
          <w:rFonts w:ascii="Arial" w:cs="Arial" w:eastAsia="Arial" w:hAnsi="Arial"/>
          <w:sz w:val="17"/>
          <w:szCs w:val="17"/>
          <w:color w:val="000000"/>
        </w:rPr>
        <w:t>condensed and consolidated financial statements for more information about the EOC License Agreement, its termination and resulting arbitration</w:t>
      </w:r>
      <w:r>
        <w:rPr>
          <w:rFonts w:ascii="Arial" w:cs="Arial" w:eastAsia="Arial" w:hAnsi="Arial"/>
          <w:sz w:val="17"/>
          <w:szCs w:val="17"/>
          <w:color w:val="231F20"/>
        </w:rPr>
        <w:t>. Under</w:t>
      </w:r>
      <w:r>
        <w:rPr>
          <w:rFonts w:ascii="Arial" w:cs="Arial" w:eastAsia="Arial" w:hAnsi="Arial"/>
          <w:sz w:val="17"/>
          <w:szCs w:val="17"/>
          <w:color w:val="000000"/>
        </w:rPr>
        <w:t xml:space="preserve"> </w:t>
      </w:r>
      <w:r>
        <w:rPr>
          <w:rFonts w:ascii="Arial" w:cs="Arial" w:eastAsia="Arial" w:hAnsi="Arial"/>
          <w:sz w:val="17"/>
          <w:szCs w:val="17"/>
          <w:color w:val="231F20"/>
        </w:rPr>
        <w:t>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success is highly dependent on our ability to attract and retain highly skilled executive officers, key scientific personnel and employees.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w:t>
      </w:r>
      <w:r>
        <w:rPr>
          <w:rFonts w:ascii="Arial" w:cs="Arial" w:eastAsia="Arial" w:hAnsi="Arial"/>
          <w:sz w:val="17"/>
          <w:szCs w:val="17"/>
          <w:color w:val="000000"/>
        </w:rPr>
        <w:t>esults. In particular, the loss of one or more of our executive officers or key scientific personnel could be detrimental to us if</w:t>
      </w:r>
      <w:r>
        <w:rPr>
          <w:rFonts w:ascii="Arial" w:cs="Arial" w:eastAsia="Arial" w:hAnsi="Arial"/>
          <w:sz w:val="17"/>
          <w:szCs w:val="17"/>
          <w:color w:val="231F20"/>
        </w:rPr>
        <w:t xml:space="preserve"> </w:t>
      </w:r>
      <w:r>
        <w:rPr>
          <w:rFonts w:ascii="Arial" w:cs="Arial" w:eastAsia="Arial" w:hAnsi="Arial"/>
          <w:sz w:val="17"/>
          <w:szCs w:val="17"/>
          <w:color w:val="000000"/>
        </w:rPr>
        <w:t>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Following such transition, on March 3, 2023, we announced Mr. Delaney’s resignation as President and CEO, effective March 14, 2023, and the appointment of Scott Giacobello, our Chief Financial Officer to Interim CEO and President, effective March 15, 2023. Mr. Giacobello served as our Interim CEO and President until the appointment of David Lennon as President and CEO, effective October 2, 2023, and Mr. Giacobello continued in his role of Chief Financial Officer.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Arial" w:cs="Arial" w:eastAsia="Arial" w:hAnsi="Arial"/>
          <w:sz w:val="18"/>
          <w:szCs w:val="18"/>
          <w:color w:val="231F20"/>
        </w:rPr>
        <w:t>ty candidates than what we have to offer. If we are unable to continue to</w:t>
      </w:r>
      <w:r>
        <w:rPr>
          <w:rFonts w:ascii="Arial" w:cs="Arial" w:eastAsia="Arial" w:hAnsi="Arial"/>
          <w:sz w:val="18"/>
          <w:szCs w:val="18"/>
          <w:color w:val="auto"/>
        </w:rPr>
        <w:t xml:space="preserve"> </w:t>
      </w:r>
      <w:r>
        <w:rPr>
          <w:rFonts w:ascii="Arial" w:cs="Arial" w:eastAsia="Arial" w:hAnsi="Arial"/>
          <w:sz w:val="18"/>
          <w:szCs w:val="18"/>
          <w:color w:val="231F20"/>
        </w:rPr>
        <w:t>attract and retain high-quality personnel, the rate and success at which we can discover, develop and commercialize our product candidates will be limited and the potential for successfully growing our business will be harmed.</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231F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that we may develop in the future, when approved, we may not be able to successfully sell or market our product candidates that obtain regulatory approval.</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In order to commercialize FYARRO for advanced malignant PEComa or any additional indications that we may seek approval for, or any other product candidate that we may develop in the future,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As of September 30, 2023, we had 88 full-time employees, including 56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FYARRO and any other product candidates we may develop in the future, while complying with any contractual obligations to contractors and other third parties that we may have;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wildfires and other natural disasters, and our business continuity and disaster recovery plans may not adequately protect us from a serious disaster.</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Any unplanned event, such as flood, fire, explosion, earthquake, extreme weather condition, medical epidemics, such as the COVID-19 pandemic, power shortage, telecommunication failure, cyberattacks, geopolitical tensions, including those related to the conflicts in the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ability to utilize our net operating loss (“NOL”) carryforwards and certain other tax attributes to offset future taxable income may be limited.</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It is uncertain if and to what extent various states will conform to the federal legislation. As of December 31, 2022, after consideration of the NOLs that have been estimated to expire unused under Section 382 of the Internal Revenue Code of 1986, as amended (the “Code”), we had federal NOL carryforwards of approximately $167.5 million, $44.1 million of which will begin to expire in 2030 and the remaining $123.4 million do not expire. We also have state NOL carryforwards of approximately $72.0 million available as of December 31, 2022, which begin to expire in 2037.</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Arial" w:cs="Arial" w:eastAsia="Arial" w:hAnsi="Arial"/>
          <w:sz w:val="18"/>
          <w:szCs w:val="18"/>
          <w:color w:val="000000"/>
        </w:rPr>
        <w:t>To the extent such limitations will cause NOL and research and development credit carryforwards</w:t>
      </w:r>
      <w:r>
        <w:rPr>
          <w:rFonts w:ascii="Arial" w:cs="Arial" w:eastAsia="Arial" w:hAnsi="Arial"/>
          <w:sz w:val="18"/>
          <w:szCs w:val="18"/>
          <w:color w:val="231F20"/>
        </w:rPr>
        <w:t xml:space="preserve"> </w:t>
      </w:r>
      <w:r>
        <w:rPr>
          <w:rFonts w:ascii="Arial" w:cs="Arial" w:eastAsia="Arial" w:hAnsi="Arial"/>
          <w:sz w:val="18"/>
          <w:szCs w:val="18"/>
          <w:color w:val="000000"/>
        </w:rPr>
        <w:t xml:space="preserve">to expire unused, these tax attributes have been removed from our deferred tax asset. </w:t>
      </w:r>
      <w:r>
        <w:rPr>
          <w:rFonts w:ascii="Arial" w:cs="Arial" w:eastAsia="Arial" w:hAnsi="Arial"/>
          <w:sz w:val="18"/>
          <w:szCs w:val="18"/>
          <w:color w:val="231F20"/>
        </w:rPr>
        <w:t>Our ability to utilize our NOLs and certain other tax attributes could</w:t>
      </w:r>
      <w:r>
        <w:rPr>
          <w:rFonts w:ascii="Arial" w:cs="Arial" w:eastAsia="Arial" w:hAnsi="Arial"/>
          <w:sz w:val="18"/>
          <w:szCs w:val="18"/>
          <w:color w:val="000000"/>
        </w:rPr>
        <w:t xml:space="preserve"> </w:t>
      </w:r>
      <w:r>
        <w:rPr>
          <w:rFonts w:ascii="Arial" w:cs="Arial" w:eastAsia="Arial" w:hAnsi="Arial"/>
          <w:sz w:val="18"/>
          <w:szCs w:val="18"/>
          <w:color w:val="231F20"/>
        </w:rPr>
        <w:t>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United States federal income tax reform could materially adversely affect our financial condition.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the United States must be capitalized and amortized over a 15-year period. Unless Congress promulgates legislation that would repeal or defer this capitalization and amortization requirement, this provision will not be repealed or otherwise modified. Further, the United States recently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A variety of risks associated with marketing FYARRO or any product candidates that we may develop in the future, if approved, internationally could materially adversely affect our business.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spacing w:after="0" w:line="1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7" w:lineRule="exact"/>
        <w:rPr>
          <w:sz w:val="20"/>
          <w:szCs w:val="20"/>
          <w:color w:val="auto"/>
        </w:rPr>
      </w:pPr>
    </w:p>
    <w:p>
      <w:pPr>
        <w:ind w:right="320"/>
        <w:spacing w:after="0" w:line="375" w:lineRule="auto"/>
        <w:rPr>
          <w:sz w:val="20"/>
          <w:szCs w:val="20"/>
          <w:color w:val="auto"/>
        </w:rPr>
      </w:pPr>
      <w:r>
        <w:rPr>
          <w:rFonts w:ascii="Arial" w:cs="Arial" w:eastAsia="Arial" w:hAnsi="Arial"/>
          <w:sz w:val="18"/>
          <w:szCs w:val="18"/>
          <w:color w:val="231F20"/>
        </w:rPr>
        <w:t xml:space="preserve">These and other risks associated with our international operations may materially adversely affect our ability to attain or maintain profitable operations. </w:t>
      </w:r>
      <w:r>
        <w:rPr>
          <w:rFonts w:ascii="Arial" w:cs="Arial" w:eastAsia="Arial" w:hAnsi="Arial"/>
          <w:sz w:val="18"/>
          <w:szCs w:val="18"/>
          <w:b w:val="1"/>
          <w:bCs w:val="1"/>
          <w:color w:val="231F20"/>
        </w:rPr>
        <w:t>Risks Related to Our Intellectual Property</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Our success depends on our ability to protect and strengthen our intellectual property and our proprietary technologies, including our ability to obtain patent term extension for our product or any future product candidates.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76" w:lineRule="exact"/>
        <w:rPr>
          <w:sz w:val="20"/>
          <w:szCs w:val="20"/>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if clinical trials encounter delays, the period of time during which we could market our current or future product candidates under patent protection would be reduced;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patents may be challenged, invalidated, modified, narrowed, revoked, circumvented, found to be unenforceable, found to be not infringed or otherwise may not provide any competitive advantage;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7"/>
          <w:szCs w:val="17"/>
          <w:i w:val="1"/>
          <w:iCs w:val="1"/>
          <w:color w:val="231F20"/>
        </w:rPr>
        <w:t>inter partes</w:t>
      </w:r>
      <w:r>
        <w:rPr>
          <w:rFonts w:ascii="Arial" w:cs="Arial" w:eastAsia="Arial" w:hAnsi="Arial"/>
          <w:sz w:val="17"/>
          <w:szCs w:val="17"/>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FYARRO or any future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Should any of these events occur, it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6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divert the time and attention of our technical personnel and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Although no third party has asserted a claim of patent infringement against us as of the date of this Quarterly Report, others may hold proprietary rights that could prevent FYARRO or our other product candidates that we may develop in the future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FYARRO or any other product candidate we may develop in the future.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231F20"/>
        </w:rPr>
        <w:t>We may not be successful in obtaining or maintaining necessary rights to our product or product candidates that we may develop in the future through acquisitions and in-licenses.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protection on our technology or platform, product or any product candidates that we may develop. Such a loss of patent protection would have a material adverse impact on our business, financial condition, results of operations and prospects.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patents and other intellectual property.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or product candidates that we may develop in the future for an adequate amount of time.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do not obtain patent term extension for our product or product candidates that we may develop in the future, our business may be materially harmed.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In January 2022, we filed an application for patent term extension based on the approval of FYARRO.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Arial" w:cs="Arial" w:eastAsia="Arial" w:hAnsi="Arial"/>
          <w:sz w:val="17"/>
          <w:szCs w:val="17"/>
          <w:color w:val="000000"/>
        </w:rPr>
        <w:t>atent applications and we may not timely file foreign patent applications.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31F20"/>
        </w:rPr>
        <w:t>patent claims or other intellectual property rights may not be effective or sufficient to prevent third parties from so competing.</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 xml:space="preserve">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Arial" w:cs="Arial" w:eastAsia="Arial" w:hAnsi="Arial"/>
          <w:sz w:val="17"/>
          <w:szCs w:val="17"/>
          <w:color w:val="000000"/>
        </w:rPr>
        <w:t>a</w:t>
      </w:r>
      <w:r>
        <w:rPr>
          <w:rFonts w:ascii="Arial" w:cs="Arial" w:eastAsia="Arial" w:hAnsi="Arial"/>
          <w:sz w:val="17"/>
          <w:szCs w:val="17"/>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rights to develop and commercialize our technology, product and product candidates that we may develop in the future may be subject, in part, to the terms and conditions of licenses granted to us by others.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31F20"/>
        </w:rPr>
        <w:t>Disputes may arise between us and our licensors regarding intellectual property subject to a license agreement, including:</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us and our licensors and partners;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231F20"/>
        </w:rPr>
        <w:t>The patent protection and patent prosecution for our product and product candidates that we may develop in the future may be dependent on third parties.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Litigation and legal proceedings, including the EOC dispute, may substantially increase our costs and harm our business.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Note 13 (Commitments and contingencies) to the condensed consolidated financial statements in Part I, Item 1 of this Quarterly Report on Form 10-Q, w</w:t>
      </w:r>
      <w:r>
        <w:rPr>
          <w:rFonts w:ascii="Arial" w:cs="Arial" w:eastAsia="Arial" w:hAnsi="Arial"/>
          <w:sz w:val="17"/>
          <w:szCs w:val="17"/>
          <w:color w:val="231F20"/>
        </w:rPr>
        <w:t>e have been, are, and may in the future become, party to lawsuits and legal proceedings including, without limitation, actions and</w:t>
      </w:r>
      <w:r>
        <w:rPr>
          <w:rFonts w:ascii="Arial" w:cs="Arial" w:eastAsia="Arial" w:hAnsi="Arial"/>
          <w:sz w:val="17"/>
          <w:szCs w:val="17"/>
          <w:color w:val="auto"/>
        </w:rPr>
        <w:t xml:space="preserve"> </w:t>
      </w:r>
      <w:r>
        <w:rPr>
          <w:rFonts w:ascii="Arial" w:cs="Arial" w:eastAsia="Arial" w:hAnsi="Arial"/>
          <w:sz w:val="17"/>
          <w:szCs w:val="17"/>
          <w:color w:val="231F20"/>
        </w:rPr>
        <w:t>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 As a result, EOC is seeking monetary damages. The arbitration process is ongoing.</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is volatile.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The market price of our common stock could be subject to significant fluctuations. From the completion of the Merger on August 26, 2021 through October 31, 2023, the closing price for our common stock ranged from a low of $3.94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79" w:lineRule="exact"/>
        <w:rPr>
          <w:sz w:val="20"/>
          <w:szCs w:val="20"/>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ability to obtain regulatory approvals for FYARRO in other indications or for any other product candidates that we may develop in the future, and delays or failures to obtain such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the results of current, and any future, nonclinical or clinical trials of FYARRO or any of our product candidates that we may develop in the future;</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the failure of FYARRO or any product candidates that we may develop in the future, if approved for marketing and commercialization, to achieve commercial success;</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any inability to obtain adequate supply of FYARRO or any of our product candidates that we may develop in the future or the inability to do so at acceptable prices;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entry into, or termination of, key agreements, including key licensing, supply or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adverse regulatory authority decisions;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changes in laws or regulations applicable to FYARRO or any of our product candidates that we may develop in the future;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announcements by commercial partners or competitors of new commercial products, clinical progress (or the lack thereof), significant contracts, commercial relationships,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failure to meet or exceed financial and development projections we may provide to the public;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failure to meet or exceed the financial and development projections of the investment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adverse publicity relating to our markets, including with respect to other products and potential products in such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introduction of technological innovations or new therapies competing with our products and potential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announcements of significant acquisitions, strategic collaborations, joint ventures or capital commitments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significant lawsuits, including patent or stockholder litigation;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if securities or industry analysts do not publish research or reports about our business, or if they issue an adverse or misleading opinion regarding our business and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changes in the market valuations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general and industry-specific economic conditions potentially affecting our research and development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sales of our common stock by us or our stockholders in the future, or the anticipation thereof;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adverse regulatory decisions;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trading volume of our common stock;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period-to-period fluctuations in our financial results.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Arial" w:cs="Arial" w:eastAsia="Arial" w:hAnsi="Arial"/>
          <w:sz w:val="16"/>
          <w:szCs w:val="16"/>
          <w:color w:val="000000"/>
        </w:rPr>
        <w:t>We rely heavily on</w:t>
      </w:r>
      <w:r>
        <w:rPr>
          <w:rFonts w:ascii="Arial" w:cs="Arial" w:eastAsia="Arial" w:hAnsi="Arial"/>
          <w:sz w:val="16"/>
          <w:szCs w:val="16"/>
          <w:color w:val="231F20"/>
        </w:rPr>
        <w:t xml:space="preserve"> </w:t>
      </w:r>
      <w:r>
        <w:rPr>
          <w:rFonts w:ascii="Arial" w:cs="Arial" w:eastAsia="Arial" w:hAnsi="Arial"/>
          <w:sz w:val="16"/>
          <w:szCs w:val="16"/>
          <w:color w:val="000000"/>
        </w:rPr>
        <w:t>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management makes judgments and assumptions regarding our product sales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We will continue to </w:t>
      </w:r>
      <w:r>
        <w:rPr>
          <w:rFonts w:ascii="Arial" w:cs="Arial" w:eastAsia="Arial" w:hAnsi="Arial"/>
          <w:sz w:val="18"/>
          <w:szCs w:val="18"/>
          <w:b w:val="1"/>
          <w:bCs w:val="1"/>
          <w:i w:val="1"/>
          <w:iCs w:val="1"/>
          <w:color w:val="000000"/>
        </w:rPr>
        <w:t>incur significant increased costs and management resources as a result of operating as a public company.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w:t>
      </w:r>
      <w:r>
        <w:rPr>
          <w:rFonts w:ascii="Arial" w:cs="Arial" w:eastAsia="Arial" w:hAnsi="Arial"/>
          <w:sz w:val="16"/>
          <w:szCs w:val="16"/>
          <w:color w:val="231F20"/>
        </w:rPr>
        <w:t>ult for us to attract and retain qualified members for our board of directors, particularly to serve on our audit</w:t>
      </w:r>
      <w:r>
        <w:rPr>
          <w:rFonts w:ascii="Arial" w:cs="Arial" w:eastAsia="Arial" w:hAnsi="Arial"/>
          <w:sz w:val="16"/>
          <w:szCs w:val="16"/>
          <w:color w:val="auto"/>
        </w:rPr>
        <w:t xml:space="preserve"> </w:t>
      </w:r>
      <w:r>
        <w:rPr>
          <w:rFonts w:ascii="Arial" w:cs="Arial" w:eastAsia="Arial" w:hAnsi="Arial"/>
          <w:sz w:val="16"/>
          <w:szCs w:val="16"/>
          <w:color w:val="231F20"/>
        </w:rPr>
        <w:t>committee and compensation committee, and qualified executive officers.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6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 limited availability of market quotations for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reduced liquidity for our securities;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 limited amount of new and analyst coverage;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 decreased ability to issue additional securities or obtain additional financing in the future.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Sales of a sub</w:t>
      </w:r>
      <w:r>
        <w:rPr>
          <w:rFonts w:ascii="Arial" w:cs="Arial" w:eastAsia="Arial" w:hAnsi="Arial"/>
          <w:sz w:val="18"/>
          <w:szCs w:val="18"/>
          <w:b w:val="1"/>
          <w:bCs w:val="1"/>
          <w:i w:val="1"/>
          <w:iCs w:val="1"/>
          <w:color w:val="000000"/>
        </w:rPr>
        <w:t>stantial number of shares of our common stock in the public market, including by our existing stockholders, could cause our stock price</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to fall.</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15, 2021, we filed a universal shelf registration statement on Form S-3 (the “Shelf Registration Statement”) to offer up to $150 million of our securities, which expires on April 15, 2024.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Arial" w:cs="Arial" w:eastAsia="Arial" w:hAnsi="Arial"/>
          <w:sz w:val="18"/>
          <w:szCs w:val="18"/>
          <w:color w:val="231F20"/>
        </w:rPr>
        <w:t>on our common stock and cause a reduction in the price of our</w:t>
      </w:r>
      <w:r>
        <w:rPr>
          <w:rFonts w:ascii="Arial" w:cs="Arial" w:eastAsia="Arial" w:hAnsi="Arial"/>
          <w:sz w:val="18"/>
          <w:szCs w:val="18"/>
          <w:color w:val="auto"/>
        </w:rPr>
        <w:t xml:space="preserve"> </w:t>
      </w:r>
      <w:r>
        <w:rPr>
          <w:rFonts w:ascii="Arial" w:cs="Arial" w:eastAsia="Arial" w:hAnsi="Arial"/>
          <w:sz w:val="18"/>
          <w:szCs w:val="18"/>
          <w:color w:val="231F20"/>
        </w:rPr>
        <w:t>common stock as a result. We have also registered shares of our common stock that we may issue under our employee equity incentive plans. These shares will be able to be sold freely in the public market upon issuance.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Our executive officers, directors, holders of 5% or more of our capital stock and their respective affiliates beneficially own a significant portion of our outstanding voting stock.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Arial" w:cs="Arial" w:eastAsia="Arial" w:hAnsi="Arial"/>
          <w:sz w:val="18"/>
          <w:szCs w:val="18"/>
          <w:color w:val="000000"/>
        </w:rPr>
        <w:t>that you may feel are in your best interest as one of our stockholders. The</w:t>
      </w:r>
      <w:r>
        <w:rPr>
          <w:rFonts w:ascii="Arial" w:cs="Arial" w:eastAsia="Arial" w:hAnsi="Arial"/>
          <w:sz w:val="18"/>
          <w:szCs w:val="18"/>
          <w:color w:val="231F20"/>
        </w:rPr>
        <w:t xml:space="preserve"> </w:t>
      </w:r>
      <w:r>
        <w:rPr>
          <w:rFonts w:ascii="Arial" w:cs="Arial" w:eastAsia="Arial" w:hAnsi="Arial"/>
          <w:sz w:val="18"/>
          <w:szCs w:val="18"/>
          <w:color w:val="000000"/>
        </w:rPr>
        <w:t>interests of this group of stockholders may not a</w:t>
      </w:r>
      <w:r>
        <w:rPr>
          <w:rFonts w:ascii="Arial" w:cs="Arial" w:eastAsia="Arial" w:hAnsi="Arial"/>
          <w:sz w:val="18"/>
          <w:szCs w:val="18"/>
          <w:color w:val="231F20"/>
        </w:rPr>
        <w:t>lways coincide with your interests or the interests of other stockholder and they may act in a manner that</w:t>
      </w:r>
      <w:r>
        <w:rPr>
          <w:rFonts w:ascii="Arial" w:cs="Arial" w:eastAsia="Arial" w:hAnsi="Arial"/>
          <w:sz w:val="18"/>
          <w:szCs w:val="18"/>
          <w:color w:val="000000"/>
        </w:rPr>
        <w:t xml:space="preserve"> </w:t>
      </w:r>
      <w:r>
        <w:rPr>
          <w:rFonts w:ascii="Arial" w:cs="Arial" w:eastAsia="Arial" w:hAnsi="Arial"/>
          <w:sz w:val="18"/>
          <w:szCs w:val="18"/>
          <w:color w:val="231F20"/>
        </w:rPr>
        <w:t>advances their best interests and not necessarily those of other stockholders, including seeking a premium value for their common stock, and might affect the prevailing market price for our common stock.</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Unfavorable market and global economic conditions as a result of multiple global events, such as the COVID-19 pandemic, adverse developments affecting the financial services industry, the conflicts in Ukraine and the Middle East, increasing interest rates and general economic downturns, could adversely affect our business, financial condition or results of operations.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While the potential economic impact brought by multiple adverse global circumstances, such as the COVID-19 pandemic, conflicts in Ukraine and the Middle East,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will be made whole, and First-Citizens Bank &amp; Trust Company has assumed our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2023, we had cash, cash equivalents and short-term investments of $119.3 million, consisting of U.S government treasury bills, commercial paper, corporate debt securities, and government agency bonds. Any default by the U.S. government or credit downgrade of the securities we hold could impact the liquidity or valuation of our investments.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that we will pay any cash dividends in the foreseeable future.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5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100" w:type="dxa"/>
            <w:vAlign w:val="bottom"/>
            <w:tcBorders>
              <w:top w:val="single" w:sz="8" w:color="auto"/>
            </w:tcBorders>
            <w:gridSpan w:val="4"/>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Amended and Restated Certificate of Incorporation of the Company (incorporated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bottom w:val="single" w:sz="8" w:color="0000FF"/>
            </w:tcBorders>
            <w:gridSpan w:val="3"/>
          </w:tcPr>
          <w:p>
            <w:pPr>
              <w:spacing w:after="0" w:line="196" w:lineRule="exact"/>
              <w:rPr>
                <w:rFonts w:ascii="Arial" w:cs="Arial" w:eastAsia="Arial" w:hAnsi="Arial"/>
                <w:sz w:val="18"/>
                <w:szCs w:val="18"/>
                <w:color w:val="0000FF"/>
                <w:w w:val="96"/>
              </w:rPr>
            </w:pPr>
            <w:hyperlink r:id="rId119">
              <w:r>
                <w:rPr>
                  <w:rFonts w:ascii="Arial" w:cs="Arial" w:eastAsia="Arial" w:hAnsi="Arial"/>
                  <w:sz w:val="18"/>
                  <w:szCs w:val="18"/>
                  <w:color w:val="0000FF"/>
                  <w:w w:val="96"/>
                </w:rPr>
                <w:t>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4"/>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with the SEC on August 27,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48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jc w:val="both"/>
        <w:ind w:right="4260"/>
        <w:spacing w:after="0" w:line="263"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Amended and Restated Bylaws of the Company (incorporated by reference to</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Exhibit 3.1 to the Registrant’s Current Report on Form 8-K filed with the SEC on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December 7, 2022).</w:t>
        </w:r>
      </w:hyperlink>
    </w:p>
    <w:p>
      <w:pPr>
        <w:spacing w:after="0" w:line="170" w:lineRule="exact"/>
        <w:rPr>
          <w:rFonts w:ascii="Arial" w:cs="Arial" w:eastAsia="Arial" w:hAnsi="Arial"/>
          <w:sz w:val="18"/>
          <w:szCs w:val="18"/>
          <w:u w:val="single" w:color="auto"/>
          <w:color w:val="0000FF"/>
        </w:rPr>
      </w:pPr>
    </w:p>
    <w:p>
      <w:pPr>
        <w:jc w:val="both"/>
        <w:ind w:right="4280"/>
        <w:spacing w:after="0" w:line="286" w:lineRule="auto"/>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Form of Restricted Stock Unit Award Agreement under the Aadi Bioscience, Inc.</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2021 Equity Incentive Plan (incorporated by reference to Exhibit 10.1 to the</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Registrant's Current Report on Form 8-K with the SEC on October 2, 2023).</w:t>
        </w:r>
      </w:hyperlink>
    </w:p>
    <w:p>
      <w:pPr>
        <w:spacing w:after="0" w:line="138" w:lineRule="exact"/>
        <w:rPr>
          <w:rFonts w:ascii="Arial" w:cs="Arial" w:eastAsia="Arial" w:hAnsi="Arial"/>
          <w:sz w:val="17"/>
          <w:szCs w:val="17"/>
          <w:u w:val="single" w:color="auto"/>
          <w:color w:val="0000FF"/>
        </w:rPr>
      </w:pPr>
    </w:p>
    <w:p>
      <w:pPr>
        <w:sectPr>
          <w:pgSz w:w="11900" w:h="16838" w:orient="portrait"/>
          <w:cols w:equalWidth="0" w:num="2">
            <w:col w:w="440" w:space="440"/>
            <w:col w:w="10340"/>
          </w:cols>
          <w:pgMar w:left="320" w:top="341" w:right="359" w:bottom="480" w:gutter="0" w:footer="0" w:header="0"/>
          <w:type w:val="continuous"/>
        </w:sect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83" w:lineRule="exact"/>
        <w:rPr>
          <w:rFonts w:ascii="Arial" w:cs="Arial" w:eastAsia="Arial" w:hAnsi="Arial"/>
          <w:sz w:val="17"/>
          <w:szCs w:val="17"/>
          <w:u w:val="single" w:color="auto"/>
          <w:color w:val="0000FF"/>
        </w:rPr>
      </w:pPr>
    </w:p>
    <w:p>
      <w:pPr>
        <w:ind w:left="20"/>
        <w:spacing w:after="0"/>
        <w:rPr>
          <w:sz w:val="20"/>
          <w:szCs w:val="20"/>
          <w:color w:val="auto"/>
        </w:rPr>
      </w:pPr>
      <w:r>
        <w:rPr>
          <w:rFonts w:ascii="Arial" w:cs="Arial" w:eastAsia="Arial" w:hAnsi="Arial"/>
          <w:sz w:val="16"/>
          <w:szCs w:val="16"/>
          <w:color w:val="auto"/>
        </w:rPr>
        <w:t>10.3#</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jc w:val="both"/>
        <w:ind w:right="4260"/>
        <w:spacing w:after="0" w:line="259"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Executive Employment Agreement, dated September 29, 2023, by and between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David J. Lennon and Aadi Bioscience, Inc. (incorporated by reference to Exhibit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10.2 to the Registrant's Current Report on Form 8-K with the SEC on October 2,</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2023).</w:t>
        </w:r>
      </w:hyperlink>
    </w:p>
    <w:p>
      <w:pPr>
        <w:spacing w:after="0" w:line="173" w:lineRule="exact"/>
        <w:rPr>
          <w:rFonts w:ascii="Arial" w:cs="Arial" w:eastAsia="Arial" w:hAnsi="Arial"/>
          <w:sz w:val="18"/>
          <w:szCs w:val="18"/>
          <w:u w:val="single" w:color="auto"/>
          <w:color w:val="0000FF"/>
        </w:rPr>
      </w:pPr>
    </w:p>
    <w:p>
      <w:pPr>
        <w:jc w:val="both"/>
        <w:ind w:right="4280"/>
        <w:spacing w:after="0" w:line="263"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Aadi Bioscience, Inc. 2023 Inducement Equity Incentive Plan (incorporated by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reference to Exhibit 10.3 to the Registrant's Current Report on Form 8-K with the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SEC on October 2, 2023).</w:t>
        </w:r>
      </w:hyperlink>
    </w:p>
    <w:p>
      <w:pPr>
        <w:spacing w:after="0" w:line="153" w:lineRule="exact"/>
        <w:rPr>
          <w:rFonts w:ascii="Arial" w:cs="Arial" w:eastAsia="Arial" w:hAnsi="Arial"/>
          <w:sz w:val="18"/>
          <w:szCs w:val="18"/>
          <w:u w:val="single" w:color="auto"/>
          <w:color w:val="0000FF"/>
        </w:rPr>
      </w:pPr>
    </w:p>
    <w:p>
      <w:pPr>
        <w:sectPr>
          <w:pgSz w:w="11900" w:h="16838" w:orient="portrait"/>
          <w:cols w:equalWidth="0" w:num="2">
            <w:col w:w="440" w:space="440"/>
            <w:col w:w="10340"/>
          </w:cols>
          <w:pgMar w:left="320" w:top="341" w:right="359" w:bottom="48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6100" w:type="dxa"/>
            <w:vAlign w:val="bottom"/>
            <w:tcBorders>
              <w:bottom w:val="single" w:sz="8" w:color="0000FF"/>
            </w:tcBorders>
            <w:gridSpan w:val="7"/>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Form of Aadi Bioscience, Inc. 2023 Inducement Equity Incentive Plan Stock</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20" w:type="dxa"/>
            <w:vAlign w:val="bottom"/>
            <w:tcBorders>
              <w:bottom w:val="single" w:sz="8" w:color="0000FF"/>
            </w:tcBorders>
            <w:gridSpan w:val="8"/>
          </w:tcPr>
          <w:p>
            <w:pPr>
              <w:spacing w:after="0" w:line="196"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Option Agreement (incorporated by reference to Exhibit 10.4 to the Registrant's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20" w:type="dxa"/>
            <w:vAlign w:val="bottom"/>
            <w:gridSpan w:val="8"/>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Current Report on Form 8-K with the SEC on October 2, 2023).</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60" w:type="dxa"/>
            <w:vAlign w:val="bottom"/>
            <w:vMerge w:val="continue"/>
          </w:tcPr>
          <w:p>
            <w:pPr>
              <w:spacing w:after="0"/>
              <w:rPr>
                <w:sz w:val="24"/>
                <w:szCs w:val="24"/>
                <w:color w:val="auto"/>
              </w:rPr>
            </w:pPr>
          </w:p>
        </w:tc>
        <w:tc>
          <w:tcPr>
            <w:tcW w:w="6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0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3"/>
              </w:rPr>
              <w:t>14(a) under the Securities Exchange Act of 1934, as Adopted Pursuant to Section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20" w:type="dxa"/>
            <w:vAlign w:val="bottom"/>
            <w:gridSpan w:val="8"/>
          </w:tcPr>
          <w:p>
            <w:pPr>
              <w:spacing w:after="0" w:line="196" w:lineRule="exact"/>
              <w:rPr>
                <w:sz w:val="20"/>
                <w:szCs w:val="20"/>
                <w:color w:val="auto"/>
              </w:rPr>
            </w:pPr>
            <w:r>
              <w:rPr>
                <w:rFonts w:ascii="Arial" w:cs="Arial" w:eastAsia="Arial" w:hAnsi="Arial"/>
                <w:sz w:val="18"/>
                <w:szCs w:val="18"/>
                <w:color w:val="0000FF"/>
              </w:rPr>
              <w:t>302 of the Sarbanes-Oxley Act of 2002.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6120" w:type="dxa"/>
            <w:vAlign w:val="bottom"/>
            <w:gridSpan w:val="8"/>
          </w:tcPr>
          <w:p>
            <w:pPr>
              <w:spacing w:after="0"/>
              <w:rPr>
                <w:sz w:val="20"/>
                <w:szCs w:val="20"/>
                <w:color w:val="auto"/>
              </w:rPr>
            </w:pPr>
            <w:r>
              <w:rPr>
                <w:rFonts w:ascii="Arial" w:cs="Arial" w:eastAsia="Arial" w:hAnsi="Arial"/>
                <w:sz w:val="18"/>
                <w:szCs w:val="18"/>
                <w:color w:val="0000FF"/>
                <w:w w:val="96"/>
              </w:rPr>
              <w:t>Certification of Principal Financial Officer Pursuant to Rules 13a-14(a) and 15d-</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0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3"/>
              </w:rPr>
              <w:t>14(a) under the Securities Exchange Act of 1934, as Adopted Pursuant to Section</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1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8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0" w:type="dxa"/>
            <w:vAlign w:val="bottom"/>
            <w:vMerge w:val="continue"/>
          </w:tcPr>
          <w:p>
            <w:pPr>
              <w:spacing w:after="0"/>
              <w:rPr>
                <w:sz w:val="24"/>
                <w:szCs w:val="24"/>
                <w:color w:val="auto"/>
              </w:rPr>
            </w:pPr>
          </w:p>
        </w:tc>
        <w:tc>
          <w:tcPr>
            <w:tcW w:w="6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906 of the Sarbanes-Oxley Act of 2002.</w:t>
            </w:r>
          </w:p>
        </w:tc>
        <w:tc>
          <w:tcPr>
            <w:tcW w:w="1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6120" w:type="dxa"/>
            <w:vAlign w:val="bottom"/>
            <w:gridSpan w:val="8"/>
          </w:tcPr>
          <w:p>
            <w:pPr>
              <w:spacing w:after="0"/>
              <w:rPr>
                <w:sz w:val="20"/>
                <w:szCs w:val="20"/>
                <w:color w:val="auto"/>
              </w:rPr>
            </w:pPr>
            <w:r>
              <w:rPr>
                <w:rFonts w:ascii="Arial" w:cs="Arial" w:eastAsia="Arial" w:hAnsi="Arial"/>
                <w:sz w:val="18"/>
                <w:szCs w:val="18"/>
                <w:color w:val="0000FF"/>
                <w:w w:val="94"/>
              </w:rPr>
              <w:t>Certification of Principal Financial Officer Pursuant to 18 U.S.C. Section 1350, as</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Adopted Pursuant to Section 906 of the Sarbanes-Oxley Act of 2002.</w:t>
            </w:r>
          </w:p>
        </w:tc>
        <w:tc>
          <w:tcPr>
            <w:tcW w:w="1080" w:type="dxa"/>
            <w:vAlign w:val="bottom"/>
            <w:tcBorders>
              <w:top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1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660" w:firstLine="26"/>
        <w:spacing w:after="0" w:line="461" w:lineRule="auto"/>
        <w:tabs>
          <w:tab w:leader="none" w:pos="8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 * Filed herewith.</w:t>
      </w:r>
    </w:p>
    <w:p>
      <w:pPr>
        <w:spacing w:after="0" w:line="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9" w:lineRule="exact"/>
        <w:rPr>
          <w:sz w:val="20"/>
          <w:szCs w:val="20"/>
          <w:color w:val="auto"/>
        </w:rPr>
      </w:pPr>
    </w:p>
    <w:p>
      <w:pPr>
        <w:ind w:left="660" w:hanging="652"/>
        <w:spacing w:after="0"/>
        <w:tabs>
          <w:tab w:leader="none" w:pos="4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 attached as Exhibit 32 that accompanies this Quarterly Report on Form 10-Q is deemed furnished and not filed with the Securities and Exchange Commission and is not to be incorporated by reference into any filing of Aadi Bioscience, Inc. under the Securities Act of 1933, as amended, or the Securities Exchange Act of</w:t>
      </w:r>
    </w:p>
    <w:p>
      <w:pPr>
        <w:sectPr>
          <w:pgSz w:w="11900" w:h="16838" w:orient="portrait"/>
          <w:cols w:equalWidth="0" w:num="1">
            <w:col w:w="11220"/>
          </w:cols>
          <w:pgMar w:left="320" w:top="341" w:right="359" w:bottom="48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48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AADI BIOSCIENCE, INC.</w:t>
      </w:r>
    </w:p>
    <w:p>
      <w:pPr>
        <w:spacing w:after="0" w:line="293"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2"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Scott Giacobello</w:t>
      </w:r>
    </w:p>
    <w:p>
      <w:pPr>
        <w:spacing w:after="0" w:line="36"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341" w:right="3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Lennon, certify that:</w:t>
      </w:r>
    </w:p>
    <w:p>
      <w:pPr>
        <w:spacing w:after="0" w:line="225" w:lineRule="exact"/>
        <w:rPr>
          <w:sz w:val="20"/>
          <w:szCs w:val="20"/>
          <w:color w:val="auto"/>
        </w:rPr>
      </w:pPr>
    </w:p>
    <w:p>
      <w:pPr>
        <w:ind w:left="980" w:hanging="97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5"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972"/>
        <w:spacing w:after="0" w:line="308"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80" w:hanging="972"/>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980"/>
        <w:spacing w:after="0" w:line="286" w:lineRule="auto"/>
        <w:tabs>
          <w:tab w:leader="none" w:pos="1957"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960" w:right="220" w:hanging="980"/>
        <w:spacing w:after="0" w:line="286" w:lineRule="auto"/>
        <w:tabs>
          <w:tab w:leader="none" w:pos="1954"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980"/>
        <w:spacing w:after="0" w:line="263" w:lineRule="auto"/>
        <w:tabs>
          <w:tab w:leader="none" w:pos="1957"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360" w:hanging="980"/>
        <w:spacing w:after="0" w:line="311" w:lineRule="auto"/>
        <w:tabs>
          <w:tab w:leader="none" w:pos="1954"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140" w:hanging="972"/>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80" w:hanging="980"/>
        <w:spacing w:after="0" w:line="263" w:lineRule="auto"/>
        <w:tabs>
          <w:tab w:leader="none" w:pos="195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20" w:hanging="980"/>
        <w:spacing w:after="0" w:line="277" w:lineRule="auto"/>
        <w:tabs>
          <w:tab w:leader="none" w:pos="19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58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David J. Lennon, Ph.D.</w:t>
      </w:r>
    </w:p>
    <w:p>
      <w:pPr>
        <w:spacing w:after="0" w:line="50"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4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Giacobello, certify that:</w:t>
      </w:r>
    </w:p>
    <w:p>
      <w:pPr>
        <w:spacing w:after="0" w:line="225" w:lineRule="exact"/>
        <w:rPr>
          <w:sz w:val="20"/>
          <w:szCs w:val="20"/>
          <w:color w:val="auto"/>
        </w:rPr>
      </w:pPr>
    </w:p>
    <w:p>
      <w:pPr>
        <w:ind w:left="980" w:hanging="97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5"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972"/>
        <w:spacing w:after="0" w:line="30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80" w:hanging="972"/>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980"/>
        <w:spacing w:after="0" w:line="286" w:lineRule="auto"/>
        <w:tabs>
          <w:tab w:leader="none" w:pos="1957"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960" w:right="220" w:hanging="980"/>
        <w:spacing w:after="0" w:line="286" w:lineRule="auto"/>
        <w:tabs>
          <w:tab w:leader="none" w:pos="1954"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980"/>
        <w:spacing w:after="0" w:line="263" w:lineRule="auto"/>
        <w:tabs>
          <w:tab w:leader="none" w:pos="19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360" w:hanging="980"/>
        <w:spacing w:after="0" w:line="311" w:lineRule="auto"/>
        <w:tabs>
          <w:tab w:leader="none" w:pos="19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140" w:hanging="972"/>
        <w:spacing w:after="0" w:line="342"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80" w:hanging="980"/>
        <w:spacing w:after="0" w:line="263" w:lineRule="auto"/>
        <w:tabs>
          <w:tab w:leader="none" w:pos="19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20" w:hanging="980"/>
        <w:spacing w:after="0" w:line="277" w:lineRule="auto"/>
        <w:tabs>
          <w:tab w:leader="none" w:pos="195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8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Scott Giacobello</w:t>
      </w:r>
    </w:p>
    <w:p>
      <w:pPr>
        <w:spacing w:after="0" w:line="50"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14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972"/>
        <w:spacing w:after="0" w:line="263" w:lineRule="auto"/>
        <w:rPr>
          <w:sz w:val="20"/>
          <w:szCs w:val="20"/>
          <w:color w:val="auto"/>
        </w:rPr>
      </w:pPr>
      <w:r>
        <w:rPr>
          <w:rFonts w:ascii="Arial" w:cs="Arial" w:eastAsia="Arial" w:hAnsi="Arial"/>
          <w:sz w:val="18"/>
          <w:szCs w:val="18"/>
          <w:color w:val="auto"/>
        </w:rPr>
        <w:t>In connection with the Quarterly Report of Aadi Bioscience,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spacing w:after="0" w:line="76" w:lineRule="exact"/>
        <w:rPr>
          <w:sz w:val="20"/>
          <w:szCs w:val="20"/>
          <w:color w:val="auto"/>
        </w:rPr>
      </w:pPr>
    </w:p>
    <w:p>
      <w:pPr>
        <w:ind w:left="1940" w:hanging="960"/>
        <w:spacing w:after="0"/>
        <w:tabs>
          <w:tab w:leader="none" w:pos="1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960" w:right="100" w:hanging="980"/>
        <w:spacing w:after="0" w:line="277" w:lineRule="auto"/>
        <w:tabs>
          <w:tab w:leader="none" w:pos="19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00" w:val="left"/>
          <w:tab w:leader="none" w:pos="758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David J. Lennon, Ph.D.</w:t>
      </w:r>
    </w:p>
    <w:p>
      <w:pPr>
        <w:spacing w:after="0" w:line="50"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4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972"/>
        <w:spacing w:after="0" w:line="263" w:lineRule="auto"/>
        <w:rPr>
          <w:sz w:val="20"/>
          <w:szCs w:val="20"/>
          <w:color w:val="auto"/>
        </w:rPr>
      </w:pPr>
      <w:r>
        <w:rPr>
          <w:rFonts w:ascii="Arial" w:cs="Arial" w:eastAsia="Arial" w:hAnsi="Arial"/>
          <w:sz w:val="18"/>
          <w:szCs w:val="18"/>
          <w:color w:val="auto"/>
        </w:rPr>
        <w:t>In connection with the Quarterly Report of Aadi Bioscience,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spacing w:after="0" w:line="76" w:lineRule="exact"/>
        <w:rPr>
          <w:sz w:val="20"/>
          <w:szCs w:val="20"/>
          <w:color w:val="auto"/>
        </w:rPr>
      </w:pPr>
    </w:p>
    <w:p>
      <w:pPr>
        <w:ind w:left="1940" w:hanging="960"/>
        <w:spacing w:after="0"/>
        <w:tabs>
          <w:tab w:leader="none" w:pos="1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960" w:right="100" w:hanging="980"/>
        <w:spacing w:after="0" w:line="277" w:lineRule="auto"/>
        <w:tabs>
          <w:tab w:leader="none" w:pos="19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400" w:val="left"/>
          <w:tab w:leader="none" w:pos="78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Scott Giacobello</w:t>
      </w:r>
    </w:p>
    <w:p>
      <w:pPr>
        <w:spacing w:after="0" w:line="50"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lowerRoman"/>
      <w:start w:val="2"/>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lowerRoman"/>
      <w:start w:val="2"/>
    </w:lvl>
  </w:abstractNum>
  <w:abstractNum w:abstractNumId="11">
    <w:nsid w:val="3006C83E"/>
    <w:multiLevelType w:val="hybridMultilevel"/>
    <w:lvl w:ilvl="0">
      <w:lvlJc w:val="left"/>
      <w:lvlText w:val="(%1)"/>
      <w:numFmt w:val="lowerRoman"/>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lvl w:ilvl="1">
      <w:lvlJc w:val="left"/>
      <w:lvlText w:val="%2"/>
      <w:numFmt w:val="decimal"/>
      <w:start w:val="104"/>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19" Type="http://schemas.openxmlformats.org/officeDocument/2006/relationships/hyperlink" Target="http://www.sec.gov/Archives/edgar/data/1422142/000119312521257910/d119681dex31.htm" TargetMode="External"/><Relationship Id="rId120" Type="http://schemas.openxmlformats.org/officeDocument/2006/relationships/hyperlink" Target="http://www.sec.gov/Archives/edgar/data/1422142/000119312521257910/d119681dex32.htm" TargetMode="External"/><Relationship Id="rId121" Type="http://schemas.openxmlformats.org/officeDocument/2006/relationships/hyperlink" Target="https://www.sec.gov/ix?doc=/Archives/edgar/data/0001422142/000119312523248461/d56185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2023-11-09T09:16:11Z</dcterms:created>
  <dcterms:modified xsi:type="dcterms:W3CDTF">2023-11-09T09:16:11Z</dcterms:modified>
</cp:coreProperties>
</file>