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a-09182026_080958.xml.htm"/>
      <w:bookmarkStart w:id="1" w:name="ksform4a09182026_0809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BALL BRYAN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WHITEHAWK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HEADQUARTERS PLAZA, EAST BUILDING, 11T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MORRISTOWN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Whitehawk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WHWK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4.09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91,633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91,633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91,633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91,633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91,633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91,633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Subject to the Reporting Person continuing to be a Service Provider (as defined in the Issuer's 2021 Equity Incentive Plan) through each applicable date, twenty five percent (25%) of the shares subject to the option shall vest on the one-year anniversary of the Vesting Commencement Date and 1/48th of the total shares subject to the option shall vest every month thereafter such that all shares subject to the option shall be fully vested on the four-year anniversary of the Vesting Commencement Date. "Vesting Commencement Date" shall mean September 15,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("RSU") represents a contingent right to receive one share of Whitehawk Therapeutics,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original Form 4 filed by the Reporting Person erroneously reflected an incorrect vesting schedule. Subject to the Reporting Person continuing to be a Service Provider (as defined in the Issuer's 2021 Equity Incentive Plan) through the applicable date, one hundred percent (100%) of the shares subject to the award shall vest on the one-year anniversary of the Vesting Commencement Date. "Vesting Commencement Date" shall mean September 15,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Technical Operations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Rodin,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6522" TargetMode="External"/><Relationship Id="rId5" Type="http://schemas.openxmlformats.org/officeDocument/2006/relationships/hyperlink" Target="http://www.sec.gov/cgi-bin/browse-edgar?action=getcompany&amp;CIK=00014221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778</Words>
  <Characters>4248</Characters>
  <CharactersWithSpaces>4938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