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52026_110959.xml.htm"/>
      <w:bookmarkStart w:id="1" w:name="ksform409152026_1109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 BRYAN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WHITEHAWK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HEADQUARTERS PLAZA, EAST BUILDING, 11T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Whitehawk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91,633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91,633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91,633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91,633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91,633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91,633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 continuing to be a Service Provider (as defined in the Issuer's 2021 Equity Incentive Plan) through each applicable date, twenty five percent (25%) of the shares subject to the option shall vest on the one-year anniversary of the Vesting Commencement Date and 1/48th of the total shares subject to the option shall vest every month thereafter such that all shares subject to the option shall be fully vested on the four-year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Whitehawk Therapeutics,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Subject to the Reporting Person continuing to be a Service Provider (as defined in the Issuer's 2021 Equity Incentive Plan) through each applicable date, twenty five percent (25%) of the shares subject to the award shall vest on the one-year anniversary of the Vesting Commencement Date, and twenty five percent (25%) of the shares subject to the award shall vest on each of the next three Vesting Commencement Date anniversaries thereafter.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Technical Operations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Rodin,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6522" TargetMode="External"/><Relationship Id="rId5" Type="http://schemas.openxmlformats.org/officeDocument/2006/relationships/hyperlink" Target="http://www.sec.gov/cgi-bin/browse-edgar?action=getcompany&amp;CIK=00014221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787</Words>
  <Characters>4279</Characters>
  <CharactersWithSpaces>4978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