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00" w:right="1640" w:hanging="3892"/>
        <w:spacing w:after="0" w:line="392" w:lineRule="auto"/>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2017</w:t>
      </w:r>
    </w:p>
    <w:p>
      <w:pPr>
        <w:spacing w:after="0" w:line="283" w:lineRule="exact"/>
        <w:rPr>
          <w:sz w:val="24"/>
          <w:szCs w:val="24"/>
          <w:color w:val="auto"/>
        </w:rPr>
      </w:pPr>
    </w:p>
    <w:p>
      <w:pPr>
        <w:ind w:left="3140" w:right="1640" w:hanging="3132"/>
        <w:spacing w:after="0" w:line="375" w:lineRule="auto"/>
        <w:tabs>
          <w:tab w:leader="none" w:pos="51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highlight w:val="black"/>
        </w:rPr>
      </w:pPr>
    </w:p>
    <w:p>
      <w:pPr>
        <w:ind w:left="42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000-53057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Aerpio Pharmaceuticals, Inc.</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4100" w:type="dxa"/>
            <w:vAlign w:val="bottom"/>
          </w:tcPr>
          <w:p>
            <w:pPr>
              <w:jc w:val="center"/>
              <w:ind w:right="1943"/>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center"/>
              <w:ind w:left="1966"/>
              <w:spacing w:after="0"/>
              <w:rPr>
                <w:sz w:val="20"/>
                <w:szCs w:val="20"/>
                <w:color w:val="auto"/>
              </w:rPr>
            </w:pPr>
            <w:r>
              <w:rPr>
                <w:rFonts w:ascii="Arial" w:cs="Arial" w:eastAsia="Arial" w:hAnsi="Arial"/>
                <w:sz w:val="18"/>
                <w:szCs w:val="18"/>
                <w:b w:val="1"/>
                <w:bCs w:val="1"/>
                <w:color w:val="auto"/>
                <w:w w:val="93"/>
              </w:rPr>
              <w:t>EIN 61-1547850</w:t>
            </w:r>
          </w:p>
        </w:tc>
      </w:tr>
      <w:tr>
        <w:trPr>
          <w:trHeight w:val="135"/>
        </w:trPr>
        <w:tc>
          <w:tcPr>
            <w:tcW w:w="4100" w:type="dxa"/>
            <w:vAlign w:val="bottom"/>
          </w:tcPr>
          <w:p>
            <w:pPr>
              <w:jc w:val="center"/>
              <w:ind w:right="192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26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100" w:type="dxa"/>
            <w:vAlign w:val="bottom"/>
          </w:tcPr>
          <w:p>
            <w:pPr>
              <w:jc w:val="center"/>
              <w:ind w:right="1943"/>
              <w:spacing w:after="0"/>
              <w:rPr>
                <w:sz w:val="20"/>
                <w:szCs w:val="20"/>
                <w:color w:val="auto"/>
              </w:rPr>
            </w:pPr>
            <w:r>
              <w:rPr>
                <w:rFonts w:ascii="Arial" w:cs="Arial" w:eastAsia="Arial" w:hAnsi="Arial"/>
                <w:sz w:val="13"/>
                <w:szCs w:val="13"/>
                <w:b w:val="1"/>
                <w:bCs w:val="1"/>
                <w:color w:val="auto"/>
                <w:w w:val="88"/>
              </w:rPr>
              <w:t>incorporation or organization)</w:t>
            </w:r>
          </w:p>
        </w:tc>
        <w:tc>
          <w:tcPr>
            <w:tcW w:w="3260" w:type="dxa"/>
            <w:vAlign w:val="bottom"/>
          </w:tcPr>
          <w:p>
            <w:pPr>
              <w:jc w:val="center"/>
              <w:ind w:left="1966"/>
              <w:spacing w:after="0"/>
              <w:rPr>
                <w:sz w:val="20"/>
                <w:szCs w:val="20"/>
                <w:color w:val="auto"/>
              </w:rPr>
            </w:pPr>
            <w:r>
              <w:rPr>
                <w:rFonts w:ascii="Arial" w:cs="Arial" w:eastAsia="Arial" w:hAnsi="Arial"/>
                <w:sz w:val="13"/>
                <w:szCs w:val="13"/>
                <w:b w:val="1"/>
                <w:bCs w:val="1"/>
                <w:color w:val="auto"/>
                <w:w w:val="89"/>
              </w:rPr>
              <w:t>Identification No.)</w:t>
            </w:r>
          </w:p>
        </w:tc>
      </w:tr>
      <w:tr>
        <w:trPr>
          <w:trHeight w:val="403"/>
        </w:trPr>
        <w:tc>
          <w:tcPr>
            <w:tcW w:w="4100" w:type="dxa"/>
            <w:vAlign w:val="bottom"/>
          </w:tcPr>
          <w:p>
            <w:pPr>
              <w:jc w:val="center"/>
              <w:ind w:right="1943"/>
              <w:spacing w:after="0"/>
              <w:rPr>
                <w:sz w:val="20"/>
                <w:szCs w:val="20"/>
                <w:color w:val="auto"/>
              </w:rPr>
            </w:pPr>
            <w:r>
              <w:rPr>
                <w:rFonts w:ascii="Arial" w:cs="Arial" w:eastAsia="Arial" w:hAnsi="Arial"/>
                <w:sz w:val="18"/>
                <w:szCs w:val="18"/>
                <w:b w:val="1"/>
                <w:bCs w:val="1"/>
                <w:color w:val="auto"/>
                <w:w w:val="92"/>
              </w:rPr>
              <w:t>9987 Carver Road</w:t>
            </w:r>
          </w:p>
        </w:tc>
        <w:tc>
          <w:tcPr>
            <w:tcW w:w="3260" w:type="dxa"/>
            <w:vAlign w:val="bottom"/>
          </w:tcPr>
          <w:p>
            <w:pPr>
              <w:spacing w:after="0"/>
              <w:rPr>
                <w:sz w:val="24"/>
                <w:szCs w:val="24"/>
                <w:color w:val="auto"/>
              </w:rPr>
            </w:pPr>
          </w:p>
        </w:tc>
      </w:tr>
      <w:tr>
        <w:trPr>
          <w:trHeight w:val="216"/>
        </w:trPr>
        <w:tc>
          <w:tcPr>
            <w:tcW w:w="4100" w:type="dxa"/>
            <w:vAlign w:val="bottom"/>
          </w:tcPr>
          <w:p>
            <w:pPr>
              <w:jc w:val="center"/>
              <w:ind w:right="1923"/>
              <w:spacing w:after="0"/>
              <w:rPr>
                <w:sz w:val="20"/>
                <w:szCs w:val="20"/>
                <w:color w:val="auto"/>
              </w:rPr>
            </w:pPr>
            <w:r>
              <w:rPr>
                <w:rFonts w:ascii="Arial" w:cs="Arial" w:eastAsia="Arial" w:hAnsi="Arial"/>
                <w:sz w:val="18"/>
                <w:szCs w:val="18"/>
                <w:b w:val="1"/>
                <w:bCs w:val="1"/>
                <w:color w:val="auto"/>
                <w:w w:val="95"/>
              </w:rPr>
              <w:t>Cincinnati, OH</w:t>
            </w:r>
          </w:p>
        </w:tc>
        <w:tc>
          <w:tcPr>
            <w:tcW w:w="3260" w:type="dxa"/>
            <w:vAlign w:val="bottom"/>
          </w:tcPr>
          <w:p>
            <w:pPr>
              <w:jc w:val="center"/>
              <w:ind w:left="1966"/>
              <w:spacing w:after="0"/>
              <w:rPr>
                <w:sz w:val="20"/>
                <w:szCs w:val="20"/>
                <w:color w:val="auto"/>
              </w:rPr>
            </w:pPr>
            <w:r>
              <w:rPr>
                <w:rFonts w:ascii="Arial" w:cs="Arial" w:eastAsia="Arial" w:hAnsi="Arial"/>
                <w:sz w:val="18"/>
                <w:szCs w:val="18"/>
                <w:b w:val="1"/>
                <w:bCs w:val="1"/>
                <w:color w:val="auto"/>
                <w:w w:val="91"/>
              </w:rPr>
              <w:t>45242</w:t>
            </w:r>
          </w:p>
        </w:tc>
      </w:tr>
      <w:tr>
        <w:trPr>
          <w:trHeight w:val="164"/>
        </w:trPr>
        <w:tc>
          <w:tcPr>
            <w:tcW w:w="4100" w:type="dxa"/>
            <w:vAlign w:val="bottom"/>
          </w:tcPr>
          <w:p>
            <w:pPr>
              <w:jc w:val="center"/>
              <w:ind w:right="194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26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(513) 985-1920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p>
      <w:pPr>
        <w:ind w:right="8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No</w:t>
      </w:r>
      <w:r>
        <w:rPr>
          <w:rFonts w:ascii="MS PGothic" w:cs="MS PGothic" w:eastAsia="MS PGothic" w:hAnsi="MS PGothic"/>
          <w:sz w:val="16"/>
          <w:szCs w:val="16"/>
          <w:color w:val="auto"/>
        </w:rPr>
        <w:t>☐</w:t>
      </w:r>
    </w:p>
    <w:p>
      <w:pPr>
        <w:spacing w:after="0" w:line="136" w:lineRule="exact"/>
        <w:rPr>
          <w:sz w:val="24"/>
          <w:szCs w:val="24"/>
          <w:color w:val="auto"/>
        </w:rPr>
      </w:pPr>
    </w:p>
    <w:p>
      <w:pPr>
        <w:ind w:right="260" w:firstLine="518"/>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80" w:lineRule="exact"/>
        <w:rPr>
          <w:sz w:val="24"/>
          <w:szCs w:val="24"/>
          <w:color w:val="auto"/>
        </w:rPr>
      </w:pPr>
    </w:p>
    <w:p>
      <w:pPr>
        <w:jc w:val="both"/>
        <w:ind w:right="34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20"/>
          </w:cols>
          <w:pgMar w:left="240" w:top="422" w:right="339" w:bottom="1440" w:gutter="0" w:footer="0" w:header="0"/>
        </w:sectPr>
      </w:pPr>
    </w:p>
    <w:p>
      <w:pPr>
        <w:spacing w:after="0" w:line="117"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4">
            <w:col w:w="1460" w:space="520"/>
            <w:col w:w="6080" w:space="720"/>
            <w:col w:w="1680" w:space="720"/>
            <w:col w:w="140"/>
          </w:cols>
          <w:pgMar w:left="240" w:top="422" w:right="3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(Do not check if a small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Small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ectPr>
          <w:pgSz w:w="11900" w:h="16838" w:orient="portrait"/>
          <w:cols w:equalWidth="0" w:num="5">
            <w:col w:w="1380" w:space="600"/>
            <w:col w:w="140" w:space="80"/>
            <w:col w:w="5860" w:space="720"/>
            <w:col w:w="1680" w:space="720"/>
            <w:col w:w="140"/>
          </w:cols>
          <w:pgMar w:left="240" w:top="422" w:right="339" w:bottom="1440" w:gutter="0" w:footer="0" w:header="0"/>
          <w:type w:val="continuous"/>
        </w:sectPr>
      </w:pPr>
    </w:p>
    <w:p>
      <w:pPr>
        <w:spacing w:after="0"/>
        <w:rPr>
          <w:sz w:val="20"/>
          <w:szCs w:val="20"/>
          <w:color w:val="auto"/>
        </w:rPr>
      </w:pPr>
      <w:r>
        <w:rPr>
          <w:rFonts w:ascii="Arial" w:cs="Arial" w:eastAsia="Arial" w:hAnsi="Arial"/>
          <w:sz w:val="15"/>
          <w:szCs w:val="15"/>
          <w:color w:val="auto"/>
        </w:rPr>
        <w:t>Emerging growth</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42" w:lineRule="exact"/>
        <w:rPr>
          <w:sz w:val="24"/>
          <w:szCs w:val="24"/>
          <w:color w:val="auto"/>
        </w:rPr>
      </w:pPr>
    </w:p>
    <w:p>
      <w:pPr>
        <w:sectPr>
          <w:pgSz w:w="11900" w:h="16838" w:orient="portrait"/>
          <w:cols w:equalWidth="0" w:num="2">
            <w:col w:w="1140" w:space="360"/>
            <w:col w:w="9820"/>
          </w:cols>
          <w:pgMar w:left="240" w:top="422" w:right="339" w:bottom="1440" w:gutter="0" w:footer="0" w:header="0"/>
          <w:type w:val="continuous"/>
        </w:sectPr>
      </w:pPr>
    </w:p>
    <w:p>
      <w:pPr>
        <w:spacing w:after="0"/>
        <w:rPr>
          <w:sz w:val="20"/>
          <w:szCs w:val="20"/>
          <w:color w:val="auto"/>
        </w:rPr>
      </w:pPr>
      <w:r>
        <w:rPr>
          <w:rFonts w:ascii="Arial" w:cs="Arial" w:eastAsia="Arial" w:hAnsi="Arial"/>
          <w:sz w:val="16"/>
          <w:szCs w:val="16"/>
          <w:color w:val="auto"/>
        </w:rPr>
        <w:t>company</w:t>
      </w:r>
    </w:p>
    <w:p>
      <w:pPr>
        <w:spacing w:after="0" w:line="118" w:lineRule="exact"/>
        <w:rPr>
          <w:sz w:val="24"/>
          <w:szCs w:val="24"/>
          <w:color w:val="auto"/>
        </w:rPr>
      </w:pPr>
    </w:p>
    <w:p>
      <w:pPr>
        <w:ind w:left="520" w:right="1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320"/>
          </w:cols>
          <w:pgMar w:left="240" w:top="422" w:right="339" w:bottom="1440" w:gutter="0" w:footer="0" w:header="0"/>
          <w:type w:val="continuous"/>
        </w:sectPr>
      </w:pPr>
    </w:p>
    <w:p>
      <w:pPr>
        <w:spacing w:after="0" w:line="63" w:lineRule="exact"/>
        <w:rPr>
          <w:sz w:val="24"/>
          <w:szCs w:val="24"/>
          <w:color w:val="auto"/>
        </w:rPr>
      </w:pPr>
    </w:p>
    <w:p>
      <w:pPr>
        <w:ind w:left="520"/>
        <w:spacing w:after="0" w:line="196" w:lineRule="exact"/>
        <w:tabs>
          <w:tab w:leader="none" w:pos="80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3">
            <w:col w:w="8520" w:space="160"/>
            <w:col w:w="200" w:space="80"/>
            <w:col w:w="2360"/>
          </w:cols>
          <w:pgMar w:left="240" w:top="422" w:right="339" w:bottom="1440" w:gutter="0" w:footer="0" w:header="0"/>
          <w:type w:val="continuous"/>
        </w:sectPr>
      </w:pPr>
    </w:p>
    <w:p>
      <w:pPr>
        <w:ind w:left="520"/>
        <w:spacing w:after="0"/>
        <w:rPr>
          <w:sz w:val="20"/>
          <w:szCs w:val="20"/>
          <w:color w:val="auto"/>
        </w:rPr>
      </w:pPr>
      <w:r>
        <w:rPr>
          <w:rFonts w:ascii="Arial" w:cs="Arial" w:eastAsia="Arial" w:hAnsi="Arial"/>
          <w:sz w:val="14"/>
          <w:szCs w:val="14"/>
          <w:color w:val="auto"/>
        </w:rPr>
        <w:t>As of May 10, 2017, the registrant had 27,075,284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808990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22"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00" w:firstLine="761"/>
        <w:spacing w:after="0" w:line="293" w:lineRule="auto"/>
        <w:rPr>
          <w:sz w:val="20"/>
          <w:szCs w:val="20"/>
          <w:color w:val="auto"/>
        </w:rPr>
      </w:pPr>
      <w:r>
        <w:rPr>
          <w:rFonts w:ascii="Arial" w:cs="Arial" w:eastAsia="Arial" w:hAnsi="Arial"/>
          <w:sz w:val="16"/>
          <w:szCs w:val="16"/>
          <w:color w:val="auto"/>
        </w:rPr>
        <w:t>This Quarterly Report on Form 10-Q contains express or implied forward-looking statements within the meaning of Section 27A of the Securities Act and Section 21E of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on Form 10-Q include, but are not limited to, statements about:</w:t>
      </w:r>
    </w:p>
    <w:p>
      <w:pPr>
        <w:spacing w:after="0" w:line="165"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and future preclinical and clinical studies;</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advance any product candidates into, and successfully complete, clinical studies and obtain regulatory approval for them;</w:t>
      </w:r>
    </w:p>
    <w:p>
      <w:pPr>
        <w:spacing w:after="0" w:line="236" w:lineRule="exact"/>
        <w:rPr>
          <w:rFonts w:ascii="Arial" w:cs="Arial" w:eastAsia="Arial" w:hAnsi="Arial"/>
          <w:sz w:val="17"/>
          <w:szCs w:val="17"/>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marketing and manufacturing of our product candidates, if approved;</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product candidates and technology;</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248" w:lineRule="exact"/>
        <w:rPr>
          <w:rFonts w:ascii="Arial" w:cs="Arial" w:eastAsia="Arial" w:hAnsi="Arial"/>
          <w:sz w:val="16"/>
          <w:szCs w:val="16"/>
          <w:color w:val="auto"/>
        </w:rPr>
      </w:pPr>
    </w:p>
    <w:p>
      <w:pPr>
        <w:ind w:left="900" w:right="8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private placement offering, and estimates of our expenses, future revenues, capital requirements and our needs for additional financing;</w:t>
      </w:r>
    </w:p>
    <w:p>
      <w:pPr>
        <w:spacing w:after="0" w:line="17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the impact of government regulation; and</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ind w:firstLine="761"/>
        <w:spacing w:after="0" w:line="270" w:lineRule="auto"/>
        <w:rPr>
          <w:sz w:val="20"/>
          <w:szCs w:val="20"/>
          <w:color w:val="auto"/>
        </w:rPr>
      </w:pPr>
      <w:r>
        <w:rPr>
          <w:rFonts w:ascii="Arial" w:cs="Arial" w:eastAsia="Arial" w:hAnsi="Arial"/>
          <w:sz w:val="17"/>
          <w:szCs w:val="17"/>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178" w:lineRule="exact"/>
        <w:rPr>
          <w:sz w:val="20"/>
          <w:szCs w:val="20"/>
          <w:color w:val="auto"/>
        </w:rPr>
      </w:pPr>
    </w:p>
    <w:p>
      <w:pPr>
        <w:ind w:right="40" w:firstLine="761"/>
        <w:spacing w:after="0" w:line="259" w:lineRule="auto"/>
        <w:rPr>
          <w:sz w:val="20"/>
          <w:szCs w:val="20"/>
          <w:color w:val="auto"/>
        </w:rPr>
      </w:pPr>
      <w:r>
        <w:rPr>
          <w:rFonts w:ascii="Arial" w:cs="Arial" w:eastAsia="Arial" w:hAnsi="Arial"/>
          <w:sz w:val="18"/>
          <w:szCs w:val="18"/>
          <w:color w:val="auto"/>
        </w:rPr>
        <w:t>The forward-looking statements in this Quarterly Report on Form 10-Q represent our views as of the date of this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740" w:type="dxa"/>
            <w:vAlign w:val="bottom"/>
            <w:gridSpan w:val="6"/>
          </w:tcPr>
          <w:p>
            <w:pPr>
              <w:ind w:left="360"/>
              <w:spacing w:after="0"/>
              <w:rPr>
                <w:sz w:val="20"/>
                <w:szCs w:val="20"/>
                <w:color w:val="auto"/>
              </w:rPr>
            </w:pPr>
            <w:r>
              <w:rPr>
                <w:rFonts w:ascii="Arial" w:cs="Arial" w:eastAsia="Arial" w:hAnsi="Arial"/>
                <w:sz w:val="18"/>
                <w:szCs w:val="18"/>
                <w:b w:val="1"/>
                <w:bCs w:val="1"/>
                <w:color w:val="auto"/>
              </w:rPr>
              <w:t>Table of Contents</w:t>
            </w:r>
          </w:p>
        </w:tc>
      </w:tr>
      <w:tr>
        <w:trPr>
          <w:trHeight w:val="608"/>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4060" w:type="dxa"/>
            <w:vAlign w:val="bottom"/>
            <w:gridSpan w:val="9"/>
          </w:tcPr>
          <w:p>
            <w:pPr>
              <w:spacing w:after="0"/>
              <w:rPr>
                <w:sz w:val="24"/>
                <w:szCs w:val="24"/>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4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 and Comprehensive Loss</w:t>
              </w:r>
            </w:hyperlink>
          </w:p>
        </w:tc>
        <w:tc>
          <w:tcPr>
            <w:tcW w:w="920" w:type="dxa"/>
            <w:vAlign w:val="bottom"/>
          </w:tcPr>
          <w:p>
            <w:pPr>
              <w:spacing w:after="0"/>
              <w:rPr>
                <w:sz w:val="18"/>
                <w:szCs w:val="18"/>
                <w:color w:val="auto"/>
              </w:rPr>
            </w:pPr>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6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Equity (Deficit)</w:t>
              </w:r>
            </w:hyperlink>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0" w:type="dxa"/>
            <w:vAlign w:val="bottom"/>
            <w:tcBorders>
              <w:top w:val="single" w:sz="8" w:color="0000EE"/>
            </w:tcBorders>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1460" w:type="dxa"/>
            <w:vAlign w:val="bottom"/>
            <w:gridSpan w:val="2"/>
          </w:tcPr>
          <w:p>
            <w:pPr>
              <w:spacing w:after="0"/>
              <w:rPr>
                <w:sz w:val="18"/>
                <w:szCs w:val="18"/>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1660" w:type="dxa"/>
            <w:vAlign w:val="bottom"/>
            <w:gridSpan w:val="3"/>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Quantitative and Qualitative Disclosures About Market Risk</w:t>
              </w:r>
            </w:hyperlink>
          </w:p>
        </w:tc>
        <w:tc>
          <w:tcPr>
            <w:tcW w:w="2080" w:type="dxa"/>
            <w:vAlign w:val="bottom"/>
            <w:gridSpan w:val="4"/>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Controls and Procedures</w:t>
              </w:r>
            </w:hyperlink>
          </w:p>
        </w:tc>
        <w:tc>
          <w:tcPr>
            <w:tcW w:w="4660" w:type="dxa"/>
            <w:vAlign w:val="bottom"/>
            <w:gridSpan w:val="12"/>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60" w:type="dxa"/>
            <w:vAlign w:val="bottom"/>
            <w:gridSpan w:val="18"/>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OTHER INFORMATION</w:t>
              </w:r>
            </w:hyperlink>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4440" w:type="dxa"/>
            <w:vAlign w:val="bottom"/>
            <w:gridSpan w:val="11"/>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8"/>
                <w:szCs w:val="18"/>
                <w:color w:val="auto"/>
              </w:rPr>
            </w:pPr>
          </w:p>
        </w:tc>
        <w:tc>
          <w:tcPr>
            <w:tcW w:w="5120" w:type="dxa"/>
            <w:vAlign w:val="bottom"/>
            <w:gridSpan w:val="14"/>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Unregistered Sales of Equity Securities and Use of Proceeds</w:t>
              </w:r>
            </w:hyperlink>
          </w:p>
        </w:tc>
        <w:tc>
          <w:tcPr>
            <w:tcW w:w="2100" w:type="dxa"/>
            <w:vAlign w:val="bottom"/>
            <w:gridSpan w:val="5"/>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Defaults Upon Senior Securities</w:t>
              </w:r>
            </w:hyperlink>
          </w:p>
        </w:tc>
        <w:tc>
          <w:tcPr>
            <w:tcW w:w="4120" w:type="dxa"/>
            <w:vAlign w:val="bottom"/>
            <w:gridSpan w:val="10"/>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Mine Safety Disclosures</w:t>
              </w:r>
            </w:hyperlink>
          </w:p>
        </w:tc>
        <w:tc>
          <w:tcPr>
            <w:tcW w:w="4680" w:type="dxa"/>
            <w:vAlign w:val="bottom"/>
            <w:gridSpan w:val="13"/>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6460" w:type="dxa"/>
            <w:vAlign w:val="bottom"/>
            <w:gridSpan w:val="1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5140" w:type="dxa"/>
            <w:vAlign w:val="bottom"/>
            <w:gridSpan w:val="15"/>
          </w:tcPr>
          <w:p>
            <w:pPr>
              <w:spacing w:after="0"/>
              <w:rPr>
                <w:sz w:val="18"/>
                <w:szCs w:val="18"/>
                <w:color w:val="auto"/>
              </w:rPr>
            </w:pPr>
          </w:p>
        </w:tc>
      </w:tr>
      <w:tr>
        <w:trPr>
          <w:trHeight w:val="210"/>
        </w:trPr>
        <w:tc>
          <w:tcPr>
            <w:tcW w:w="960" w:type="dxa"/>
            <w:vAlign w:val="bottom"/>
            <w:gridSpan w:val="2"/>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6" w:lineRule="exact"/>
        <w:rPr>
          <w:sz w:val="20"/>
          <w:szCs w:val="20"/>
          <w:color w:val="auto"/>
        </w:rPr>
      </w:pPr>
    </w:p>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Exhibit 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11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15240</wp:posOffset>
            </wp:positionV>
            <wp:extent cx="300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ectPr>
          <w:pgSz w:w="11900" w:h="16838" w:orient="portrait"/>
          <w:cols w:equalWidth="0" w:num="2">
            <w:col w:w="10320" w:space="720"/>
            <w:col w:w="38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center"/>
              <w:ind w:right="173"/>
              <w:spacing w:after="0" w:line="155" w:lineRule="exact"/>
              <w:rPr>
                <w:sz w:val="20"/>
                <w:szCs w:val="20"/>
                <w:color w:val="auto"/>
              </w:rPr>
            </w:pPr>
            <w:r>
              <w:rPr>
                <w:rFonts w:ascii="Arial" w:cs="Arial" w:eastAsia="Arial" w:hAnsi="Arial"/>
                <w:sz w:val="14"/>
                <w:szCs w:val="14"/>
                <w:i w:val="1"/>
                <w:iCs w:val="1"/>
                <w:color w:val="auto"/>
                <w:w w:val="95"/>
              </w:rPr>
              <w:t>(unaudited)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35,139,109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1,609,694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32,453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240"/>
              <w:spacing w:after="0"/>
              <w:rPr>
                <w:sz w:val="20"/>
                <w:szCs w:val="20"/>
                <w:color w:val="auto"/>
              </w:rPr>
            </w:pPr>
            <w:r>
              <w:rPr>
                <w:rFonts w:ascii="Arial" w:cs="Arial" w:eastAsia="Arial" w:hAnsi="Arial"/>
                <w:sz w:val="18"/>
                <w:szCs w:val="18"/>
                <w:color w:val="auto"/>
              </w:rPr>
              <w:t>Prepaid research and development contracts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297,158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353,434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602,488</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209,038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36,121,208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2,226,323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138,147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36,280,315</w:t>
            </w:r>
          </w:p>
        </w:tc>
        <w:tc>
          <w:tcPr>
            <w:tcW w:w="280" w:type="dxa"/>
            <w:vAlign w:val="bottom"/>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2,396,878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2,970,048</w:t>
            </w:r>
          </w:p>
        </w:tc>
        <w:tc>
          <w:tcPr>
            <w:tcW w:w="28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2,470,970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Convertible notes</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12,386,647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2,970,048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14,857,617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10)</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 (all classes)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73,757,890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7"/>
              </w:rPr>
              <w:t>Common stock, $0.0001 par value per share; 300,000,000 and 17,440,436 shares authorized and</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3"/>
              </w:rPr>
              <w:t>27,049,555 and 1,240,925 shares issued and outstanding at March 31, 2017 and December 31, 2016</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125,465,315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(92,157,753)</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(86,218,753)</w:t>
            </w: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33,310,267</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(86,218,629)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redeemable convertible preferred stock, and stockholders’ equity (deficit)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36,280,315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2,396,878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Borders>
              <w:bottom w:val="single" w:sz="8" w:color="CFF0FC"/>
            </w:tcBorders>
          </w:tcPr>
          <w:p>
            <w:pPr>
              <w:spacing w:after="0"/>
              <w:rPr>
                <w:sz w:val="14"/>
                <w:szCs w:val="14"/>
                <w:color w:val="auto"/>
              </w:rPr>
            </w:pPr>
          </w:p>
        </w:tc>
        <w:tc>
          <w:tcPr>
            <w:tcW w:w="9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960" w:type="dxa"/>
            <w:vAlign w:val="bottom"/>
            <w:gridSpan w:val="4"/>
            <w:shd w:val="clear" w:color="auto" w:fill="CFF0FC"/>
          </w:tcPr>
          <w:p>
            <w:pPr>
              <w:jc w:val="right"/>
              <w:ind w:right="105"/>
              <w:spacing w:after="0"/>
              <w:rPr>
                <w:sz w:val="20"/>
                <w:szCs w:val="20"/>
                <w:color w:val="auto"/>
              </w:rPr>
            </w:pPr>
            <w:r>
              <w:rPr>
                <w:rFonts w:ascii="Arial" w:cs="Arial" w:eastAsia="Arial" w:hAnsi="Arial"/>
                <w:sz w:val="18"/>
                <w:szCs w:val="18"/>
                <w:i w:val="1"/>
                <w:iCs w:val="1"/>
                <w:color w:val="auto"/>
              </w:rPr>
              <w:t>(unaudited)</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3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2,255,584</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2,989,558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2,504,001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1,215,885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4,759,585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4,205,443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9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(4,759,585)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(4,205,443)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Grant income</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income, net</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(271,775)</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Total other (expense) income</w:t>
            </w:r>
          </w:p>
        </w:tc>
        <w:tc>
          <w:tcPr>
            <w:tcW w:w="9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(236,118)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0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96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(4,995,703)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(4,194,698)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Reconciliation to net loss attributable to common stockholders:</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 and comprehensive loss</w:t>
            </w:r>
          </w:p>
        </w:tc>
        <w:tc>
          <w:tcPr>
            <w:tcW w:w="13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(4,995,703)</w:t>
            </w: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(4,194,698)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Accretion of preferred stock to redemption value</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(943,297)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(1,015,371)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(5,939,000)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(5,210,069)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(1.06)</w:t>
            </w: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used in computing net loss per share</w:t>
            </w:r>
          </w:p>
        </w:tc>
        <w:tc>
          <w:tcPr>
            <w:tcW w:w="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attributable to common stockholders, basic and diluted</w:t>
            </w:r>
          </w:p>
        </w:tc>
        <w:tc>
          <w:tcPr>
            <w:tcW w:w="9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5,605,151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20" w:type="dxa"/>
            <w:vAlign w:val="bottom"/>
          </w:tcPr>
          <w:p>
            <w:pPr>
              <w:spacing w:after="0"/>
              <w:rPr>
                <w:sz w:val="14"/>
                <w:szCs w:val="14"/>
                <w:color w:val="auto"/>
              </w:rPr>
            </w:pPr>
          </w:p>
        </w:tc>
        <w:tc>
          <w:tcPr>
            <w:tcW w:w="2580" w:type="dxa"/>
            <w:vAlign w:val="bottom"/>
            <w:gridSpan w:val="6"/>
            <w:vMerge w:val="restart"/>
          </w:tcPr>
          <w:p>
            <w:pPr>
              <w:jc w:val="right"/>
              <w:ind w:right="420"/>
              <w:spacing w:after="0"/>
              <w:rPr>
                <w:sz w:val="20"/>
                <w:szCs w:val="20"/>
                <w:color w:val="auto"/>
              </w:rPr>
            </w:pPr>
            <w:r>
              <w:rPr>
                <w:rFonts w:ascii="Arial" w:cs="Arial" w:eastAsia="Arial" w:hAnsi="Arial"/>
                <w:sz w:val="14"/>
                <w:szCs w:val="14"/>
                <w:color w:val="auto"/>
                <w:w w:val="98"/>
              </w:rPr>
              <w:t>Redeemable Convertible Preferred</w:t>
            </w: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ind w:right="308"/>
              <w:spacing w:after="0"/>
              <w:rPr>
                <w:sz w:val="20"/>
                <w:szCs w:val="20"/>
                <w:color w:val="auto"/>
              </w:rPr>
            </w:pPr>
            <w:r>
              <w:rPr>
                <w:rFonts w:ascii="Arial" w:cs="Arial" w:eastAsia="Arial" w:hAnsi="Arial"/>
                <w:sz w:val="14"/>
                <w:szCs w:val="14"/>
                <w:color w:val="auto"/>
                <w:w w:val="98"/>
              </w:rPr>
              <w:t>Stockholders’ Equity (Deficit)</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620" w:type="dxa"/>
            <w:vAlign w:val="bottom"/>
          </w:tcPr>
          <w:p>
            <w:pPr>
              <w:spacing w:after="0"/>
              <w:rPr>
                <w:sz w:val="11"/>
                <w:szCs w:val="11"/>
                <w:color w:val="auto"/>
              </w:rPr>
            </w:pPr>
          </w:p>
        </w:tc>
        <w:tc>
          <w:tcPr>
            <w:tcW w:w="2580" w:type="dxa"/>
            <w:vAlign w:val="bottom"/>
            <w:gridSpan w:val="6"/>
            <w:vMerge w:val="continue"/>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20" w:type="dxa"/>
            <w:vAlign w:val="bottom"/>
          </w:tcPr>
          <w:p>
            <w:pPr>
              <w:spacing w:after="0"/>
              <w:rPr>
                <w:sz w:val="14"/>
                <w:szCs w:val="14"/>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4"/>
                <w:szCs w:val="14"/>
                <w:color w:val="auto"/>
              </w:rPr>
              <w:t>Stock (all classes)</w:t>
            </w:r>
          </w:p>
        </w:tc>
        <w:tc>
          <w:tcPr>
            <w:tcW w:w="2280" w:type="dxa"/>
            <w:vAlign w:val="bottom"/>
            <w:gridSpan w:val="4"/>
          </w:tcPr>
          <w:p>
            <w:pPr>
              <w:jc w:val="right"/>
              <w:ind w:right="628"/>
              <w:spacing w:after="0"/>
              <w:rPr>
                <w:sz w:val="20"/>
                <w:szCs w:val="20"/>
                <w:color w:val="auto"/>
              </w:rPr>
            </w:pPr>
            <w:r>
              <w:rPr>
                <w:rFonts w:ascii="Arial" w:cs="Arial" w:eastAsia="Arial" w:hAnsi="Arial"/>
                <w:sz w:val="14"/>
                <w:szCs w:val="14"/>
                <w:color w:val="auto"/>
              </w:rPr>
              <w:t>Common Stock</w:t>
            </w:r>
          </w:p>
        </w:tc>
        <w:tc>
          <w:tcPr>
            <w:tcW w:w="260" w:type="dxa"/>
            <w:vAlign w:val="bottom"/>
          </w:tcPr>
          <w:p>
            <w:pPr>
              <w:spacing w:after="0"/>
              <w:rPr>
                <w:sz w:val="14"/>
                <w:szCs w:val="14"/>
                <w:color w:val="auto"/>
              </w:rPr>
            </w:pPr>
          </w:p>
        </w:tc>
        <w:tc>
          <w:tcPr>
            <w:tcW w:w="1260" w:type="dxa"/>
            <w:vAlign w:val="bottom"/>
            <w:gridSpan w:val="3"/>
            <w:vMerge w:val="restart"/>
          </w:tcPr>
          <w:p>
            <w:pPr>
              <w:jc w:val="center"/>
              <w:ind w:right="260"/>
              <w:spacing w:after="0"/>
              <w:rPr>
                <w:sz w:val="20"/>
                <w:szCs w:val="20"/>
                <w:color w:val="auto"/>
              </w:rPr>
            </w:pPr>
            <w:r>
              <w:rPr>
                <w:rFonts w:ascii="Arial" w:cs="Arial" w:eastAsia="Arial" w:hAnsi="Arial"/>
                <w:sz w:val="14"/>
                <w:szCs w:val="14"/>
                <w:color w:val="auto"/>
                <w:w w:val="97"/>
              </w:rPr>
              <w:t>Additional Paid-</w:t>
            </w:r>
          </w:p>
        </w:tc>
        <w:tc>
          <w:tcPr>
            <w:tcW w:w="80" w:type="dxa"/>
            <w:vAlign w:val="bottom"/>
          </w:tcPr>
          <w:p>
            <w:pPr>
              <w:spacing w:after="0"/>
              <w:rPr>
                <w:sz w:val="14"/>
                <w:szCs w:val="14"/>
                <w:color w:val="auto"/>
              </w:rPr>
            </w:pPr>
          </w:p>
        </w:tc>
        <w:tc>
          <w:tcPr>
            <w:tcW w:w="1160" w:type="dxa"/>
            <w:vAlign w:val="bottom"/>
            <w:gridSpan w:val="2"/>
            <w:vMerge w:val="restart"/>
          </w:tcPr>
          <w:p>
            <w:pPr>
              <w:jc w:val="right"/>
              <w:ind w:right="288"/>
              <w:spacing w:after="0"/>
              <w:rPr>
                <w:sz w:val="20"/>
                <w:szCs w:val="20"/>
                <w:color w:val="auto"/>
              </w:rPr>
            </w:pPr>
            <w:r>
              <w:rPr>
                <w:rFonts w:ascii="Arial" w:cs="Arial" w:eastAsia="Arial" w:hAnsi="Arial"/>
                <w:sz w:val="14"/>
                <w:szCs w:val="14"/>
                <w:color w:val="auto"/>
                <w:w w:val="96"/>
              </w:rPr>
              <w:t>Accumulated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6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20" w:type="dxa"/>
            <w:vAlign w:val="bottom"/>
            <w:vMerge w:val="restart"/>
          </w:tcPr>
          <w:p>
            <w:pPr>
              <w:spacing w:after="0"/>
              <w:rPr>
                <w:sz w:val="20"/>
                <w:szCs w:val="20"/>
                <w:color w:val="auto"/>
              </w:rPr>
            </w:pPr>
            <w:r>
              <w:rPr>
                <w:rFonts w:ascii="Arial" w:cs="Arial" w:eastAsia="Arial" w:hAnsi="Arial"/>
                <w:sz w:val="14"/>
                <w:szCs w:val="14"/>
                <w:color w:val="auto"/>
              </w:rPr>
              <w:t>Balance at December 31, 2016</w:t>
            </w:r>
          </w:p>
        </w:tc>
        <w:tc>
          <w:tcPr>
            <w:tcW w:w="1260" w:type="dxa"/>
            <w:vAlign w:val="bottom"/>
            <w:gridSpan w:val="2"/>
          </w:tcPr>
          <w:p>
            <w:pPr>
              <w:jc w:val="right"/>
              <w:ind w:right="58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color w:val="auto"/>
              </w:rPr>
              <w:t>Total</w:t>
            </w:r>
          </w:p>
        </w:tc>
        <w:tc>
          <w:tcPr>
            <w:tcW w:w="126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w w:val="97"/>
              </w:rPr>
              <w:t>Par 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In Capital</w:t>
            </w:r>
          </w:p>
        </w:tc>
        <w:tc>
          <w:tcPr>
            <w:tcW w:w="80" w:type="dxa"/>
            <w:vAlign w:val="bottom"/>
          </w:tcPr>
          <w:p>
            <w:pPr>
              <w:spacing w:after="0"/>
              <w:rPr>
                <w:sz w:val="14"/>
                <w:szCs w:val="14"/>
                <w:color w:val="auto"/>
              </w:rPr>
            </w:pPr>
          </w:p>
        </w:tc>
        <w:tc>
          <w:tcPr>
            <w:tcW w:w="1160" w:type="dxa"/>
            <w:vAlign w:val="bottom"/>
            <w:gridSpan w:val="2"/>
          </w:tcPr>
          <w:p>
            <w:pPr>
              <w:jc w:val="right"/>
              <w:ind w:right="488"/>
              <w:spacing w:after="0"/>
              <w:rPr>
                <w:sz w:val="20"/>
                <w:szCs w:val="20"/>
                <w:color w:val="auto"/>
              </w:rPr>
            </w:pPr>
            <w:r>
              <w:rPr>
                <w:rFonts w:ascii="Arial" w:cs="Arial" w:eastAsia="Arial" w:hAnsi="Arial"/>
                <w:sz w:val="14"/>
                <w:szCs w:val="14"/>
                <w:color w:val="auto"/>
              </w:rPr>
              <w:t>Deficit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2620" w:type="dxa"/>
            <w:vAlign w:val="bottom"/>
            <w:vMerge w:val="continue"/>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14,015,016</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73,757,890</w:t>
            </w:r>
          </w:p>
        </w:tc>
        <w:tc>
          <w:tcPr>
            <w:tcW w:w="240" w:type="dxa"/>
            <w:vAlign w:val="bottom"/>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1,240,925</w:t>
            </w:r>
          </w:p>
        </w:tc>
        <w:tc>
          <w:tcPr>
            <w:tcW w:w="24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124</w:t>
            </w: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(86,218,753)</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jc w:val="right"/>
              <w:ind w:right="114"/>
              <w:spacing w:after="0"/>
              <w:rPr>
                <w:sz w:val="20"/>
                <w:szCs w:val="20"/>
                <w:color w:val="auto"/>
              </w:rPr>
            </w:pPr>
            <w:r>
              <w:rPr>
                <w:rFonts w:ascii="Arial" w:cs="Arial" w:eastAsia="Arial" w:hAnsi="Arial"/>
                <w:sz w:val="5"/>
                <w:szCs w:val="5"/>
                <w:color w:val="auto"/>
                <w:w w:val="70"/>
              </w:rPr>
              <w:t>$</w:t>
            </w: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(86,218,629)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Adjustment of redeemable</w:t>
            </w: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convertible preferred stock</w:t>
            </w: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to redemption value</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943,297</w:t>
            </w:r>
          </w:p>
        </w:tc>
        <w:tc>
          <w:tcPr>
            <w:tcW w:w="2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(943,297)</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(943,297)</w:t>
            </w:r>
          </w:p>
        </w:tc>
        <w:tc>
          <w:tcPr>
            <w:tcW w:w="0" w:type="dxa"/>
            <w:vAlign w:val="bottom"/>
          </w:tcPr>
          <w:p>
            <w:pPr>
              <w:spacing w:after="0"/>
              <w:rPr>
                <w:sz w:val="1"/>
                <w:szCs w:val="1"/>
                <w:color w:val="auto"/>
              </w:rPr>
            </w:pPr>
          </w:p>
        </w:tc>
      </w:tr>
      <w:tr>
        <w:trPr>
          <w:trHeight w:val="162"/>
        </w:trPr>
        <w:tc>
          <w:tcPr>
            <w:tcW w:w="2620" w:type="dxa"/>
            <w:vAlign w:val="bottom"/>
          </w:tcPr>
          <w:p>
            <w:pPr>
              <w:ind w:left="260"/>
              <w:spacing w:after="0"/>
              <w:rPr>
                <w:sz w:val="20"/>
                <w:szCs w:val="20"/>
                <w:color w:val="auto"/>
              </w:rPr>
            </w:pPr>
            <w:r>
              <w:rPr>
                <w:rFonts w:ascii="Arial" w:cs="Arial" w:eastAsia="Arial" w:hAnsi="Arial"/>
                <w:sz w:val="14"/>
                <w:szCs w:val="14"/>
                <w:color w:val="auto"/>
              </w:rPr>
              <w:t>Conversion of preferred stock</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(14,015,016)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(74,701,187)</w:t>
            </w:r>
          </w:p>
        </w:tc>
        <w:tc>
          <w:tcPr>
            <w:tcW w:w="1020" w:type="dxa"/>
            <w:vAlign w:val="bottom"/>
          </w:tcPr>
          <w:p>
            <w:pPr>
              <w:jc w:val="right"/>
              <w:spacing w:after="0"/>
              <w:rPr>
                <w:sz w:val="20"/>
                <w:szCs w:val="20"/>
                <w:color w:val="auto"/>
              </w:rPr>
            </w:pPr>
            <w:r>
              <w:rPr>
                <w:rFonts w:ascii="Arial" w:cs="Arial" w:eastAsia="Arial" w:hAnsi="Arial"/>
                <w:sz w:val="14"/>
                <w:szCs w:val="14"/>
                <w:color w:val="auto"/>
              </w:rPr>
              <w:t>14,015,016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1,402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74,699,785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74,701,187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Conversion of convertible</w:t>
            </w: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notes and accrued interest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2,744,059</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13,447,660</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13,447,934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ind w:left="260"/>
              <w:spacing w:after="0" w:line="143" w:lineRule="exact"/>
              <w:rPr>
                <w:sz w:val="20"/>
                <w:szCs w:val="20"/>
                <w:color w:val="auto"/>
              </w:rPr>
            </w:pPr>
            <w:r>
              <w:rPr>
                <w:rFonts w:ascii="Arial" w:cs="Arial" w:eastAsia="Arial" w:hAnsi="Arial"/>
                <w:sz w:val="14"/>
                <w:szCs w:val="14"/>
                <w:color w:val="auto"/>
              </w:rPr>
              <w:t>Share exchange in connection</w:t>
            </w: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360"/>
              <w:spacing w:after="0"/>
              <w:rPr>
                <w:sz w:val="20"/>
                <w:szCs w:val="20"/>
                <w:color w:val="auto"/>
              </w:rPr>
            </w:pPr>
            <w:r>
              <w:rPr>
                <w:rFonts w:ascii="Arial" w:cs="Arial" w:eastAsia="Arial" w:hAnsi="Arial"/>
                <w:sz w:val="14"/>
                <w:szCs w:val="14"/>
                <w:color w:val="auto"/>
              </w:rPr>
              <w:t>with Merger</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1,000,000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net</w:t>
            </w: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of issuance costs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8,049,555</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805</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37,162,585</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37,163,390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ind w:left="260"/>
              <w:spacing w:after="0" w:line="143" w:lineRule="exact"/>
              <w:rPr>
                <w:sz w:val="20"/>
                <w:szCs w:val="20"/>
                <w:color w:val="auto"/>
              </w:rPr>
            </w:pPr>
            <w:r>
              <w:rPr>
                <w:rFonts w:ascii="Arial" w:cs="Arial" w:eastAsia="Arial" w:hAnsi="Arial"/>
                <w:sz w:val="14"/>
                <w:szCs w:val="14"/>
                <w:color w:val="auto"/>
              </w:rPr>
              <w:t>Share-based compensation</w:t>
            </w: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360"/>
              <w:spacing w:after="0"/>
              <w:rPr>
                <w:sz w:val="20"/>
                <w:szCs w:val="20"/>
                <w:color w:val="auto"/>
              </w:rPr>
            </w:pPr>
            <w:r>
              <w:rPr>
                <w:rFonts w:ascii="Arial" w:cs="Arial" w:eastAsia="Arial" w:hAnsi="Arial"/>
                <w:sz w:val="14"/>
                <w:szCs w:val="14"/>
                <w:color w:val="auto"/>
              </w:rPr>
              <w:t>expense</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155,385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155,385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(4,995,703)</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(4,995,703)</w:t>
            </w:r>
          </w:p>
        </w:tc>
        <w:tc>
          <w:tcPr>
            <w:tcW w:w="0" w:type="dxa"/>
            <w:vAlign w:val="bottom"/>
          </w:tcPr>
          <w:p>
            <w:pPr>
              <w:spacing w:after="0"/>
              <w:rPr>
                <w:sz w:val="1"/>
                <w:szCs w:val="1"/>
                <w:color w:val="auto"/>
              </w:rPr>
            </w:pPr>
          </w:p>
        </w:tc>
      </w:tr>
      <w:tr>
        <w:trPr>
          <w:trHeight w:val="156"/>
        </w:trPr>
        <w:tc>
          <w:tcPr>
            <w:tcW w:w="2620" w:type="dxa"/>
            <w:vAlign w:val="bottom"/>
          </w:tcPr>
          <w:p>
            <w:pPr>
              <w:spacing w:after="0" w:line="155" w:lineRule="exact"/>
              <w:rPr>
                <w:sz w:val="20"/>
                <w:szCs w:val="20"/>
                <w:color w:val="auto"/>
              </w:rPr>
            </w:pPr>
            <w:r>
              <w:rPr>
                <w:rFonts w:ascii="Arial" w:cs="Arial" w:eastAsia="Arial" w:hAnsi="Arial"/>
                <w:sz w:val="14"/>
                <w:szCs w:val="14"/>
                <w:color w:val="auto"/>
              </w:rPr>
              <w:t>Balance at March 31, 2017</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27,049,555</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2,705</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125,465,315</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(92,157,753</w:t>
            </w:r>
          </w:p>
        </w:tc>
        <w:tc>
          <w:tcPr>
            <w:tcW w:w="26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84"/>
              </w:rPr>
              <w:t>)</w:t>
            </w: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5"/>
                <w:szCs w:val="5"/>
                <w:color w:val="auto"/>
                <w:w w:val="70"/>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33,310,267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Borders>
              <w:bottom w:val="single" w:sz="8" w:color="CFF0FC"/>
            </w:tcBorders>
          </w:tcPr>
          <w:p>
            <w:pPr>
              <w:spacing w:after="0"/>
              <w:rPr>
                <w:sz w:val="14"/>
                <w:szCs w:val="14"/>
                <w:color w:val="auto"/>
              </w:rPr>
            </w:pPr>
          </w:p>
        </w:tc>
        <w:tc>
          <w:tcPr>
            <w:tcW w:w="11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960" w:type="dxa"/>
            <w:vAlign w:val="bottom"/>
            <w:gridSpan w:val="4"/>
            <w:shd w:val="clear" w:color="auto" w:fill="CFF0FC"/>
          </w:tcPr>
          <w:p>
            <w:pPr>
              <w:jc w:val="right"/>
              <w:ind w:right="105"/>
              <w:spacing w:after="0"/>
              <w:rPr>
                <w:sz w:val="20"/>
                <w:szCs w:val="20"/>
                <w:color w:val="auto"/>
              </w:rPr>
            </w:pPr>
            <w:r>
              <w:rPr>
                <w:rFonts w:ascii="Arial" w:cs="Arial" w:eastAsia="Arial" w:hAnsi="Arial"/>
                <w:sz w:val="18"/>
                <w:szCs w:val="18"/>
                <w:i w:val="1"/>
                <w:iCs w:val="1"/>
                <w:color w:val="auto"/>
              </w:rPr>
              <w:t>(unaudited)</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(4,995,703)</w:t>
            </w: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(4,194,698)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Stock-based compensation</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Amortization of debt issuance costs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75,561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expense related to convertible note conversion</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(28,296)</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Prepaid expenses and current other assets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(337,174)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214,040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and other current liabilities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982,521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(97,626)</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1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(3,929,121)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(3,873,127)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Purchase of furniture and equipment</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(2,208)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(110,449)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(110,449)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Proceeds from issuances of convertible notes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Proceeds from sale of common stock</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40,247,775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Cash paid in connection with the sale of common stock</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(3,084,385)</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1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37,460,744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6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33,529,415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(3,983,576)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year</w:t>
            </w:r>
          </w:p>
        </w:tc>
        <w:tc>
          <w:tcPr>
            <w:tcW w:w="1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1,609,694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5,144,211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80" w:type="dxa"/>
            <w:vAlign w:val="bottom"/>
            <w:gridSpan w:val="2"/>
          </w:tcPr>
          <w:p>
            <w:pPr>
              <w:spacing w:after="0"/>
              <w:rPr>
                <w:sz w:val="20"/>
                <w:szCs w:val="20"/>
                <w:color w:val="auto"/>
              </w:rPr>
            </w:pPr>
            <w:r>
              <w:rPr>
                <w:rFonts w:ascii="Arial" w:cs="Arial" w:eastAsia="Arial" w:hAnsi="Arial"/>
                <w:sz w:val="18"/>
                <w:szCs w:val="18"/>
                <w:color w:val="auto"/>
              </w:rPr>
              <w:t>Cash and cash equivalents, three months ended</w:t>
            </w:r>
          </w:p>
        </w:tc>
        <w:tc>
          <w:tcPr>
            <w:tcW w:w="118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35,139,109</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1,160,635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b w:val="1"/>
                <w:bCs w:val="1"/>
                <w:color w:val="auto"/>
              </w:rPr>
              <w:t>Non-cash financing activities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Conversion of preferred stock into common stock</w:t>
            </w:r>
          </w:p>
        </w:tc>
        <w:tc>
          <w:tcPr>
            <w:tcW w:w="15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74,701,187</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Conversion of notes and accrued interest into common stock</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13,447,934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Accretion of preferred stock to redemption value</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943,297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1,015,371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Organization and Operations</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Aerpio Pharmaceuticals, Inc. (the “Company”) was incorporated as Zeta Acquisition Corp. II (“Zeta”) in the State of Delaware on November 16, 2007. Prior to the Merger, (as defined below), Zeta was a “shell company” (as defined in Rule 12b-2 of the Securities Exchange Act of 1934, as amended).</w:t>
      </w:r>
    </w:p>
    <w:p>
      <w:pPr>
        <w:spacing w:after="0" w:line="3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March 3, 2017, the Company’s Board of Directors, and on March 10, 2017, the Company’s pre-Merger (as defined below) stockholders, approved an amended and restated certificate of incorporation, which, among other things, increased authorized capital stock from 100,000,000 shares of common stock, par value $0.0001 per share, and 10,000,000 shares of preferred stock, par value $0.0001 per share, to 300,000,000 shares of common stock, par value $0.0001 per share, and 10,000,000 shares of preferred stock, par value $0.0001 per share.</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15, 2017, Zeta changed its name to Aerpio Pharmaceuticals, Inc. and its wholly-owned subsidiary, Aerpio Acquisition Corp., a corporation formed in the State of Delaware on March 3, 2017, merged with and into Aerpio Therapeutics, Inc., (“Aerpio”), (the “Merger”), a corporation incorporated on November 17, 2011 in the State of Delaware. Pursuant to the Merger, Aerpio remained as the surviving corporation and became the Company’s wholly-owned subsidiary.</w:t>
      </w:r>
    </w:p>
    <w:p>
      <w:pPr>
        <w:spacing w:after="0" w:line="7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At the effective time of the Merger, the shares of the Aerpio’s (i) common stock issued and outstanding immediately prior to the closing of the Merger (including restricted common stock, whether vested or unvested, issued under the Aerpio’s 2011 Equity Incentive Plan), and (ii) redeemable convertible preferred stock issued and outstanding immediately prior to the closing of the Merger, were converted into shares of the Company’s common stock. In addition, immediately prior to the Merger, the outstanding amounts under certain Senior Secured Convertible Promissory Notes issued by Aerpio to its pre-Merger noteholders were converted into shares of Aerpio’s preferred stock, which were then converted to shares of Aerpio’s common stock and subsequently were converted into shares of the Company’s common stock, together with the other shares of the Aerpio’s common stock described above. In addition, pursuant to the Merger Agreement options to purchase shares of the Aerpio’s common stock issued and outstanding immediately prior to the closing of the Merger were assumed and converted into options to purchase shares of the Company’s common stock. All the outstanding capital stock of Aerpio was converted into shares of the Company’s common stock on a 2.3336572:1 basis.</w:t>
      </w:r>
    </w:p>
    <w:p>
      <w:pPr>
        <w:spacing w:after="0" w:line="18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a result of the Merger, the Company acquired the business of Aerpio and will continue the existing business operations of Aerpio as a public reporting company under the name Aerpio Pharmaceuticals, Inc. Immediately after the Merger, on March 15, 2017, Aerpio converted into a Delaware limited liability company (the “Conversion”).</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Immediately following the Conversion, the pre-Merger stockholders of Zeta surrendered for cancellation 4,000,000 of the 5,000,000 shares of the outstanding common stock of Zeta, (the “Share Cancellation”). Following the Share Cancellation, on March 15, 2017, the Company closed a private placement offering (the “Offering”) of 8,049,555 shares of the Company’s common stock, at a purchase price of $5.00 per share, for net proceeds of approximately $37.2 million and the issuance of warrants with a term of three years, to purchase 317,562 shares of the Company’s common stock at an exercise price of $5.00 per share.</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Merger was treated as a recapitalization and reverse acquisition for financial reporting purposes. The Company is the legal acquirer of Aerpio in the transaction. However, Aerpio is considered the acquiring company for accounting purposes since (i) former Aerpio stockholders own in excess of 50% of the combined enterprise on a fully diluted basis immediately following the Merger and Offering, and (ii) all members of the Company’s executive management and Board of Directors are from Aerpio. In accordance with “reverse merger” or “reverse acquisition” accounting treatment, the unaudited condensed consolidated interim financial statements for the period ended March 31, 2017 include the accounts of the Company and its wholly owned subsidiary, Aerpio Therapeutics, LLC. The comparative historical financial statements for periods ended prior to the date of the Merger are the historical financial statements of Aerpio. Consequently, the assets and liabilities and the historical operations that are reflected in these condensed consolidated financial statements of the company are those of Aerpio, which were recorded at their historical cost basis. Unless otherwise indicated, all share and per share figures reflect the exchange of each 2.3336572 shares of Aerpio capital stock, convertible notes and share based awards, then outstanding, for 1 share of the Company’s common stock at the effective time of the Merger.</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a biopharmaceutical company focused on advancing first-in-class treatments for ocular disease. The Company’s lead product candidate, AKB-9778, a small molecule activator of the tie-2 pathway, is being developed for the treatment of diabetic retinopathy (“DR”). Tie-2 signaling is essential for regulating blood vessel development and the stability of mature vessels. The Company has completed a Phase 2a clinical trial in diabetic macular edema (“DME”), a swelling of the retina that is a common cause of vision loss in patients with DR and intends to initiate a twelve month, double blind Phase 2b clinical trial in patients with DR who have not developed more serious complications such as DME or proliferative diabetic retinopathy. The DR clinical trial will be initiated in the second quarter of 2017.</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 w:name="page9"/>
    <w:bookmarkEnd w:id="8"/>
    <w:p>
      <w:pPr>
        <w:ind w:right="300"/>
        <w:spacing w:after="0" w:line="297" w:lineRule="auto"/>
        <w:rPr>
          <w:sz w:val="20"/>
          <w:szCs w:val="20"/>
          <w:color w:val="auto"/>
        </w:rPr>
      </w:pPr>
      <w:r>
        <w:rPr>
          <w:rFonts w:ascii="Arial" w:cs="Arial" w:eastAsia="Arial" w:hAnsi="Arial"/>
          <w:sz w:val="16"/>
          <w:szCs w:val="16"/>
          <w:color w:val="auto"/>
        </w:rPr>
        <w:t>In addition, the Company has two pipeline programs. AKB-4924 is a drug candidate for the treatment of inflammatory bowel disease and ARP-1536, humanized monoclonal antibody is a drug candidate for ocular disease. Humanized antibodies are antibodies from non-human species whose protein sequences have been modified to increase their similarity to antibodies produced naturally in humans. The Company completed a Phase 1a clinical trial in healthy volunteers for AKB-4924 and APR-1536 is currently in preclinical development. Further development on the pipeline programs is subject to receiving additional funding, which the Company may seek through collaborations with potential strategic and commercial partners.</w:t>
      </w:r>
    </w:p>
    <w:p>
      <w:pPr>
        <w:spacing w:after="0" w:line="15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Company’s operations to date have been limited to organizing and staffing the Company, business planning, raising capital, acquiring and developing its technology, identifying potential product candidates, and undertaking preclinical and clinical studies. The Company has not generated any revenues to date, nor is there any assurance of any future revenues. The Company’s product candidates are subject to long development cycles, and there is no assurance the Company will be able to successfully develop, obtain regulatory approval for, or market its product candidates.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subject to a number of risks similar to other life science companies in the current stage of its life cycle,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any of the Company’s products that are approved, and protection of proprietary technology. If the Company does not successfully commercialize any of its products or mitigate any of these other risks, it will be unable to generate revenue or achieve profitability.</w:t>
      </w:r>
    </w:p>
    <w:p>
      <w:pPr>
        <w:spacing w:after="0" w:line="292" w:lineRule="exact"/>
        <w:rPr>
          <w:sz w:val="20"/>
          <w:szCs w:val="20"/>
          <w:color w:val="auto"/>
        </w:rPr>
      </w:pPr>
    </w:p>
    <w:p>
      <w:pPr>
        <w:ind w:right="784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60"/>
        <w:spacing w:after="0" w:line="254" w:lineRule="auto"/>
        <w:rPr>
          <w:sz w:val="20"/>
          <w:szCs w:val="20"/>
          <w:color w:val="auto"/>
        </w:rPr>
      </w:pPr>
      <w:r>
        <w:rPr>
          <w:rFonts w:ascii="Arial" w:cs="Arial" w:eastAsia="Arial" w:hAnsi="Arial"/>
          <w:sz w:val="18"/>
          <w:szCs w:val="18"/>
          <w:color w:val="auto"/>
        </w:rPr>
        <w:t>The unaudited condensed consolidated financial statements have been prepared in accordance with U.S. Securities and Exchange Commission (SEC) regulations and include all of the information and disclosures required by generally accepted accounting principles in the United States ("U.S. GAAP" or "GAAP") for interim financial reporting, and, in the opinion of management include all adjustments necessary for a fair presentation of the results of operations, financial position and cash flows for each period presented. All adjustments are of a normal and recurring nature. These unaudited condensed consolidated financial statements should be read in conjunction with the consolidated financial statements of Aerpio Therapeutics Inc. and related footnotes for the year ended December 31, 2016, included in the Company’s Registration Statement on Form S-1 filed with the SEC. The results of operations for the interim periods are not necessarily indicative of results of operations for a full year. The Company’s condensed consolidated financial statements are stated in U.S. Dollars.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which is the business of developing and commercializing proprietary therapeutics. All the assets and operations of the Company’s sole operating segment are located in the United States of America.</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fair value of the Company’s common stock and other equity instruments, accrued expenses, and income taxes.</w:t>
      </w:r>
    </w:p>
    <w:p>
      <w:pPr>
        <w:spacing w:after="0" w:line="16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Company utilizes significant estimates and assumptions in determining the fair value of its common stock and other equity instruments. The Company granted stock options at exercise prices not less than the fair value of its common stock, as determined by the Board of Directors contemporaneously at the date such grants were made. The Board of Directors has determined the estimated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ind w:right="160"/>
        <w:spacing w:after="0" w:line="286" w:lineRule="auto"/>
        <w:rPr>
          <w:sz w:val="20"/>
          <w:szCs w:val="20"/>
          <w:color w:val="auto"/>
        </w:rPr>
      </w:pPr>
      <w:r>
        <w:rPr>
          <w:rFonts w:ascii="Arial" w:cs="Arial" w:eastAsia="Arial" w:hAnsi="Arial"/>
          <w:sz w:val="17"/>
          <w:szCs w:val="17"/>
          <w:color w:val="auto"/>
        </w:rPr>
        <w:t>fair value of the Company’s common stock based on a number of objective and subjective factors, including external market conditions affecting the biotechnology industry sector and the prices at which the Company sold shares of preferred stock, the superior rights and preferences of securities senior to the Company’s common stock at the time, and the likelihood of achieving a liquidity event, such as a public offering or sale of the Company.</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Historically, the Company utilized various valuation methodologies in accordance with the framework of the American Institute of Certified Public Accountants Technical Practice Aid,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to estimate the fair value of its common stock. Each valuation methodology includes estimates and assumptions that require the Company’s judgment. These estimates and assumptions include a number of objective and subjective factors, including external market conditions, the prices at which the Company sold shares of redeemable convertible preferred stock, the superior rights and preferences of securities senior to the Company’s common stock at the time, and, at December 31, 2016, a probability analysis of various liquidity events under differing scenarios, including both a potential public trading scenario and potential sale scenario. Significant changes to the key assumptions used in the valuations could result in different fair values of common stock and other equity instruments at each valuation date.</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results can also be affected by economic, political, legislative, regulatory, and legal actions. Economic conditions, such as recessionary trends, inflation, interest and monetary exchange rates, government fiscal policies, and changes in the prices of research studies, can have a significant effect on operations. While the Company maintains reserves for anticipated liabilities and carries various levels of insurance, the Company could be affected by civil, criminal, regulatory or administrative actions, claims, or proceedings.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Cash and cash equivalents consist of all cash on hand, deposits, and funds invested in short-term investments with remaining maturities of three months or less at the time of purchase. The Company may maintain balances with its banks in excess of federally insured limits.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Time deposits with remaining maturities of greater than three months but less than one year at the time of purchase are classified as short-term investments in the accompanying balance sheets.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Costs incurred in connection with research and development activities are expensed as incurred. Research and development expense consists of (i) employee-related expenses, including salaries, benefits, travel, and stock-based compensation expense; (ii) external research and development expenses incurred under arrangements with third parties, such as contract research organizations and consultants; (iii) the cost of acquiring, developing, and manufacturing clinical study materials; (iv) facilities and other expenses, which include direct and allocated expenses for rent and maintenance of facilities and laboratory and other supplies; and (v) costs associated with preclinical activities and regulatory operations.</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enters into consulting, research, and other agreements with commercial firms, researchers, universities, and others for the provision of goods and services.</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Under such agreements, the Company may pay for services on a monthly, quarterly, project, or other basis. Such arrangements are generally cancellable upon reasonable notice and payment of costs incurred. Costs are considered incurred based on an evaluation of the progress to completion of specific tasks under each contract using information and data provided to the Company by its clinical sites and vendors. These costs consist of direct and indirect costs associated with specific projects, as well as fees paid to various entities that perform certain research on behalf of the Company.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in connection with the application for and issuances of patents are expensed as incurred.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Income taxes are recorded in accordance with Financial Accounting Standards Board (“FASB”) Accounting Standards Codification (ASC) Topic 740, </w:t>
      </w:r>
      <w:r>
        <w:rPr>
          <w:rFonts w:ascii="Arial" w:cs="Arial" w:eastAsia="Arial" w:hAnsi="Arial"/>
          <w:sz w:val="17"/>
          <w:szCs w:val="17"/>
          <w:i w:val="1"/>
          <w:iCs w:val="1"/>
          <w:color w:val="auto"/>
        </w:rPr>
        <w:t>Income</w:t>
      </w:r>
      <w:r>
        <w:rPr>
          <w:rFonts w:ascii="Arial" w:cs="Arial" w:eastAsia="Arial" w:hAnsi="Arial"/>
          <w:sz w:val="17"/>
          <w:szCs w:val="17"/>
          <w:color w:val="auto"/>
        </w:rPr>
        <w:t xml:space="preserve"> </w:t>
      </w:r>
      <w:r>
        <w:rPr>
          <w:rFonts w:ascii="Arial" w:cs="Arial" w:eastAsia="Arial" w:hAnsi="Arial"/>
          <w:sz w:val="17"/>
          <w:szCs w:val="17"/>
          <w:i w:val="1"/>
          <w:iCs w:val="1"/>
          <w:color w:val="auto"/>
        </w:rPr>
        <w:t>Taxes</w:t>
      </w:r>
      <w:r>
        <w:rPr>
          <w:rFonts w:ascii="Arial" w:cs="Arial" w:eastAsia="Arial" w:hAnsi="Arial"/>
          <w:sz w:val="17"/>
          <w:szCs w:val="17"/>
          <w:color w:val="auto"/>
        </w:rPr>
        <w:t>, which provides for deferred taxes using an asset and liability approach. The Company recognizes deferred tax assets and liabilities for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future tax consequences of events that have been included in the financial statements or tax returns. Deferred tax assets and liabilities are determined based on the difference between the financial statement and tax bases of assets and liabilities and for loss and credit carryforwards using enacted tax rates anticipated to be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7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accounts for uncertain tax positions in accordance with the provisions of ASC 740. When uncertain tax positions exist, the Company recognizes the tax benefit of tax positions to the extent that some or all of the benefit will more likely than not be realized. The determination as to whether the tax benefit will more likely than not be realized is based upon the technical merits of the tax position, as well as consideration of the available facts and circumstances. As of March 31, 2017, and December 31, 2016, the Company does not have any significant uncertain tax positions. If incurred, the Company would classify interest and penalties on uncertain tax positions as income tax expense.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basic net loss per share attributable to common stockholders is calculated by dividing the net loss attributable to common stockholders by the weighted average number of shares of common stock outstanding for the period. The diluted net loss per share attributable to common stockholders is computed by adjusting the weighted average shares outstanding for the dilutive effect of common stock equivalents outstanding for the period, determined using the treasury stock method. For purposes of this calculation, convertible preferred stock, convertible notes payable, stock options to purchase common stock, warrants, and unvested restricted stock awards are considered to be common stock equivalents but have been excluded from the calculation of diluted net loss per share attributable to common stockholders as their effect is anti-dilutive for all periods presented. Therefore, basic and diluted net loss per share were the same for all periods presented.</w:t>
      </w:r>
    </w:p>
    <w:p>
      <w:pPr>
        <w:spacing w:after="0" w:line="8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For all periods presented, all share and per share amounts have been retrospectively adjusted to reflect the exchange of each 2.3336572 shares of Aerpio capital stock and share based awards then outstanding, for 1 share of the Company’s common stock at the effective time of the Merger.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The Company accounts for its stock-based compensation awards in accordance with FASB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ASC 718 requires all stock-based payments to employees, including grants of employee stock options and restricted stock, to be recognized in the statements of operations and comprehensive loss based on their fair values. All the Company’s stock-based awards are subject only to service-based vesting conditions. The Company estimates the fair value of its stock-based awards using the Black-Scholes option pricing model, which requires the input of subjective assumptions, including (a) the expected stock price volatility, (b) the calculation of expected term of the award, (c) the risk-free interest rate, and (d) expected dividends. The fair value of restricted stock awards is determined based on the Company’s estimated common stock value.</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Due to the lack of a public market for the trading of the Company’s common stock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The Company uses the simplified method as prescribed by the Securities and Exchange Commission Staff Accounting Bulletin No. 107, </w:t>
      </w:r>
      <w:r>
        <w:rPr>
          <w:rFonts w:ascii="Arial" w:cs="Arial" w:eastAsia="Arial" w:hAnsi="Arial"/>
          <w:sz w:val="16"/>
          <w:szCs w:val="16"/>
          <w:i w:val="1"/>
          <w:iCs w:val="1"/>
          <w:color w:val="auto"/>
        </w:rPr>
        <w:t>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w:t>
      </w:r>
      <w:r>
        <w:rPr>
          <w:rFonts w:ascii="Arial" w:cs="Arial" w:eastAsia="Arial" w:hAnsi="Arial"/>
          <w:sz w:val="16"/>
          <w:szCs w:val="16"/>
          <w:color w:val="auto"/>
        </w:rPr>
        <w:t>, to calculate the expected term, as it does not have sufficient historical exercise data to provide a reasonable basis upon which to estimate the</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a treasury instrument whose term is consistent with the expected life of the stock options.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Compensation expense related to awards to employees is calculated on a straight-line basis by recognizing the grant date fair value over the associated service period of the award, which is generally the vesting term. Awards to non-employees are adjusted through share-based compensation expense as the award vests to reflect the current fair value of such awards and are expensed using an accelerated attribution model.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financial instruments consist of cash equivalents, short-term investments, accounts receivable, and accounts payable. The Company values cash equivalents using quoted market prices. The valuation technique used to measure the fair value of short-term investments was based on net asset values corroborated with observable market data. The fair value of accounts receivable and accounts payable approximate the carrying value because of their short-term nature.</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The Company is required to disclose information on all assets and liabilities reported at fair value that enables an assessment of the inputs used in determining the reported fair values. FASB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establishes a hierarchy of inputs used in measuring fair value that maximizes the use of observable inputs and minimizes the use of unobservable inputs by requiring that the observable inputs be used when available.</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80" w:lineRule="exact"/>
        <w:rPr>
          <w:sz w:val="20"/>
          <w:szCs w:val="20"/>
          <w:color w:val="auto"/>
        </w:rPr>
      </w:pPr>
    </w:p>
    <w:p>
      <w:pPr>
        <w:ind w:left="1040" w:right="26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or liabilities that the Company has the ability to access at the measurement date</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that require inputs that reflect the Company’s own assumptions that are both significant to the fair value measurement and unobservable</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There were no transfers within the fair value hierarchy in the three months ended March 31, 2017 or March 31, 2016. The assets of the Company measured on a recurring basis as of March 31, 2017 and December 31, 2016 basis are summarized below:</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Fair Value Measurements Using</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3"/>
                <w:szCs w:val="13"/>
                <w:color w:val="auto"/>
              </w:rPr>
            </w:pPr>
          </w:p>
        </w:tc>
        <w:tc>
          <w:tcPr>
            <w:tcW w:w="114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108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3"/>
                <w:szCs w:val="13"/>
                <w:color w:val="auto"/>
              </w:rPr>
            </w:pPr>
          </w:p>
        </w:tc>
        <w:tc>
          <w:tcPr>
            <w:tcW w:w="90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March 31, 2017</w:t>
            </w: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35,139,109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FF0FC"/>
          </w:tcPr>
          <w:p>
            <w:pPr>
              <w:ind w:left="6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35,139,109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35,139,109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35,189,109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2016</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1,609,694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1,609,694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1,609,694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Cash and cash equivalents and short-term investments are the only financial instruments that potentially subject the Company to concentrations of credit risk. At March 31, 2017 and December 31, 2016, all the Company’s cash was deposited in accounts at two principal financial institutions. The Company maintains its cash and cash equivalents and short-term investments with a high-quality, accredited financial institution and, accordingly, such funds are subject to minimal credit risk. The Company has no significant off-balance sheet concentrations of credit risk, such as foreign currency exchange contracts, option contracts, or other hedging arrangements.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if any. Comprehensive loss equaled net loss for all periods presented.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Furniture and equipment is stated at cost, less accumulated depreciation. Furniture and equipment is depreciated using the straight-line method over the estimated useful lives of the assets, generally three to seven years. Such costs are periodically reviewed for recoverability when impairment indicators are present. Such indicators include, among other factors, operating losses, unused capacity, market value declines, and technological obsolescence. Recorded values of asset groups of property, plant, and equipment that are not expected to be recovered through undiscounted future net cash flows are written down to current fair value, which generally is determined from estimated discounted future net cash flows (assets held for use) or net realizable value (assets held for sale).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Company believes the impact of recently issued standards that are not yet effective will not have a material impact on its financial position or results of operations upon adoption.</w:t>
      </w:r>
    </w:p>
    <w:p>
      <w:pPr>
        <w:spacing w:after="0" w:line="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March 2016, the FASB issued ASU 2016-09, “Improvements to Employee Share-Based Payment Accounting.” This ASU is intended to simplify accounting for share-based payments and requires that excess tax benefits for share-based payments be recorded as a reduction of income tax expense and reflected within operating cash flows rather than being recorded within equity and reflected within financing cash flows. The ASU also provides an option for companies to recognize forfeitures as they occur rather than estimating the number of awards expected to be forfeited. The Company adopted this ASU on January 1, 2017 and is applying the new guidance related to excess tax benefits on a prospective basis. The Company has also elected to account for forfeitures of share-based payments as they occur. The effect of adoption was not material to the condensed consolidated financial statements.</w:t>
      </w:r>
    </w:p>
    <w:p>
      <w:pPr>
        <w:spacing w:after="0" w:line="165"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This ASU will require lessees to recognize almost all leases on the balance sheet as a right-of-use asset and a lease liability. For income statement purposes, the FASB retained a dual model, requiring leases to be classified as finance leases or operating leases. This update is effective for interim and annual periods beginning after December 15, 2018, with early adoption permitted. The Company is currently assessing the effect that adoption of the new standard will have on its condensed consolidated financial statements.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Related-Party Arrangements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Aerpio was initially capitalized in December 2011 in a spinout transaction from Akebia Therapeutics, Inc. (Akebia) to enable more rapid development of its compounds. In connection with the spinout of Aerpio from Akebia, the companies entered into shared services agreements. Under the terms of the shared services agreements, Akebia and Aerpio obtained from and provided to each other certain services, as outlined below. These agreements were expired at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activities included in the statements of operations and comprehensive loss: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20"/>
                <w:szCs w:val="20"/>
                <w:color w:val="auto"/>
              </w:rPr>
            </w:pPr>
            <w:r>
              <w:rPr>
                <w:rFonts w:ascii="Arial" w:cs="Arial" w:eastAsia="Arial" w:hAnsi="Arial"/>
                <w:sz w:val="14"/>
                <w:szCs w:val="14"/>
                <w:b w:val="1"/>
                <w:bCs w:val="1"/>
                <w:color w:val="auto"/>
              </w:rPr>
              <w:t>Activity</w:t>
            </w:r>
          </w:p>
        </w:tc>
        <w:tc>
          <w:tcPr>
            <w:tcW w:w="140" w:type="dxa"/>
            <w:vAlign w:val="bottom"/>
          </w:tcPr>
          <w:p>
            <w:pPr>
              <w:spacing w:after="0"/>
              <w:rPr>
                <w:sz w:val="14"/>
                <w:szCs w:val="14"/>
                <w:color w:val="auto"/>
              </w:rPr>
            </w:pPr>
          </w:p>
        </w:tc>
        <w:tc>
          <w:tcPr>
            <w:tcW w:w="3780" w:type="dxa"/>
            <w:vAlign w:val="bottom"/>
            <w:gridSpan w:val="2"/>
          </w:tcPr>
          <w:p>
            <w:pPr>
              <w:ind w:left="920"/>
              <w:spacing w:after="0"/>
              <w:rPr>
                <w:sz w:val="20"/>
                <w:szCs w:val="20"/>
                <w:color w:val="auto"/>
              </w:rPr>
            </w:pPr>
            <w:r>
              <w:rPr>
                <w:rFonts w:ascii="Arial" w:cs="Arial" w:eastAsia="Arial" w:hAnsi="Arial"/>
                <w:sz w:val="14"/>
                <w:szCs w:val="14"/>
                <w:b w:val="1"/>
                <w:bCs w:val="1"/>
                <w:color w:val="auto"/>
              </w:rPr>
              <w:t>Financial Statement Caption</w:t>
            </w:r>
          </w:p>
        </w:tc>
        <w:tc>
          <w:tcPr>
            <w:tcW w:w="260" w:type="dxa"/>
            <w:vAlign w:val="bottom"/>
          </w:tcPr>
          <w:p>
            <w:pPr>
              <w:spacing w:after="0"/>
              <w:rPr>
                <w:sz w:val="14"/>
                <w:szCs w:val="14"/>
                <w:color w:val="auto"/>
              </w:rPr>
            </w:pPr>
          </w:p>
        </w:tc>
        <w:tc>
          <w:tcPr>
            <w:tcW w:w="1020" w:type="dxa"/>
            <w:vAlign w:val="bottom"/>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556"/>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Akebia related employee costs</w:t>
            </w:r>
          </w:p>
        </w:tc>
        <w:tc>
          <w:tcPr>
            <w:tcW w:w="140" w:type="dxa"/>
            <w:vAlign w:val="bottom"/>
            <w:tcBorders>
              <w:top w:val="single" w:sz="8" w:color="CFF0FC"/>
            </w:tcBorders>
            <w:shd w:val="clear" w:color="auto" w:fill="CFF0FC"/>
          </w:tcPr>
          <w:p>
            <w:pPr>
              <w:spacing w:after="0"/>
              <w:rPr>
                <w:sz w:val="18"/>
                <w:szCs w:val="18"/>
                <w:color w:val="auto"/>
              </w:rPr>
            </w:pPr>
          </w:p>
        </w:tc>
        <w:tc>
          <w:tcPr>
            <w:tcW w:w="3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vMerge w:val="restart"/>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vMerge w:val="restart"/>
            <w:shd w:val="clear" w:color="auto" w:fill="CFF0FC"/>
          </w:tcPr>
          <w:p>
            <w:pPr>
              <w:ind w:left="82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p>
        </w:tc>
        <w:tc>
          <w:tcPr>
            <w:tcW w:w="39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operating expenses</w:t>
            </w:r>
          </w:p>
        </w:tc>
        <w:tc>
          <w:tcPr>
            <w:tcW w:w="260" w:type="dxa"/>
            <w:vAlign w:val="bottom"/>
            <w:vMerge w:val="continue"/>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12,923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Facility-related reimbursement</w:t>
            </w:r>
          </w:p>
        </w:tc>
        <w:tc>
          <w:tcPr>
            <w:tcW w:w="3920" w:type="dxa"/>
            <w:vAlign w:val="bottom"/>
            <w:gridSpan w:val="3"/>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0"/>
                <w:szCs w:val="20"/>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997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4540" w:type="dxa"/>
            <w:vAlign w:val="bottom"/>
          </w:tcPr>
          <w:p>
            <w:pPr>
              <w:spacing w:after="0"/>
              <w:rPr>
                <w:sz w:val="24"/>
                <w:szCs w:val="24"/>
                <w:color w:val="auto"/>
              </w:rPr>
            </w:pPr>
          </w:p>
        </w:tc>
        <w:tc>
          <w:tcPr>
            <w:tcW w:w="3780" w:type="dxa"/>
            <w:vAlign w:val="bottom"/>
            <w:gridSpan w:val="2"/>
          </w:tcPr>
          <w:p>
            <w:pPr>
              <w:ind w:left="108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4. Accounts Payable and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1,871,662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1,135,608</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300,356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200,468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Accrued bonus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125,576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483,442</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Accrued vacation</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106,199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52,835</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Accrued project costs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510,828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541,158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55,427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57,459</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Total accounts payable and accrued expenses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2,970,048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2,470,970</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 to Investors</w:t>
      </w:r>
    </w:p>
    <w:p>
      <w:pPr>
        <w:spacing w:after="0" w:line="12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March 2016, Aerpio entered into a senior secured convertible note financing (the “Convertible Notes” or the “Convertible Note Financing”) totaling approximately $9,000,000, with certain preferred investors of Aerpio. All preferred investors were invited to participate in the Convertible Notes Financing. At March 31, 2017 and December 31, 2016 the unamortized debt issuance costs related to Convertible Note financings was $0 and $75,561. In connection with the Convertible Note Financing, Aerpio’s Articles of Incorporation were amended such that any Aerpio preferred that did not participate in the Aerpio Convertible Note Financing would have their respective shares of Aerpio preferred stock automatically converted into Aerpio common stock using a 3-to-1 conversion ratio and such preferred stockholders would lose the right to representation on the Aerpio Board of Directors and other preferred rights.</w:t>
      </w:r>
    </w:p>
    <w:p>
      <w:pPr>
        <w:spacing w:after="0" w:line="16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Convertible Note Financing had two separate closings of approximately $4,500,000 each on April 14, 2016 and July 15, 2016. Certain Aerpio preferred stockholders chose not to participate in the Aerpio Convertible Note Financing and their respective Aerpio preferred stock was converted into shares of Aerpio common stock in April 2016 in accordance with the terms of the Articles of Incorporation. Aerpio treated this as an extinguishment of its preferred stock. The Convertible Notes accrued interest at 8% per annum, compounded annually. The Company incurred $138,312 of costs in association with the issuance of the Convertible Notes that was amortized over the seven-month expected life of the Convertible Notes, from the date of execution (March 31, 2016). The Convertible Notes were also subject to mandatory prepayment upon the occurrence of certain events, such as a liquidation, dissolution, or the sale of Aerpio. In addition, and prior to maturity, the Convertible Notes were automatically convertible into shares of Aerpio capital stock upon the occurrence of a sale of Aerpio’s capital stock in a single transaction resulting in gross proceeds to Aerpio of $30,000,000 (hereinafter referred to as an “Investor Sale”). The type and class of Aerpio capital stock of to be issued to the holder of each Convertible Note upon conversion would have been identical to the type and class of Aerpio capital stock issued in the Investor Sale. The holder of each Convertible Note was entitled to a number of shares of Aerpio capital determined by dividing (i) the outstanding principal amount of the Convertible Note plus any unpaid accrued interest by (ii) an amount equal to the price per share of Aerpio capital stock paid by the purchasers of such shares in connection with the Investor Sale. The Convertible Notes were secured by a first priority perfected security interest in all of the Aerpio’s assets.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October 2016 and February 2017, Aerpio executed an additional senior secured Convertible Note financings (the “Additional Convertible Notes” or the “Additional Convertible Note Financings”) totaling approximately $3,500,000 and $300,000 respectively, with certain preferred investors of Aerpio. The terms of the Additional Convertible Notes are identical to the Convertible Notes and are treated as extensions of the original Convertible Note Financing. The Company incurred $125,935 of costs associated with these transactions, which were amortized to the maturity date of March 31, 2017. In connection with the Additional Convertible Note Financings, the Convertible Notes were amended and their respective maturity dates were extended from October 31, 2016 to March 31, 2017. The amendments are accounted for as a modification for accounting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Merger (Note 1) the Convertible Notes and accrued interest were converted into the Company’s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As of March 31, 2017, and December 31, 2016, the Company had 300,000,000 and 17,440,436 shares, respectively, of authorized common stock with par value of $0.0001 per share. On March 15, 2017, in connection with the Merger, (Note 1) all the outstanding redeemable convertible preferred stock, was converted into 14,015,016 shares of the Company’s common stock and the Convertible Notes, both principal and accrued interest, were converted into 2,744,059 shares of the Company’s common stock.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common stock has the following characteristics.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holders of common stock are entitled to one vote for each share of common stock held at all meetings of stockholders and written actions in lieu of meetings.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holders of common stock are entitled to receive dividends, if and when declared by the Board of Directors. Since the Company’s inception, no dividends have been declared or paid to the holders of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winding-up of the Company, the holders of common stock are entitled to share ratably in the Company’s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 and Other Restrictions</w:t>
      </w:r>
    </w:p>
    <w:p>
      <w:pPr>
        <w:spacing w:after="0" w:line="12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connection with the Merger, each of the Company’s executive officers, directors, stockholders holding substantially all of the shares of common stock issued in exchange for shares held in Aerpio immediately prior to the Merger, certain other stockholders, and certain key employees, (the “Restricted Holders”), holding at the closing date of the Merger (the “Closing Date”) an aggregate of approximately 18.9 million shares of common stock, entered into lock-up agreements,(the “Lock-Up Agreements”), whereby they are restricted for a period of nine months after the Merger, or the Restricted Period, from certain sales or dispositions (including pledge) of all (or 80% in the case of the holders of 915,000 shares) of the Company’s common stock held by (or issuable to) them, (such restrictions together referred to as the “Lock-Up”). The foregoing restrictions will not apply to the resale of shares of common stock by any Restricted Holder in any registered secondary offering of equity securities by the Company (and, if such offering is underwritten, with the written consent of the lead or managing underwriter), or to certain other transfers customarily excepted.</w:t>
      </w:r>
    </w:p>
    <w:p>
      <w:pPr>
        <w:spacing w:after="0" w:line="1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each Restricted Holder and any stockholders holding or beneficially owning 1% or more of our common stock after giving effect to the Merger, agreed, for a period of 12 months following the Closing Date, that it will not, directly or indirectly, effect or agree to effect any short sale (as defined in Rule 200 under Regulation SHO of the Exchange Act), whether or not against the box, establish any “put equivalent position” (as defined in Rule 16a-1(h) under the Exchange Act) with respect to the common stock, borrow or pre-borrow any shares of common stock, or grant any other right (including, without limitation, any put or call option) with respect to the common stock or with respect to any security that includes, relates to or derives any significant part of its value from the common stock or otherwise seek to hedge its position in the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Anti-dilution protection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Investors in the Offering have anti-dilution protection with respect to the shares of the Company’s common stock sold in the Offering such that if within six</w:t>
      </w:r>
    </w:p>
    <w:p>
      <w:pPr>
        <w:spacing w:after="0" w:line="46" w:lineRule="exact"/>
        <w:rPr>
          <w:sz w:val="20"/>
          <w:szCs w:val="20"/>
          <w:color w:val="auto"/>
        </w:rPr>
      </w:pPr>
    </w:p>
    <w:p>
      <w:pPr>
        <w:ind w:firstLine="8"/>
        <w:spacing w:after="0" w:line="287"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months after the initial closing of the Offering the Company issues additional shares of common stock or common stock equivalents (subject to certain exceptions), for consideration per share less than the Offering Price, or the Lower Price, each such investor will be entitled to receive from the Company additional shares of common stock in an amount such that, when added to the number of shares of common stock initially purchased by such investor and still held of record and beneficially owned by such investor at the time of the dilutive issuance, or the Held Shares, will equal the number of shares of common stock that such investor’s Offering subscription amount for the Held Shares would have purchased at the Lower Price. Either (i) holders of a majority of the then-held Held Shares or (ii) a representative of the holders of the then-held Held Shares, which representative shall be appointed by three (3) investors who then hold the largest number of Held Shares, may waive the anti-dilution rights of all Offering investors with respect to a particular issuance by the Company. These anti-dilution rights were determined not to be a freestanding financial instrument and do not meet the definition of a derivative. Accordingly, the anti-dilution rights are embedded into the shares of the Company’s common stock and do not require separate accounting at March 31,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to Purchase Common Stock</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March 31, 2017, the Company had warrants outstanding for the purchase of 317,562 shares of the Company’s common stock at an exercise price of $5.00 per share. The warrants have a three-year term and expire on March 15, 2020. The Warrants were issued in connection with the Offering. At the expiration date of the warrant, if the fair value of the Company’s common stock exceeds the exercise price, the warrant will be automatically exercised and the exercise price will be fulfilled through the net share settlement provisions. The number of shares and the exercise price shall be adjusted for standard ant-dilution events such as stock splits,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5" w:name="page16"/>
    <w:bookmarkEnd w:id="15"/>
    <w:p>
      <w:pPr>
        <w:ind w:right="40"/>
        <w:spacing w:after="0" w:line="270" w:lineRule="auto"/>
        <w:rPr>
          <w:sz w:val="20"/>
          <w:szCs w:val="20"/>
          <w:color w:val="auto"/>
        </w:rPr>
      </w:pPr>
      <w:r>
        <w:rPr>
          <w:rFonts w:ascii="Arial" w:cs="Arial" w:eastAsia="Arial" w:hAnsi="Arial"/>
          <w:sz w:val="18"/>
          <w:szCs w:val="18"/>
          <w:color w:val="auto"/>
        </w:rPr>
        <w:t>combinations, reorganizations, or issue shares as part of a stock dividend. Upon a change of control, the warrant holder will have the right to receive securities, cash or other properties it would have been entitled to receive had the warrant been exercised. The Warrants are equity classified instruments and do not contain contingent exercise provisions, or other features, that would preclude the Company from concluding that the Warrants are indexed solely to the Company’s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Preferred Stock</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March 31, 2017, the Company had 10,000,000 shares of preferred stock, par value $0.0001 per share, in authorized capital. No preferred stock was issued and outstanding at March 31, 2017. In connection with the Merger (Note 1), all the Aerpio redeemable convertible preferred stock issued and outstanding prior to the Merger was converted into shares of the Company’s common stock.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Aerpio’s redeemable convertible preferred stock consisted of the following:</w:t>
      </w:r>
    </w:p>
    <w:p>
      <w:pPr>
        <w:spacing w:after="0" w:line="117" w:lineRule="exact"/>
        <w:rPr>
          <w:sz w:val="20"/>
          <w:szCs w:val="20"/>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Series A redeemable convertible preferred stock: 1,326,147 shares authorized and 1,239,338 shares issued and outstanding;</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Series A1 redeemable convertible preferred stock: 8,368,247 shares authorized and 8,289,663 shares issued and outstanding; and</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Series A2 redeemable convertible preferred stock: 4,660,573 shares authorized and 4,486,015 shares issued and outstanding.</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All share and per share amounts are on an as converted basis to reflect the effect of the Merger. The rights, preferences, and privileges of the redeemable convertible preferred stock issued and outstanding prior to the Merger were as follows: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holders of redeemable convertible preferred stock were entitled to the number of votes equal to the number of whole shares of Aerpio common stock into which the shares of redeemable convertible preferred stock were convertible. Except as provided by law or otherwise, the holders of redeemable convertible preferred stock voted together with the holders of Aerpio common stock as a single class. Certain significant actions required approval by at least 50% of the holders of redeemable convertible preferred stock voting as a single class on an as converted basis. Such significant actions include significant asset transfers, acquisitions, liquidation, amendments to the certificate of incorporation, new indebtedness, repurchase of common stock, changes in the authorized numbers of directors constituting the Board of Directors, and the declaration of dividends.</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holders of shares of redeemable convertible preferred stock were entitled to elect six members of Aerpio’s Board of Directors, which was subject to reduction to not less than four directors under certain circumstances. The holders of Aerpio common stock (including any holders of all shares of redeemable convertible preferred stock on an as converted basis) were entitled to elect two members of Aerpio’s Board of Directors, which was subject to reduction to one director under certain circumstances.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Dividends were payable, if permitted by law, in accordance with redeemable convertible preferred stock terms or when and if declared by Aerpio Board of Directors. Prior to the issuance of Series A2 Preferred Stock, dividends on Series A Preferred Stock and Series A1 Preferred Stock were cumulative and accrued daily at a rate of 6% per annum whether or not declared. As part of the Series A2 Preferred Stock issuance, the dividend provisions for Series A Preferred Stock and Series A1 Preferred Stock were retrospectively amended to be noncumulative with the cumulative provision to begin after the Series A2 Preferred Stock issuance date at a rate of 6% per annum. This amendment did not significantly affect the nature of the Series A Preferred Stock and Series A1 Preferred Stock or their fair value. Accordingly, the amendment was treated as a modification for accounting purposes.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the event of any voluntary or involuntary liquidation, dissolution, or winding-up of Aerpio, or upon the occurrence of a Deemed Liquidation Event, as defined, at the election of more than 50% of the holders of Series A2 Preferred Stock and Series A1 Preferred Stock, those holders were entitled to be paid, in preference to the holders of Series A Preferred Stock and Aerpio common stock, out of the assets of Aerpio available for distribution at $4.90 per share for Series A2 Preferred Stock and $3.97 per share for Series A1 Preferred Stock, plus any accrued but unpaid dividends. After the holders of Series A1 Preferred Stock and Series A2 Preferred Stock are satisfied, the holders of Series A Preferred Stock were paid at $4.27 per share, plus any accrued but unpaid dividends before any payment was made to the holders of Aerpio’s common stock.</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event the assets of Aerpio available for distribution to stockholders were insufficient to pay the full amount to which the holder was entitled, the holders of Series A2 Preferred Stock and Series A1 Preferred Stock would share ratably any assets available for distribution in proportion to their relative original investment amounts. Any remaining assets of Aerpio would be distributed ratably among the holders of Series A Preferred Stock based upon aggregate applicable dividends accrued on Series A Preferred Stock not previously paid.</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After the payment of all preferential amounts required to be paid to the holders of redeemable convertible preferred stock, the remaining assets available for distribution would be distributed among the holders of redeemable convertible preferred stock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ind w:right="220"/>
        <w:spacing w:after="0" w:line="277" w:lineRule="auto"/>
        <w:rPr>
          <w:sz w:val="20"/>
          <w:szCs w:val="20"/>
          <w:color w:val="auto"/>
        </w:rPr>
      </w:pPr>
      <w:r>
        <w:rPr>
          <w:rFonts w:ascii="Arial" w:cs="Arial" w:eastAsia="Arial" w:hAnsi="Arial"/>
          <w:sz w:val="18"/>
          <w:szCs w:val="18"/>
          <w:color w:val="auto"/>
        </w:rPr>
        <w:t>Aerpio common stock based on the pro rata number of shares held by each holder, treating such securities as if they had been converted to Aerpio common stock immediately prior to such dissolution, liquidation, or winding-up of Aerpio.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w:t>
      </w:r>
    </w:p>
    <w:p>
      <w:pPr>
        <w:spacing w:after="0" w:line="12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Each share of redeemable convertible preferred stock was convertible at the option of the holder, at any time and from time to time, into fully paid and non-assessable shares of Aerpio common stock. The initial conversion ratio was one share of redeemable convertible preferred stock for one share of Aerpio’s common stock. The applicable conversion rate was subject to adjustments upon the occurrence of certain events.</w:t>
      </w:r>
    </w:p>
    <w:p>
      <w:pPr>
        <w:spacing w:after="0" w:line="5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Each share of redeemable convertible preferred stock was automatically convertible into fully paid and non-assessable shares of Aerpio common stock at the then-applicable conversion ratio, as defined, upon either: (i) the closing of the sale of shares of Aerpio’s common stock to the public in an underwritten public offering at a price of $14.70 resulting in at least $40,000,000 of gross proceeds, or (ii) the date and time, or the occurrence of an event, specified by vote or written consent of the holders of more than 50% of the then outstanding shares of redeemable convertible preferred stock on an as-converted basis.</w:t>
      </w:r>
    </w:p>
    <w:p>
      <w:pPr>
        <w:spacing w:after="0" w:line="4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Aerpio evaluated each series of its redeemable convertible preferred stock and determined that each individual series is considered an equity host under ASC Topic 815, Derivatives and Hedging. In making this determination, Aerpio’s analysis followed the whole instrument approach, which compares an individual feature against the entire redeemable convertible preferred stock instrument that includes that feature. Aerpio’s analysis was based on a consideration of the economic characteristics and risks of each series of redeemable convertible preferred stock. More specifically, Aerpio evaluated all the stated and implied substantive terms and features, including: (i) whether the redeemable convertible preferred stock included redemption features, (ii) how and when any redemption features could be exercised, (iii) whether the holders of redeemable convertible preferred stock were entitled to dividends, (iv) the voting rights of the redeemable convertible preferred stock, and (v) the existence and nature of any conversion rights. Aerpio concluded that as the redeemable convertible preferred stock represents an equity host, the conversion feature included in all series of redeemable convertible preferred stock is clearly and closely related to the associated host instrument. Accordingly, the conversion feature of all series of redeemable convertible preferred stock was not considered an embedded derivative that required bifurcation.</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Aerpio accounted for potentially beneficial conversion features under ASC Topic 470-20, Debt with Conversion and Other Options. At the time of each of the issuances of redeemable convertible preferred stock, Aerpio’s common stock into which each series of the redeemable convertible preferred stock was convertible had an estimated fair value less than the effective conversion prices of the redeemable convertible preferred stock. Therefore, there was no beneficial conversion element on the respective commitment dates.</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March 2016, in connection with the Convertible Note Financing described more fully in Note 5, Aerpio’s Articles of Incorporation were amended such that any preferred stockholder that did not participate in the Convertible Note Financing would have their respective shares of redeemable convertible preferred stock automatically converted into Aerpio common stock using a 3-to-1 conversion ratio and such preferred stockholders would lose the right to representation on Aerpio’s Board of Directors and other preferred rights. The amendment did not represent an increase in value to the preferred stockholders and was treated as a modification to the redeemable convertible preferred stock for accounting purposes. Certain shares of redeemable convertible preferred stock held by preferred stockholders that elected to not participate in the Convertible Note Financing were converted to shares in Aerpio’s common stock.</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redeemable convertible preferred stock was redeemable on or after July 31, 2017, upon a request by more than 50% of the holders of redeemable convertible preferred stock then outstanding, payable in three annual installments commencing not more than 60 days following receipt by notice at a price equal to the greater of (i) the applicable original purchase price and dividends accrued but unpaid (Applicable Accrued Value), which is equal to its liquidation preference, or (ii) the redeemable convertible preferred stock fair value per share. Due to this redemption option, the redeemable convertible preferred stock was recorded in the mezzanine equity and subject to subsequent measurement under the guidance provided under ASC 480-10-S99. In accordance with that guidance, Aerpio elected to recognize changes in redemption value immediately as they occur through adjustments to the carrying amounts of the instruments at the end of each reporting period. As of December 31, 2016, the redemption values of all series of redeemable convertible preferred stock were equal to their respective Applicable Accrued Value. The fair values of redeemable convertible preferred stock were based upon a hybrid of the probability-weighted expected returns method and an option pricing model (OPM), which is a nonrecurring Level 3 fair value measurement within the fair value hierarchy. Under this hybrid model, share value is based on the probability weighted value of Aerpio in a potential public trading scenario, in which the redeemable convertible preferred stock converted to Aerpio common stock, and a second scenario in which equity value is allocated using the OPM. For the public trading scenario, Aerpio used the guideline public company method under the market approach.</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Pursuant to the Merger (Note 1), the Company assumed each option to purchase Aerpio common stock that remained outstanding under the Aerpio Therapeutics, Inc. 2011 Equity Incentive Plan (the “Plan”), whether vested or unvested, and converted it into an option to purchase such number of shares of the Company’s common stock equal to the number of shares of Aerpio common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7" w:name="page18"/>
    <w:bookmarkEnd w:id="17"/>
    <w:p>
      <w:pPr>
        <w:ind w:right="60"/>
        <w:spacing w:after="0" w:line="253" w:lineRule="auto"/>
        <w:rPr>
          <w:sz w:val="20"/>
          <w:szCs w:val="20"/>
          <w:color w:val="auto"/>
        </w:rPr>
      </w:pPr>
      <w:r>
        <w:rPr>
          <w:rFonts w:ascii="Arial" w:cs="Arial" w:eastAsia="Arial" w:hAnsi="Arial"/>
          <w:sz w:val="18"/>
          <w:szCs w:val="18"/>
          <w:color w:val="auto"/>
        </w:rPr>
        <w:t>subject to the option immediately prior to the Merger, divided by the applicable Merger exchange rate of 2.3336572, with any fraction rounded down to the nearest whole number. The exercise price per share of each assumed option is equal to the exercise price of the Aerpio option prior to the assumption, multiplied by the applicable Merger exchange rate of 2.3336572, rounded up to the nearest whole cent. The terms of the 2011 Plan continue to govern the options covering an aggregate of 924,706 shares of the Company’s common stock at March 31, 2017 and December 31, 2016, subject to awards assumed by the Company, except that all references in the 2011 Plan to Aerpio, will now be the Company. In addition, each unvested share of Aerpio restricted common stock issued under the 2011 Plan that was outstanding immediately prior to the effective time of the Merger, was converted by virtue of the Merger into restricted common stock of the Company, equal to the number of shares of Aerpio common stock subject to the unvested shares of Aerpio restricted common stock immediately prior to the Merger divided by the applicable Merger exchange rate of 2.3336572, with any fraction rounded down to the nearest whole number.</w:t>
      </w:r>
    </w:p>
    <w:p>
      <w:pPr>
        <w:spacing w:after="0" w:line="89"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In March 2017, the Company’s Board of Directors adopted, and the stockholders approved, the 2017 Stock Option and Incentive Plan (the “2017 Plan”), that became effective in April 2017. The 2017 Plan provides for the issuance of incentive awards up to 4,600,000 shares of common stock to officers, employees, consultants and directors, less the number of shares subject to issued and outstanding awards under the 2011 Plan that were assumed in the Merger. The 2017 Plan also provides that the number of shares reserved for issuance thereunder will be increased annually on the first day of each year beginning in 2018 by four percent (4%) of the shares of our common stock outstanding on the last day of the immediately preceding year or such smaller increase as determined by our board of directors. No awards were granted under the 2017 Plan as of March 31, 2017.</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options granted generally vest over 48 months. For employees with less than one year’s service, options vest in installments of 25% at the one-year anniversary and thereafter in 36 equal monthly installments beginning in the 13 month after the initial Vesting Commencement Date (as defined), subject to the employee’s continuous service with the Company. Options granted to other employees vest in 48 equal monthly installments after the initial Vesting Commencement Date, subject to the employee’s continuous service with the Company. The options generally expire ten years after the date of grant. The fair value of the options at the date of grant is recognized as an expense over the requisite service period. No option awards were granted in the three months ended March 31, 2017 and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during the three-months ended March 31, 2017:</w:t>
      </w:r>
    </w:p>
    <w:p>
      <w:pPr>
        <w:spacing w:after="0" w:line="21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0"/>
              </w:rPr>
              <w:t>Weighted Average</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 Average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left="277"/>
              <w:spacing w:after="0"/>
              <w:rPr>
                <w:sz w:val="20"/>
                <w:szCs w:val="20"/>
                <w:color w:val="auto"/>
              </w:rPr>
            </w:pPr>
            <w:r>
              <w:rPr>
                <w:rFonts w:ascii="Arial" w:cs="Arial" w:eastAsia="Arial" w:hAnsi="Arial"/>
                <w:sz w:val="14"/>
                <w:szCs w:val="14"/>
                <w:b w:val="1"/>
                <w:bCs w:val="1"/>
                <w:color w:val="auto"/>
                <w:w w:val="93"/>
              </w:rPr>
              <w:t>Price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Term (in 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2017</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927,592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1.70</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1,030,217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Expired/cancelled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(2,886)</w:t>
            </w: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2.11</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March 31, 2017</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924,706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1.70</w:t>
            </w:r>
          </w:p>
        </w:tc>
        <w:tc>
          <w:tcPr>
            <w:tcW w:w="13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3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3,056,035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Expected to vest, March 31, 2017</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265,647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1.81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848,613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March 31, 2017</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659,059</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1.65</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60"/>
        <w:spacing w:after="0" w:line="309" w:lineRule="auto"/>
        <w:rPr>
          <w:sz w:val="20"/>
          <w:szCs w:val="20"/>
          <w:color w:val="auto"/>
        </w:rPr>
      </w:pPr>
      <w:r>
        <w:rPr>
          <w:rFonts w:ascii="Arial" w:cs="Arial" w:eastAsia="Arial" w:hAnsi="Arial"/>
          <w:sz w:val="18"/>
          <w:szCs w:val="18"/>
          <w:color w:val="auto"/>
        </w:rPr>
        <w:t>Aggregate intrinsic value represents the estimated fair value of the Company’s common stock at the end of the period in excess of the weighted average exercise price multiplied by the number of options outstanding or exercisable.</w:t>
      </w:r>
    </w:p>
    <w:p>
      <w:pPr>
        <w:spacing w:after="0" w:line="14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Compensation expense for stock options was $81,120 and $42,816 for the three months ended March 31, 2017 and 2016, respectively. As of March 31, 2017, there was $264,823 of unrecognized compensation cost related to stock options, which is expected to be recognized over a weighted average period of 2.1 years.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Shares of restricted stock generally have similar vesting terms as stock options. A summary of the Company’s restricted stock activity and related information during the three months ended March 31, 2017 is as follows: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8" w:name="page19"/>
    <w:bookmarkEnd w:id="18"/>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January 1, 2017</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241,096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(39,455)</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(5,222)</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March 31, 2017</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196,419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recognized compensation expense for restricted stock of $74,265 and $82,399 for the three months ended March 31, 2017 and 2016, respectively. As of March 31, 2017, there was $366,970 of unrecognized compensation cost related to these restricted stock grants, which is expected to be recognized over a weighted average period of 1.4 years.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Expense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recognized the following compensation cost related to employee and non-employee stock-based compensation activity:</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54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115,302</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81,733</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40,083</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43,482</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155,385</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125,215</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did not record a current or deferred income tax expense of benefit for the three months ended March 31, 2017 and 2016, due to the Company’s net losses and increases in its deferred tax asset valuation allowance.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the Company’s basic and diluted net loss per share for the periods presented: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71"/>
        </w:trPr>
        <w:tc>
          <w:tcPr>
            <w:tcW w:w="54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(4,995,703)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(4,194,698)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Accretion of preferred stock to redemption value</w:t>
            </w:r>
          </w:p>
        </w:tc>
        <w:tc>
          <w:tcPr>
            <w:tcW w:w="1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(943,297)</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(1,015,371)</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(5,939,000</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(5,210,069</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140"/>
              <w:spacing w:after="0"/>
              <w:rPr>
                <w:sz w:val="20"/>
                <w:szCs w:val="20"/>
                <w:color w:val="auto"/>
              </w:rPr>
            </w:pPr>
            <w:r>
              <w:rPr>
                <w:rFonts w:ascii="Arial" w:cs="Arial" w:eastAsia="Arial" w:hAnsi="Arial"/>
                <w:sz w:val="18"/>
                <w:szCs w:val="18"/>
                <w:color w:val="auto"/>
              </w:rPr>
              <w:t>and diluted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196"/>
        </w:trPr>
        <w:tc>
          <w:tcPr>
            <w:tcW w:w="54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Weighted average common shares used in computing net loss</w:t>
            </w: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 share attributable to common stockholders, basic and</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5,605,151</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737,016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weighted average common stock equivalents were excluded from the calculation of diluted net loss per share for the periods presented because including them would have had an anti-dilutive effect: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40" w:type="dxa"/>
            <w:vAlign w:val="bottom"/>
            <w:gridSpan w:val="3"/>
          </w:tcPr>
          <w:p>
            <w:pPr>
              <w:ind w:left="880"/>
              <w:spacing w:after="0"/>
              <w:rPr>
                <w:sz w:val="20"/>
                <w:szCs w:val="20"/>
                <w:color w:val="auto"/>
              </w:rPr>
            </w:pPr>
            <w:r>
              <w:rPr>
                <w:rFonts w:ascii="Arial" w:cs="Arial" w:eastAsia="Arial" w:hAnsi="Arial"/>
                <w:sz w:val="14"/>
                <w:szCs w:val="14"/>
                <w:b w:val="1"/>
                <w:bCs w:val="1"/>
                <w:color w:val="auto"/>
                <w:w w:val="99"/>
              </w:rPr>
              <w:t>March 31,</w:t>
            </w:r>
          </w:p>
        </w:tc>
        <w:tc>
          <w:tcPr>
            <w:tcW w:w="9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16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74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Convertible preferred stock (if converted)</w:t>
            </w:r>
          </w:p>
        </w:tc>
        <w:tc>
          <w:tcPr>
            <w:tcW w:w="20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0"/>
              </w:rPr>
              <w:t>14,183,564</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924,706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907,486</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3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196,419</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241,096</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317,562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0"/>
                <w:szCs w:val="20"/>
                <w:color w:val="auto"/>
              </w:rPr>
            </w:pPr>
          </w:p>
        </w:tc>
      </w:tr>
      <w:tr>
        <w:trPr>
          <w:trHeight w:val="647"/>
        </w:trPr>
        <w:tc>
          <w:tcPr>
            <w:tcW w:w="17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60" w:type="dxa"/>
            <w:vAlign w:val="bottom"/>
          </w:tcPr>
          <w:p>
            <w:pPr>
              <w:jc w:val="right"/>
              <w:ind w:right="1354"/>
              <w:spacing w:after="0"/>
              <w:rPr>
                <w:sz w:val="20"/>
                <w:szCs w:val="20"/>
                <w:color w:val="auto"/>
              </w:rPr>
            </w:pPr>
            <w:r>
              <w:rPr>
                <w:rFonts w:ascii="Arial" w:cs="Arial" w:eastAsia="Arial" w:hAnsi="Arial"/>
                <w:sz w:val="18"/>
                <w:szCs w:val="18"/>
                <w:color w:val="auto"/>
              </w:rPr>
              <w:t>17</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The Company contracts with various organizations to conduct research and development activities. In addition, the Company is a party to a lease covering 7,580 square feet of space in Cincinnati, Ohio that expires in June 2018. Total rent expense for all operating leases was $51,289 and $45,180 for the three months ended March 31, 2017 and 2016, respectively. The lease agreement contains free rent, escalating rent payments and reimbursement for tenant improvements that amounted to $46,390 in the three months ended March 31, 2016. Rent expense is recorded on the straight-line basis over the initial term with the differences between rent expense and rent payments recorded as deferred rent. As of March 31, 2017, the Company had deferred rent of $47,948, which is included in accrued expenses in the accompanying condensed consolidated balance sheet. As of March 31, 2017, non-cancelable future minimum lease payments under the existing operating lease were $131,684. In addition, as of December 31, 2016, future payments related to operating leases and other operating commitments arising from contracts related to research and development activities are presented in the table below.</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2019 and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Thereafter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104,440</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52,978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operating commitments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2,761,501</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2,761,501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commitments</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2,865,941</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52,978</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2,918,919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Stock Purchase Plan</w:t>
      </w:r>
    </w:p>
    <w:p>
      <w:pPr>
        <w:spacing w:after="0" w:line="1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March 2017, the Board of Directors adopted and the stockholders approved, the Employee Stock Purchase Plan (the “ESPP”), that became effective in April 2017. The ESPP provides for the issuance of up to 300,000 shares of the Company’s common stock for the purchases made under the ESPP. The ESPP also provides that the number of shares reserved for issuance thereunder will be increased annually on the first day of each year beginning in 2018 by one percent (1%) of the shares of the Company’s common stock outstanding on the last day of the immediately preceding year or such smaller increase as determined by the Company’s Board of Directors. The Board of Directors has not yet determined the timing for the offering periods under the ESPP.</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The following discussion of the financial condition and results of operations of Aerpio Pharmaceuticals, Inc. should be read in conjunction with the financial statements and the notes to those statements included in this Quarterly Report on Form 10Q for the period ended March 31, 2017. Some of the information contained in this discussion and analysis including information with respect to our plans and strategy for our business, includes forward-looking statements that involve risk, uncertainties and assumptions. You should read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Overview</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biopharmaceutical company focused on advancing first-in-class treatments for ocular disease. Our lead product candidate, AKB-9778, a small molecule activator of the tie-2 pathway, is being developed for the treatment of diabetic retinopathy (“DR”). Tie-2 signaling is essential for regulating blood vessel development and the stability of mature vessels. We have completed a Phase 2a clinical trial in diabetic macular edema (“DME”), a swelling of the retina that is a common cause of vision loss in patients with DR and intends to initiate a twelve month, double blind Phase 2b clinical trial in patients with DR who have not developed more serious complications such as DME or proliferative diabetic retinopathy. The DR clinical trial will be initiated in the second quarter of 2017.</w:t>
      </w:r>
    </w:p>
    <w:p>
      <w:pPr>
        <w:spacing w:after="0" w:line="8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addition, we have two pipeline programs. AKB-4924 is a drug candidate for the treatment of inflammatory bowel disease and ARP-1536, humanized monoclonal antibody is a drug candidate for ocular disease. Humanized antibodies are antibodies from non-human species whose protein sequences have been modified to increase their similarity to antibodies produced naturally in humans. We completed a Phase 1a clinical trial in healthy volunteers for AKB-4924 and APR-1536 is currently in preclinical development. Further development on the pipeline programs is subject to receiving additional funding, which we may seek through collaborations with potential strategic and commercial partners.</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operations to date have been limited to organizing and staffing our company, business planning, raising capital, acquiring and developing our technology, identifying potential product candidates, and undertaking preclinical and clinical studies. We have not generated any revenues to date, nor is there any assurance of future revenues. Our product candidates are subject to long development cycles, and there is no assurance we will be able to successfully develop, obtain regulatory approval for, or market our product candidates. As of March 31, 2017, we had an accumulated deficit of $92.2 million and anticipate incurring additional losses for the next several years.</w:t>
      </w:r>
    </w:p>
    <w:p>
      <w:pPr>
        <w:spacing w:after="0" w:line="18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primary source of liquidity to date has been through the private placement offering of our common stock (the “Offering”) in March 2017 and the historical sales of redeemable convertible preferred stock, common stock and proceeds from convertible debt. The aggregate net proceeds from the Offering in March 2017 were $37.2 million. In 2016, we raised a total of $12.5 million through the issuance of secured convertible notes. In 2017, we raised a total of $0.3 million through the issuance of secured convertible notes. In 2014, we raised a total of $22.0 million ($21.8 million net of offering costs) through the issuance of redeemable convertible preferred stock. Based on our current plans, we expect that our existing cash and cash equivalents, will enable us to conduct our planned operations into the first quarter of fiscal 2019. We will need to raise additional funds to further advance our clinical research programs, commence additional clinical trials, and commercialize our products, if approved. While we continue to pursue financing alternatives, which may include equity financing, business development arrangements, licensing arrangements and business combination transactions, financing may not be available to us in the necessary time frame, in the amounts that we need, on terms that are acceptable to us or at all. If we are unable to raise the necessary funds when needed or reduce spending on currently planned activities, we may not be able to continue the development of our product candidates or we could be required to delay, scale back, or eliminate some or all of our development programs and other operations and will materially harm our business and financial position.</w:t>
      </w:r>
    </w:p>
    <w:p>
      <w:pPr>
        <w:spacing w:after="0" w:line="17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expect our expenses will increase substantially in connection with our ongoing activities, as we:</w:t>
      </w:r>
    </w:p>
    <w:p>
      <w:pPr>
        <w:spacing w:after="0" w:line="62"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our research and development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 personnel to support our clinical development program;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subject to a number of risks similar to other life science companies in the current stage of our life cycle, including, but not limited to, the need to obtain adequate additional funding, possible failure of preclinical testing or clinical trials, competitors developing new technological innovations, and protection of proprietary technology. If we do not successfully mitigate any of these risks, we will be unable to generate revenue or achieve profitability. The accompanying financial statements have been prepared assuming our company will continue as a going concern, which contemplates the realization of assets and payments of liabilities in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1" w:name="page22"/>
    <w:bookmarkEnd w:id="21"/>
    <w:p>
      <w:pPr>
        <w:ind w:right="160"/>
        <w:spacing w:after="0" w:line="342" w:lineRule="auto"/>
        <w:rPr>
          <w:sz w:val="20"/>
          <w:szCs w:val="20"/>
          <w:color w:val="auto"/>
        </w:rPr>
      </w:pPr>
      <w:r>
        <w:rPr>
          <w:rFonts w:ascii="Arial" w:cs="Arial" w:eastAsia="Arial" w:hAnsi="Arial"/>
          <w:sz w:val="16"/>
          <w:szCs w:val="16"/>
          <w:color w:val="auto"/>
        </w:rPr>
        <w:t>ordinary course of business. We had cash and cash equivalents and short-term investments of $35.2 million at March 31, 2017. We believe our existing cash and cash equivalents and short-term investments, will be sufficient to fund currently planned operations into the first quarter of fiscal year 2019.</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unaudited interim financial statements of the Company for the three-months ended March 31, 2017 and 2016, contained herein, include a summary of our significant accounting policies and should be read in conjunction with the discussion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March 15, 2017, our wholly-owned subsidiary, Aerpio Acquisition Corp., a corporation formed in the State of Delaware, or the Acquisition Sub, merged with and into Aerpio Therapeutics, Inc., (“Aerpio”) a corporation incorporated on November 17, 2011 under the laws of the State of Delaware. Pursuant to this transaction, or the Merger, Aerpio was the surviving corporation and became our wholly-owned subsidiary. We changed our name from Zeta Acquisition Corp II to Aerpio Pharmaceuticals, Inc. All the outstanding stock of Aerpio was converted into shares of our common stock.</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the effective time of the Merger, the legal existence of Acquisition Sub ceased and each 2.3336572 shares of Aerpio common and preferred stock that was issued and outstanding immediately prior to the effective time of the Merger, including share based awards, whether vested or unvested issued under the Aerpio Therapeutics, Inc. 2011 Equity Incentive Plan (the “2011 Plan”), was automatically exchanged for one share of our common stock. In addition, immediately prior to the Merger, the outstanding amounts under certain senior secured convertible notes issued by Aerpio to its pre-Merger noteholders were converted into Aerpio common stock, which were converted in the Merger into shares of our common stock at the same ratio. We issued an aggregate of 18,000,000 shares of our common stock upon such exchange of the outstanding shares of Aerpio common stock. In addition, at the effective time of the Merger, we assumed Aerpio’s 2011 Equity Incentive Plan. At the effective time of the Merger, we assumed the outstanding options under the 2011 Plan and converted them into options to purchase 927,592 shares of our common stock. As a result of the Merger, we acquired the business of Aerpio and will continue the existing business operations of Aerpio as a public reporting company under the name Aerpio Pharmaceuticals, Inc. Immediately after the Merger, Aerpio was converted into a Delaware limited liability company (the “Conversion”).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Merger was treated as a recapitalization and reverse acquisition for financial reporting purposes. We are the legal acquirer of Aerpio in the</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transaction. However, Aerpio is considered the acquiring company for accounting purposes since (i) former Aerpio stockholders own in excess of 50% of the combined enterprise on a fully diluted basis immediately following the Merger and Offering, and (ii) all members of the Company’s executive management and Board of Directors are from Aerpio. In accordance with the “reverse merger” or “reverse acquisition” accounting treatment, the unaudited condensed consolidated interim financial statements for the period ended March 31, 2017 include the accounts of the Company and its wholly owned subsidiary, Aerpio Therapeutics, LLC. The comparative historical financial statements for periods ended prior to the date of the Merger are the historical financial statements of Aerpio.</w:t>
      </w:r>
    </w:p>
    <w:p>
      <w:pPr>
        <w:spacing w:after="0" w:line="1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discussion highlights Aerpio’s results of operations and the principal factors that have affected our financial condition as well as our liquidity and capital resources for the periods described, and provides information that management believes is relevant for an assessment and understanding of the unaudited condensed consolidated statements of financial condition and results of operations presented herein. The following discussion and analysis are based on the Company’s unaudited condensed consolidated financial statements contained in this Quarterly Report on Form 10-Q, which we have prepared in accordance with United States generally accepted accounting principles. You should read the discussion and analysis together with such condensed consolidated financial statements and the related notes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Cancellation</w:t>
      </w:r>
    </w:p>
    <w:p>
      <w:pPr>
        <w:spacing w:after="0" w:line="11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Following the Merger and Conversion, and immediately prior to the closing of the Offering, an aggregate of 4,000,000 of the 5,000,000 shares of our common stock that were held by the pre-Merger stockholders of Zeta Acquisition Corp. II were surrendered for cancellation (the “Share Cancellation”).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Following the Merger, the Conversion and the Share Cancellation, we sold to accredited investors approximately $40.2 million of our shares of common stock, or 8,049,555 shares, at a price of $5.00 per share, (net proceeds of $37.2 million after deducting placement agent fees and expenses of the offering). In connection with the Offering, we issued warrants to purchase 317,562 shares of our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 w:name="page23"/>
    <w:bookmarkEnd w:id="22"/>
    <w:p>
      <w:pPr>
        <w:ind w:right="260"/>
        <w:spacing w:after="0" w:line="277" w:lineRule="auto"/>
        <w:rPr>
          <w:sz w:val="20"/>
          <w:szCs w:val="20"/>
          <w:color w:val="auto"/>
        </w:rPr>
      </w:pPr>
      <w:r>
        <w:rPr>
          <w:rFonts w:ascii="Arial" w:cs="Arial" w:eastAsia="Arial" w:hAnsi="Arial"/>
          <w:sz w:val="18"/>
          <w:szCs w:val="18"/>
          <w:color w:val="auto"/>
        </w:rPr>
        <w:t>common stock at $5.00 per share to the placement agents for the Offering. The warrants are exercisable for three years. The Offering closed on March 15,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Statements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Research and development expenses consist primarily of compensation and related costs for personnel, including stock-based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employee benefits and travel. These costs also consist of third-party service providers for our potential product development activities, third-party consulting services, laboratory supplies, research materials, medical equipment, computer equipment, and related depreciation and amortization. We expense research and development expenses as incurred. As we continue to invest in basic research and clinical development of our product candidates, we expect research and development expenses to increase in absolute dollars.</w:t>
      </w:r>
    </w:p>
    <w:p>
      <w:pPr>
        <w:spacing w:after="0" w:line="1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Our general and administrative expenses consist primarily of compensation and related costs for personnel, including stock-based compensation, employee benefits and travel, for our finance, human resources, regulatory and other administrative personnel. In addition, general and administrative expenses include third-party consulting, legal, audit, accounting services, and facilities costs. We expect general and administrative expenses to increase in absolute dollars following the consummation of the Merger due to additional legal, accounting, insurance, investor relations and other costs associated with being a public company, as well as other costs associated with growing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Interest income consists primarily of interest income received on our cash and cash equivalents. Interest expense consists primarily of interest related to our secured convertible promissory notes issued in 2016 and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results of operations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7"/>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640" w:type="dxa"/>
            <w:vAlign w:val="bottom"/>
            <w:tcBorders>
              <w:bottom w:val="single" w:sz="8" w:color="CFF0FC"/>
            </w:tcBorders>
          </w:tcPr>
          <w:p>
            <w:pPr>
              <w:spacing w:after="0"/>
              <w:rPr>
                <w:sz w:val="14"/>
                <w:szCs w:val="14"/>
                <w:color w:val="auto"/>
              </w:rPr>
            </w:pPr>
          </w:p>
        </w:tc>
        <w:tc>
          <w:tcPr>
            <w:tcW w:w="18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98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2,255,584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2,989,558</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2,504,001</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1,215,885</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gridSpan w:val="2"/>
          </w:tcPr>
          <w:p>
            <w:pPr>
              <w:ind w:left="1720"/>
              <w:spacing w:after="0"/>
              <w:rPr>
                <w:sz w:val="20"/>
                <w:szCs w:val="20"/>
                <w:color w:val="auto"/>
              </w:rPr>
            </w:pPr>
            <w:r>
              <w:rPr>
                <w:rFonts w:ascii="Arial" w:cs="Arial" w:eastAsia="Arial" w:hAnsi="Arial"/>
                <w:sz w:val="18"/>
                <w:szCs w:val="18"/>
                <w:color w:val="auto"/>
              </w:rPr>
              <w:t>Total operating expenses</w:t>
            </w: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4,759,585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4,205,443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8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(4,759,585)</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(4,205,443)</w:t>
            </w:r>
          </w:p>
        </w:tc>
        <w:tc>
          <w:tcPr>
            <w:tcW w:w="80" w:type="dxa"/>
            <w:vAlign w:val="bottom"/>
            <w:tcBorders>
              <w:top w:val="single" w:sz="8" w:color="CFF0FC"/>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Grant income</w:t>
            </w: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35,657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8,670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income, net</w:t>
            </w:r>
          </w:p>
        </w:tc>
        <w:tc>
          <w:tcPr>
            <w:tcW w:w="1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(271,775)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18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other (expense) income, net</w:t>
            </w:r>
          </w:p>
        </w:tc>
        <w:tc>
          <w:tcPr>
            <w:tcW w:w="18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(236,118)</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10,745</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gridSpan w:val="2"/>
          </w:tcPr>
          <w:p>
            <w:pPr>
              <w:ind w:left="1720"/>
              <w:spacing w:after="0"/>
              <w:rPr>
                <w:sz w:val="20"/>
                <w:szCs w:val="20"/>
                <w:color w:val="auto"/>
              </w:rPr>
            </w:pPr>
            <w:r>
              <w:rPr>
                <w:rFonts w:ascii="Arial" w:cs="Arial" w:eastAsia="Arial" w:hAnsi="Arial"/>
                <w:sz w:val="18"/>
                <w:szCs w:val="18"/>
                <w:color w:val="auto"/>
              </w:rPr>
              <w:t>Net loss and comprehensive loss</w:t>
            </w:r>
          </w:p>
        </w:tc>
        <w:tc>
          <w:tcPr>
            <w:tcW w:w="180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(4,995,703</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(4,194,698</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Comparison of the Three Months Ended March 31, 2017 and 2016</w:t>
            </w:r>
          </w:p>
        </w:tc>
        <w:tc>
          <w:tcPr>
            <w:tcW w:w="1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36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7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7"/>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640" w:type="dxa"/>
            <w:vAlign w:val="bottom"/>
            <w:tcBorders>
              <w:bottom w:val="single" w:sz="8" w:color="CFF0FC"/>
            </w:tcBorders>
          </w:tcPr>
          <w:p>
            <w:pPr>
              <w:spacing w:after="0"/>
              <w:rPr>
                <w:sz w:val="14"/>
                <w:szCs w:val="14"/>
                <w:color w:val="auto"/>
              </w:rPr>
            </w:pPr>
          </w:p>
        </w:tc>
        <w:tc>
          <w:tcPr>
            <w:tcW w:w="18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98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240"/>
              <w:spacing w:after="0"/>
              <w:rPr>
                <w:sz w:val="20"/>
                <w:szCs w:val="20"/>
                <w:color w:val="auto"/>
              </w:rPr>
            </w:pPr>
            <w:r>
              <w:rPr>
                <w:rFonts w:ascii="Arial" w:cs="Arial" w:eastAsia="Arial" w:hAnsi="Arial"/>
                <w:sz w:val="18"/>
                <w:szCs w:val="18"/>
                <w:color w:val="auto"/>
                <w:w w:val="89"/>
              </w:rPr>
              <w:t>2,255,584</w:t>
            </w:r>
          </w:p>
        </w:tc>
        <w:tc>
          <w:tcPr>
            <w:tcW w:w="16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180"/>
              <w:spacing w:after="0"/>
              <w:rPr>
                <w:sz w:val="20"/>
                <w:szCs w:val="20"/>
                <w:color w:val="auto"/>
              </w:rPr>
            </w:pPr>
            <w:r>
              <w:rPr>
                <w:rFonts w:ascii="Arial" w:cs="Arial" w:eastAsia="Arial" w:hAnsi="Arial"/>
                <w:sz w:val="18"/>
                <w:szCs w:val="18"/>
                <w:color w:val="auto"/>
                <w:w w:val="94"/>
              </w:rPr>
              <w:t>2,989,558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ind w:left="240"/>
              <w:spacing w:after="0"/>
              <w:rPr>
                <w:sz w:val="20"/>
                <w:szCs w:val="20"/>
                <w:color w:val="auto"/>
              </w:rPr>
            </w:pPr>
            <w:r>
              <w:rPr>
                <w:rFonts w:ascii="Arial" w:cs="Arial" w:eastAsia="Arial" w:hAnsi="Arial"/>
                <w:sz w:val="18"/>
                <w:szCs w:val="18"/>
                <w:color w:val="auto"/>
                <w:w w:val="89"/>
              </w:rPr>
              <w:t>2,504,001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right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w w:val="94"/>
              </w:rPr>
              <w:t>1,215,885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gridSpan w:val="2"/>
          </w:tcPr>
          <w:p>
            <w:pPr>
              <w:ind w:left="1720"/>
              <w:spacing w:after="0"/>
              <w:rPr>
                <w:sz w:val="20"/>
                <w:szCs w:val="20"/>
                <w:color w:val="auto"/>
              </w:rPr>
            </w:pPr>
            <w:r>
              <w:rPr>
                <w:rFonts w:ascii="Arial" w:cs="Arial" w:eastAsia="Arial" w:hAnsi="Arial"/>
                <w:sz w:val="18"/>
                <w:szCs w:val="18"/>
                <w:color w:val="auto"/>
              </w:rPr>
              <w:t>Total operating expenses</w:t>
            </w:r>
          </w:p>
        </w:tc>
        <w:tc>
          <w:tcPr>
            <w:tcW w:w="1820" w:type="dxa"/>
            <w:vAlign w:val="bottom"/>
            <w:gridSpan w:val="2"/>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w w:val="89"/>
              </w:rPr>
              <w:t>4,759,585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4"/>
              </w:rPr>
              <w:t>4,205,443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0" w:type="dxa"/>
            <w:vAlign w:val="bottom"/>
            <w:vMerge w:val="restart"/>
          </w:tcPr>
          <w:p>
            <w:pPr>
              <w:jc w:val="right"/>
              <w:ind w:right="127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8" w:lineRule="exact"/>
        <w:rPr>
          <w:sz w:val="20"/>
          <w:szCs w:val="20"/>
          <w:color w:val="auto"/>
        </w:rPr>
      </w:pPr>
    </w:p>
    <w:p>
      <w:pPr>
        <w:ind w:right="440" w:firstLine="45"/>
        <w:spacing w:after="0" w:line="286" w:lineRule="auto"/>
        <w:rPr>
          <w:sz w:val="20"/>
          <w:szCs w:val="20"/>
          <w:color w:val="auto"/>
        </w:rPr>
      </w:pPr>
      <w:r>
        <w:rPr>
          <w:rFonts w:ascii="Arial" w:cs="Arial" w:eastAsia="Arial" w:hAnsi="Arial"/>
          <w:sz w:val="17"/>
          <w:szCs w:val="17"/>
          <w:color w:val="auto"/>
        </w:rPr>
        <w:t>Research and development expenses for the three months ended March 31, 2017 decreased $0.7 million, or 24.6%, compared to the three months ended March 31, 2016. This decrease was across all three of our programs and was primarily attributable to the development stage of our lead program and companywide discretionary cost constraints put in place during the 2017 period as we pursued financing alternatives.</w:t>
      </w:r>
    </w:p>
    <w:p>
      <w:pPr>
        <w:spacing w:after="0" w:line="166"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The decrease in spending in our lead program, AKB-9778, for the three months ended March 31, 2017 from the corresponding period in 2016 is primarily attributed to reductions in costs associated with conducting a toxicology study in the 2016 period, which were completed prior to 2017. The reduction in toxicology expense is partially offset by an increase in external development expenses for drug formulation and expenses to prepare for the initiation of a Phase 2 clinical trial in diabetic retinopathy that is planned to begin in the second quarter of 2017.</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decrease in spending in our AKB-4924 program for the three months ended March 31, 2017 from the corresponding period in 2016, is primarily attributable to the expense associated with toxicology and pharmacokinetics studies during the 2016 period, which were completed prior to 2017. The reduction in costs associated with the toxicology studies is offset by costs associate with the initiation of the first human clinical study of this compound and includes an increase in spending on personnel related costs.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decrease in spending in the ARP-1536 program for the three months ended March 31, 2017 from the corresponding period in 2016 is primarily due to cell line development expenses incurred in the 2016 period, which were completed prior to 2017 and had minimal activity in the 2017 period to conserve cash until the completion of a financing event.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General and administrative expenses in the three months ended March 31, 2017, increased $1.3 million, or 105.9%, compared to the three months ended March 31, 2016. This increase was primarily attributable to legal and accounting costs associated with the Merger and related transactions.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3940" w:type="dxa"/>
            <w:vAlign w:val="bottom"/>
            <w:tcBorders>
              <w:bottom w:val="single" w:sz="8" w:color="CFF0FC"/>
            </w:tcBorders>
          </w:tcPr>
          <w:p>
            <w:pPr>
              <w:spacing w:after="0"/>
              <w:rPr>
                <w:sz w:val="14"/>
                <w:szCs w:val="14"/>
                <w:color w:val="auto"/>
              </w:rPr>
            </w:pPr>
          </w:p>
        </w:tc>
        <w:tc>
          <w:tcPr>
            <w:tcW w:w="15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Grant income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35,657</w:t>
            </w:r>
          </w:p>
        </w:tc>
        <w:tc>
          <w:tcPr>
            <w:tcW w:w="140" w:type="dxa"/>
            <w:vAlign w:val="bottom"/>
          </w:tcPr>
          <w:p>
            <w:pPr>
              <w:spacing w:after="0"/>
              <w:rPr>
                <w:sz w:val="19"/>
                <w:szCs w:val="19"/>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8,670</w:t>
            </w:r>
          </w:p>
        </w:tc>
        <w:tc>
          <w:tcPr>
            <w:tcW w:w="60" w:type="dxa"/>
            <w:vAlign w:val="bottom"/>
          </w:tcPr>
          <w:p>
            <w:pPr>
              <w:spacing w:after="0"/>
              <w:rPr>
                <w:sz w:val="19"/>
                <w:szCs w:val="19"/>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income, net</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(271,775)</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w:t>
            </w:r>
          </w:p>
        </w:tc>
        <w:tc>
          <w:tcPr>
            <w:tcW w:w="60" w:type="dxa"/>
            <w:vAlign w:val="bottom"/>
            <w:shd w:val="clear" w:color="auto" w:fill="CFF0FC"/>
          </w:tcPr>
          <w:p>
            <w:pPr>
              <w:spacing w:after="0"/>
              <w:rPr>
                <w:sz w:val="19"/>
                <w:szCs w:val="19"/>
                <w:color w:val="auto"/>
              </w:rPr>
            </w:pPr>
          </w:p>
        </w:tc>
      </w:tr>
      <w:tr>
        <w:trPr>
          <w:trHeight w:val="230"/>
        </w:trPr>
        <w:tc>
          <w:tcPr>
            <w:tcW w:w="3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15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60" w:type="dxa"/>
            <w:vAlign w:val="bottom"/>
            <w:tcBorders>
              <w:bottom w:val="single" w:sz="8" w:color="CFF0FC"/>
            </w:tcBorders>
          </w:tcPr>
          <w:p>
            <w:pPr>
              <w:spacing w:after="0"/>
              <w:rPr>
                <w:sz w:val="19"/>
                <w:szCs w:val="19"/>
                <w:color w:val="auto"/>
              </w:rPr>
            </w:pPr>
          </w:p>
        </w:tc>
      </w:tr>
      <w:tr>
        <w:trPr>
          <w:trHeight w:val="223"/>
        </w:trPr>
        <w:tc>
          <w:tcPr>
            <w:tcW w:w="3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 income, net</w:t>
            </w:r>
          </w:p>
        </w:tc>
        <w:tc>
          <w:tcPr>
            <w:tcW w:w="15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(236,118)</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10,745</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Grant income is recognized as earned based on contract work performed. Grant income amounts can vary greatly from period to period depending on the funding and needs of the party for whom we perform the requested services.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 the three months ended March 31, 2017 is primarily related to interest on the senior secured convertible notes issued during 2016 and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January 2017, offset in part by a small amount of interest income. The principal and accrued interest on the secured convertible notes was converted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on March 15, 2017, in connection with the Merger. We completed three note financings in fiscal 2016 totaling an aggregate principal amount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approximately $12.5 million. The financings were funded in four tranches’, beginning with one in April 2016 for $4.5 million, one in July 2016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$4.5 million, one in October for $3.5 million and one in January 2017 for $0.3 million. The notes had interest at the rate of eight percent (8%) per annum,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compounded annually. Interest income reflects amounts earned on invested cash balances in short term money market instruments.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Other income represents amounts received from Akebia for services rendered under the shared services agreements. The agreements expired in 2016.</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Since inception, we have incurred significant net losses and negative cash flows from operations. For the three months ended March 31, 2017 and 2016, we had net losses of $5.0 million and $4.2 million, respectively. At March 31, 2017 and December 31, 2016, we had an accumulated deficit of $92.2 million and $86.2 million, respectively.</w:t>
      </w:r>
    </w:p>
    <w:p>
      <w:pPr>
        <w:spacing w:after="0" w:line="289"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At March 31, 2017, we had cash and cash equivalents and short term investments of $35.2 million. To date, we have financed our operations principally through the Offering, private placements of our redeemable convertible preferred stock, common stock and issuances of secured convertible promissory notes. Based on our current plans</w:t>
      </w:r>
      <w:r>
        <w:rPr>
          <w:rFonts w:ascii="Arial" w:cs="Arial" w:eastAsia="Arial" w:hAnsi="Arial"/>
          <w:sz w:val="18"/>
          <w:szCs w:val="18"/>
          <w:b w:val="1"/>
          <w:bCs w:val="1"/>
          <w:color w:val="auto"/>
        </w:rPr>
        <w:t>,</w:t>
      </w:r>
      <w:r>
        <w:rPr>
          <w:rFonts w:ascii="Arial" w:cs="Arial" w:eastAsia="Arial" w:hAnsi="Arial"/>
          <w:sz w:val="18"/>
          <w:szCs w:val="18"/>
          <w:color w:val="auto"/>
        </w:rPr>
        <w:t xml:space="preserve"> we expect that our existing cash and cash equivalents, will enable us to conduct our planned operations into the first quarter of fiscal 2019.</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could potentially use our available financial resources sooner than we currently expect, and we may incur additional indebtedness to meet future financing needs. Adequate additional funding may not be available to us on acceptable terms or at all. In addition, although we anticipate being able to obtain additional financing through non-dilutive means, we may be unable to do so. Our failure to raise capital as and when needed could have significant negative consequences for our business, financial condition and results of operations. Our future capital requirements and the adequacy of available funds will depend on many factors, including those set forth in the section titled “Risk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71"/>
        </w:trPr>
        <w:tc>
          <w:tcPr>
            <w:tcW w:w="54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(3,929,121)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(3,873,127)</w:t>
            </w:r>
          </w:p>
        </w:tc>
        <w:tc>
          <w:tcPr>
            <w:tcW w:w="8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(2,208)</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(110,449)</w:t>
            </w: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37,460,744</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33,529,415</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(3,983,576</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historically experienced negative cash outflows as we developed AKB-9778, ARP-1536 and AKB-4924. Our net cash used in operating activities primarily results from our net loss adjusted for non-cash expenses and changes in working capital components. Our primary uses of cash from operating activities are amounts due to contract research organizations for the conduct of our clinical programs and employee-related expenditures for research and development, and general and administrative activities. Our cash flows from operating activities will continue to be affected principally by increased spending to advance of our product candidates in the clinic, personnel to support those activities and other operating and general administrative activities.</w:t>
      </w:r>
    </w:p>
    <w:p>
      <w:pPr>
        <w:spacing w:after="0" w:line="2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the three months ended March 31, 2017, operating activities used approximately $3.9 million in cash, primarily as a result of our net loss of $5.0 million, offset by approximately $0.6 million from changes in working capital and $0.5 million in non-cash charges that consisted of stock compensation expense, non-cash interest expense, amortization of debt issuance costs and depreciation expense. For the three months ended March 31, 2016, operating activities used $3.9 million in cash, primarily as a result of our net loss of $4.2 million, offset by approximately $0.2 million net change in our working capital, and $0.1 million of non-cash charges consisting of stock compensation expense and depreciation expense.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used in investing activities for both three month periods ended March 31, 2017 and 2016 was due to capital expenditures to support our operations.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3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three months ended March 31, 2017, we received net proceeds of $37.2 million from the sale of common stock at $5.00 per share, issued in the Offering and $0.3 million in January from an extension to the Aerpio senior secured convertible notes.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March 31, 2016, Aerpio entered into a senior secured convertible note financing with certain preferred stock investors of Aerpio. The secured convertible notes accrued interest at 8% per annum, compounded annually. Each of the secured convertible notes were also subject to mandatory prepayment and were also convertible into preferred stock of Aerpio upon the occurrence of certain events, as described in the Note Agreements.</w:t>
      </w:r>
    </w:p>
    <w:p>
      <w:pPr>
        <w:spacing w:after="0" w:line="5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received proceeds from the first tranche in April 2016 and subsequent tranches in July 2016, October 2016 and January 2017. The outstanding principal and accrued interest under the secured convertible notes was converted into shares of Aerpio common stock immediately prior to the effective time of the Merger, and exchanged for shares of our common stock pursuant to the Merger.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have been no material changes outside the ordinary course of business during the period covered by this Report from the contractual obligations and commitments as of December 31, 2016 described in our Current Report on Form 8-K filed on March 17,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2017 and 2016, we did not have any off-balance sheet arrangements as defined by applicable SEC regulations.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Our condensed consolidated financial statements are prepared in accordance with generally accepted accounting principles in the United States, or GAAP. The preparation of these condensed consolidated financial statements requires us to make estimates and assumptions that affect the reported amounts of assets, liabilities,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believe that the assumptions and estimates have the greatest potential impact on our condensed consolidated financial statements. Therefore, we consider these to be our critical accounting policies and estimates. For further information on all our significant accounting policies, see the notes to our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and Accrued Research and Development Expenses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prepaid and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We make estimates of our prepaid and accrued research and development expenses as of each balance sheet date in our financial statements based on facts and circumstances known to us at the time. We confirm the accuracy of estimates with the service providers and make adjustments if necessary. Examples of estimated prepaid and accrued research and development expenses include expenses for:</w:t>
      </w:r>
    </w:p>
    <w:p>
      <w:pPr>
        <w:spacing w:after="0" w:line="70"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Research Organizations (CROs) in connection with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Investigative sites in connection with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Vendors related to product manufacturing, development and distribution of clinical materials.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base our expenses related to clinical studies on our estimates of the services received and efforts expended pursuant to contracts with multiple CROs that conduct and manage clinical studies on our behalf. The financial terms of these agreements are subject to negotiation, vary from contract to contract and may result in uneven payment flows. The scope of services under these contracts can be modified and some of the agreements may be cancelled by either party upon written notice. There may be instances in which payments made to our vendors will exceed the level of services provided and result in a prepayment of the clinical expense. Payments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6" w:name="page27"/>
    <w:bookmarkEnd w:id="26"/>
    <w:p>
      <w:pPr>
        <w:ind w:right="220"/>
        <w:spacing w:after="0" w:line="286" w:lineRule="auto"/>
        <w:rPr>
          <w:sz w:val="20"/>
          <w:szCs w:val="20"/>
          <w:color w:val="auto"/>
        </w:rPr>
      </w:pPr>
      <w:r>
        <w:rPr>
          <w:rFonts w:ascii="Arial" w:cs="Arial" w:eastAsia="Arial" w:hAnsi="Arial"/>
          <w:sz w:val="17"/>
          <w:szCs w:val="17"/>
          <w:color w:val="auto"/>
        </w:rPr>
        <w:t>under some of these contracts depend on factors such as the successful enrollment of subjects and the completion of clinical study milestones.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 To date, there have been no material differences between our estimates and the amount actually incurred.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issue stock-based awards generally in the form of stock options and restricted stock. We account for our stock-based compensation awards in accordance with FASB ASC Topic 718, Compensation—Stock Compensation, or ASC 718. ASC 718 requires all stock-based payments to employees, including grants of employee stock options and restricted stock and modifications to existing stock awards to be recognized in the statements of operations and comprehensive loss based on their fair values. Described below is the methodology we have utilized in measuring stock-based compensation expense.</w:t>
      </w:r>
    </w:p>
    <w:p>
      <w:pPr>
        <w:spacing w:after="0" w:line="154"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We estimate the fair value of our options to purchase shares of common stock to employees using the Black-Scholes option pricing model, which requires the input of highly subjective assumptions, including (a) the expected stock price volatility, (b) the calculation of the expected term of the award, (c) the risk-free interest rate and (d) expected dividends. Due to the lack of a public market for the trading of our common stock and a lack of company-specific historical and implied volatility data, we have based our estimate of expected volatility on the historical volatility of a group of similar companies that are publicly traded.</w:t>
      </w:r>
    </w:p>
    <w:p>
      <w:pPr>
        <w:spacing w:after="0" w:line="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historical volatility is calculated based on a period of time commensurate with the expected term assumption. The computation of expected volatility is based on the historical volatility of a representative group of companies with similar characteristics to our company, including stage of product development and life science industry focus. We are a development stage company in an early stage of product development with no revenues and the representative group of companies has certain similar characteristics. We believe the group selected has sufficient similar economic and industry characteristics, and includes companies that are most representative of our company. We use the simplified method as prescribed by the SEC Staff Accounting Bulletin No. 107, Share-Based Payment, to calculate the expected term for options granted to employees as we do not have sufficient historical exercise data to provide a reasonable basis upon which to estimate the expected term. The expected term is applied to the stock option grant group as a whole, as we do not expect substantially different exercise or post-vesting termination behavior among our employee population. The risk-free interest rate is based on a treasury instrument whose term is consistent with the expected life of the stock options. The expected dividend yield is assumed to be zero as we have never paid dividends and have no current plans to pay any dividends on our common stock, similar to our peer group. The grant date fair value of restricted stock award grants is based on the estimated value of our common stock at the date of grant.</w:t>
      </w:r>
    </w:p>
    <w:p>
      <w:pPr>
        <w:spacing w:after="0" w:line="1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Our stock-based awards are subject to service-based vesting conditions. Compensation expense related to awards to employees with service-based vesting conditions is recognized on a straight-line basis based on the grant date fair value over the associated service period of the award, which is generally the vesting term.</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three months ended March 31, 2017 and 2016, stock-based compensation expense was approximately $0.2 million and $0.1 million, respectively. As of March 31, 2017, we had $0.3 million of total unrecognized stock-based compensation costs for stock options, which we expect to recognize over a weighted-average period of 2.1 years. As of March 31, 2016, we had $0.4 million of total unrecognized stock-based compensation costs for restricted stock awards, which we expect to recognize over a weighted-average period of 1.4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23" w:lineRule="exact"/>
        <w:rPr>
          <w:sz w:val="20"/>
          <w:szCs w:val="20"/>
          <w:color w:val="auto"/>
        </w:rPr>
      </w:pPr>
    </w:p>
    <w:p>
      <w:pPr>
        <w:jc w:val="both"/>
        <w:ind w:right="160"/>
        <w:spacing w:after="0" w:line="281" w:lineRule="auto"/>
        <w:rPr>
          <w:sz w:val="20"/>
          <w:szCs w:val="20"/>
          <w:color w:val="auto"/>
        </w:rPr>
      </w:pPr>
      <w:r>
        <w:rPr>
          <w:rFonts w:ascii="Arial" w:cs="Arial" w:eastAsia="Arial" w:hAnsi="Arial"/>
          <w:sz w:val="16"/>
          <w:szCs w:val="16"/>
          <w:color w:val="auto"/>
        </w:rPr>
        <w:t>The fair value of the common stock was determined by our board of directors, which intended all stock options granted to be exercisable at a price per share not less than the per share fair value of our common stock underlying those options on the date of grant. As a privately held company, the valuations of our common stock were determined in accordance with the guidelines outlined in the American Institute of Certified Public Accountants Practice</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Aid, </w:t>
      </w:r>
      <w:r>
        <w:rPr>
          <w:rFonts w:ascii="Arial" w:cs="Arial" w:eastAsia="Arial" w:hAnsi="Arial"/>
          <w:sz w:val="18"/>
          <w:szCs w:val="18"/>
          <w:i w:val="1"/>
          <w:iCs w:val="1"/>
          <w:color w:val="auto"/>
        </w:rPr>
        <w:t>Valuation</w:t>
      </w:r>
      <w:r>
        <w:rPr>
          <w:rFonts w:ascii="Arial" w:cs="Arial" w:eastAsia="Arial" w:hAnsi="Arial"/>
          <w:sz w:val="18"/>
          <w:szCs w:val="18"/>
          <w:color w:val="auto"/>
        </w:rPr>
        <w:t xml:space="preserve"> of </w:t>
      </w:r>
      <w:r>
        <w:rPr>
          <w:rFonts w:ascii="Arial" w:cs="Arial" w:eastAsia="Arial" w:hAnsi="Arial"/>
          <w:sz w:val="18"/>
          <w:szCs w:val="18"/>
          <w:i w:val="1"/>
          <w:iCs w:val="1"/>
          <w:color w:val="auto"/>
        </w:rPr>
        <w:t>Privately-Held-Company Equity Securities Issued as Compensation</w:t>
      </w:r>
      <w:r>
        <w:rPr>
          <w:rFonts w:ascii="Arial" w:cs="Arial" w:eastAsia="Arial" w:hAnsi="Arial"/>
          <w:sz w:val="18"/>
          <w:szCs w:val="18"/>
          <w:color w:val="auto"/>
        </w:rPr>
        <w:t>, or AICPA Practice Aid</w:t>
      </w:r>
      <w:r>
        <w:rPr>
          <w:rFonts w:ascii="Arial" w:cs="Arial" w:eastAsia="Arial" w:hAnsi="Arial"/>
          <w:sz w:val="18"/>
          <w:szCs w:val="18"/>
          <w:i w:val="1"/>
          <w:iCs w:val="1"/>
          <w:color w:val="auto"/>
        </w:rPr>
        <w:t>.</w:t>
      </w:r>
      <w:r>
        <w:rPr>
          <w:rFonts w:ascii="Arial" w:cs="Arial" w:eastAsia="Arial" w:hAnsi="Arial"/>
          <w:sz w:val="18"/>
          <w:szCs w:val="18"/>
          <w:color w:val="auto"/>
        </w:rPr>
        <w:t xml:space="preserve"> The assumptions we used in the valuation model were based on future expectations combined with management judgment. In the absence of a public trading market, our board of directors, with input from management, exercised significant judgment and considered numerous objective and subjective factors to determine the fair value of our common stock as of the date of each option grant. including the following factors:</w:t>
      </w:r>
    </w:p>
    <w:p>
      <w:pPr>
        <w:spacing w:after="0" w:line="95"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valuations performed by unrelated third-party specialists;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convertible preferred stock relative to those of our Common Stock;</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prices of Aerpio’s former convertible preferred stock sold to outside investors in arm’s-length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hiring of key personnel and the experience of our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 public offering or a merger or acquisition of our business given prevailing market conditions;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illiquidity of stock-based awards involving securities in a private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U.S. and global capital market conditions.</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For the valuation of our common stock at December 31, 2016, we used the hybrid method. As described in the AICPA’s accounting and valuation guide,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the hybrid method is a hybrid between the probability-weighted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returns method (PWERM) and the option-pricing method (OPM). We considered a “go-public scenario”, in which our preferred shares convert to common stock, and a second scenario, in which equity value is allocated using the OPM. We used the guideline public company method under the market approach to value our equity. We estimated our equity value based on a multiple of paid-in capital as indicated by a group of guideline public companies. The group consisted of clinical-stage drug development companies which completed initial public offerings in the six months preceding our appraisal date. In addition, for each of the guideline companies, we considered the increase, or step-up, in per share value from the preferred financing preceding the public offering to the common stock value in the public offering. We also considered the equity value of each guideline company, not including the proceeds of the public offering.</w:t>
      </w:r>
    </w:p>
    <w:p>
      <w:pPr>
        <w:spacing w:after="0" w:line="19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liquidation preference at the time of a liquidity event, such as a strategic sale, merger or initial public offering. For each Black-Scholes calculation in the OPM, the option “strike price” is determined by the company’s capital structure. Additional inputs to the OPM include the estimated time to liquidity and estimated equity volatility.</w:t>
      </w:r>
    </w:p>
    <w:p>
      <w:pPr>
        <w:spacing w:after="0" w:line="1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applied a discount for lack of marketability to the values indicated for the common stock in the go-public and OPM scenarios. Our estimate of the appropriate discount for lack of marketability relied on an Asian put option calculation.</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significant assumptions used in the hybrid method to determine the fair value of our common stock as of December 31, 2016:</w:t>
      </w:r>
    </w:p>
    <w:p>
      <w:pPr>
        <w:spacing w:after="0" w:line="200" w:lineRule="exact"/>
        <w:rPr>
          <w:sz w:val="20"/>
          <w:szCs w:val="20"/>
          <w:color w:val="auto"/>
        </w:rPr>
      </w:pPr>
    </w:p>
    <w:p>
      <w:pPr>
        <w:spacing w:after="0" w:line="22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Go-</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Public</w:t>
            </w:r>
          </w:p>
        </w:tc>
        <w:tc>
          <w:tcPr>
            <w:tcW w:w="9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OPM</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2840" w:type="dxa"/>
            <w:vAlign w:val="bottom"/>
            <w:gridSpan w:val="3"/>
          </w:tcPr>
          <w:p>
            <w:pPr>
              <w:jc w:val="center"/>
              <w:ind w:left="1174"/>
              <w:spacing w:after="0"/>
              <w:rPr>
                <w:sz w:val="20"/>
                <w:szCs w:val="20"/>
                <w:color w:val="auto"/>
              </w:rPr>
            </w:pPr>
            <w:r>
              <w:rPr>
                <w:rFonts w:ascii="Arial" w:cs="Arial" w:eastAsia="Arial" w:hAnsi="Arial"/>
                <w:sz w:val="14"/>
                <w:szCs w:val="14"/>
                <w:b w:val="1"/>
                <w:bCs w:val="1"/>
                <w:color w:val="auto"/>
                <w:w w:val="91"/>
              </w:rPr>
              <w:t>Scenario</w:t>
            </w: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Key assumptions</w:t>
            </w:r>
          </w:p>
        </w:tc>
        <w:tc>
          <w:tcPr>
            <w:tcW w:w="17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Probability weighting</w:t>
            </w:r>
          </w:p>
        </w:tc>
        <w:tc>
          <w:tcPr>
            <w:tcW w:w="2840" w:type="dxa"/>
            <w:vAlign w:val="bottom"/>
            <w:gridSpan w:val="3"/>
          </w:tcPr>
          <w:p>
            <w:pPr>
              <w:jc w:val="right"/>
              <w:ind w:right="380"/>
              <w:spacing w:after="0"/>
              <w:rPr>
                <w:sz w:val="20"/>
                <w:szCs w:val="20"/>
                <w:color w:val="auto"/>
              </w:rPr>
            </w:pPr>
            <w:r>
              <w:rPr>
                <w:rFonts w:ascii="Arial" w:cs="Arial" w:eastAsia="Arial" w:hAnsi="Arial"/>
                <w:sz w:val="18"/>
                <w:szCs w:val="18"/>
                <w:color w:val="auto"/>
              </w:rPr>
              <w:t>50%</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Years to liquidity</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Weighted-average cost of equity</w:t>
            </w:r>
          </w:p>
        </w:tc>
        <w:tc>
          <w:tcPr>
            <w:tcW w:w="2840" w:type="dxa"/>
            <w:vAlign w:val="bottom"/>
            <w:gridSpan w:val="3"/>
          </w:tcPr>
          <w:p>
            <w:pPr>
              <w:jc w:val="right"/>
              <w:ind w:right="380"/>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Annual volatility</w:t>
            </w:r>
          </w:p>
        </w:tc>
        <w:tc>
          <w:tcPr>
            <w:tcW w:w="1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Discount for lack of marketability (DLOM)</w:t>
            </w:r>
          </w:p>
        </w:tc>
        <w:tc>
          <w:tcPr>
            <w:tcW w:w="2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Based on these assumptions, we estimated the fair value of our common stock on a pre-Merger basis to be $1.20 as of December 31, 2016 ($2.80 as of Decebmer 31, 2016 on an as converted basis to reflect the effect of the Merger).</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are significant judgments and estimates inherent in the determination of these valuations. These judgments and estimates include assumptions regarding our future performance, including the successful enrollment and completion of our clinical studies as well as the determination of the appropriate valuation methods. If we had made different assumptions, our stock-based compensation expense could have been different. The foregoing valuation methodologies are not the only methodologies available and they will not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be used to value our common stock once this offering is complete. We cannot make assurances as to any particular valuation for our common stock.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caution you not to place undue reliance on the foregoing valuation methodologies as an indicator of future stock prices.</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valuation of our common stock at March 31, 2017, we used $5.00 per share; the share price paid by outside investors in our private placement closed on March 15, 2017. There were no stock awards granted or issued in the three months ended March 31, 2017.</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are an “emerging growth company” within the meaning of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 that are not emerging growth companies.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cash balance as of March 31, 2017 consisted of cash held in an operating account that earns nominal interest income. Therefore, there was minimal or no interest rate risk.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Management’s Evaluation of our Disclosure Controls and Procedures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22222"/>
        </w:rPr>
        <w:t>Under the supervision of and with the participation of our management, including our President and Chief Executive Officer, who is our principal executive officer, and our Chief Financial Officer, who is our principal financial officer, we conducted an evaluation of the effectiveness of our disclosure controls and procedures as of March 31, 2017, the end of the period covered by this Quarterly Report. The term “disclosure controls and procedures,” as set forth in Rules 13a-15(e) and 15d-15(e) under the Securities Exchange Act of 1934, as amended, or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5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222222"/>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 Based on the evaluation of our disclosure controls and procedures as of March 31, 2017, our chief executive officer and chief financial officer concluded that, as of such date, our disclosure controls and procedures were not effective at the reasonable assurance level due to a material weakness in internal control over financial reporting. The material weakness was initially identified at December 31, 2016 as previously disclosed and relates to the effectiveness of controls over our review and approval procedures with respect to financial information generated to prepare our consolidated financial statements, coupled with a lack of segregation of duties. We are taking steps to remediate this material weakness.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Changes in Internal Control over Financial Reporting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spacing w:after="0" w:line="264" w:lineRule="auto"/>
        <w:rPr>
          <w:sz w:val="20"/>
          <w:szCs w:val="20"/>
          <w:color w:val="auto"/>
        </w:rPr>
      </w:pPr>
      <w:r>
        <w:rPr>
          <w:rFonts w:ascii="Arial" w:cs="Arial" w:eastAsia="Arial" w:hAnsi="Arial"/>
          <w:sz w:val="18"/>
          <w:szCs w:val="18"/>
          <w:color w:val="222222"/>
        </w:rPr>
        <w:t>During the quarter ended March 31, 2017, there have been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233" w:right="37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Investing in our common stock involves a high degree of risk. In addition to the information, documents or reports included or incorporated by reference in this Quarterly Report on Form 10-Q for the period ended March 31, 2017, you should carefully consider the risks described below, before making an investment decision. Our business, financial condition or results of operations could be harmed by any of these risks. As a result, you could lose some or all of your investment in our common stock. The risks and uncertainties described below are not the only ones we face. Additional risks not currently known to us or other factors not perceived by us to present significant risks to our business at this time also may impair our business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and anticipate that we will continue to incur significant losses for the foreseeable future and may never achieve or maintain profitability.</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have incurred net losses each year since our inception, including net losses of $17.0 million and $17.1 million for the years ended December 31, 2016 and 2015, respectively, and $5.0 million for the three months ended March 31, 2017. As of March 31, 2017, we had an accumulated deficit of $92.2 million. To date, we have not commercialized any products or generated any revenues from the sale of products, and we do not expect to generate any product revenues in the foreseeable future. We do not know whether or when we will generate revenue or become profitable.</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have devoted most of our financial resources to research and development, including our clinical and preclinical development activities. To date, we have financed our operations primarily through private placements of our preferred stock. The amount of our future net losses will depend, in part, on the rate of our future expenditures, and our financial position will depend, in part, on our ability to obtain funding through equity or debt financings, strategic collaborations or grants. Our lead product candidate, AKB-9778, recently completed a proof of concept Phase 2 clinical trial in April 2015. Our product candidate AKB-4924 in our HIF-1-a stabilization program recently completed a Phase 1a trial. Our other product candidates are in preclinical development. As a result, we expect that it will be several years, if ever, before we have a product candidate ready for commercialization. Even if we obtain regulatory approval to market AKB-9778, our future revenues will depend upon the size of any markets in which AKB-9778 has received approval, our ability to achieve sufficient market acceptance, reimbursement from third-party payors and other factors.</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significantly if and as we:</w:t>
      </w:r>
    </w:p>
    <w:p>
      <w:pPr>
        <w:spacing w:after="0" w:line="62" w:lineRule="exact"/>
        <w:rPr>
          <w:sz w:val="20"/>
          <w:szCs w:val="20"/>
          <w:color w:val="auto"/>
        </w:rPr>
      </w:pPr>
    </w:p>
    <w:p>
      <w:pPr>
        <w:ind w:left="1040" w:right="6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our Phase 2 program and prepare for a future Phase 3 development program of AKB-9778 for the treatment of diabetic retinopathy, or DR.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that successfully complete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our product candidates manufactured for clinical trials and for commercial sale;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28" w:lineRule="exact"/>
        <w:rPr>
          <w:rFonts w:ascii="Arial" w:cs="Arial" w:eastAsia="Arial" w:hAnsi="Arial"/>
          <w:sz w:val="17"/>
          <w:szCs w:val="17"/>
          <w:color w:val="auto"/>
        </w:rPr>
      </w:pPr>
    </w:p>
    <w:p>
      <w:pPr>
        <w:ind w:left="1040" w:right="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studies for AKB-9778, AKB-4924, ARP-1536 and other product candidates that we may develop or acquire;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or in-license other commercial products, product candidates and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royalty, milestone or other payments under any future in-license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and retain skilled personnel;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public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ind w:right="60"/>
        <w:spacing w:after="0" w:line="279"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we are unable to accurately predict the timing or amount of increased expenses or when, if at all, we will be able to achieve profitability. If we are required by the United States Food and Drug Administration, or FDA, the European Medicines Agency, or EMA, or other regulatory authorities to perform studies in addition to those currently expected, or if there are any delays in completing our clinical trials or the development of any of our product candidates, our expenses could increase.</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net losses we incur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To become and remain profitable, we must succeed in developing and commercializing our product candidates, which must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w:t>
      </w:r>
    </w:p>
    <w:p>
      <w:pPr>
        <w:spacing w:after="0" w:line="1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cause you to lose all or part of your investment.</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financing. A failure to obtain this necessary capital when needed could force us to delay, limit, reduce or terminate our product development or commercialization efforts.</w:t>
      </w:r>
    </w:p>
    <w:p>
      <w:pPr>
        <w:spacing w:after="0" w:line="6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March 31, 2017, our cash and cash equivalents were $35.1 million. We believe that we will continue to expend substantial resources for the foreseeable future developing AKB-9778 and any other product candidates that we may develop or acquire. Additionally, we may expend substantial resources to further develop AKB-4924 if we secure sufficient additional funding, likely from a strategic and commercial partner for that candidate, as well as ARP-1536 if we secure sufficient additional funding, which may be from a partner for that candidate. These expenditures will include costs associated with research and development, potentially obtaining regulatory approvals and having our products manufactured, as well as marketing and selling products approved for sale, if any. In addition, other unanticipated costs may arise. Because the outcome of our current and anticipated clinical trials is highly uncertain, we cannot reasonably estimate the actual amounts necessary to successfully complete the development and commercialization of our product candidates.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1040" w:right="280" w:hanging="519"/>
        <w:spacing w:after="0" w:line="342"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rate of progress, results and cost of completing our Phase 2 program of AKB-9778 and our operating costs incurred as we conduct these trials and through our end of Phase 2 meeting with the FDA, and equivalent meetings with the EMA and other regulatory authorities;</w:t>
      </w:r>
    </w:p>
    <w:p>
      <w:pPr>
        <w:spacing w:after="0" w:line="15" w:lineRule="exact"/>
        <w:rPr>
          <w:rFonts w:ascii="Arial" w:cs="Arial" w:eastAsia="Arial" w:hAnsi="Arial"/>
          <w:sz w:val="16"/>
          <w:szCs w:val="16"/>
          <w:color w:val="auto"/>
        </w:rPr>
      </w:pPr>
    </w:p>
    <w:p>
      <w:pPr>
        <w:ind w:left="1040" w:right="40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assuming AKB-9778 advances to Phase 3 clinical trials, the scope, size, rate of progress, results and costs of initiating and completing our Phase 3 development program of AKB-9778;</w:t>
      </w:r>
    </w:p>
    <w:p>
      <w:pPr>
        <w:spacing w:after="0" w:line="62" w:lineRule="exact"/>
        <w:rPr>
          <w:rFonts w:ascii="Arial" w:cs="Arial" w:eastAsia="Arial" w:hAnsi="Arial"/>
          <w:sz w:val="18"/>
          <w:szCs w:val="18"/>
          <w:color w:val="auto"/>
        </w:rPr>
      </w:pPr>
    </w:p>
    <w:p>
      <w:pPr>
        <w:ind w:left="1040" w:right="180" w:hanging="519"/>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assuming favorable clinical results, the cost, timing and outcome of our efforts to obtain marketing approval for AKB-9778 in the United States, Europe and in other jurisdictions, including to fund the preparation and filing of regulatory submissions for AKB-9778 with the FDA, the EMA and other regulatory authorities;</w:t>
      </w:r>
    </w:p>
    <w:p>
      <w:pPr>
        <w:spacing w:after="0" w:line="73"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that we may undertake for AKB-4924, ARP-1536 and any other product candidates that we may develop or acquire;</w:t>
      </w:r>
    </w:p>
    <w:p>
      <w:pPr>
        <w:spacing w:after="0" w:line="62"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AKB-4924 and ARP-1536 if we continue their further development upon securing sufficient additional funding and/or a strategic and commercial partner, and clinical trials of these product candidates are successful;</w:t>
      </w:r>
    </w:p>
    <w:p>
      <w:pPr>
        <w:spacing w:after="0" w:line="73"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future commercialization activities for our products, if any of our product candidates are approved for marketing, including product manufacturing, marketing, sales and distribution costs;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2" w:name="page33"/>
    <w:bookmarkEnd w:id="32"/>
    <w:p>
      <w:pPr>
        <w:ind w:left="1040" w:right="78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having our product candidates manufactured for clinical trials in preparation for regulatory approval and in preparation for commercialization;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establish and maintain strategic collaborations, licensing or other arrangements and the financial terms of such agreements; and</w:t>
      </w:r>
    </w:p>
    <w:p>
      <w:pPr>
        <w:spacing w:after="0" w:line="140" w:lineRule="exact"/>
        <w:rPr>
          <w:rFonts w:ascii="Arial" w:cs="Arial" w:eastAsia="Arial" w:hAnsi="Arial"/>
          <w:sz w:val="16"/>
          <w:szCs w:val="16"/>
          <w:color w:val="auto"/>
        </w:rPr>
      </w:pPr>
    </w:p>
    <w:p>
      <w:pPr>
        <w:ind w:left="1040" w:right="28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patent applications, maintaining, defending and enforcing our intellectual property rights, including litigation costs and the outcome of such litigation.</w:t>
      </w:r>
    </w:p>
    <w:p>
      <w:pPr>
        <w:spacing w:after="0" w:line="17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Based on our current operating plan, and absent any future financings or strategic partnerships, we believe that our existing cash and cash equivalents and investments will be sufficient to fund our projected operating expenses and capital expenditure requirements into the first quarter of fiscal year 2019. However, our operating plan may change as a result of many factors currently unknown to us, and we may need additional funds sooner than planned. In addition, we may seek additional capital due to favorable market conditions or strategic considerations even if we believe we have sufficient funds for our current or future operating plans. Additional funds may not be available when we need them on terms that are acceptable to us, or at all. If adequate funds are not available to us on a timely basis, we may be required to delay, limit, reduce or terminate preclinical studies, clinical trials or other development activities for AKB-9778, AKB-4924, ARP-1536 or any other product candidates that we develop or acquire, or delay, limit, reduce or terminate our establishment of sales and marketing capabilities or other activities that may be necessary to commercialize our product candidates.</w:t>
      </w:r>
    </w:p>
    <w:p>
      <w:pPr>
        <w:spacing w:after="0" w:line="2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product candidates on unfavorable terms to us.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equity offerings, debt financings and license, development and commercialization agreements with collaborators.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collaborations with third parties, we may have to relinquish valuable rights to our product candidates, future revenue streams, research programs or product candidates or grant licenses on terms that are not favorable to us. If we are unable to raise additional funds through equity or debt financing when needed, we may be required to delay, limit, reduce or terminate our product development or commercialization efforts for AKB-9778 and, if we secure sufficient additional funding and/or a strategic and commercial partner, to continue their development, for AKB-4924, ARP-1536 or any other product candidates that we develop or acquire, or grant rights to develop and market product candidates that we would otherwise prefer to develop and market ourselves.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1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commenced active operations in 2011, and our operations to date have been limited to organizing and staffing our company, business planning, raising capital, identifying potential product candidates, undertaking preclinical studies and conducting clinical trials. We currently have three product candidates, one of which is in preclinical development. Of these product candidates, we may further develop AKB-4924 and ARP-1536 only if we secure sufficient additional funding and/or a strategic and commercial partner, to continue their clinical development. Biopharmaceutical product development is a highly speculative undertaking and involves a substantial degree of risk. Only a small fraction of biopharmaceutical development programs ultimately result in commercial products or even product candidates and a number of events could delay our development efforts and negatively impact our ability to obtain regulatory approval for, and to manufacture, market and sell, a product. We have not yet demonstrated our ability to successfully complete later stage clinical trials,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as a young business, we may encounter unforeseen expenses, difficulties, complications, delays and other known and unknown factors. We will need to expand our capabilities to support commercial activities. We may not be successful in adding such capabilities.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Clinical Development, Regulatory Review and Approval of Product Candidates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depend heavily on the success of one product candidate, AKB-9778, which is in Phase 2 clinical development. Even if we obtain favorable clinical results, we may not be able to obtain regulatory approval for, or successfully commercialize, AKB-9778.</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currently have only one product candidate, AKB-9778, in clinical development, and our business depends almost entirely on the successful clinical development, regulatory approval and commercialization of that product candidate, which may never occur. We currently have no products for sale, generate no revenues from sales of any drugs, and may never be able to develop marketable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line="268" w:lineRule="auto"/>
        <w:rPr>
          <w:sz w:val="20"/>
          <w:szCs w:val="20"/>
          <w:color w:val="auto"/>
        </w:rPr>
      </w:pPr>
      <w:r>
        <w:rPr>
          <w:rFonts w:ascii="Arial" w:cs="Arial" w:eastAsia="Arial" w:hAnsi="Arial"/>
          <w:sz w:val="17"/>
          <w:szCs w:val="17"/>
          <w:color w:val="auto"/>
        </w:rPr>
        <w:t>products. AKB-9778, which recently completed a proof of concept Phase 2 clinical trial, will require substantial additional clinical development, testing, manufacturing process development, and regulatory approval before we are permitted to commence its commercialization. Our other product candidate, AKB-4924, recently completed a Phase 1a trial. We currently may further develop AKB-4924 only if we secure sufficient additional funding, likely from a strategic and commercial partner, to continue its development. In addition, we currently may further develop ARP-1536 only if we secure sufficient additional funding , which may be from a strategic and commercial partner to continue its clinical development. There can be no assurance that we will be able to secure such additional funding or a strategic or commercial partner on commercially reasonable terms or at all. Any failure to do so would impair our ability to advance AKB-4924 and ARP-1536, resulting in our even greater dependence on AKB-9778. None of our product candidates has advanced into a pivotal trial, and it may be years before such trial is initiated, if ever.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candidates. Before obtaining regulatory approval for the commercial sale of any product candidate, we must demonstrate through extensive preclinical testing and clinical trials that any drug candidate is safe and effective and any biological product candidate is safe, pure, and potent for use in each target indication. This process can take many years. Of the large number of drugs in development in the United States, only a small percentage successfully complete the FDA regulatory approval process and are commercialized. Accordingly, even if we are able to obtain the requisite capital to continue to fund our development and clinical programs, we may be unable to successfully develop or commercialize AKB-9778.</w:t>
      </w:r>
    </w:p>
    <w:p>
      <w:pPr>
        <w:spacing w:after="0" w:line="1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not permitted to market AKB-9778 in the United States until we receive approval of an NDA from the FDA, or in any foreign countries until we receive the requisite approval from such countries. As a condition to submitting an NDA to the FDA for AKB-9778 regarding its ability to treat patients with DR, we must complete our ongoing clinical trials, Phase 3 trials, and any additional non-clinical studies or clinical trials required by the FDA. To date, we have only completed a Phase 2 clinical trial for AKB-9778 and five other early stage trials. AKB-9778 may not be successful in clinical trials or receive regulatory approval. Further, AKB-9778 may not receive regulatory approval even if it is successful in clinical trials. Obtaining approval of an NDA is a complex, lengthy, expensive and uncertain process that typically takes many years following the commencement of clinical trials and depends upon numerous factors, including the substantial discretion of the regulatory authorities. In addition, the policies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AKB-9778 will never obtain regulatory approval. The FDA may delay, limit or deny approval of AKB-9778 for many reasons, including, among others:</w:t>
      </w:r>
    </w:p>
    <w:p>
      <w:pPr>
        <w:spacing w:after="0" w:line="70"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demonstrate that AKB-9778 is safe and effective in treating patients with DR to the satisfaction of the FDA;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results of our clinical trials may not meet the level of statistical or clinical significance required by the FDA for marketing approval;</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may not approve the formulation, labeling or specifications of AKB-9778;</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may require that we conduct additional clinical trials;</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contract research organizations, or CROs, that we retain to conduct our clinical trials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fail to perform in accordance with the FDA’s good clinical practice, or GCP,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our preclinical studies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FDA may find deficiencies with the manufacturing processes or facilities of third-party manufacturers with which we contract; or</w:t>
      </w:r>
    </w:p>
    <w:p>
      <w:pPr>
        <w:spacing w:after="0" w:line="128" w:lineRule="exact"/>
        <w:rPr>
          <w:rFonts w:ascii="Arial" w:cs="Arial" w:eastAsia="Arial" w:hAnsi="Arial"/>
          <w:sz w:val="17"/>
          <w:szCs w:val="17"/>
          <w:color w:val="auto"/>
        </w:rPr>
      </w:pPr>
    </w:p>
    <w:p>
      <w:pPr>
        <w:ind w:left="1040" w:right="6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policies or regulations of the FDA may significantly change in a manner that renders our clinical data insufficient for approval, or requiring that we amend or submit new clinical protocols.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addition, similar reasons may cause the EMA or other regulatory authorities to delay, limit or deny approval of AKB-9778 outside the United States.</w:t>
      </w:r>
    </w:p>
    <w:p>
      <w:pPr>
        <w:spacing w:after="0" w:line="23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market AKB-9778. Because our business is almost entirely dependent upon AKB-9778, any such setback in our pursuit of regulatory approval would have a material adverse effect on our business and prospects.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4" w:name="page35"/>
    <w:bookmarkEnd w:id="34"/>
    <w:p>
      <w:pPr>
        <w:ind w:right="40"/>
        <w:spacing w:after="0" w:line="297" w:lineRule="auto"/>
        <w:rPr>
          <w:sz w:val="20"/>
          <w:szCs w:val="20"/>
          <w:color w:val="auto"/>
        </w:rPr>
      </w:pPr>
      <w:r>
        <w:rPr>
          <w:rFonts w:ascii="Arial" w:cs="Arial" w:eastAsia="Arial" w:hAnsi="Arial"/>
          <w:sz w:val="16"/>
          <w:szCs w:val="16"/>
          <w:color w:val="auto"/>
        </w:rPr>
        <w:t>Alternatively, even if we obtain regulatory approval, that approval may be for indications or patient populations that are not as broad as we intend or desire or may require labeling that includes significant use or distribution restrictions or safety warnings. We may also be required to perform additional, unanticipated clinical trials to obtain approval or be subject to additional post marketing testing requirements to maintain regulatory approval. In addition, regulatory authorities may withdraw their approval of a product or the FDA may require a risk evaluation and mitigation strategy, or REMS, for a product, which could impose restrictions on its distribution. Any of the foregoing scenarios could materially harm the commercial prospects for our product candidates.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not obtained agreement with the FDA, EMA or other regulatory authorities on the design of our Phase 3 development program.</w:t>
      </w:r>
    </w:p>
    <w:p>
      <w:pPr>
        <w:spacing w:after="0" w:line="1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not obtained agreement with the FDA on the design of our Phase 3 development program. We plan to hold an end of Phase 2 meeting with the FDA upon successful completion of our Phase 2 clinical program. If the FDA determines that the Phase 2 trial results do not support moving into a pivotal program, we would be required to conduct additional Phase 2 studies. Alternatively, the FDA could disagree with our proposed design of our Phase 3 development program and could suggest a larger number of subjects or a longer course of treatment than our current expectations. If the FDA takes such positions, the costs of our AKB-9778 development program could increase materially and the potential market introduction of AKB-9778 could be delayed or we could risk not obtaining FDA approval even if the Phase 3 trials meet their primary endpoints. The FDA also may require that we conduct additional clinical, nonclinical or manufacturing validation studies and submit that data before it will consider an NDA application.</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While we intend to follow the regulatory pathway that ranibizumab and aflibercept undertook when they were approved for DR in the presence of DME, we have not yet sought guidance for the regulatory path for AKB-9778 with the EMA or other regulatory authorities. We cannot predict what additional requirements may be imposed by these regulatory authorities or how such requirements might delay or increase costs for our planned Phase 3 development program. For example, ranibizumab and aflibercept are anti-vascular endothelial growth factor, or anti-VEGF therapies, which block vascular endothelial growth factor, used in the treatment of DR, DME, age-related macular degeneration and retinal vein occlusion, while AKB-9778 is a small molecule activator of the Tie-2 pathway, and such differences may result in a different regulatory pathway for AKB-9778, including one that may be longer, more complex or expensive than that of ranibizumab or aflibercept. Because our business is almost entirely dependent upon the successful development, regulatory approval, and commercialization of AKB-9778, any such delay or increase costs would have an adverse effect on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clinical trials of our product candidates.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Our competitors may have ongoing clinical trials for product candidates that could be competitive with our product candidates, and patients who would otherwise be eligible for our clinical trials may instead enroll in clinical trials of our competitors’ product candidates. As a result, the timeline for recruiting patients, conducting trials and obtaining regulatory approval of potential products may be delayed. These delays could result in increased costs, delays in advancing our development of AKB-9778 or termination of the clinical trials altogether.</w:t>
      </w:r>
    </w:p>
    <w:p>
      <w:pPr>
        <w:spacing w:after="0" w:line="1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achieve diversity in a trial, to complete our clinical trials in a timely manner. Patient enrollment is affected by factors including:</w:t>
      </w:r>
    </w:p>
    <w:p>
      <w:pPr>
        <w:spacing w:after="0" w:line="62"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eligibility criteria for the trial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and clinicians’ and patients’ perceptions as to the potential advantages of AKB-9778 in relation to available therapies or other products under development;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 w:name="page36"/>
    <w:bookmarkEnd w:id="35"/>
    <w:p>
      <w:pPr>
        <w:jc w:val="both"/>
        <w:ind w:right="100"/>
        <w:spacing w:after="0" w:line="264" w:lineRule="auto"/>
        <w:rPr>
          <w:sz w:val="20"/>
          <w:szCs w:val="20"/>
          <w:color w:val="auto"/>
        </w:rPr>
      </w:pPr>
      <w:r>
        <w:rPr>
          <w:rFonts w:ascii="Arial" w:cs="Arial" w:eastAsia="Arial" w:hAnsi="Arial"/>
          <w:sz w:val="18"/>
          <w:szCs w:val="18"/>
          <w:color w:val="auto"/>
        </w:rPr>
        <w:t>We may not be able to initiate or continue clinical trials if we cannot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would have an adverse effect on our business.</w:t>
      </w:r>
    </w:p>
    <w:p>
      <w:pPr>
        <w:spacing w:after="0" w:line="2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not be able to comply with requirements of foreign jurisdictions in conducting trials outside of the United States. In addition, we may not be able to obtain regulatory approval in foreign jurisdictions.</w:t>
      </w:r>
    </w:p>
    <w:p>
      <w:pPr>
        <w:spacing w:after="0" w:line="6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If AKB-9778 is successful in Phase 2 development, we currently expect to conduct our Phase 3 clinical trial of AKB-9778 that may include trial sites outside of the United States, including Japan and the European Union, and seek regulatory approval for AKB-9778 for the treatment of patients with DR in major markets in addition to the United States, including the European Union. Our ability to successfully initiate, enroll and complete a clinical trial in any foreign country, should we attempt to do so, is subject to numerous risks unique to conducting business in international markets, including:</w:t>
      </w:r>
    </w:p>
    <w:p>
      <w:pPr>
        <w:spacing w:after="0" w:line="63"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qualified CROs and physicians;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 local standards for the conduct of clinical trials;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acceptability of data obtained from trials conducted in the United States to the EMA and other regulatory authorities.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we fail to successfully meet requirements for the conduct of clinical trials outside of the United States, we may be delayed in obtaining, or be unable to obtain, regulatory approval for AKB-9778 in countries outside of the United States.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Regulatory authorities outside the United States will require compliance with numerous and varying regulatory requirements. The approval procedures vary among jurisdictions and may involve requirements for additional testing, and the time required to obtain approval may differ from that required to obtain FDA approval. In addition, in many countries outside the United States, a product must be approved for reimbursement before it can be approved for sale in that country. In some cases, the price that we intend to charge for our products is also subject to approval. Approval by the FDA does not ensure approval by regulatory authorities in other countries or jurisdictions, and approval by one foreign regulatory authority does not ensure approval by regulatory authorities in other foreign countries or by the FDA. However, the failure to obtain approval in one jurisdiction may negatively impact our ability to obtain approval in another jurisdiction. The foreign regulatory approval process may include all of the risks associated with obtaining FDA approval. We may not obtain foreign regulatory approvals on a timely basis, if at all. We may not be able to file for regulatory approvals and may not receive necessary approvals to commercialize our products in any market.</w:t>
      </w:r>
    </w:p>
    <w:p>
      <w:pPr>
        <w:spacing w:after="0" w:line="29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Clinical drug development is a lengthy and expensive process with an uncertain outcome, and positive results from Phase 1 and Phase 2 clinical trials of AKB-9778 are not necessarily predictive of the results of our completed and any future clinical trials of AKB-9778. If we cannot replicate the positive results from our Phase 1 and Phase 2 clinical trials of AKB-9778 in our ongoing and subsequent clinical trials, we may be unable to successfully develop, obtain regulatory approval for and commercialize AKB-9778.</w:t>
      </w:r>
    </w:p>
    <w:p>
      <w:pPr>
        <w:spacing w:after="0" w:line="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trial process. Success in preclinical studies may not be predictive of similar results in humans during clinical trials, and successful results from early or small clinical trials may not be replicated in later and larger clinical trials. For example, our early encouraging preclinical and clinical results for AKB-9778 do not ensure that the results of our ongoing clinical trials or any future clinical trials will demonstrate similar results. Our planned Phase 2 and Phase 3 development program will enroll a larger number of subjects and will treat subjects for longer periods than our prior trials, which will result in a greater likelihood that adverse events may be observed. Many companies in the pharmaceutical and biotechnology industries have suffered significant setbacks in late-stage clinical trials after achieving positive results in early stage development, and we may face similar setbacks. If the results of our ongoing or future clinical trials for AKB-9778 are inconclusive with respect to efficacy, if we do not meet our clinical endpoints with statistical significance, or if there are safety concerns or adverse events, we may be prevented from or delayed in obtaining marketing approval for AKB-9778.</w:t>
      </w: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experience delays in our planned Phase 2 clinical trial for AKB-9778 and we do not know whether planned clinical trials will begin on time, need to be redesigned, enroll patients on time or be completed on schedule,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aborted for a variety of reasons, including delay or failure to:</w:t>
      </w:r>
    </w:p>
    <w:p>
      <w:pPr>
        <w:spacing w:after="0" w:line="117"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regulatory approval to commence a clinical trial;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 w:name="page37"/>
    <w:bookmarkEnd w:id="36"/>
    <w:p>
      <w:pPr>
        <w:ind w:left="1040" w:right="1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institutional review board, or IRB, approval at each site;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clinical sites in compliance with trial protocols and regulatory requirements through the completion of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manufacture sufficient quantities of our product candidate for use in clinical trials.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could encounter delays if a clinical trial is suspended or terminated by us, by the relevant IRBs at the sites at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lack of adequate funding to continue the clinical trial.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w:t>
      </w:r>
    </w:p>
    <w:p>
      <w:pPr>
        <w:spacing w:after="0" w:line="167" w:lineRule="exact"/>
        <w:rPr>
          <w:sz w:val="20"/>
          <w:szCs w:val="20"/>
          <w:color w:val="auto"/>
        </w:rPr>
      </w:pPr>
    </w:p>
    <w:p>
      <w:pPr>
        <w:jc w:val="both"/>
        <w:ind w:right="520"/>
        <w:spacing w:after="0" w:line="312" w:lineRule="auto"/>
        <w:rPr>
          <w:sz w:val="20"/>
          <w:szCs w:val="20"/>
          <w:color w:val="auto"/>
        </w:rPr>
      </w:pPr>
      <w:r>
        <w:rPr>
          <w:rFonts w:ascii="Arial" w:cs="Arial" w:eastAsia="Arial" w:hAnsi="Arial"/>
          <w:sz w:val="16"/>
          <w:szCs w:val="16"/>
          <w:b w:val="1"/>
          <w:bCs w:val="1"/>
          <w:i w:val="1"/>
          <w:iCs w:val="1"/>
          <w:color w:val="auto"/>
        </w:rPr>
        <w:t>Even if we receive regulatory approval for our product candidates, such products will be subject to ongoing regulatory review, which may result in significant additional expense. Additionally, our product candidates, if approved, could be subject to labeling and other restrictions, and we may be subject to penalties if we fail to comply with regulatory requirements or experience unanticipated problems with our products.</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conditions of approval, or contain requirements for potentially costly post-marketing testing, including Phase 4 clinical trials, and surveillance to monitor the safety and efficacy of the products. 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 or cGMP, requirements and GCP requirements for any clinical trials that we conduct post-approval.</w:t>
      </w:r>
    </w:p>
    <w:p>
      <w:pPr>
        <w:spacing w:after="0" w:line="18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Post-approval discovery of previously unknown problems with an approved product, including adverse events of unanticipated severity or frequency or relating to manufacturing operations or processes, or failure to comply with regulatory requirements, may result in, among other things:</w:t>
      </w:r>
    </w:p>
    <w:p>
      <w:pPr>
        <w:spacing w:after="0" w:line="16"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untitled or warning letters or holds on clinical trials;</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submitted by us, or suspension or revocation of product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REMS program;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FDA’s policies may change and additional government regulations may be enacted.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preclinical studies and clinical trials for our product candidates, and if they do not properly and successfully perform their obligations to us, we may not be able to obtain regulatory approvals for our product candidates.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rely on third party CROs and other third parties to assist in managing, monitoring and otherwise carrying out our ongoing trials of AKB-9778. We expect to continue to rely on third parties, such as CROs, clinical data management organizations, medical institutions and clinical investigators to conduct our clinical trials in the future, including our Phase 3 development program for AKB-9778. We compete with many other companies for the resources of these third parties. The third parties on whom we rely may terminate their engagements with us at any time, and having to enter into alternative arrangements would delay development and commercialization of our product candidates.</w:t>
      </w:r>
    </w:p>
    <w:p>
      <w:pPr>
        <w:spacing w:after="0" w:line="18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are credible and accurate and that the rights, integrity and confidentiality of trial participants are protected. Although we rely on third parties to conduct our clinical trials, we are responsible for ensuring that each of these clinical trials is conducted in accordance with its general investigational plan and protocol under legal and regulatory requirements. Regulatory authorities enforce these GCP requirements through periodic inspections of trial sponsors, principal investigators and trial sites. If we or any of our investigators or CROs fail to comply with applicable GCP requirements, the clinical data generated in our clinical trials may be deemed unreliable and the FDA, EMA or other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our clinical trials must be conducted with product produced under applicable cGMP regulations. Failure to comply with these regulations may require us to repeat clinical trials, which would delay the regulatory approval process.</w:t>
      </w:r>
    </w:p>
    <w:p>
      <w:pPr>
        <w:spacing w:after="0" w:line="1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If these third parties do not successfully carry out their duties under their agreements, if the quality or accuracy of the data they obtain is compromised due to their failure to adhere to clinical trial protocols or to regulatory requirements, or if they otherwise fail to comply with clinical trial protocols or meet expected deadlines, the clinical trials of our product candidates may not meet regulatory requirements. If clinical trials do not meet regulatory requirements or if these third parties need to be replaced, preclinical development activities or clinical trials may be extended, delayed, suspended or terminated. If any of these events occur, we may not be able to obtain regulatory approval of our product candidates on a timely basis or at all.</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intend to rely on third parties to conduct some or all aspects of our product manufacturing, and these third parties may not perform satisfactorily.</w:t>
      </w:r>
    </w:p>
    <w:p>
      <w:pPr>
        <w:spacing w:after="0" w:line="14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do not have any manufacturing facilities and do not expect to independently conduct our product candidate manufacturing for research and preclinical and clinical testing. We currently rely, and expect to rely, on third parties to manufacture and supply drug products for our AKB-9778 clinical trials, and we expect to continue to rely on third parties for the manufacture of clinical and, if necessary, commercial quantities of our product candidates. This reliance on third parties increases the risk that we will not have sufficient quantities of our product candidates or such quantities at an acceptable cost or quality, which could delay, prevent or impair our development or commercialization efforts.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8" w:name="page39"/>
    <w:bookmarkEnd w:id="38"/>
    <w:p>
      <w:pPr>
        <w:spacing w:after="0" w:line="287" w:lineRule="auto"/>
        <w:rPr>
          <w:sz w:val="20"/>
          <w:szCs w:val="20"/>
          <w:color w:val="auto"/>
        </w:rPr>
      </w:pPr>
      <w:r>
        <w:rPr>
          <w:rFonts w:ascii="Arial" w:cs="Arial" w:eastAsia="Arial" w:hAnsi="Arial"/>
          <w:sz w:val="16"/>
          <w:szCs w:val="16"/>
          <w:color w:val="auto"/>
        </w:rPr>
        <w:t>Any of these third parties may terminate their engagement with us at any time. We believe we have sufficient drug product to complete our ongoing trials of AKB-9778. We have entered into an agreement for the manufacturing of the drug substance for the Phase 2 development program of AKB-9778. However, if this manufacturer cannot perform as agreed, we may be required to find replacement manufacturers. We do not currently have arrangements in place for the manufacturing of drug product for the Phase 3 development program. Although we believe that there are several potential alternative manufacturers who could manufacture our product candidates, we may incur significant delays and added costs in identifying, qualifying and contracting with any such replacement, as well as producing the drug product. The FDA or comparable foreign regulatory authorities may find deficiencies with the manufacturing processes or facilities of third-party manufacturers with which we contract for clinical and commercial supplies. Manufacturers of drug products and their facilities are subject to continual review and periodic inspections by the FDA and other regulatory authorities for compliance with cGMP requirements relating to quality control, quality assurance and corresponding maintenance of records and documents. In addition, we have to enter into technical transfer agreements and share our know-how with the third-party manufacturers, which can be time-consuming and may result in delays. These delays could result in a suspension of our clinical trials or, if AKB-9778 is approved and marketed, a failure to satisfy patient demand.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Reliance on third party manufacturers entails risks to which we would not be subject if we manufactured the product candidates ourselves, including:</w:t>
      </w:r>
    </w:p>
    <w:p>
      <w:pPr>
        <w:spacing w:after="0" w:line="129"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control as a result of using third party manufacturers for all aspects of manufacturing activities, including regulatory compliance and quality assurance;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1040" w:right="420" w:hanging="519"/>
        <w:spacing w:after="0" w:line="308"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disruptions to the operations of our manufacturers or suppliers caused by conditions unrelated to our business or operations, including the bankruptcy of the manufacturer or supplier or a catastrophic event affecting our manufacturers or suppliers.</w:t>
      </w:r>
    </w:p>
    <w:p>
      <w:pPr>
        <w:spacing w:after="0" w:line="14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Any of these events could lead to clinical study delays or failure to obtain regulatory approval, or affect our ability to successfully commercialize future products. Some of these events could be the basis for FDA action, including injunction, recall, seizure or total or partial suspension of production.</w:t>
      </w:r>
    </w:p>
    <w:p>
      <w:pPr>
        <w:spacing w:after="0" w:line="12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facilities used by our contract manufacturers to manufacture our product candidates must be evaluated by the FDA pursuant to inspections that will be conducted after we submit our NDA to the FDA. We do not control the manufacturing process of, and are completely dependent on, our contract manufacturers for compliance with cGMP requirements for manufacture of both drug substance and finished drug product. If our contract manufacturers cannot successfully manufacture material that conforms to our specifications and the strict regulatory requirements of the FDA, we will not be able to secure and/or maintain regulatory approval for our product candidates. In addition, we have no control over the ability of our contract manufacturers to maintain adequate quality control, quality assurance and qualified personnel. If the FDA, EMA or other regulatory authorities find deficiencies with or do not approve these facilities for the manufacture of our product candidates or if they find deficiencies or withdraw any such approval in the future, we may need to find alternative manufacturing facilities, which would significantly impact our ability to develop, obtain regulatory approval for or market our product candidates, if approved. Moreover,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drug products or product candidates.</w:t>
      </w:r>
    </w:p>
    <w:p>
      <w:pPr>
        <w:spacing w:after="0" w:line="18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In addition, our product candidates and any products that we may develop may compete with other product candidates and products for access to manufacturing facilities. Certain of these manufacturing facilities may be contractually prohibited from manufacturing our product due to non-compete agreements with our competitors. There are a limited number of manufacturers that operate under cGMP regulations and that might be capable of manufacturing for us.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9" w:name="page40"/>
    <w:bookmarkEnd w:id="39"/>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unable to manufacture our product candidates in sufficient quantities, at sufficient yields, we may experience delays in product development, clinical trials, regulatory approval and commercial distribution.</w:t>
      </w:r>
    </w:p>
    <w:p>
      <w:pPr>
        <w:spacing w:after="0" w:line="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Completion of our clinical trials and commercialization of our product candidates require access to, or development of, facilities to manufacture our product candidates at sufficient yields and at commercial scale. We have limited experience manufacturing, or managing third parties in manufacturing, any of our product candidates in the volumes that will be necessary to support large-scale clinical trials or commercial sales. Efforts to establish these capabilities may not meet initial expectations as to scheduling, scale-up, reproducibility, yield, purity, cost, potency or quality.</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reliance on contract manufacturers may adversely affect our operations or result in unforeseen delays or other problems beyond our control. Because of contractual restraints and the limited number of third-party manufacturers with the expertise and facilities to manufacture our bulk drug product on a commercial scale, replacement of a manufacturer may be expensive and time-consuming and may cause interruptions in the production of our drug product. A third-party manufacturer may also encounter difficulties in production. These problems may include:</w:t>
      </w:r>
    </w:p>
    <w:p>
      <w:pPr>
        <w:spacing w:after="0" w:line="63"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with production costs, scale-up and yields;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availability of raw materials and supplies;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shortages of qualified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compliance with strictly enforced federal, state and foreign regulations that vary in each country where a product might be sold;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capital funding.</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delay or interruption in our supply of product candidates could have a material adverse effect on our business, financial condition, results of operations and cash flows.</w:t>
      </w:r>
    </w:p>
    <w:p>
      <w:pPr>
        <w:spacing w:after="0" w:line="2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strategic collaborations, which could adversely affect our ability to develop and commercialize our product candidates, negatively impacting our operating results.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approved, we plan to commercialize AKB-9778 ourselves in the United States and intend to seek one or more strategic collaborators to commercialize AKB-9778 in additional markets. In addition, we may further develop and, if approved, commercialize, AKB-4924 only if we secure sufficient additional funding, likely from a strategic and commercial partner for that candidate. With respect to ARP-1536, we may further develop and, if approved, commercialize ARP-1536 only if we secure sufficient additional funding, which may be from a strategic or commercial partner. There can be no assurance that we will be able to secure such additional funding or a strategic or commercial partner on commercially reasonable terms or at all. We face competition in seeking appropriate collaborators for our product candidates, and the negotiation process is time-consuming and complex. In order for us to successfully collaborate with a third party on our product candidates, potential collaborators must view these product candidates as economically valuable. Even if we are successful in our efforts to establish strategic collaborations, the terms that we agree upon may not be favorable to us, and we may not be able to maintain such strategic collaborations if, for example, development or approval of a product is delayed or sales of an approved product are disappointing. Any delay in entering into strategic collaboration agreements related to our product candidates could delay the development and commercialization of our product candidates and reduce their competitiveness even if they reach the market.</w:t>
      </w:r>
    </w:p>
    <w:p>
      <w:pPr>
        <w:spacing w:after="0" w:line="18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addition, our strategic collaborators may terminate any agreements they enter into with us, and we may not be able to adequately protect our rights under these agreements. Furthermore, our strategic collaborators will likely negotiate for certain rights to control decisions regarding the development and commercialization of our product candidates, if approved, and may not conduct those activities in the same manner as we do.</w:t>
      </w:r>
    </w:p>
    <w:p>
      <w:pPr>
        <w:spacing w:after="0" w:line="166"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If we fail to establish and maintain strategic collaborations related to our product candidates for the indications and in the geographies in which we do not intend develop and commercialize ourselves, we will bear all of the risk and costs related to the development and commercialization of any such product candidate, and we may need to seek additional financing, hire additional employees and otherwise develop expertise. This could negatively affect the development of any product candidate for which we do not locate a suitable strategic partner.</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1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type of patent does not prevent a competitor from making and marketing a product that is identical to our products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license may fail to result in issued patents in the United States or in other foreign countries. Even if the patents do successfully issue, third parties may challenge the validity, enforceability, inventorship,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Furthermore, for applications in which all claims are entitled to a priority date before March 16, 2013, an interference proceeding can be provoked by a third-party or instituted by the United States Patent and Trademark Office or the USPTO, to determine who was the first to invent any of the subject matter covered by the patent claims of our applications. For applications containing a claim not entitled to priority before March 16, 2013, there is greater level of uncertainty in the patent law with the passage of the America Invents Act (2011), which brings into effect significant changes to the U.S. patent laws and which introduces new procedures for challenging pending patent applications and issued patents. A primary change under this reform is creating a “first to file” system in the United States. This will require us to be cognizant of the time from invention to filing of a patent application.</w:t>
      </w:r>
    </w:p>
    <w:p>
      <w:pPr>
        <w:spacing w:after="0" w:line="16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16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currently have a non-exclusive license to one U.S. patent. We rely on the licensor to maintain this patent and otherwise protect the intellectual property covered by this non-exclusive license. We have limited control over these activities or over any other intellectual property that may be related to our in-licensed intellectual property. For example, we cannot be certain that activities by the licensor have been or will be conducted in compliance with applicable laws and regulations. We may have no control or input over whether, and in what manner, our licensor may enforce or defend the patent against a third-party. The licensor may enforce or defend the patent less vigorously than if we had enforced or defended the patent ourselves. Further, the licensor may not necessarily seek enforcement in scenarios in which we would feel that enforcement was in our best interests. For example, the licensor may not enforce the patent against a competitor of ours who is not a direct competitor of the licensor. If our in-licensed intellectual property is found to be invalid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1" w:name="page42"/>
    <w:bookmarkEnd w:id="41"/>
    <w:p>
      <w:pPr>
        <w:ind w:right="20"/>
        <w:spacing w:after="0" w:line="255" w:lineRule="auto"/>
        <w:rPr>
          <w:sz w:val="20"/>
          <w:szCs w:val="20"/>
          <w:color w:val="auto"/>
        </w:rPr>
      </w:pPr>
      <w:r>
        <w:rPr>
          <w:rFonts w:ascii="Arial" w:cs="Arial" w:eastAsia="Arial" w:hAnsi="Arial"/>
          <w:sz w:val="18"/>
          <w:szCs w:val="18"/>
          <w:color w:val="auto"/>
        </w:rPr>
        <w:t>or unenforceable, then the licensor may not be able to enforce the patent against a competitor of ours. Our non-exclusive license does not prevent a third party from seeking and obtaining a non-exclusive license to the same patent that we license. If we fail to meet our obligations under the non-exclusive license agreement, then the licensor may terminate the license agreement. If the license agreement is terminated, the former licensor may seek to enforce the intellectual property against us. We may choose to terminate the license agreement, and doing so would allow a third party to seek and obtain an exclusive license to the patent. If a third party obtains an exclusive license to intellectual property formerly licensed to us, then the third party may seek to enforce the intellectual property against us.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covering one or more of our products or product candidates could be found invalid or unenforceable if challenged.</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Because we rely on third parties to research and develop and to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ind w:right="12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be costly and time consuming, and may delay or harm our drug discovery and development efforts.</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 pharmaceutical and biotechnology industries are characterized by extensive litigation over patent and other intellectual property rights. We may become a party to, or threatened with, future adversarial litigation or other proceedings regarding intellectual property rights with respect to our drug candidates. As the pharmaceutical and biotechnology industries expand and more patents are issued, the risk increases that our drug candidates may give rise to claims of infringement of the patent rights of others.</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While our product candidates are in preclinical studies and clinical trials, we believe that the use of our product candidates in these preclinical studies and clinical trials in the United States falls within the scope of the exemptions provided by 35 U.S.C. Section 271(e), which provides that it shall not be an act of infringement to make, use, offer to sell, or sell within the United States or import into the United States a patented invention solely for uses reasonably related to the development and submission of information to the FDA. As our product candidates progress toward commercialization, the possibility of a patent infringement claim against us increases. We attempt to ensure that our product candidates and the methods we employ to manufacture them, as well as the methods for their use we intend to promote, do not infringe other parties’ patents and other proprietary rights. There can be no assurance they do not, however, and competitors or other parties may assert that we infringe their proprietary rights in any event.</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Third parties may hold or obtain patents or other intellectual property rights and allege in the future that the use of our product candidates infringes these patents or intellectual property rights, or that we are employing their proprietary technology without authorization. Under U.S. law, a party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w:t>
      </w:r>
    </w:p>
    <w:p>
      <w:pPr>
        <w:spacing w:after="0" w:line="16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There may be patents of third parties of which we are currently unaware with claims to materials, formulations, methods of manufacture or methods for treatment related to the use or manufacture of our drug candidates. Also, because patent applications can take many years to issue, there may be currently pending patent applications which may later result in issued patents that our product candidates may infringe. Notwithstanding the above, third parties may in the future claim that our product candidates and other technologies infringe upon these patents and may file suit against us.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AKB-9778 or AKB-4924.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our intended methods of use, the holders of any such patent may be able to block or impair our ability to develop and commercialize the applicable product candidate unless we obtained a license or until such patent expires or is finally determined to be held invalid or unenforceable. We may also elect to enter into a license in order to settle litigation or in order to resolve disputes prior to litigation. Furthermore, even in the absence of litigation, we may need to obtain licenses from third parties to advance our research or allow commercialization of our product candidates. Should a license to a third-party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candidates may be impaired or delayed, which could in turn significantly harm our business.</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which may be impossible or require substantial time and monetary expenditure.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3" w:name="page44"/>
    <w:bookmarkEnd w:id="43"/>
    <w:p>
      <w:pPr>
        <w:ind w:right="5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286"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have received confidential and proprietary information from collaborators, prospective licensees and other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drug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4" w:name="page45"/>
    <w:bookmarkEnd w:id="44"/>
    <w:p>
      <w:pPr>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third-party payors and others in the medical community.</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Even if we obtain marketing approval for AKB-9778, AKB-4924 or any other product candidates that we may develop or acquire in the future, these product candidates may not gain market acceptance among physicians, third-party payors, patients and others in the medical community. In addition, market acceptance of any approved products depends on a number of other factors, including:</w:t>
      </w:r>
    </w:p>
    <w:p>
      <w:pPr>
        <w:spacing w:after="0" w:line="73"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and safety of the product, as demonstrated in clinical trials;</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 approved by regulatory authorities for use with the product, including any warnings that may be required on the label;</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safety and efficacy of treatment in relation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by third party payors and government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example, the current established treatments for DME are anti-VEGF medications, including bevacizumab and ranibizumab, and the current established treatments for DR in the absence of DME include laser photocoagulation. We believe that that prescribers may be resistant to prescribing AKB-9778 with or instead of anti-VEGF medications, or instead of laser photocoagulation, which is currently the standard of care for DME and DR, respectively.</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Market acceptance is critical to our ability to generate significant revenue. In addition, any product candidate, if approved and commercialized, may be accepted in only limited capacities or not at all. If any approved products are not accepted by the market at all or to the extent that we expect, we may not be able to generate significant revenue and our business would suffer.</w:t>
      </w:r>
    </w:p>
    <w:p>
      <w:pPr>
        <w:spacing w:after="0" w:line="28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to enter into agreements with third parties to market and sell our product candidates, we may not be successful in commercializing our product candidates if and when they are approved.</w:t>
      </w:r>
    </w:p>
    <w:p>
      <w:pPr>
        <w:spacing w:after="0" w:line="3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obtain marketing approval, we will need to establish a sales and marketing organization or make arrangements with third parties to perform these services.</w:t>
      </w:r>
    </w:p>
    <w:p>
      <w:pPr>
        <w:spacing w:after="0" w:line="18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There are risks involved with establishing our own sales, marketing and distribution capabilities. For example, recruiting and training a sales force are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sales and marketing team;</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we are unable to establish our own sales, marketing and distribution capabilities and have to enter into arrangements with third parties to perform these services, our profitability, if any, is likely to be materially diminished in relation to if we were to market, sell and distribute any products that we develop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any approved products, which could make it difficult for us to sell our products profitably.</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Market acceptance and sales of any approved products will depend significantly on the availability of adequate coverage and reimbursement from third-party payors and may be affected by existing and future healthcare reform measures. Government authorities and third-party payors decide which drugs they will pay for and establish formularies and reimbursement levels. Coverage and reimbursement by a third-party payor may depend upon a number of factors, including the third-party payor’s determination that use of a product is:</w:t>
      </w:r>
    </w:p>
    <w:p>
      <w:pPr>
        <w:spacing w:after="0" w:line="79"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Obtaining coverage and reimbursement approval for a product from a government or other third party payor is a time consuming and costly process that could require us to provide supporting scientific, clinical and cost-effectiveness data for the use of our products to the payor. Additionally, we may be required to enter into contracts with third-party payors to obtain favorable formulary status. We may not be able to provide data sufficient to gain acceptance with respect to coverage and reimbursement. We cannot be sure that coverage or adequate reimbursement will be available for any of our product candidates. Even if we obtain coverage for our product candidates, third-party payors may not establish adequate reimbursement amounts, which may reduce the demand for, or the price of, our products. If reimbursement is not available or is available only to limited levels, we may not be able to commercialize certain of our products. In addition, in the United States third-party payors are increasingly attempting to contain healthcare costs by limiting both coverage and the level of reimbursement of new drugs. As a result, significant uncertainty exists as to whether and how much third-party payors will reimburse patients for their use of newly approved drugs, which in turn will put pressure on the pricing of drugs.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Price controls may be imposed, which may adversely affect our future profitability.</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some countries, particularly member states of the European Union, the pricing of prescription pharmaceuticals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could be adversely affected.</w:t>
      </w:r>
    </w:p>
    <w:p>
      <w:pPr>
        <w:spacing w:after="0" w:line="30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The impact of recent healthcare reform and other changes in the healthcare industry and in healthcare spending is currently unknown, and may adversely affect our business model.</w:t>
      </w:r>
    </w:p>
    <w:p>
      <w:pPr>
        <w:spacing w:after="0" w:line="6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United States, the Medicare Prescription Drug, Improvement, and Modernization Act of 2003, also called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As a result of this legislation and the expansion of federal coverage of products, we expect that there will be additional pressure to reduce costs.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may be enacted in international markets which could similarly impact our business.</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the Patient Protection and Affordable Care Act, as amended by the Health Care and Education Reconciliation Act of 2010, or collectively ACA, was enacted in 2010 with a goal of reducing the cost of healthcare and substantially changing the way healthcare is financed by both government and private insurers. The 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biologic products,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United States since the 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7" w:name="page48"/>
    <w:bookmarkEnd w:id="47"/>
    <w:p>
      <w:pPr>
        <w:spacing w:after="0" w:line="270" w:lineRule="auto"/>
        <w:rPr>
          <w:sz w:val="20"/>
          <w:szCs w:val="20"/>
          <w:color w:val="auto"/>
        </w:rPr>
      </w:pPr>
      <w:r>
        <w:rPr>
          <w:rFonts w:ascii="Arial" w:cs="Arial" w:eastAsia="Arial" w:hAnsi="Arial"/>
          <w:sz w:val="17"/>
          <w:szCs w:val="17"/>
          <w:color w:val="auto"/>
        </w:rPr>
        <w:t>It is likely that federal and state legislatures within the United States and foreign governments will continue to consider changes to existing healthcare legislation. Some of the provisions of the ACA have yet to be fully implemented, while certain provisions have been subject to judicial and Congressional challenges. In January 2017, Congress voted to adopt a budget resolution for fiscal year 2017, that while not a law, is widely viewed as the first step toward the passage of legislation that would repeal certain aspects of the ACA.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Congress also could consider subsequent legislation to replace elements of the ACA Act that are repealed.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0"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3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development and commercialization of new products is highly competitive. Our future success depends on our ability to demonstrate and maintain a competitive advantage with respect to the development and commercialization of our product candidates. Our objective is to develop and commercialize new products with superior efficacy, convenience, tolerability and safety. In many cases, the products that we commercialize will compete with existing, market-leading products.</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AKB-9778 is approved and launched commercially, competing drugs may include current anti-VEGF drugs, including Lucentis, Eylea and Avastin in the treatment of DME, and current therapies including laser photocoagulation in the treatment of DR. We may face competition from potential DME and DR treatments.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Many of our potential competitors have significantly greater financial, manufacturing, marketing, drug development, technical and human resources than we do. Large pharmaceutical companies, in particular, have extensive experience in clinical testing, obtaining regulatory approvals, recruiting patients and in manufacturing pharmaceutical products. Large and established companies such as Roche and Regeneron, among others, compete in the market for products to treat DR and DME. In particular, these companies have greater experience and expertise in securing government contracts and grants to support their research and development efforts, conducting testing and clinical trials, obtaining regulatory approvals to market products, manufacturing such products on a broad scale and marketing approved products. These companies also have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that we develop obsolete. As a result of all of these factors, our competitors may succeed in obtaining patent protection and/or FDA approval or discovering, developing and commercializing products before, or more effectively than, we do. In addition, any new product that competes with an approved product must demonstrate compelling advantages in efficacy, convenience, tolerability and safety in order to overcome price competition and to be commercially successful. If we are not able to compete effectively against potential competitors, our business will not grow and our financial condition and operations will suffer.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8" w:name="page49"/>
    <w:bookmarkEnd w:id="48"/>
    <w:p>
      <w:pPr>
        <w:ind w:right="620"/>
        <w:spacing w:after="0" w:line="277" w:lineRule="auto"/>
        <w:rPr>
          <w:sz w:val="20"/>
          <w:szCs w:val="20"/>
          <w:color w:val="auto"/>
        </w:rPr>
      </w:pPr>
      <w:r>
        <w:rPr>
          <w:rFonts w:ascii="Arial" w:cs="Arial" w:eastAsia="Arial" w:hAnsi="Arial"/>
          <w:sz w:val="18"/>
          <w:szCs w:val="18"/>
          <w:b w:val="1"/>
          <w:bCs w:val="1"/>
          <w:i w:val="1"/>
          <w:iCs w:val="1"/>
          <w:color w:val="auto"/>
        </w:rPr>
        <w:t>Our products may cause undesirable side effects or have other properties that delay or prevent their regulatory approval or limit their commercial potential.</w:t>
      </w:r>
    </w:p>
    <w:p>
      <w:pPr>
        <w:spacing w:after="0" w:line="6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Undesirable side effects caused by our products or even competing products in development that utilize a common mechanism of action could cause us or regulatory authorities to interrupt, delay or halt clinical trials and could result in the denial of regulatory approval by the FDA or other regulatory authorities and potential products liability claims. AKB-9778 is currently in Phase 2 clinical development. Serious adverse events deemed to be caused by our product candidates could have a material adverse effect on the development of our product candidates and our business as a whole. The most common drug-related adverse events to date in the clinical trial evaluating the safety and tolerability of AKB-9778 in DME have been dizziness and asymptomatic decreases in blood pressure. Our understanding of the relationship between AKB-9778 and these events, as well as our understanding of adverse events in future clinical trials of other product candidates, may change as we gather more information, and additional unexpected adverse events may be observed.</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we or others identify undesirable side effects caused by our product candidates either before or after receipt of marketing approval, a number of potentially significant negative consequences could result, including:</w:t>
      </w:r>
    </w:p>
    <w:p>
      <w:pPr>
        <w:spacing w:after="0" w:line="62"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clinical trials may be put on hold;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recruitment could be slowed, or enrolled patients may not want to complete a clinical trial;</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obtain regulatory approval for our product candidates or regulatory authorities may withdraw approvals of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medication guide outlining the risks of such side effects for distribution to patients may be required;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products and could substantially increase commercialization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products, conduct our clinical trials and commercialize our product candidates.</w:t>
      </w:r>
    </w:p>
    <w:p>
      <w:pPr>
        <w:spacing w:after="0" w:line="6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are highly dependent on members of our senior management, including Joseph Gardner, our President and Chief Executive Officer, Kevin G. Peters, our Chief Scientific Officer and Stephen Pakola, our Chief Medical Officer. The loss of the services of any of these persons could impede the achievement of our research, development and commercialization objectives.</w:t>
      </w:r>
    </w:p>
    <w:p>
      <w:pPr>
        <w:spacing w:after="0" w:line="18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We may be unable to hire, train, retain or motivate these key personnel on acceptable terms given the intense competition among numerous biopharmaceutical companies for similar personnel.</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9" w:name="page50"/>
    <w:bookmarkEnd w:id="49"/>
    <w:p>
      <w:pPr>
        <w:ind w:right="12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contract research organizations, consultants and vendors may engage in misconduct or other improper activities, including noncompliance with regulatory standards and requirements and insider trading.</w:t>
      </w:r>
    </w:p>
    <w:p>
      <w:pPr>
        <w:spacing w:after="0" w:line="3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are exposed to the risk that our employees, independent contractors, principal investigators, contract research organizations or CROs, consultants and vendors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 (2) manufacturing standards, (3) federal and state healthcare fraud and abuse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we seek to advance our product candidates through clinical trials and commercialization, we will need to expand our development, regulatory, manufacturing, marketing and sales capabilities or contract with third parties to provide these capabilities for us. As our operations expand, we expect that we will need to manage additional relationships with various strategic collaborators, suppliers and other third parties. Future growth will impose significant added responsibilities on members of management. Our future financial performance and our ability to commercialize AKB-9778, if approved, and any other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if necessary, sales and marketing personnel. We may not be able to accomplish these tasks, and our failure to accomplish any of them could prevent us from successfully growing our company.</w:t>
      </w:r>
    </w:p>
    <w:p>
      <w:pPr>
        <w:spacing w:after="0" w:line="30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a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0" w:name="page51"/>
    <w:bookmarkEnd w:id="50"/>
    <w:p>
      <w:pPr>
        <w:ind w:right="60"/>
        <w:spacing w:after="0" w:line="255" w:lineRule="auto"/>
        <w:rPr>
          <w:sz w:val="20"/>
          <w:szCs w:val="20"/>
          <w:color w:val="auto"/>
        </w:rPr>
      </w:pPr>
      <w:r>
        <w:rPr>
          <w:rFonts w:ascii="Arial" w:cs="Arial" w:eastAsia="Arial" w:hAnsi="Arial"/>
          <w:sz w:val="18"/>
          <w:szCs w:val="18"/>
          <w:color w:val="auto"/>
        </w:rPr>
        <w:t>Failure to obtain and retain sufficient product liability insurance at an acceptable cost to protect against potential product liability claims could prevent or inhibit the commercialization of products we develop. We currently carry product liability insurance covering our clinical trials in the amount of $10 million in the aggregate.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b w:val="1"/>
          <w:bCs w:val="1"/>
          <w:i w:val="1"/>
          <w:iCs w:val="1"/>
          <w:color w:val="auto"/>
        </w:rPr>
        <w:t>We are eligible to be treated as an “emerging growth company” as defined in the Jumpstart Our Business Startups Act of 2012, and we cannot be certain if the reduced disclosure requirements applicable to emerging growth companies will make our common stock less attractive to investors.</w:t>
      </w:r>
    </w:p>
    <w:p>
      <w:pPr>
        <w:spacing w:after="0" w:line="1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These exemptions include:</w:t>
      </w:r>
    </w:p>
    <w:p>
      <w:pPr>
        <w:spacing w:after="0" w:line="73" w:lineRule="exact"/>
        <w:rPr>
          <w:sz w:val="20"/>
          <w:szCs w:val="20"/>
          <w:color w:val="auto"/>
        </w:rPr>
      </w:pPr>
    </w:p>
    <w:p>
      <w:pPr>
        <w:ind w:left="1040" w:right="260" w:hanging="519"/>
        <w:spacing w:after="0" w:line="342"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taken advantage of these reduced reporting burdens. In particular, we have provided only two years of audited financial statements and have not included all of the executive compensation related information that would be required if we were not an emerging growth company. Investors may find our common stock less attractive if we continue to rely on these exemptions. If some investors find our common stock less attractive as a result, there may be a less active trading market for our common stock and our stock price may be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1" w:name="page52"/>
    <w:bookmarkEnd w:id="51"/>
    <w:p>
      <w:pPr>
        <w:ind w:right="60"/>
        <w:spacing w:after="0" w:line="253" w:lineRule="auto"/>
        <w:rPr>
          <w:sz w:val="20"/>
          <w:szCs w:val="20"/>
          <w:color w:val="auto"/>
        </w:rPr>
      </w:pPr>
      <w:r>
        <w:rPr>
          <w:rFonts w:ascii="Arial" w:cs="Arial" w:eastAsia="Arial" w:hAnsi="Arial"/>
          <w:sz w:val="18"/>
          <w:szCs w:val="18"/>
          <w:color w:val="auto"/>
        </w:rPr>
        <w:t>We could be an emerging growth company for up to five years, although circumstances could cause us to lose that status earlier, including if the market value of our common stock held by non-affiliates exceeds $700 million as of any June 30 before that time or if we have total annual gross revenue of $1 billion (as may be inflation-adjusted by the SEC from time to time) or more during any fiscal year before that time, in which cases we would no longer be an emerging growth company as of the following December 31 or, if we issue more than $1 billion in non-convertible debt during any three-year period before that time, we would cease to be an emerging growth company immediately. Even after we no longer qualify as an emerging growth company, we may still qualify as a “smaller reporting company” if the market value of our common stock held by non-affiliates is below $75 million as of June 30 in any given year, which would allow us to take advantage of many of the same exemptions from disclosure requirements, including exemption from the auditor attestation requirements of Section 404 of the Sarbanes-Oxley Act and reduced disclosure obligations regarding executive compensation in our periodic reports and proxy statements.</w:t>
      </w: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common stock and there can be no assurance that any market will ever develop. You may therefore be unable to re-sell shares of our common stock at times and prices that you believe are appropriate.</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common stock is not listed on a national securities exchange or any other exchange, or quoted on an over-the-counter market. Therefore, there is no trading market, active or otherwise, for our common stock and our common stock may never be included for trading on any stock exchange, automated quotation system or any over-the-counter market. Accordingly, our common stock is highly illiquid and you will likely experience difficulty in re-selling such shares at times and prices that you may desire.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may not be eligible for listing or quotation on any securities exchange.</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common stock is not listed or quoted on any securities exchange, and we cannot assure you that we will be able to meet the initial listing standards of any national securities exchange, or, if we do meet such initial listing standards, that we will be able to maintain any such listing. Further, the national securities exchanges are adopting so-called “seasoning” rules that will require that we meet certain requirements, including prescribed periods of time trading over-the-counter and minimum filings of periodic reports with the SEC, before we are eligible to apply for listing on such national securities exchanges. We intend to contact an authorized market maker for an over-the-counter quotation system for sponsorship of our common stock, but we cannot guarantee that such sponsorship will be approved and our common stock listed and quoted for sale. Even if our common stock is quoted for sale on an over-the-counter quotation system, buyers may be insufficient in numbers to allow for a robust market and it may prove impossible to sell your shares. In addition, an investor may find it difficult to obtain accurate quotations as to the market value of our common stock. In addition, if we fail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its liquidity. This would also make it more difficult for us to raise additional capital.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designation of our common stock as a “penny stock” would limit the liquidity of our common stock.</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common stock may be deemed a “penny stock” (as that term is defined under Rule 3a51-1 of the Exchange Act) in any market that may develop in the future. Generally, a “penny stock” is a common stock that is not listed on a securities exchange and trades for less than $5.00 a share. Prices often are not available to buyers and sellers and the market may be very limited. Penny stocks in start-up companies are among the riskiest equity investments. Broker-dealers who sell penny stocks must provide purchasers of these stocks with a standardized risk-disclosure document prepared by the SEC. The document provides information about penny stocks and the nature and level of risks involved in investing in the penny stock market. A broker must also provide purchasers with bid and offer quotations and information regarding broker and salesperson compensation and make a written determination that the penny stock is a suitable investment for the purchaser and obtain the purchaser’s written agreement to the purchase. Many brokers choose not to participate in penny stock transactions. Because of the penny stock rules, there may be less trading activity in penny stocks in any market that develops for our common stock in the future and stockholders are likely to have difficulty selling their shares.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FINRA sales practice requirements may limit a stockholder’s ability to buy and sell our stock.</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Financial Industry Regulatory Authority, or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may be influenced by numerous factors, some of which are beyond our control.</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 market for our common stock develops, its market price could fluctuate substantially due to a variety of factors, including market perception of our ability to meet our growth projections and expectations, quarterly operating results of other companies in the same industry, trading volume in our common stock, changes in general conditions in the economy and the financial markets or other developments affecting our business and the business of others in our industry. In addition, the stock market itself is subject to extreme price and volume fluctuations. This volatility has had a significant effect on the market price of securities issued by many companies for reasons related and unrelated to their operating performance and could have the same effect on our common stock. The market price of shares of our common stock could be subject to wide fluctuations in response to many risk factors listed in this section, and others beyond our control, including:</w:t>
      </w:r>
    </w:p>
    <w:p>
      <w:pPr>
        <w:spacing w:after="0" w:line="81"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the release of results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safety issues with respect to our products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affecting us or our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natural disasters and other calamities;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addition, the stock market has recently experienced significant volatility, particularly with respect to pharmaceutical, biotechnology and other life sciences company stocks. The volatility of pharmaceutical, biotechnology and other life sciences company stocks often does not relate to the operating performance of the companies represented by the stock. As we operate in a single industry, we are especially vulnerable to these factors to the extent that they affect our industry or our products, or to a lesser extent our markets.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3" w:name="page54"/>
    <w:bookmarkEnd w:id="53"/>
    <w:p>
      <w:pPr>
        <w:ind w:right="4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March 15, 2017, our executive officers, directors and principal stockholders, together with their respective affiliates, owned approximately 65.9% of our common stock, including shares subject to outstanding options that are exercisable within 60 days after such date. Accordingly, these stockholders will be able to exert a significant degree of influence over our management and affairs and over matters requiring stockholder approval, including the election of our board of directors and approval of significant corporate transactions.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287"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b w:val="1"/>
          <w:bCs w:val="1"/>
          <w:i w:val="1"/>
          <w:iCs w:val="1"/>
          <w:color w:val="auto"/>
        </w:rPr>
        <w:t>The shares of common stock issued in the Merger and the Offering are “restricted securities” and, as such, may not be sold except in limited circumstances.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None of the shares of common stock issued in the Merger and the Offering have been registered under the Securities Act of 1933, as amended, or the Securities Act, or registered or qualified under any state securities laws. The shares of common stock issued in the Merger and the Offering were sold and/or issued pursuant to exemptions contained in and under those laws. Accordingly, such shares of common stock are “restricted securities” as defined in Rule 144 under the Securities Act and must, therefore, be held indefinitely unless registered under applicable federal and state securities laws, or an exemption is available from the registration requirements of those laws. The certificates representing the shares of common stock issued in the Merger and the Offering reflect their restricted status.</w:t>
      </w:r>
    </w:p>
    <w:p>
      <w:pPr>
        <w:spacing w:after="0" w:line="193"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We have agreed to register the shares of common stock issued in the Merger and the Offering. There can be no assurance, however, that the SEC will declare this registration statement effective, thereby enabling the shares of common stock issued in the Merger or the Offering to be freely tradable. In addition, Rule 144 under the Securities Act, which permits the resale, subject to various terms and conditions, of limited amounts of restricted securities after they have been held for six months will not immediately apply to our common stock because we were at one time designated as a “shell company” under SEC regulations.</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Pursuant to Rule 144(i), securities issued by a current or former shell company that otherwise meet the holding period and other requirements of Rule 144 nevertheless cannot be sold in reliance on Rule 144 until one year after the date on which the issuer filed current “Form 10 information” (as defined in Rule 144(i)) with the SEC reflecting that it ceased being a shell company, and provided that at the time of a proposed sale pursuant to Rule 144, the issuer has satisfied certain reporting requirements under the Exchange Act. We believe this requirement to file Form 10 information has been satisfied by the filing of our current report on Form 8-K on March 17, 2017. Because, as a former shell company, the reporting requirements of Rule 144(i) will apply regardless of holding period, the restrictive legends on certificates for the shares of common stock issued in the Merger and the Offering cannot be removed except in connection with an actual sale that is subject to an effective registration statement under, or an applicable exemption from the registration requirements of, the Securities Act.</w:t>
      </w:r>
    </w:p>
    <w:p>
      <w:pPr>
        <w:spacing w:after="0" w:line="30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register in a timely manner the shares of common stock issued to stockholders in the Merger or the Offering, then the ability to re-sell shares of our common stock so issued will be delayed.</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agreed, at our expense, to prepare this registration statement, and to cause our Company to file this registration statement with the SEC registering the resale of 27,367,117 shares of our common stock issued in connection with the Merger and the Offering. There are many reasons, including some over which we have little or no control, which could keep this registration statement from being declared effective by the SEC, including delays resulting from the SEC review process and comments raised by the SEC during that process. Accordingly, in the event that this registration statement is not declared effective within these timeframes, the shares of common stock proposed to be covered by such registration statement will not be eligible for resale until this registration statement is effective or an exemption from registration, such as Rule 144, becomes available. If this registration statement is not filed within 60 days of the closing of the Merger, then we may be subject to certain liquidated damages pursuant to the registration rights agreement we entered into with the holders of 27,049,555 shares of our common stock issued in connection with the Merger and the Offering.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4" w:name="page55"/>
    <w:bookmarkEnd w:id="54"/>
    <w:p>
      <w:pPr>
        <w:ind w:right="160"/>
        <w:spacing w:after="0" w:line="277" w:lineRule="auto"/>
        <w:rPr>
          <w:sz w:val="20"/>
          <w:szCs w:val="20"/>
          <w:color w:val="auto"/>
        </w:rPr>
      </w:pPr>
      <w:r>
        <w:rPr>
          <w:rFonts w:ascii="Arial" w:cs="Arial" w:eastAsia="Arial" w:hAnsi="Arial"/>
          <w:sz w:val="18"/>
          <w:szCs w:val="18"/>
          <w:b w:val="1"/>
          <w:bCs w:val="1"/>
          <w:i w:val="1"/>
          <w:iCs w:val="1"/>
          <w:color w:val="auto"/>
        </w:rPr>
        <w:t>Because we became a reporting company under the Exchange Act by means other than a traditional underwritten initial public offering, we may not be able to attract the attention of research analysts at major brokerage firms.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Because we did not become a reporting company by conducting an underwritten initial public offering of our common stock, and because we will not be listed on a national securities exchange, security analysts of brokerage firms may not provide coverage of our company. In addition, investment banks may be less likely to agree to underwrite secondary offerings on our behalf than they might if we became a public reporting company by means of an underwritten initial public offering, because they may be less familiar with our company as a result of more limited coverage by analysts and the media, and because we became public at an early stage in our development. The failure to receive research coverage or support in the market for our shares will have an adverse effect on our ability to develop a liquid market for our common stock.</w:t>
      </w:r>
    </w:p>
    <w:p>
      <w:pPr>
        <w:spacing w:after="0" w:line="30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Because the Merger was a reverse merger, this registration statement that we file with respect to the shares of common stock received by investors in the Merger might be subject to heightened scrutiny by the SEC, and we may not be able to attract the attention of major brokerage firms.</w:t>
      </w:r>
    </w:p>
    <w:p>
      <w:pPr>
        <w:spacing w:after="0" w:line="1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Additional risks may exist as a result of our becoming a public reporting company through a “reverse merger.” Certain SEC rules are more restrictive when applied to reverse merger companies, such as the ability of stockholders to re-sell their shares of common stock pursuant to Rule 144, and the SEC may subject this registration statement that we file with respect to the shares of common stock received by investors in the Merger and the Offering to heightened scrutiny. In addition, securities analysts of major brokerage firms may not provide coverage of our capital stock or business. Because we became a public reporting operating company through a reverse merger, there is no incentive to brokerage firms to recommend the purchase of our common stock. We cannot assure you that brokerage firms will want to provide analyst coverage of our capital stock or business in the future.</w:t>
      </w:r>
    </w:p>
    <w:p>
      <w:pPr>
        <w:spacing w:after="0" w:line="2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resale of shares covered by a registration statement could adversely affect the market price of our common stock in the public market, should one develop, which result would in turn negatively affect our ability to raise additional equity capital.</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sale, or availability for sale, of our common stock in the public market may adversely affect the prevailing market price of our common stock and may impair our ability to raise additional capital by selling equity or equity-linked securities. We have agreed, at our expense, to prepare this registration statement, and to cause us to file this registration statement with the SEC registering the resale of 27,367,117 shares of our common stock issued in connection with the Merger and the Offering. Once effective, this registration statement will permit the resale of these shares at any time. The resale of a substantial number of shares of our common stock in the public market could adversely affect the market price for our common stock and make it more difficult for you to sell shares of our Common Stock at times and prices that you feel are appropriate. Furthermore, we expect that, because there will be a large number of shares registered pursuant to a registration statement, selling stockholders will continue to offer shares covered by such registration statement for a significant period of time, the precise duration of which cannot be predicted. Accordingly, the adverse market and price pressures resulting from an offering pursuant to a registration statement may continue for an extended period of time and continued negative pressure on the market price of our common stock could have a material adverse effect on our ability to raise additional equity capital.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stock to fund our operations may dilute your investment and reduce your equity interest.</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may need to raise capital in the future to fund the development of our drug candidates or for other purposes. Any equity financing may have significant dilutive effect to stockholders and a material decrease in our stockholders’ equity interest in us. Equity financing, if obtained, could result in substantial dilution to our existing stockholders. At its sole discretion, our board of directors may issue additional securities without seeking stockholder approval, and we do not know when we will need additional capital or, if we do, whether it will be available to us.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our cash and may not use them effectively.</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currently intend to use our cash resources for continuing clinical development of AKB-9778 in patients with diabetic retinopathy, including the continuation of our ongoing trials and the preparation for and initiation of the Phase 3 trials and for working capital and other general corporate purposes. Although we currently intend to use our cash resources in such a manner, we will have broad discretion in the application of such cash resources. Our failure to apply these funds effectively could affect our ability to continue to develop and commercialize our product candidates. Pending their use, we may invest our cash resources in a manner that does not produce income or loses value.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5" w:name="page56"/>
    <w:bookmarkEnd w:id="55"/>
    <w:p>
      <w:pPr>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being a public company and our management expects to devote substantial time to public company compliance programs.</w:t>
      </w:r>
    </w:p>
    <w:p>
      <w:pPr>
        <w:spacing w:after="0" w:line="62"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As a public company, we will incur significant legal, insurance, accounting and other expenses that we did not incur as a private company. In addition, our administrative staff will be required to perform additional tasks. We intend to invest resources to comply with evolving laws, regulations and standards, and this investment will result in increased general and administrative expenses and may divert management’s time and attention from product development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the Merger, pursuant to which we acquired Aerpio, we are increasing our directors’ and officers’ insurance coverage, which will increase our insurance cost. In the future, it will be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6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in order to comply with the requirements of being a public company, we may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Securities Exchange Act of 1934 as amended, or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ordinary shares could decline. In addition, if we are unable to continue to meet these requirements, we may not be able to obtain listing on a national securities exchange.</w:t>
      </w:r>
    </w:p>
    <w:p>
      <w:pPr>
        <w:spacing w:after="0" w:line="16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management team and board of directors will need to devote significant efforts to maintaining adequate and effective disclosure controls and procedures and internal control over financial reporting in order to comply with applicable regulations, which may include hiring additional legal, financial reporting and other finance and accounting staff and engaging consultants to assist in designing and implementing such procedures. Additionally, any of our efforts to improve our internal controls and design, implement and maintain an adequate system of disclosure controls may not be successful and will require that we expend significant cash and other resources. In addition, our management will be required to certify financial and other information in our quarterly and annual reports and provide an annual management report on the effectiveness of our internal control over financial reporting commencing with our second annual report. This assessment will need to include the disclosure of any material weaknesses in our internal control over financial reporting identified by our management or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w:t>
      </w:r>
    </w:p>
    <w:p>
      <w:pPr>
        <w:spacing w:after="0" w:line="1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independent registered public accounting firm will not be required to formally attest to the effectiveness of our internal control over financial reporting until the later of our second annual report or the first annual report required to be filed with the SEC following the date we are no longer an “emerging growth company” as defined in the JOBS Act. We cannot assure you that there will not be material weaknesses or significant deficiencies in our internal controls in the future.</w:t>
      </w:r>
    </w:p>
    <w:p>
      <w:pPr>
        <w:spacing w:after="0" w:line="2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independent registered public accounting firm has identified a material weakness in our internal control over financial reporting which will require remediation.</w:t>
      </w:r>
    </w:p>
    <w:p>
      <w:pPr>
        <w:spacing w:after="0" w:line="6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independent registered public accounting firm issued a letter to our audit committee and management in which they identified certain matters that they consider to constitute material weaknesses in the design and operation of our internal control over financial reporting as of December 31, 2016. A deficiency in internal control over financial reporting exists when the design or operation of a control does not allow management or employees, in the normal course of performing their assigned functions, to prevent or detect misstatements on a timely basis. A significant deficiency is a deficiency, or a combination of deficiencies, in internal control over financial reporting that is less severe than a material weakness, yet important enough to merit attention by those responsible for the oversight of the company’s financial reporting.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6" w:name="page57"/>
    <w:bookmarkEnd w:id="56"/>
    <w:p>
      <w:pPr>
        <w:ind w:right="120"/>
        <w:spacing w:after="0" w:line="259" w:lineRule="auto"/>
        <w:rPr>
          <w:sz w:val="20"/>
          <w:szCs w:val="20"/>
          <w:color w:val="auto"/>
        </w:rPr>
      </w:pPr>
      <w:r>
        <w:rPr>
          <w:rFonts w:ascii="Arial" w:cs="Arial" w:eastAsia="Arial" w:hAnsi="Arial"/>
          <w:sz w:val="18"/>
          <w:szCs w:val="18"/>
          <w:color w:val="auto"/>
        </w:rPr>
        <w:t>The material weaknesses identified by our auditors relate to deficiencies with our disclosure controls and procedures, including review and approval procedures with respect to financial information generated to prepare our consolidated financial statements, coupled with a lack of segregation of duties as a result of our size and overall lack of resources in the accounting department. This resulted in not ensuring appropriate segregation of duties between incompatible functions, and made it more difficult to ensure review of financial reporting issues.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are taking steps to remediate this material weakness. If we fail to remediate the material weakness, we may fail to meet our future reporting obligations, our financial statements may contain material misstatements and our operational results may be harmed. Any such failure could also adversely affect the results of the periodic management evaluations and, to the extent we are no longer an emerging growth company, the annual auditor attestation reports regarding the effectiveness of our internal control over financial reporting that will be required under Section 404 of the Sarbanes-Oxley Act of 2002. Internal control deficiencies could also cause investors to lose confidence in our reported financial information.</w:t>
      </w:r>
    </w:p>
    <w:p>
      <w:pPr>
        <w:spacing w:after="0" w:line="281" w:lineRule="exact"/>
        <w:rPr>
          <w:sz w:val="20"/>
          <w:szCs w:val="20"/>
          <w:color w:val="auto"/>
        </w:rPr>
      </w:pPr>
    </w:p>
    <w:p>
      <w:pPr>
        <w:ind w:right="280"/>
        <w:spacing w:after="0" w:line="375" w:lineRule="auto"/>
        <w:rPr>
          <w:sz w:val="20"/>
          <w:szCs w:val="20"/>
          <w:color w:val="auto"/>
        </w:rPr>
      </w:pPr>
      <w:r>
        <w:rPr>
          <w:rFonts w:ascii="Arial" w:cs="Arial" w:eastAsia="Arial" w:hAnsi="Arial"/>
          <w:sz w:val="15"/>
          <w:szCs w:val="15"/>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50" w:lineRule="exact"/>
        <w:rPr>
          <w:sz w:val="20"/>
          <w:szCs w:val="20"/>
          <w:color w:val="auto"/>
        </w:rPr>
      </w:pPr>
    </w:p>
    <w:p>
      <w:pPr>
        <w:ind w:left="1040" w:right="2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directors then in office;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 the consummation of a liquidation event unless approved by a supermajority (66 2/3% and majority of the minority, if applicable) vote of the holders of our voting stock;</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 the consummation of an affiliate transaction with a majority stockholder that holds more than 50% of the voting power of our capital stock unless approved by a supermajority (66 2/3%) vote of directors then in office;</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the number of directors on our board of directors may only be changed with a supermajority (66 2/3%) of directors then in office, even though less than a quorum;</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 and by a supermajority (66 2/3%) vote of the holders of our voting stock;</w:t>
      </w:r>
    </w:p>
    <w:p>
      <w:pPr>
        <w:spacing w:after="0" w:line="128" w:lineRule="exact"/>
        <w:rPr>
          <w:rFonts w:ascii="Arial" w:cs="Arial" w:eastAsia="Arial" w:hAnsi="Arial"/>
          <w:sz w:val="17"/>
          <w:szCs w:val="17"/>
          <w:color w:val="auto"/>
        </w:rPr>
      </w:pPr>
    </w:p>
    <w:p>
      <w:pPr>
        <w:ind w:left="1040" w:right="22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supermajority (66 2/3%) of directors then in office, even though less than a quorum;</w:t>
      </w:r>
    </w:p>
    <w:p>
      <w:pPr>
        <w:spacing w:after="0" w:line="62" w:lineRule="exact"/>
        <w:rPr>
          <w:rFonts w:ascii="Arial" w:cs="Arial" w:eastAsia="Arial" w:hAnsi="Arial"/>
          <w:sz w:val="18"/>
          <w:szCs w:val="18"/>
          <w:color w:val="auto"/>
        </w:rPr>
      </w:pPr>
    </w:p>
    <w:p>
      <w:pPr>
        <w:ind w:left="1040" w:right="240" w:hanging="519"/>
        <w:spacing w:after="0" w:line="308"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require a supermajority (66 2/3% and majority of the minority, if applicable) vote of the holders of our voting stock or the supermajority (66 2/3%) vote of the members of our board of directors then in office to amend our amended and restated by-laws; and</w:t>
      </w:r>
    </w:p>
    <w:p>
      <w:pPr>
        <w:spacing w:after="0" w:line="38" w:lineRule="exact"/>
        <w:rPr>
          <w:rFonts w:ascii="Arial" w:cs="Arial" w:eastAsia="Arial" w:hAnsi="Arial"/>
          <w:sz w:val="17"/>
          <w:szCs w:val="17"/>
          <w:color w:val="auto"/>
        </w:rPr>
      </w:pPr>
    </w:p>
    <w:p>
      <w:pPr>
        <w:jc w:val="both"/>
        <w:ind w:left="1040" w:right="280" w:hanging="519"/>
        <w:spacing w:after="0" w:line="264"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a supermajority (66 2/3% and majority of the minority, if applicable) vote of the holders of our voting stock and a supermajority (66 2/3%) vote of the holders of each class of our voting stock entitled to vote thereon to amend certain provisions of our amended and restated certificate of incorporation.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7" w:name="page58"/>
    <w:bookmarkEnd w:id="57"/>
    <w:p>
      <w:pPr>
        <w:ind w:right="6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general, under Section 382 of the Internal Revenue Code of 1986, as amended, or the Code, a corporation that undergoes an “ownership change” is subject to limitations on its ability to utilize its pre-change net operating losses, or NOLs, to offset future taxable income. Our existing NOLs may be subject to substantial limitations arising from previous ownership changes, and if we undergo an ownership change in connection with our private placement offering, our ability to utilize NOLs could be further limited by Section 382 of the Code. In addition, future changes in our stock ownership, many of which are outside of our control, could result in an ownership change under Section 382 of the Code. Our NOLs may also be impaired under state law. Accordingly, we may not be able to utilize a material portion of our NOLs. Furthermore, our ability to utilize our NOLs is conditioned upon our attaining profitability and generating U.S. federal taxable income. As described above under “—Risks related to our financial position and need for additional capital,” we have incurred significant net losses since our inception and anticipate that we will continue to incur significant losses for the foreseeable future; thus, we do not know whether or when we will generate the U.S. federal taxable income necessary to utilize our NOLs. A full valuation allowance has been provided for the entire amount of our NOLs.</w:t>
      </w:r>
    </w:p>
    <w:p>
      <w:pPr>
        <w:spacing w:after="0" w:line="30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in the foreseeable future. Instead, we plan to retain any earnings to maintain and expand our operations. In addition, any future debt financing arrangement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Please refer to Item 3.02 contained in our Current Report on Form 8-K filed on March 17, 2017 for the information required by Item 701 of Regulation S-K as to all equity securities that we issued during the period covered by this Quarterly Report on Form 10-Q that were not registered under the Securities Act.</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Furnish the exhibits required by Item 601 of Regulation S-K (§ 229.601 of this chapter).</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10480" w:type="dxa"/>
            <w:vAlign w:val="bottom"/>
            <w:vMerge w:val="restart"/>
          </w:tcPr>
          <w:p>
            <w:pPr>
              <w:ind w:left="4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960" w:type="dxa"/>
            <w:vAlign w:val="bottom"/>
          </w:tcPr>
          <w:p>
            <w:pPr>
              <w:ind w:left="260"/>
              <w:spacing w:after="0"/>
              <w:rPr>
                <w:sz w:val="20"/>
                <w:szCs w:val="20"/>
                <w:color w:val="auto"/>
              </w:rPr>
            </w:pPr>
            <w:r>
              <w:rPr>
                <w:rFonts w:ascii="Arial" w:cs="Arial" w:eastAsia="Arial" w:hAnsi="Arial"/>
                <w:sz w:val="14"/>
                <w:szCs w:val="14"/>
                <w:b w:val="1"/>
                <w:bCs w:val="1"/>
                <w:color w:val="auto"/>
              </w:rPr>
              <w:t>Number</w:t>
            </w:r>
          </w:p>
        </w:tc>
        <w:tc>
          <w:tcPr>
            <w:tcW w:w="10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5"/>
        </w:trPr>
        <w:tc>
          <w:tcPr>
            <w:tcW w:w="960" w:type="dxa"/>
            <w:vAlign w:val="bottom"/>
          </w:tcPr>
          <w:p>
            <w:pPr>
              <w:spacing w:after="0"/>
              <w:rPr>
                <w:sz w:val="20"/>
                <w:szCs w:val="20"/>
                <w:color w:val="auto"/>
              </w:rPr>
            </w:pPr>
            <w:r>
              <w:rPr>
                <w:rFonts w:ascii="Arial" w:cs="Arial" w:eastAsia="Arial" w:hAnsi="Arial"/>
                <w:sz w:val="18"/>
                <w:szCs w:val="18"/>
                <w:color w:val="auto"/>
              </w:rPr>
              <w:t>2.1</w:t>
            </w:r>
          </w:p>
        </w:tc>
        <w:tc>
          <w:tcPr>
            <w:tcW w:w="10480" w:type="dxa"/>
            <w:vAlign w:val="bottom"/>
          </w:tcPr>
          <w:p>
            <w:pPr>
              <w:ind w:left="200"/>
              <w:spacing w:after="0"/>
              <w:rPr>
                <w:sz w:val="20"/>
                <w:szCs w:val="20"/>
                <w:color w:val="auto"/>
              </w:rPr>
            </w:pPr>
            <w:r>
              <w:rPr>
                <w:rFonts w:ascii="Arial" w:cs="Arial" w:eastAsia="Arial" w:hAnsi="Arial"/>
                <w:sz w:val="18"/>
                <w:szCs w:val="18"/>
                <w:color w:val="auto"/>
                <w:w w:val="94"/>
              </w:rPr>
              <w:t>Agreement and Plan of Merger, dated March 7, 2017, by and among the Company, Acquisition Sub, a Delaware corporation and wholly-</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w w:val="92"/>
              </w:rPr>
              <w:t>owned subsidiary of the Company, and Aerpio Therapeutics, Inc., a Delaware corporation (incorporated herein by reference to Exhibit 2.1 to</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rPr>
              <w:t>the Company’s 8-K filed with the Securities and Exchange Commission on March 13, 2017, File No. 000-53057).</w:t>
            </w:r>
          </w:p>
        </w:tc>
        <w:tc>
          <w:tcPr>
            <w:tcW w:w="0" w:type="dxa"/>
            <w:vAlign w:val="bottom"/>
          </w:tcPr>
          <w:p>
            <w:pPr>
              <w:spacing w:after="0"/>
              <w:rPr>
                <w:sz w:val="1"/>
                <w:szCs w:val="1"/>
                <w:color w:val="auto"/>
              </w:rPr>
            </w:pPr>
          </w:p>
        </w:tc>
      </w:tr>
      <w:tr>
        <w:trPr>
          <w:trHeight w:val="350"/>
        </w:trPr>
        <w:tc>
          <w:tcPr>
            <w:tcW w:w="960" w:type="dxa"/>
            <w:vAlign w:val="bottom"/>
          </w:tcPr>
          <w:p>
            <w:pPr>
              <w:spacing w:after="0"/>
              <w:rPr>
                <w:sz w:val="20"/>
                <w:szCs w:val="20"/>
                <w:color w:val="auto"/>
              </w:rPr>
            </w:pPr>
            <w:r>
              <w:rPr>
                <w:rFonts w:ascii="Arial" w:cs="Arial" w:eastAsia="Arial" w:hAnsi="Arial"/>
                <w:sz w:val="18"/>
                <w:szCs w:val="18"/>
                <w:color w:val="auto"/>
              </w:rPr>
              <w:t>3.1</w:t>
            </w:r>
          </w:p>
        </w:tc>
        <w:tc>
          <w:tcPr>
            <w:tcW w:w="10480" w:type="dxa"/>
            <w:vAlign w:val="bottom"/>
          </w:tcPr>
          <w:p>
            <w:pPr>
              <w:ind w:left="200"/>
              <w:spacing w:after="0"/>
              <w:rPr>
                <w:sz w:val="20"/>
                <w:szCs w:val="20"/>
                <w:color w:val="auto"/>
              </w:rPr>
            </w:pPr>
            <w:r>
              <w:rPr>
                <w:rFonts w:ascii="Arial" w:cs="Arial" w:eastAsia="Arial" w:hAnsi="Arial"/>
                <w:sz w:val="18"/>
                <w:szCs w:val="18"/>
                <w:color w:val="auto"/>
                <w:w w:val="92"/>
              </w:rPr>
              <w:t>Certificate of Merger relating to the merger of Acquisition Sub with and into Aerpio Therapeutics, Inc., filed with the Secretary of State of the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w w:val="94"/>
              </w:rPr>
              <w:t>State of Delaware on March 15, 2017 (incorporated herein by reference to Exhibit 3.1 to the Company’s 8-K filed with the Securities and</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rPr>
              <w:t>Exchange Commission on March 17, 2017, File No. 000-53057).</w:t>
            </w:r>
          </w:p>
        </w:tc>
        <w:tc>
          <w:tcPr>
            <w:tcW w:w="0" w:type="dxa"/>
            <w:vAlign w:val="bottom"/>
          </w:tcPr>
          <w:p>
            <w:pPr>
              <w:spacing w:after="0"/>
              <w:rPr>
                <w:sz w:val="1"/>
                <w:szCs w:val="1"/>
                <w:color w:val="auto"/>
              </w:rPr>
            </w:pPr>
          </w:p>
        </w:tc>
      </w:tr>
      <w:tr>
        <w:trPr>
          <w:trHeight w:val="350"/>
        </w:trPr>
        <w:tc>
          <w:tcPr>
            <w:tcW w:w="960" w:type="dxa"/>
            <w:vAlign w:val="bottom"/>
          </w:tcPr>
          <w:p>
            <w:pPr>
              <w:spacing w:after="0"/>
              <w:rPr>
                <w:sz w:val="20"/>
                <w:szCs w:val="20"/>
                <w:color w:val="auto"/>
              </w:rPr>
            </w:pPr>
            <w:r>
              <w:rPr>
                <w:rFonts w:ascii="Arial" w:cs="Arial" w:eastAsia="Arial" w:hAnsi="Arial"/>
                <w:sz w:val="18"/>
                <w:szCs w:val="18"/>
                <w:color w:val="auto"/>
              </w:rPr>
              <w:t>3.2</w:t>
            </w:r>
          </w:p>
        </w:tc>
        <w:tc>
          <w:tcPr>
            <w:tcW w:w="10480" w:type="dxa"/>
            <w:vAlign w:val="bottom"/>
          </w:tcPr>
          <w:p>
            <w:pPr>
              <w:ind w:left="200"/>
              <w:spacing w:after="0"/>
              <w:rPr>
                <w:sz w:val="20"/>
                <w:szCs w:val="20"/>
                <w:color w:val="auto"/>
              </w:rPr>
            </w:pPr>
            <w:r>
              <w:rPr>
                <w:rFonts w:ascii="Arial" w:cs="Arial" w:eastAsia="Arial" w:hAnsi="Arial"/>
                <w:sz w:val="18"/>
                <w:szCs w:val="18"/>
                <w:color w:val="auto"/>
                <w:w w:val="93"/>
              </w:rPr>
              <w:t>Amended and Restated Certificate of Incorporation, to be filed with the Secretary of State of the State of Delaware (incorporated herein by</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w w:val="92"/>
              </w:rPr>
              <w:t>reference to Exhibit 3.2 to the Company’s 8-K filed with the Securities and Exchange Commission on March 17, 2017, File No. 000-53057).</w:t>
            </w:r>
          </w:p>
        </w:tc>
        <w:tc>
          <w:tcPr>
            <w:tcW w:w="0" w:type="dxa"/>
            <w:vAlign w:val="bottom"/>
          </w:tcPr>
          <w:p>
            <w:pPr>
              <w:spacing w:after="0"/>
              <w:rPr>
                <w:sz w:val="1"/>
                <w:szCs w:val="1"/>
                <w:color w:val="auto"/>
              </w:rPr>
            </w:pPr>
          </w:p>
        </w:tc>
      </w:tr>
      <w:tr>
        <w:trPr>
          <w:trHeight w:val="350"/>
        </w:trPr>
        <w:tc>
          <w:tcPr>
            <w:tcW w:w="960" w:type="dxa"/>
            <w:vAlign w:val="bottom"/>
          </w:tcPr>
          <w:p>
            <w:pPr>
              <w:spacing w:after="0"/>
              <w:rPr>
                <w:sz w:val="20"/>
                <w:szCs w:val="20"/>
                <w:color w:val="auto"/>
              </w:rPr>
            </w:pPr>
            <w:r>
              <w:rPr>
                <w:rFonts w:ascii="Arial" w:cs="Arial" w:eastAsia="Arial" w:hAnsi="Arial"/>
                <w:sz w:val="18"/>
                <w:szCs w:val="18"/>
                <w:color w:val="auto"/>
              </w:rPr>
              <w:t>3.3</w:t>
            </w:r>
          </w:p>
        </w:tc>
        <w:tc>
          <w:tcPr>
            <w:tcW w:w="10480" w:type="dxa"/>
            <w:vAlign w:val="bottom"/>
          </w:tcPr>
          <w:p>
            <w:pPr>
              <w:ind w:left="200"/>
              <w:spacing w:after="0"/>
              <w:rPr>
                <w:sz w:val="20"/>
                <w:szCs w:val="20"/>
                <w:color w:val="auto"/>
              </w:rPr>
            </w:pPr>
            <w:r>
              <w:rPr>
                <w:rFonts w:ascii="Arial" w:cs="Arial" w:eastAsia="Arial" w:hAnsi="Arial"/>
                <w:sz w:val="18"/>
                <w:szCs w:val="18"/>
                <w:color w:val="auto"/>
                <w:w w:val="91"/>
              </w:rPr>
              <w:t>Amended and Restated Bylaws (incorporated herein by reference to Exhibit 3.3 to the Company’s 8-K filed with the Securities and Exchange</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rPr>
              <w:t>Commission on March 17, 2017, File No. 000-53057).</w:t>
            </w:r>
          </w:p>
        </w:tc>
        <w:tc>
          <w:tcPr>
            <w:tcW w:w="0" w:type="dxa"/>
            <w:vAlign w:val="bottom"/>
          </w:tcPr>
          <w:p>
            <w:pPr>
              <w:spacing w:after="0"/>
              <w:rPr>
                <w:sz w:val="1"/>
                <w:szCs w:val="1"/>
                <w:color w:val="auto"/>
              </w:rPr>
            </w:pPr>
          </w:p>
        </w:tc>
      </w:tr>
      <w:tr>
        <w:trPr>
          <w:trHeight w:val="350"/>
        </w:trPr>
        <w:tc>
          <w:tcPr>
            <w:tcW w:w="960" w:type="dxa"/>
            <w:vAlign w:val="bottom"/>
          </w:tcPr>
          <w:p>
            <w:pPr>
              <w:spacing w:after="0"/>
              <w:rPr>
                <w:sz w:val="20"/>
                <w:szCs w:val="20"/>
                <w:color w:val="auto"/>
              </w:rPr>
            </w:pPr>
            <w:r>
              <w:rPr>
                <w:rFonts w:ascii="Arial" w:cs="Arial" w:eastAsia="Arial" w:hAnsi="Arial"/>
                <w:sz w:val="18"/>
                <w:szCs w:val="18"/>
                <w:color w:val="auto"/>
              </w:rPr>
              <w:t>3.4</w:t>
            </w:r>
          </w:p>
        </w:tc>
        <w:tc>
          <w:tcPr>
            <w:tcW w:w="10480" w:type="dxa"/>
            <w:vAlign w:val="bottom"/>
          </w:tcPr>
          <w:p>
            <w:pPr>
              <w:ind w:left="200"/>
              <w:spacing w:after="0"/>
              <w:rPr>
                <w:sz w:val="20"/>
                <w:szCs w:val="20"/>
                <w:color w:val="auto"/>
              </w:rPr>
            </w:pPr>
            <w:r>
              <w:rPr>
                <w:rFonts w:ascii="Arial" w:cs="Arial" w:eastAsia="Arial" w:hAnsi="Arial"/>
                <w:sz w:val="18"/>
                <w:szCs w:val="18"/>
                <w:color w:val="auto"/>
                <w:w w:val="97"/>
              </w:rPr>
              <w:t>Certificate of Amendment to Certificate of Incorporation, filed with the Secretary of State of the State of Delaware on March 15, 2017</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w w:val="95"/>
              </w:rPr>
              <w:t>(incorporated herein by reference to Exhibit 3.4 to the Company’s 8-K filed with the Securities and Exchange Commission on March 17,</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rPr>
              <w:t>2017, File No. 000-53057).</w:t>
            </w:r>
          </w:p>
        </w:tc>
        <w:tc>
          <w:tcPr>
            <w:tcW w:w="0" w:type="dxa"/>
            <w:vAlign w:val="bottom"/>
          </w:tcPr>
          <w:p>
            <w:pPr>
              <w:spacing w:after="0"/>
              <w:rPr>
                <w:sz w:val="1"/>
                <w:szCs w:val="1"/>
                <w:color w:val="auto"/>
              </w:rPr>
            </w:pPr>
          </w:p>
        </w:tc>
      </w:tr>
      <w:tr>
        <w:trPr>
          <w:trHeight w:val="350"/>
        </w:trPr>
        <w:tc>
          <w:tcPr>
            <w:tcW w:w="960" w:type="dxa"/>
            <w:vAlign w:val="bottom"/>
          </w:tcPr>
          <w:p>
            <w:pPr>
              <w:spacing w:after="0"/>
              <w:rPr>
                <w:sz w:val="20"/>
                <w:szCs w:val="20"/>
                <w:color w:val="auto"/>
              </w:rPr>
            </w:pPr>
            <w:r>
              <w:rPr>
                <w:rFonts w:ascii="Arial" w:cs="Arial" w:eastAsia="Arial" w:hAnsi="Arial"/>
                <w:sz w:val="18"/>
                <w:szCs w:val="18"/>
                <w:color w:val="auto"/>
              </w:rPr>
              <w:t>4.1</w:t>
            </w:r>
          </w:p>
        </w:tc>
        <w:tc>
          <w:tcPr>
            <w:tcW w:w="10480" w:type="dxa"/>
            <w:vAlign w:val="bottom"/>
          </w:tcPr>
          <w:p>
            <w:pPr>
              <w:ind w:left="200"/>
              <w:spacing w:after="0"/>
              <w:rPr>
                <w:sz w:val="20"/>
                <w:szCs w:val="20"/>
                <w:color w:val="auto"/>
              </w:rPr>
            </w:pPr>
            <w:r>
              <w:rPr>
                <w:rFonts w:ascii="Arial" w:cs="Arial" w:eastAsia="Arial" w:hAnsi="Arial"/>
                <w:sz w:val="18"/>
                <w:szCs w:val="18"/>
                <w:color w:val="auto"/>
                <w:w w:val="91"/>
              </w:rPr>
              <w:t>Form of Warrant to Purchase Shares of Common Stock of issued to the Placement Agents (incorporated herein by reference to Exhibit 4.1 to</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rPr>
              <w:t>the Company’s 8-K filed with the Securities and Exchange Commission on March 17, 2017, File No. 000-53057).</w:t>
            </w:r>
          </w:p>
        </w:tc>
        <w:tc>
          <w:tcPr>
            <w:tcW w:w="0" w:type="dxa"/>
            <w:vAlign w:val="bottom"/>
          </w:tcPr>
          <w:p>
            <w:pPr>
              <w:spacing w:after="0"/>
              <w:rPr>
                <w:sz w:val="1"/>
                <w:szCs w:val="1"/>
                <w:color w:val="auto"/>
              </w:rPr>
            </w:pPr>
          </w:p>
        </w:tc>
      </w:tr>
      <w:tr>
        <w:trPr>
          <w:trHeight w:val="350"/>
        </w:trPr>
        <w:tc>
          <w:tcPr>
            <w:tcW w:w="960" w:type="dxa"/>
            <w:vAlign w:val="bottom"/>
          </w:tcPr>
          <w:p>
            <w:pPr>
              <w:spacing w:after="0"/>
              <w:rPr>
                <w:sz w:val="20"/>
                <w:szCs w:val="20"/>
                <w:color w:val="auto"/>
              </w:rPr>
            </w:pPr>
            <w:r>
              <w:rPr>
                <w:rFonts w:ascii="Arial" w:cs="Arial" w:eastAsia="Arial" w:hAnsi="Arial"/>
                <w:sz w:val="18"/>
                <w:szCs w:val="18"/>
                <w:color w:val="auto"/>
              </w:rPr>
              <w:t>4.2</w:t>
            </w:r>
          </w:p>
        </w:tc>
        <w:tc>
          <w:tcPr>
            <w:tcW w:w="10480" w:type="dxa"/>
            <w:vAlign w:val="bottom"/>
          </w:tcPr>
          <w:p>
            <w:pPr>
              <w:ind w:left="200"/>
              <w:spacing w:after="0"/>
              <w:rPr>
                <w:sz w:val="20"/>
                <w:szCs w:val="20"/>
                <w:color w:val="auto"/>
              </w:rPr>
            </w:pPr>
            <w:r>
              <w:rPr>
                <w:rFonts w:ascii="Arial" w:cs="Arial" w:eastAsia="Arial" w:hAnsi="Arial"/>
                <w:sz w:val="18"/>
                <w:szCs w:val="18"/>
                <w:color w:val="auto"/>
                <w:w w:val="94"/>
              </w:rPr>
              <w:t>Form of common stock certificate (incorporated herein by reference to Exhibit 4.2 to the Company’s Registration Statement on Form S-1</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rPr>
              <w:t>filed with the Securities and Exchange Commission on April 14, 2017, File No. 333-217320).</w:t>
            </w:r>
          </w:p>
        </w:tc>
        <w:tc>
          <w:tcPr>
            <w:tcW w:w="0" w:type="dxa"/>
            <w:vAlign w:val="bottom"/>
          </w:tcPr>
          <w:p>
            <w:pPr>
              <w:spacing w:after="0"/>
              <w:rPr>
                <w:sz w:val="1"/>
                <w:szCs w:val="1"/>
                <w:color w:val="auto"/>
              </w:rPr>
            </w:pPr>
          </w:p>
        </w:tc>
      </w:tr>
      <w:tr>
        <w:trPr>
          <w:trHeight w:val="350"/>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10480" w:type="dxa"/>
            <w:vAlign w:val="bottom"/>
          </w:tcPr>
          <w:p>
            <w:pPr>
              <w:ind w:left="200"/>
              <w:spacing w:after="0"/>
              <w:rPr>
                <w:sz w:val="20"/>
                <w:szCs w:val="20"/>
                <w:color w:val="auto"/>
              </w:rPr>
            </w:pPr>
            <w:r>
              <w:rPr>
                <w:rFonts w:ascii="Arial" w:cs="Arial" w:eastAsia="Arial" w:hAnsi="Arial"/>
                <w:sz w:val="18"/>
                <w:szCs w:val="18"/>
                <w:color w:val="auto"/>
                <w:w w:val="92"/>
              </w:rPr>
              <w:t>2011 Equity Incentive Plan and forms of award agreements thereunder, assumed in the Merger (incorporated herein by reference to Exhibit</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rPr>
              <w:t>10.1 to the Company’s 8-K filed with the Securities and Exchange Commission on March 17, 2017, File No. 000-53057).</w:t>
            </w:r>
          </w:p>
        </w:tc>
        <w:tc>
          <w:tcPr>
            <w:tcW w:w="0" w:type="dxa"/>
            <w:vAlign w:val="bottom"/>
          </w:tcPr>
          <w:p>
            <w:pPr>
              <w:spacing w:after="0"/>
              <w:rPr>
                <w:sz w:val="1"/>
                <w:szCs w:val="1"/>
                <w:color w:val="auto"/>
              </w:rPr>
            </w:pPr>
          </w:p>
        </w:tc>
      </w:tr>
      <w:tr>
        <w:trPr>
          <w:trHeight w:val="350"/>
        </w:trPr>
        <w:tc>
          <w:tcPr>
            <w:tcW w:w="960" w:type="dxa"/>
            <w:vAlign w:val="bottom"/>
          </w:tcPr>
          <w:p>
            <w:pPr>
              <w:spacing w:after="0"/>
              <w:rPr>
                <w:sz w:val="20"/>
                <w:szCs w:val="20"/>
                <w:color w:val="auto"/>
              </w:rPr>
            </w:pPr>
            <w:r>
              <w:rPr>
                <w:rFonts w:ascii="Arial" w:cs="Arial" w:eastAsia="Arial" w:hAnsi="Arial"/>
                <w:sz w:val="18"/>
                <w:szCs w:val="18"/>
                <w:color w:val="auto"/>
              </w:rPr>
              <w:t>10.2#</w:t>
            </w:r>
          </w:p>
        </w:tc>
        <w:tc>
          <w:tcPr>
            <w:tcW w:w="10480" w:type="dxa"/>
            <w:vAlign w:val="bottom"/>
          </w:tcPr>
          <w:p>
            <w:pPr>
              <w:ind w:left="200"/>
              <w:spacing w:after="0"/>
              <w:rPr>
                <w:sz w:val="20"/>
                <w:szCs w:val="20"/>
                <w:color w:val="auto"/>
              </w:rPr>
            </w:pPr>
            <w:r>
              <w:rPr>
                <w:rFonts w:ascii="Arial" w:cs="Arial" w:eastAsia="Arial" w:hAnsi="Arial"/>
                <w:sz w:val="18"/>
                <w:szCs w:val="18"/>
                <w:color w:val="auto"/>
                <w:w w:val="93"/>
              </w:rPr>
              <w:t>2017 Stock Option and Incentive Plan and forms of award agreements thereunder (incorporated herein by reference to Exhibit 10.2 to the</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rPr>
              <w:t>Company’s 8-K filed with the Securities and Exchange Commission on March 17, 2017, File No. 000-53057).</w:t>
            </w:r>
          </w:p>
        </w:tc>
        <w:tc>
          <w:tcPr>
            <w:tcW w:w="0" w:type="dxa"/>
            <w:vAlign w:val="bottom"/>
          </w:tcPr>
          <w:p>
            <w:pPr>
              <w:spacing w:after="0"/>
              <w:rPr>
                <w:sz w:val="1"/>
                <w:szCs w:val="1"/>
                <w:color w:val="auto"/>
              </w:rPr>
            </w:pPr>
          </w:p>
        </w:tc>
      </w:tr>
      <w:tr>
        <w:trPr>
          <w:trHeight w:val="350"/>
        </w:trPr>
        <w:tc>
          <w:tcPr>
            <w:tcW w:w="960" w:type="dxa"/>
            <w:vAlign w:val="bottom"/>
          </w:tcPr>
          <w:p>
            <w:pPr>
              <w:spacing w:after="0"/>
              <w:rPr>
                <w:sz w:val="20"/>
                <w:szCs w:val="20"/>
                <w:color w:val="auto"/>
              </w:rPr>
            </w:pPr>
            <w:r>
              <w:rPr>
                <w:rFonts w:ascii="Arial" w:cs="Arial" w:eastAsia="Arial" w:hAnsi="Arial"/>
                <w:sz w:val="18"/>
                <w:szCs w:val="18"/>
                <w:color w:val="auto"/>
              </w:rPr>
              <w:t>10.3#</w:t>
            </w:r>
          </w:p>
        </w:tc>
        <w:tc>
          <w:tcPr>
            <w:tcW w:w="10480" w:type="dxa"/>
            <w:vAlign w:val="bottom"/>
          </w:tcPr>
          <w:p>
            <w:pPr>
              <w:ind w:left="200"/>
              <w:spacing w:after="0"/>
              <w:rPr>
                <w:sz w:val="20"/>
                <w:szCs w:val="20"/>
                <w:color w:val="auto"/>
              </w:rPr>
            </w:pPr>
            <w:r>
              <w:rPr>
                <w:rFonts w:ascii="Arial" w:cs="Arial" w:eastAsia="Arial" w:hAnsi="Arial"/>
                <w:sz w:val="18"/>
                <w:szCs w:val="18"/>
                <w:color w:val="auto"/>
                <w:w w:val="94"/>
              </w:rPr>
              <w:t>2017 Employee Stock Purchase Plan (incorporated herein by reference to Exhibit 10.3 to the Company’s 8-K filed with the Securities and</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rPr>
              <w:t>Exchange Commission on March 17, 2017, File No. 000-53057).</w:t>
            </w:r>
          </w:p>
        </w:tc>
        <w:tc>
          <w:tcPr>
            <w:tcW w:w="0" w:type="dxa"/>
            <w:vAlign w:val="bottom"/>
          </w:tcPr>
          <w:p>
            <w:pPr>
              <w:spacing w:after="0"/>
              <w:rPr>
                <w:sz w:val="1"/>
                <w:szCs w:val="1"/>
                <w:color w:val="auto"/>
              </w:rPr>
            </w:pPr>
          </w:p>
        </w:tc>
      </w:tr>
      <w:tr>
        <w:trPr>
          <w:trHeight w:val="350"/>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10480" w:type="dxa"/>
            <w:vAlign w:val="bottom"/>
          </w:tcPr>
          <w:p>
            <w:pPr>
              <w:ind w:left="200"/>
              <w:spacing w:after="0"/>
              <w:rPr>
                <w:sz w:val="20"/>
                <w:szCs w:val="20"/>
                <w:color w:val="auto"/>
              </w:rPr>
            </w:pPr>
            <w:r>
              <w:rPr>
                <w:rFonts w:ascii="Arial" w:cs="Arial" w:eastAsia="Arial" w:hAnsi="Arial"/>
                <w:sz w:val="18"/>
                <w:szCs w:val="18"/>
                <w:color w:val="auto"/>
                <w:w w:val="95"/>
              </w:rPr>
              <w:t>Form of Indemnification Agreement (incorporated herein by reference to Exhibit 10.4 to the Company’s 8-K filed with the Securities and</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rPr>
              <w:t>Exchange Commission on March 17, 2017, File No. 000-53057).</w:t>
            </w:r>
          </w:p>
        </w:tc>
        <w:tc>
          <w:tcPr>
            <w:tcW w:w="0" w:type="dxa"/>
            <w:vAlign w:val="bottom"/>
          </w:tcPr>
          <w:p>
            <w:pPr>
              <w:spacing w:after="0"/>
              <w:rPr>
                <w:sz w:val="1"/>
                <w:szCs w:val="1"/>
                <w:color w:val="auto"/>
              </w:rPr>
            </w:pPr>
          </w:p>
        </w:tc>
      </w:tr>
      <w:tr>
        <w:trPr>
          <w:trHeight w:val="350"/>
        </w:trPr>
        <w:tc>
          <w:tcPr>
            <w:tcW w:w="960" w:type="dxa"/>
            <w:vAlign w:val="bottom"/>
          </w:tcPr>
          <w:p>
            <w:pPr>
              <w:spacing w:after="0"/>
              <w:rPr>
                <w:sz w:val="20"/>
                <w:szCs w:val="20"/>
                <w:color w:val="auto"/>
              </w:rPr>
            </w:pPr>
            <w:r>
              <w:rPr>
                <w:rFonts w:ascii="Arial" w:cs="Arial" w:eastAsia="Arial" w:hAnsi="Arial"/>
                <w:sz w:val="18"/>
                <w:szCs w:val="18"/>
                <w:color w:val="auto"/>
              </w:rPr>
              <w:t>10.5</w:t>
            </w:r>
          </w:p>
        </w:tc>
        <w:tc>
          <w:tcPr>
            <w:tcW w:w="10480" w:type="dxa"/>
            <w:vAlign w:val="bottom"/>
          </w:tcPr>
          <w:p>
            <w:pPr>
              <w:ind w:left="200"/>
              <w:spacing w:after="0"/>
              <w:rPr>
                <w:sz w:val="20"/>
                <w:szCs w:val="20"/>
                <w:color w:val="auto"/>
              </w:rPr>
            </w:pPr>
            <w:r>
              <w:rPr>
                <w:rFonts w:ascii="Arial" w:cs="Arial" w:eastAsia="Arial" w:hAnsi="Arial"/>
                <w:sz w:val="18"/>
                <w:szCs w:val="18"/>
                <w:color w:val="auto"/>
                <w:w w:val="94"/>
              </w:rPr>
              <w:t>Registration Rights Agreement, dated March 15, 2017, by and among the Company and the persons listed on Exhibit A attached thereto</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w w:val="94"/>
              </w:rPr>
              <w:t>(incorporated herein by reference to Exhibit 10.5 to the Company’s 8-K filed with the Securities and Exchange Commission on March 17,</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rPr>
              <w:t>2017, File No. 000-53057).</w:t>
            </w:r>
          </w:p>
        </w:tc>
        <w:tc>
          <w:tcPr>
            <w:tcW w:w="0" w:type="dxa"/>
            <w:vAlign w:val="bottom"/>
          </w:tcPr>
          <w:p>
            <w:pPr>
              <w:spacing w:after="0"/>
              <w:rPr>
                <w:sz w:val="1"/>
                <w:szCs w:val="1"/>
                <w:color w:val="auto"/>
              </w:rPr>
            </w:pPr>
          </w:p>
        </w:tc>
      </w:tr>
      <w:tr>
        <w:trPr>
          <w:trHeight w:val="350"/>
        </w:trPr>
        <w:tc>
          <w:tcPr>
            <w:tcW w:w="960" w:type="dxa"/>
            <w:vAlign w:val="bottom"/>
          </w:tcPr>
          <w:p>
            <w:pPr>
              <w:spacing w:after="0"/>
              <w:rPr>
                <w:sz w:val="20"/>
                <w:szCs w:val="20"/>
                <w:color w:val="auto"/>
              </w:rPr>
            </w:pPr>
            <w:r>
              <w:rPr>
                <w:rFonts w:ascii="Arial" w:cs="Arial" w:eastAsia="Arial" w:hAnsi="Arial"/>
                <w:sz w:val="18"/>
                <w:szCs w:val="18"/>
                <w:color w:val="auto"/>
              </w:rPr>
              <w:t>10.6</w:t>
            </w:r>
          </w:p>
        </w:tc>
        <w:tc>
          <w:tcPr>
            <w:tcW w:w="10480" w:type="dxa"/>
            <w:vAlign w:val="bottom"/>
          </w:tcPr>
          <w:p>
            <w:pPr>
              <w:ind w:left="200"/>
              <w:spacing w:after="0"/>
              <w:rPr>
                <w:sz w:val="20"/>
                <w:szCs w:val="20"/>
                <w:color w:val="auto"/>
              </w:rPr>
            </w:pPr>
            <w:r>
              <w:rPr>
                <w:rFonts w:ascii="Arial" w:cs="Arial" w:eastAsia="Arial" w:hAnsi="Arial"/>
                <w:sz w:val="18"/>
                <w:szCs w:val="18"/>
                <w:color w:val="auto"/>
                <w:w w:val="96"/>
              </w:rPr>
              <w:t>Subscription Agreement, dated March 15, 2017, by and between the Company and the investors party thereto (incorporated herein by</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w w:val="91"/>
              </w:rPr>
              <w:t>reference to Exhibit 10.6 to the Company’s 8-K filed with the Securities and Exchange Commission on March 17, 2017, File No. 000-53057).</w:t>
            </w:r>
          </w:p>
        </w:tc>
        <w:tc>
          <w:tcPr>
            <w:tcW w:w="0" w:type="dxa"/>
            <w:vAlign w:val="bottom"/>
          </w:tcPr>
          <w:p>
            <w:pPr>
              <w:spacing w:after="0"/>
              <w:rPr>
                <w:sz w:val="1"/>
                <w:szCs w:val="1"/>
                <w:color w:val="auto"/>
              </w:rPr>
            </w:pPr>
          </w:p>
        </w:tc>
      </w:tr>
      <w:tr>
        <w:trPr>
          <w:trHeight w:val="567"/>
        </w:trPr>
        <w:tc>
          <w:tcPr>
            <w:tcW w:w="960" w:type="dxa"/>
            <w:vAlign w:val="bottom"/>
          </w:tcPr>
          <w:p>
            <w:pPr>
              <w:spacing w:after="0"/>
              <w:rPr>
                <w:sz w:val="24"/>
                <w:szCs w:val="24"/>
                <w:color w:val="auto"/>
              </w:rPr>
            </w:pPr>
          </w:p>
        </w:tc>
        <w:tc>
          <w:tcPr>
            <w:tcW w:w="10480" w:type="dxa"/>
            <w:vAlign w:val="bottom"/>
          </w:tcPr>
          <w:p>
            <w:pPr>
              <w:ind w:left="46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10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0480" w:type="dxa"/>
            <w:vAlign w:val="bottom"/>
          </w:tcPr>
          <w:p>
            <w:pPr>
              <w:ind w:left="240"/>
              <w:spacing w:after="0"/>
              <w:rPr>
                <w:sz w:val="20"/>
                <w:szCs w:val="20"/>
                <w:color w:val="auto"/>
              </w:rPr>
            </w:pPr>
            <w:r>
              <w:rPr>
                <w:rFonts w:ascii="Arial" w:cs="Arial" w:eastAsia="Arial" w:hAnsi="Arial"/>
                <w:sz w:val="18"/>
                <w:szCs w:val="18"/>
                <w:color w:val="auto"/>
                <w:w w:val="92"/>
              </w:rPr>
              <w:t>Office Lease at 10300 Alliance Road, Cincinnati, OH dated as of September 29, 2009, by and between Akebia Therapeutics, Inc. and Duke</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4"/>
              </w:rPr>
              <w:t>Realty Ohio, as amended by the First Lease Amendment dated as of April 23, 2010 by and between Akebia Therapeutics, Inc. and Duke</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Realty Ohio, as amended by the Second Lease Amendment and Assignment and Assumption of Lease dated as of April 25, 2012 by and</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2"/>
              </w:rPr>
              <w:t>between DP Landings Building II, LLC, Akebia Therapeutics, Inc., and Aerpio, as amended by the Third Amendment to Office Lease dated</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as of February 27, 2015 by and between RT Landings Building II, LLC and Aerpio (incorporated herein by reference to Exhibit 10.7 to the</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Company’s 8-K filed with the Securities and Exchange Commission on March 17, 2017, File No. 000-53057).</w:t>
            </w:r>
          </w:p>
        </w:tc>
      </w:tr>
      <w:tr>
        <w:trPr>
          <w:trHeight w:val="350"/>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10.8#</w:t>
            </w: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Employment Agreement, dated as of March 15, 2017, between the Company and Joseph H. Gardner (incorporated herein by reference to</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Exhibit 10.8 to the Company’s Registration Statement on Form S-1 filed with the Securities and Exchange Commission on April 14, 2017,</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File No. 333-217320).</w:t>
            </w:r>
          </w:p>
        </w:tc>
      </w:tr>
      <w:tr>
        <w:trPr>
          <w:trHeight w:val="350"/>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10.9#</w:t>
            </w:r>
          </w:p>
        </w:tc>
        <w:tc>
          <w:tcPr>
            <w:tcW w:w="10480" w:type="dxa"/>
            <w:vAlign w:val="bottom"/>
          </w:tcPr>
          <w:p>
            <w:pPr>
              <w:ind w:left="240"/>
              <w:spacing w:after="0"/>
              <w:rPr>
                <w:sz w:val="20"/>
                <w:szCs w:val="20"/>
                <w:color w:val="auto"/>
              </w:rPr>
            </w:pPr>
            <w:r>
              <w:rPr>
                <w:rFonts w:ascii="Arial" w:cs="Arial" w:eastAsia="Arial" w:hAnsi="Arial"/>
                <w:sz w:val="18"/>
                <w:szCs w:val="18"/>
                <w:color w:val="auto"/>
                <w:w w:val="90"/>
              </w:rPr>
              <w:t>Employment Agreement, dated as of March 15, 2017, between the Company and Kevin G. Peters (incorporated herein by reference to Exhibit</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2"/>
              </w:rPr>
              <w:t>10.9 to the Company’s Registration Statement on Form S-1 filed with the Securities and Exchange Commission on April 14, 2017, File No.</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333-217320).</w:t>
            </w:r>
          </w:p>
        </w:tc>
      </w:tr>
      <w:tr>
        <w:trPr>
          <w:trHeight w:val="350"/>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0480" w:type="dxa"/>
            <w:vAlign w:val="bottom"/>
          </w:tcPr>
          <w:p>
            <w:pPr>
              <w:ind w:left="240"/>
              <w:spacing w:after="0"/>
              <w:rPr>
                <w:sz w:val="20"/>
                <w:szCs w:val="20"/>
                <w:color w:val="auto"/>
              </w:rPr>
            </w:pPr>
            <w:r>
              <w:rPr>
                <w:rFonts w:ascii="Arial" w:cs="Arial" w:eastAsia="Arial" w:hAnsi="Arial"/>
                <w:sz w:val="18"/>
                <w:szCs w:val="18"/>
                <w:color w:val="auto"/>
                <w:w w:val="90"/>
              </w:rPr>
              <w:t>Employment Agreement, dated as of March 15, 2017, between the Company and Stephen Pakola (incorporated herein by reference to Exhibit</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2"/>
              </w:rPr>
              <w:t>10.10 to the Company’s Registration Statement on Form S-1 filed with the Securities and Exchange Commission on April 14, 2017, File No.</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333-217320).</w:t>
            </w:r>
          </w:p>
        </w:tc>
      </w:tr>
      <w:tr>
        <w:trPr>
          <w:trHeight w:val="350"/>
        </w:trPr>
        <w:tc>
          <w:tcPr>
            <w:tcW w:w="920" w:type="dxa"/>
            <w:vAlign w:val="bottom"/>
          </w:tcPr>
          <w:p>
            <w:pPr>
              <w:jc w:val="right"/>
              <w:ind w:right="430"/>
              <w:spacing w:after="0"/>
              <w:rPr>
                <w:sz w:val="20"/>
                <w:szCs w:val="20"/>
                <w:color w:val="auto"/>
              </w:rPr>
            </w:pPr>
            <w:r>
              <w:rPr>
                <w:rFonts w:ascii="Arial" w:cs="Arial" w:eastAsia="Arial" w:hAnsi="Arial"/>
                <w:sz w:val="18"/>
                <w:szCs w:val="18"/>
                <w:color w:val="auto"/>
                <w:w w:val="84"/>
              </w:rPr>
              <w:t>10.11</w:t>
            </w:r>
          </w:p>
        </w:tc>
        <w:tc>
          <w:tcPr>
            <w:tcW w:w="10480" w:type="dxa"/>
            <w:vAlign w:val="bottom"/>
          </w:tcPr>
          <w:p>
            <w:pPr>
              <w:ind w:left="240"/>
              <w:spacing w:after="0"/>
              <w:rPr>
                <w:sz w:val="20"/>
                <w:szCs w:val="20"/>
                <w:color w:val="auto"/>
              </w:rPr>
            </w:pPr>
            <w:r>
              <w:rPr>
                <w:rFonts w:ascii="Arial" w:cs="Arial" w:eastAsia="Arial" w:hAnsi="Arial"/>
                <w:sz w:val="18"/>
                <w:szCs w:val="18"/>
                <w:color w:val="auto"/>
                <w:w w:val="92"/>
              </w:rPr>
              <w:t>Registration Rights Agreement by and among the Company and certain former stockholders of Aerpio (incorporated herein by reference to</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Exhibit 10.9 to the Company’s 8-K filed with the Securities and Exchange Commission on March 17, 2017, File No. 000-53057).</w:t>
            </w:r>
          </w:p>
        </w:tc>
      </w:tr>
      <w:tr>
        <w:trPr>
          <w:trHeight w:val="350"/>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31.1*</w:t>
            </w:r>
          </w:p>
        </w:tc>
        <w:tc>
          <w:tcPr>
            <w:tcW w:w="10480" w:type="dxa"/>
            <w:vAlign w:val="bottom"/>
          </w:tcPr>
          <w:p>
            <w:pPr>
              <w:ind w:left="240"/>
              <w:spacing w:after="0"/>
              <w:rPr>
                <w:sz w:val="20"/>
                <w:szCs w:val="20"/>
                <w:color w:val="auto"/>
              </w:rPr>
            </w:pPr>
            <w:r>
              <w:rPr>
                <w:rFonts w:ascii="Arial" w:cs="Arial" w:eastAsia="Arial" w:hAnsi="Arial"/>
                <w:sz w:val="18"/>
                <w:szCs w:val="18"/>
                <w:color w:val="auto"/>
                <w:w w:val="96"/>
              </w:rPr>
              <w:t>Certification of Principal Executive Officer Pursuant to Rules 13a-14(a) and 15d-14(a) under the Securities Exchange Act of 1934, as</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350"/>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31.2*</w:t>
            </w:r>
          </w:p>
        </w:tc>
        <w:tc>
          <w:tcPr>
            <w:tcW w:w="10480" w:type="dxa"/>
            <w:vAlign w:val="bottom"/>
          </w:tcPr>
          <w:p>
            <w:pPr>
              <w:ind w:left="240"/>
              <w:spacing w:after="0"/>
              <w:rPr>
                <w:sz w:val="20"/>
                <w:szCs w:val="20"/>
                <w:color w:val="auto"/>
              </w:rPr>
            </w:pPr>
            <w:r>
              <w:rPr>
                <w:rFonts w:ascii="Arial" w:cs="Arial" w:eastAsia="Arial" w:hAnsi="Arial"/>
                <w:sz w:val="18"/>
                <w:szCs w:val="18"/>
                <w:color w:val="auto"/>
                <w:w w:val="91"/>
              </w:rPr>
              <w:t>Certification of Principal Financial Officer Pursuant to Rules 13a-14(a) and 15d-14(a) under the Securities Exchange Act of 1934, as Adopted</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50"/>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32.1*</w:t>
            </w:r>
          </w:p>
        </w:tc>
        <w:tc>
          <w:tcPr>
            <w:tcW w:w="10480" w:type="dxa"/>
            <w:vAlign w:val="bottom"/>
          </w:tcPr>
          <w:p>
            <w:pPr>
              <w:ind w:left="240"/>
              <w:spacing w:after="0"/>
              <w:rPr>
                <w:sz w:val="20"/>
                <w:szCs w:val="20"/>
                <w:color w:val="auto"/>
              </w:rPr>
            </w:pPr>
            <w:r>
              <w:rPr>
                <w:rFonts w:ascii="Arial" w:cs="Arial" w:eastAsia="Arial" w:hAnsi="Arial"/>
                <w:sz w:val="18"/>
                <w:szCs w:val="18"/>
                <w:color w:val="auto"/>
                <w:w w:val="92"/>
              </w:rPr>
              <w:t>Certification of Principal Executive Officer Pursuant to 18 U.S.C. Section 1350, as Adopted Pursuant to Section 906 of the Sarbanes-Oxley</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Act of 2002.</w:t>
            </w:r>
          </w:p>
        </w:tc>
      </w:tr>
      <w:tr>
        <w:trPr>
          <w:trHeight w:val="350"/>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32.2*</w:t>
            </w: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Certification of Principal Financial Officer Pursuant to 18 U.S.C. Section 1350, as Adopted Pursuant to Section 906 of the Sarbanes-Oxley</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Act of 2002.</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9690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3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20" w:right="320" w:hanging="512"/>
        <w:spacing w:after="0" w:line="264"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6" w:lineRule="exact"/>
        <w:rPr>
          <w:sz w:val="20"/>
          <w:szCs w:val="20"/>
          <w:color w:val="auto"/>
        </w:rPr>
      </w:pPr>
    </w:p>
    <w:p>
      <w:pPr>
        <w:ind w:left="5620" w:right="5100" w:hanging="5588"/>
        <w:spacing w:after="0" w:line="906" w:lineRule="auto"/>
        <w:tabs>
          <w:tab w:leader="none" w:pos="163"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Indicates a management contract or any compensatory plan, contract or arrangement.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-267335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60" w:name="page61"/>
    <w:bookmarkEnd w:id="60"/>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Company Name</w:t>
      </w:r>
    </w:p>
    <w:p>
      <w:pPr>
        <w:spacing w:after="0" w:line="252" w:lineRule="exact"/>
        <w:rPr>
          <w:sz w:val="20"/>
          <w:szCs w:val="20"/>
          <w:color w:val="auto"/>
        </w:rPr>
      </w:pPr>
    </w:p>
    <w:p>
      <w:pPr>
        <w:spacing w:after="0"/>
        <w:tabs>
          <w:tab w:leader="none" w:pos="6800" w:val="left"/>
          <w:tab w:leader="none" w:pos="8460" w:val="left"/>
        </w:tabs>
        <w:rPr>
          <w:sz w:val="20"/>
          <w:szCs w:val="20"/>
          <w:color w:val="auto"/>
        </w:rPr>
      </w:pPr>
      <w:r>
        <w:rPr>
          <w:rFonts w:ascii="Arial" w:cs="Arial" w:eastAsia="Arial" w:hAnsi="Arial"/>
          <w:sz w:val="18"/>
          <w:szCs w:val="18"/>
          <w:color w:val="auto"/>
        </w:rPr>
        <w:t>Date: May 15,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H.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744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Joseph H. Gardner</w:t>
      </w:r>
    </w:p>
    <w:p>
      <w:pPr>
        <w:spacing w:after="0" w:line="27"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51" w:lineRule="exact"/>
        <w:rPr>
          <w:sz w:val="20"/>
          <w:szCs w:val="20"/>
          <w:color w:val="auto"/>
        </w:rPr>
      </w:pPr>
    </w:p>
    <w:p>
      <w:pPr>
        <w:spacing w:after="0"/>
        <w:tabs>
          <w:tab w:leader="none" w:pos="6800" w:val="left"/>
          <w:tab w:leader="none" w:pos="8480" w:val="left"/>
        </w:tabs>
        <w:rPr>
          <w:sz w:val="20"/>
          <w:szCs w:val="20"/>
          <w:color w:val="auto"/>
        </w:rPr>
      </w:pPr>
      <w:r>
        <w:rPr>
          <w:rFonts w:ascii="Arial" w:cs="Arial" w:eastAsia="Arial" w:hAnsi="Arial"/>
          <w:sz w:val="18"/>
          <w:szCs w:val="18"/>
          <w:color w:val="auto"/>
        </w:rPr>
        <w:t>Date: May 15,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B.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744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James B. Murphy</w:t>
      </w:r>
    </w:p>
    <w:p>
      <w:pPr>
        <w:spacing w:after="0" w:line="27"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00"/>
          </w:cols>
          <w:pgMar w:left="240" w:top="121" w:right="8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0480" w:type="dxa"/>
            <w:vAlign w:val="bottom"/>
          </w:tcPr>
          <w:p>
            <w:pPr>
              <w:ind w:left="42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96"/>
        </w:trPr>
        <w:tc>
          <w:tcPr>
            <w:tcW w:w="96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10480" w:type="dxa"/>
            <w:vAlign w:val="bottom"/>
            <w:vMerge w:val="restart"/>
          </w:tcPr>
          <w:p>
            <w:pPr>
              <w:ind w:left="4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960" w:type="dxa"/>
            <w:vAlign w:val="bottom"/>
          </w:tcPr>
          <w:p>
            <w:pPr>
              <w:ind w:left="260"/>
              <w:spacing w:after="0"/>
              <w:rPr>
                <w:sz w:val="20"/>
                <w:szCs w:val="20"/>
                <w:color w:val="auto"/>
              </w:rPr>
            </w:pPr>
            <w:r>
              <w:rPr>
                <w:rFonts w:ascii="Arial" w:cs="Arial" w:eastAsia="Arial" w:hAnsi="Arial"/>
                <w:sz w:val="14"/>
                <w:szCs w:val="14"/>
                <w:b w:val="1"/>
                <w:bCs w:val="1"/>
                <w:color w:val="auto"/>
              </w:rPr>
              <w:t>Number</w:t>
            </w:r>
          </w:p>
        </w:tc>
        <w:tc>
          <w:tcPr>
            <w:tcW w:w="10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5"/>
        </w:trPr>
        <w:tc>
          <w:tcPr>
            <w:tcW w:w="960" w:type="dxa"/>
            <w:vAlign w:val="bottom"/>
          </w:tcPr>
          <w:p>
            <w:pPr>
              <w:spacing w:after="0"/>
              <w:rPr>
                <w:sz w:val="20"/>
                <w:szCs w:val="20"/>
                <w:color w:val="auto"/>
              </w:rPr>
            </w:pPr>
            <w:r>
              <w:rPr>
                <w:rFonts w:ascii="Arial" w:cs="Arial" w:eastAsia="Arial" w:hAnsi="Arial"/>
                <w:sz w:val="18"/>
                <w:szCs w:val="18"/>
                <w:color w:val="auto"/>
              </w:rPr>
              <w:t>2.1</w:t>
            </w:r>
          </w:p>
        </w:tc>
        <w:tc>
          <w:tcPr>
            <w:tcW w:w="10480" w:type="dxa"/>
            <w:vAlign w:val="bottom"/>
          </w:tcPr>
          <w:p>
            <w:pPr>
              <w:ind w:left="200"/>
              <w:spacing w:after="0"/>
              <w:rPr>
                <w:sz w:val="20"/>
                <w:szCs w:val="20"/>
                <w:color w:val="auto"/>
              </w:rPr>
            </w:pPr>
            <w:r>
              <w:rPr>
                <w:rFonts w:ascii="Arial" w:cs="Arial" w:eastAsia="Arial" w:hAnsi="Arial"/>
                <w:sz w:val="18"/>
                <w:szCs w:val="18"/>
                <w:color w:val="auto"/>
                <w:w w:val="94"/>
              </w:rPr>
              <w:t>Agreement and Plan of Merger, dated March 7, 2017, by and among the Company, Acquisition Sub, a Delaware corporation and wholly-</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w w:val="92"/>
              </w:rPr>
              <w:t>owned subsidiary of the Company, and Aerpio Therapeutics, Inc., a Delaware corporation (incorporated herein by reference to Exhibit 2.1 to</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rPr>
              <w:t>the Company’s 8-K filed with the Securities and Exchange Commission on March 13, 2017, File No. 000-53057).</w:t>
            </w:r>
          </w:p>
        </w:tc>
        <w:tc>
          <w:tcPr>
            <w:tcW w:w="0" w:type="dxa"/>
            <w:vAlign w:val="bottom"/>
          </w:tcPr>
          <w:p>
            <w:pPr>
              <w:spacing w:after="0"/>
              <w:rPr>
                <w:sz w:val="1"/>
                <w:szCs w:val="1"/>
                <w:color w:val="auto"/>
              </w:rPr>
            </w:pPr>
          </w:p>
        </w:tc>
      </w:tr>
      <w:tr>
        <w:trPr>
          <w:trHeight w:val="445"/>
        </w:trPr>
        <w:tc>
          <w:tcPr>
            <w:tcW w:w="960" w:type="dxa"/>
            <w:vAlign w:val="bottom"/>
          </w:tcPr>
          <w:p>
            <w:pPr>
              <w:spacing w:after="0"/>
              <w:rPr>
                <w:sz w:val="20"/>
                <w:szCs w:val="20"/>
                <w:color w:val="auto"/>
              </w:rPr>
            </w:pPr>
            <w:r>
              <w:rPr>
                <w:rFonts w:ascii="Arial" w:cs="Arial" w:eastAsia="Arial" w:hAnsi="Arial"/>
                <w:sz w:val="18"/>
                <w:szCs w:val="18"/>
                <w:color w:val="auto"/>
              </w:rPr>
              <w:t>3.1</w:t>
            </w:r>
          </w:p>
        </w:tc>
        <w:tc>
          <w:tcPr>
            <w:tcW w:w="10480" w:type="dxa"/>
            <w:vAlign w:val="bottom"/>
          </w:tcPr>
          <w:p>
            <w:pPr>
              <w:ind w:left="200"/>
              <w:spacing w:after="0"/>
              <w:rPr>
                <w:sz w:val="20"/>
                <w:szCs w:val="20"/>
                <w:color w:val="auto"/>
              </w:rPr>
            </w:pPr>
            <w:r>
              <w:rPr>
                <w:rFonts w:ascii="Arial" w:cs="Arial" w:eastAsia="Arial" w:hAnsi="Arial"/>
                <w:sz w:val="18"/>
                <w:szCs w:val="18"/>
                <w:color w:val="auto"/>
                <w:w w:val="92"/>
              </w:rPr>
              <w:t>Certificate of Merger relating to the merger of Acquisition Sub with and into Aerpio Therapeutics, Inc., filed with the Secretary of State of the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w w:val="94"/>
              </w:rPr>
              <w:t>State of Delaware on March 15, 2017 (incorporated herein by reference to Exhibit 3.1 to the Company’s 8-K filed with the Securities and</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rPr>
              <w:t>Exchange Commission on March 17, 2017, File No. 000-53057).</w:t>
            </w:r>
          </w:p>
        </w:tc>
        <w:tc>
          <w:tcPr>
            <w:tcW w:w="0" w:type="dxa"/>
            <w:vAlign w:val="bottom"/>
          </w:tcPr>
          <w:p>
            <w:pPr>
              <w:spacing w:after="0"/>
              <w:rPr>
                <w:sz w:val="1"/>
                <w:szCs w:val="1"/>
                <w:color w:val="auto"/>
              </w:rPr>
            </w:pPr>
          </w:p>
        </w:tc>
      </w:tr>
      <w:tr>
        <w:trPr>
          <w:trHeight w:val="445"/>
        </w:trPr>
        <w:tc>
          <w:tcPr>
            <w:tcW w:w="960" w:type="dxa"/>
            <w:vAlign w:val="bottom"/>
          </w:tcPr>
          <w:p>
            <w:pPr>
              <w:spacing w:after="0"/>
              <w:rPr>
                <w:sz w:val="20"/>
                <w:szCs w:val="20"/>
                <w:color w:val="auto"/>
              </w:rPr>
            </w:pPr>
            <w:r>
              <w:rPr>
                <w:rFonts w:ascii="Arial" w:cs="Arial" w:eastAsia="Arial" w:hAnsi="Arial"/>
                <w:sz w:val="18"/>
                <w:szCs w:val="18"/>
                <w:color w:val="auto"/>
              </w:rPr>
              <w:t>3.2</w:t>
            </w:r>
          </w:p>
        </w:tc>
        <w:tc>
          <w:tcPr>
            <w:tcW w:w="10480" w:type="dxa"/>
            <w:vAlign w:val="bottom"/>
          </w:tcPr>
          <w:p>
            <w:pPr>
              <w:ind w:left="200"/>
              <w:spacing w:after="0"/>
              <w:rPr>
                <w:sz w:val="20"/>
                <w:szCs w:val="20"/>
                <w:color w:val="auto"/>
              </w:rPr>
            </w:pPr>
            <w:r>
              <w:rPr>
                <w:rFonts w:ascii="Arial" w:cs="Arial" w:eastAsia="Arial" w:hAnsi="Arial"/>
                <w:sz w:val="18"/>
                <w:szCs w:val="18"/>
                <w:color w:val="auto"/>
                <w:w w:val="93"/>
              </w:rPr>
              <w:t>Amended and Restated Certificate of Incorporation, to be filed with the Secretary of State of the State of Delaware (incorporated herein by</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w w:val="92"/>
              </w:rPr>
              <w:t>reference to Exhibit 3.2 to the Company’s 8-K filed with the Securities and Exchange Commission on March 17, 2017, File No. 000-53057).</w:t>
            </w:r>
          </w:p>
        </w:tc>
        <w:tc>
          <w:tcPr>
            <w:tcW w:w="0" w:type="dxa"/>
            <w:vAlign w:val="bottom"/>
          </w:tcPr>
          <w:p>
            <w:pPr>
              <w:spacing w:after="0"/>
              <w:rPr>
                <w:sz w:val="1"/>
                <w:szCs w:val="1"/>
                <w:color w:val="auto"/>
              </w:rPr>
            </w:pPr>
          </w:p>
        </w:tc>
      </w:tr>
      <w:tr>
        <w:trPr>
          <w:trHeight w:val="445"/>
        </w:trPr>
        <w:tc>
          <w:tcPr>
            <w:tcW w:w="960" w:type="dxa"/>
            <w:vAlign w:val="bottom"/>
          </w:tcPr>
          <w:p>
            <w:pPr>
              <w:spacing w:after="0"/>
              <w:rPr>
                <w:sz w:val="20"/>
                <w:szCs w:val="20"/>
                <w:color w:val="auto"/>
              </w:rPr>
            </w:pPr>
            <w:r>
              <w:rPr>
                <w:rFonts w:ascii="Arial" w:cs="Arial" w:eastAsia="Arial" w:hAnsi="Arial"/>
                <w:sz w:val="18"/>
                <w:szCs w:val="18"/>
                <w:color w:val="auto"/>
              </w:rPr>
              <w:t>3.3</w:t>
            </w:r>
          </w:p>
        </w:tc>
        <w:tc>
          <w:tcPr>
            <w:tcW w:w="10480" w:type="dxa"/>
            <w:vAlign w:val="bottom"/>
          </w:tcPr>
          <w:p>
            <w:pPr>
              <w:ind w:left="200"/>
              <w:spacing w:after="0"/>
              <w:rPr>
                <w:sz w:val="20"/>
                <w:szCs w:val="20"/>
                <w:color w:val="auto"/>
              </w:rPr>
            </w:pPr>
            <w:r>
              <w:rPr>
                <w:rFonts w:ascii="Arial" w:cs="Arial" w:eastAsia="Arial" w:hAnsi="Arial"/>
                <w:sz w:val="18"/>
                <w:szCs w:val="18"/>
                <w:color w:val="auto"/>
                <w:w w:val="91"/>
              </w:rPr>
              <w:t>Amended and Restated Bylaws (incorporated herein by reference to Exhibit 3.3 to the Company’s 8-K filed with the Securities and Exchange</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rPr>
              <w:t>Commission on March 17, 2017, File No. 000-53057).</w:t>
            </w:r>
          </w:p>
        </w:tc>
        <w:tc>
          <w:tcPr>
            <w:tcW w:w="0" w:type="dxa"/>
            <w:vAlign w:val="bottom"/>
          </w:tcPr>
          <w:p>
            <w:pPr>
              <w:spacing w:after="0"/>
              <w:rPr>
                <w:sz w:val="1"/>
                <w:szCs w:val="1"/>
                <w:color w:val="auto"/>
              </w:rPr>
            </w:pPr>
          </w:p>
        </w:tc>
      </w:tr>
      <w:tr>
        <w:trPr>
          <w:trHeight w:val="445"/>
        </w:trPr>
        <w:tc>
          <w:tcPr>
            <w:tcW w:w="960" w:type="dxa"/>
            <w:vAlign w:val="bottom"/>
          </w:tcPr>
          <w:p>
            <w:pPr>
              <w:spacing w:after="0"/>
              <w:rPr>
                <w:sz w:val="20"/>
                <w:szCs w:val="20"/>
                <w:color w:val="auto"/>
              </w:rPr>
            </w:pPr>
            <w:r>
              <w:rPr>
                <w:rFonts w:ascii="Arial" w:cs="Arial" w:eastAsia="Arial" w:hAnsi="Arial"/>
                <w:sz w:val="18"/>
                <w:szCs w:val="18"/>
                <w:color w:val="auto"/>
              </w:rPr>
              <w:t>3.4</w:t>
            </w:r>
          </w:p>
        </w:tc>
        <w:tc>
          <w:tcPr>
            <w:tcW w:w="10480" w:type="dxa"/>
            <w:vAlign w:val="bottom"/>
          </w:tcPr>
          <w:p>
            <w:pPr>
              <w:ind w:left="200"/>
              <w:spacing w:after="0"/>
              <w:rPr>
                <w:sz w:val="20"/>
                <w:szCs w:val="20"/>
                <w:color w:val="auto"/>
              </w:rPr>
            </w:pPr>
            <w:r>
              <w:rPr>
                <w:rFonts w:ascii="Arial" w:cs="Arial" w:eastAsia="Arial" w:hAnsi="Arial"/>
                <w:sz w:val="18"/>
                <w:szCs w:val="18"/>
                <w:color w:val="auto"/>
                <w:w w:val="97"/>
              </w:rPr>
              <w:t>Certificate of Amendment to Certificate of Incorporation, filed with the Secretary of State of the State of Delaware on March 15, 2017</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w w:val="95"/>
              </w:rPr>
              <w:t>(incorporated herein by reference to Exhibit 3.4 to the Company’s 8-K filed with the Securities and Exchange Commission on March 17,</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rPr>
              <w:t>2017, File No. 000-53057).</w:t>
            </w:r>
          </w:p>
        </w:tc>
        <w:tc>
          <w:tcPr>
            <w:tcW w:w="0" w:type="dxa"/>
            <w:vAlign w:val="bottom"/>
          </w:tcPr>
          <w:p>
            <w:pPr>
              <w:spacing w:after="0"/>
              <w:rPr>
                <w:sz w:val="1"/>
                <w:szCs w:val="1"/>
                <w:color w:val="auto"/>
              </w:rPr>
            </w:pPr>
          </w:p>
        </w:tc>
      </w:tr>
      <w:tr>
        <w:trPr>
          <w:trHeight w:val="445"/>
        </w:trPr>
        <w:tc>
          <w:tcPr>
            <w:tcW w:w="960" w:type="dxa"/>
            <w:vAlign w:val="bottom"/>
          </w:tcPr>
          <w:p>
            <w:pPr>
              <w:spacing w:after="0"/>
              <w:rPr>
                <w:sz w:val="20"/>
                <w:szCs w:val="20"/>
                <w:color w:val="auto"/>
              </w:rPr>
            </w:pPr>
            <w:r>
              <w:rPr>
                <w:rFonts w:ascii="Arial" w:cs="Arial" w:eastAsia="Arial" w:hAnsi="Arial"/>
                <w:sz w:val="18"/>
                <w:szCs w:val="18"/>
                <w:color w:val="auto"/>
              </w:rPr>
              <w:t>4.1</w:t>
            </w:r>
          </w:p>
        </w:tc>
        <w:tc>
          <w:tcPr>
            <w:tcW w:w="10480" w:type="dxa"/>
            <w:vAlign w:val="bottom"/>
          </w:tcPr>
          <w:p>
            <w:pPr>
              <w:ind w:left="200"/>
              <w:spacing w:after="0"/>
              <w:rPr>
                <w:sz w:val="20"/>
                <w:szCs w:val="20"/>
                <w:color w:val="auto"/>
              </w:rPr>
            </w:pPr>
            <w:r>
              <w:rPr>
                <w:rFonts w:ascii="Arial" w:cs="Arial" w:eastAsia="Arial" w:hAnsi="Arial"/>
                <w:sz w:val="18"/>
                <w:szCs w:val="18"/>
                <w:color w:val="auto"/>
                <w:w w:val="91"/>
              </w:rPr>
              <w:t>Form of Warrant to Purchase Shares of Common Stock of issued to the Placement Agents (incorporated herein by reference to Exhibit 4.1 to</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rPr>
              <w:t>the Company’s 8-K filed with the Securities and Exchange Commission on March 17, 2017, File No. 000-53057).</w:t>
            </w:r>
          </w:p>
        </w:tc>
        <w:tc>
          <w:tcPr>
            <w:tcW w:w="0" w:type="dxa"/>
            <w:vAlign w:val="bottom"/>
          </w:tcPr>
          <w:p>
            <w:pPr>
              <w:spacing w:after="0"/>
              <w:rPr>
                <w:sz w:val="1"/>
                <w:szCs w:val="1"/>
                <w:color w:val="auto"/>
              </w:rPr>
            </w:pPr>
          </w:p>
        </w:tc>
      </w:tr>
      <w:tr>
        <w:trPr>
          <w:trHeight w:val="445"/>
        </w:trPr>
        <w:tc>
          <w:tcPr>
            <w:tcW w:w="960" w:type="dxa"/>
            <w:vAlign w:val="bottom"/>
          </w:tcPr>
          <w:p>
            <w:pPr>
              <w:spacing w:after="0"/>
              <w:rPr>
                <w:sz w:val="20"/>
                <w:szCs w:val="20"/>
                <w:color w:val="auto"/>
              </w:rPr>
            </w:pPr>
            <w:r>
              <w:rPr>
                <w:rFonts w:ascii="Arial" w:cs="Arial" w:eastAsia="Arial" w:hAnsi="Arial"/>
                <w:sz w:val="18"/>
                <w:szCs w:val="18"/>
                <w:color w:val="auto"/>
              </w:rPr>
              <w:t>4.2</w:t>
            </w:r>
          </w:p>
        </w:tc>
        <w:tc>
          <w:tcPr>
            <w:tcW w:w="10480" w:type="dxa"/>
            <w:vAlign w:val="bottom"/>
          </w:tcPr>
          <w:p>
            <w:pPr>
              <w:ind w:left="200"/>
              <w:spacing w:after="0"/>
              <w:rPr>
                <w:sz w:val="20"/>
                <w:szCs w:val="20"/>
                <w:color w:val="auto"/>
              </w:rPr>
            </w:pPr>
            <w:r>
              <w:rPr>
                <w:rFonts w:ascii="Arial" w:cs="Arial" w:eastAsia="Arial" w:hAnsi="Arial"/>
                <w:sz w:val="18"/>
                <w:szCs w:val="18"/>
                <w:color w:val="auto"/>
                <w:w w:val="94"/>
              </w:rPr>
              <w:t>Form of common stock certificate (incorporated herein by reference to Exhibit 4.2 to the Company’s Registration Statement on Form S-1</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rPr>
              <w:t>filed with the Securities and Exchange Commission on April 14, 2017, File No. 333-217320).</w:t>
            </w:r>
          </w:p>
        </w:tc>
        <w:tc>
          <w:tcPr>
            <w:tcW w:w="0" w:type="dxa"/>
            <w:vAlign w:val="bottom"/>
          </w:tcPr>
          <w:p>
            <w:pPr>
              <w:spacing w:after="0"/>
              <w:rPr>
                <w:sz w:val="1"/>
                <w:szCs w:val="1"/>
                <w:color w:val="auto"/>
              </w:rPr>
            </w:pPr>
          </w:p>
        </w:tc>
      </w:tr>
      <w:tr>
        <w:trPr>
          <w:trHeight w:val="445"/>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10480" w:type="dxa"/>
            <w:vAlign w:val="bottom"/>
          </w:tcPr>
          <w:p>
            <w:pPr>
              <w:ind w:left="200"/>
              <w:spacing w:after="0"/>
              <w:rPr>
                <w:sz w:val="20"/>
                <w:szCs w:val="20"/>
                <w:color w:val="auto"/>
              </w:rPr>
            </w:pPr>
            <w:r>
              <w:rPr>
                <w:rFonts w:ascii="Arial" w:cs="Arial" w:eastAsia="Arial" w:hAnsi="Arial"/>
                <w:sz w:val="18"/>
                <w:szCs w:val="18"/>
                <w:color w:val="auto"/>
                <w:w w:val="92"/>
              </w:rPr>
              <w:t>2011 Equity Incentive Plan and forms of award agreements thereunder, assumed in the Merger (incorporated herein by reference to Exhibit</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rPr>
              <w:t>10.1 to the Company’s 8-K filed with the Securities and Exchange Commission on March 17, 2017, File No. 000-53057).</w:t>
            </w:r>
          </w:p>
        </w:tc>
        <w:tc>
          <w:tcPr>
            <w:tcW w:w="0" w:type="dxa"/>
            <w:vAlign w:val="bottom"/>
          </w:tcPr>
          <w:p>
            <w:pPr>
              <w:spacing w:after="0"/>
              <w:rPr>
                <w:sz w:val="1"/>
                <w:szCs w:val="1"/>
                <w:color w:val="auto"/>
              </w:rPr>
            </w:pPr>
          </w:p>
        </w:tc>
      </w:tr>
      <w:tr>
        <w:trPr>
          <w:trHeight w:val="445"/>
        </w:trPr>
        <w:tc>
          <w:tcPr>
            <w:tcW w:w="960" w:type="dxa"/>
            <w:vAlign w:val="bottom"/>
          </w:tcPr>
          <w:p>
            <w:pPr>
              <w:spacing w:after="0"/>
              <w:rPr>
                <w:sz w:val="20"/>
                <w:szCs w:val="20"/>
                <w:color w:val="auto"/>
              </w:rPr>
            </w:pPr>
            <w:r>
              <w:rPr>
                <w:rFonts w:ascii="Arial" w:cs="Arial" w:eastAsia="Arial" w:hAnsi="Arial"/>
                <w:sz w:val="18"/>
                <w:szCs w:val="18"/>
                <w:color w:val="auto"/>
              </w:rPr>
              <w:t>10.2#</w:t>
            </w:r>
          </w:p>
        </w:tc>
        <w:tc>
          <w:tcPr>
            <w:tcW w:w="10480" w:type="dxa"/>
            <w:vAlign w:val="bottom"/>
          </w:tcPr>
          <w:p>
            <w:pPr>
              <w:ind w:left="200"/>
              <w:spacing w:after="0"/>
              <w:rPr>
                <w:sz w:val="20"/>
                <w:szCs w:val="20"/>
                <w:color w:val="auto"/>
              </w:rPr>
            </w:pPr>
            <w:r>
              <w:rPr>
                <w:rFonts w:ascii="Arial" w:cs="Arial" w:eastAsia="Arial" w:hAnsi="Arial"/>
                <w:sz w:val="18"/>
                <w:szCs w:val="18"/>
                <w:color w:val="auto"/>
                <w:w w:val="93"/>
              </w:rPr>
              <w:t>2017 Stock Option and Incentive Plan and forms of award agreements thereunder (incorporated herein by reference to Exhibit 10.2 to the</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rPr>
              <w:t>Company’s 8-K filed with the Securities and Exchange Commission on March 17, 2017, File No. 000-53057).</w:t>
            </w:r>
          </w:p>
        </w:tc>
        <w:tc>
          <w:tcPr>
            <w:tcW w:w="0" w:type="dxa"/>
            <w:vAlign w:val="bottom"/>
          </w:tcPr>
          <w:p>
            <w:pPr>
              <w:spacing w:after="0"/>
              <w:rPr>
                <w:sz w:val="1"/>
                <w:szCs w:val="1"/>
                <w:color w:val="auto"/>
              </w:rPr>
            </w:pPr>
          </w:p>
        </w:tc>
      </w:tr>
      <w:tr>
        <w:trPr>
          <w:trHeight w:val="445"/>
        </w:trPr>
        <w:tc>
          <w:tcPr>
            <w:tcW w:w="960" w:type="dxa"/>
            <w:vAlign w:val="bottom"/>
          </w:tcPr>
          <w:p>
            <w:pPr>
              <w:spacing w:after="0"/>
              <w:rPr>
                <w:sz w:val="20"/>
                <w:szCs w:val="20"/>
                <w:color w:val="auto"/>
              </w:rPr>
            </w:pPr>
            <w:r>
              <w:rPr>
                <w:rFonts w:ascii="Arial" w:cs="Arial" w:eastAsia="Arial" w:hAnsi="Arial"/>
                <w:sz w:val="18"/>
                <w:szCs w:val="18"/>
                <w:color w:val="auto"/>
              </w:rPr>
              <w:t>10.3#</w:t>
            </w:r>
          </w:p>
        </w:tc>
        <w:tc>
          <w:tcPr>
            <w:tcW w:w="10480" w:type="dxa"/>
            <w:vAlign w:val="bottom"/>
          </w:tcPr>
          <w:p>
            <w:pPr>
              <w:ind w:left="200"/>
              <w:spacing w:after="0"/>
              <w:rPr>
                <w:sz w:val="20"/>
                <w:szCs w:val="20"/>
                <w:color w:val="auto"/>
              </w:rPr>
            </w:pPr>
            <w:r>
              <w:rPr>
                <w:rFonts w:ascii="Arial" w:cs="Arial" w:eastAsia="Arial" w:hAnsi="Arial"/>
                <w:sz w:val="18"/>
                <w:szCs w:val="18"/>
                <w:color w:val="auto"/>
                <w:w w:val="94"/>
              </w:rPr>
              <w:t>2017 Employee Stock Purchase Plan (incorporated herein by reference to Exhibit 10.3 to the Company’s 8-K filed with the Securities and</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rPr>
              <w:t>Exchange Commission on March 17, 2017, File No. 000-53057).</w:t>
            </w:r>
          </w:p>
        </w:tc>
        <w:tc>
          <w:tcPr>
            <w:tcW w:w="0" w:type="dxa"/>
            <w:vAlign w:val="bottom"/>
          </w:tcPr>
          <w:p>
            <w:pPr>
              <w:spacing w:after="0"/>
              <w:rPr>
                <w:sz w:val="1"/>
                <w:szCs w:val="1"/>
                <w:color w:val="auto"/>
              </w:rPr>
            </w:pPr>
          </w:p>
        </w:tc>
      </w:tr>
      <w:tr>
        <w:trPr>
          <w:trHeight w:val="445"/>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10480" w:type="dxa"/>
            <w:vAlign w:val="bottom"/>
          </w:tcPr>
          <w:p>
            <w:pPr>
              <w:ind w:left="200"/>
              <w:spacing w:after="0"/>
              <w:rPr>
                <w:sz w:val="20"/>
                <w:szCs w:val="20"/>
                <w:color w:val="auto"/>
              </w:rPr>
            </w:pPr>
            <w:r>
              <w:rPr>
                <w:rFonts w:ascii="Arial" w:cs="Arial" w:eastAsia="Arial" w:hAnsi="Arial"/>
                <w:sz w:val="18"/>
                <w:szCs w:val="18"/>
                <w:color w:val="auto"/>
                <w:w w:val="95"/>
              </w:rPr>
              <w:t>Form of Indemnification Agreement (incorporated herein by reference to Exhibit 10.4 to the Company’s 8-K filed with the Securities and</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rPr>
              <w:t>Exchange Commission on March 17, 2017, File No. 000-53057).</w:t>
            </w:r>
          </w:p>
        </w:tc>
        <w:tc>
          <w:tcPr>
            <w:tcW w:w="0" w:type="dxa"/>
            <w:vAlign w:val="bottom"/>
          </w:tcPr>
          <w:p>
            <w:pPr>
              <w:spacing w:after="0"/>
              <w:rPr>
                <w:sz w:val="1"/>
                <w:szCs w:val="1"/>
                <w:color w:val="auto"/>
              </w:rPr>
            </w:pPr>
          </w:p>
        </w:tc>
      </w:tr>
      <w:tr>
        <w:trPr>
          <w:trHeight w:val="445"/>
        </w:trPr>
        <w:tc>
          <w:tcPr>
            <w:tcW w:w="960" w:type="dxa"/>
            <w:vAlign w:val="bottom"/>
          </w:tcPr>
          <w:p>
            <w:pPr>
              <w:spacing w:after="0"/>
              <w:rPr>
                <w:sz w:val="20"/>
                <w:szCs w:val="20"/>
                <w:color w:val="auto"/>
              </w:rPr>
            </w:pPr>
            <w:r>
              <w:rPr>
                <w:rFonts w:ascii="Arial" w:cs="Arial" w:eastAsia="Arial" w:hAnsi="Arial"/>
                <w:sz w:val="18"/>
                <w:szCs w:val="18"/>
                <w:color w:val="auto"/>
              </w:rPr>
              <w:t>10.5</w:t>
            </w:r>
          </w:p>
        </w:tc>
        <w:tc>
          <w:tcPr>
            <w:tcW w:w="10480" w:type="dxa"/>
            <w:vAlign w:val="bottom"/>
          </w:tcPr>
          <w:p>
            <w:pPr>
              <w:ind w:left="200"/>
              <w:spacing w:after="0"/>
              <w:rPr>
                <w:sz w:val="20"/>
                <w:szCs w:val="20"/>
                <w:color w:val="auto"/>
              </w:rPr>
            </w:pPr>
            <w:r>
              <w:rPr>
                <w:rFonts w:ascii="Arial" w:cs="Arial" w:eastAsia="Arial" w:hAnsi="Arial"/>
                <w:sz w:val="18"/>
                <w:szCs w:val="18"/>
                <w:color w:val="auto"/>
                <w:w w:val="94"/>
              </w:rPr>
              <w:t>Registration Rights Agreement, dated March 15, 2017, by and among the Company and the persons listed on Exhibit A attached thereto</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w w:val="94"/>
              </w:rPr>
              <w:t>(incorporated herein by reference to Exhibit 10.5 to the Company’s 8-K filed with the Securities and Exchange Commission on March 17,</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rPr>
              <w:t>2017, File No. 000-53057).</w:t>
            </w:r>
          </w:p>
        </w:tc>
        <w:tc>
          <w:tcPr>
            <w:tcW w:w="0" w:type="dxa"/>
            <w:vAlign w:val="bottom"/>
          </w:tcPr>
          <w:p>
            <w:pPr>
              <w:spacing w:after="0"/>
              <w:rPr>
                <w:sz w:val="1"/>
                <w:szCs w:val="1"/>
                <w:color w:val="auto"/>
              </w:rPr>
            </w:pPr>
          </w:p>
        </w:tc>
      </w:tr>
      <w:tr>
        <w:trPr>
          <w:trHeight w:val="445"/>
        </w:trPr>
        <w:tc>
          <w:tcPr>
            <w:tcW w:w="960" w:type="dxa"/>
            <w:vAlign w:val="bottom"/>
          </w:tcPr>
          <w:p>
            <w:pPr>
              <w:spacing w:after="0"/>
              <w:rPr>
                <w:sz w:val="20"/>
                <w:szCs w:val="20"/>
                <w:color w:val="auto"/>
              </w:rPr>
            </w:pPr>
            <w:r>
              <w:rPr>
                <w:rFonts w:ascii="Arial" w:cs="Arial" w:eastAsia="Arial" w:hAnsi="Arial"/>
                <w:sz w:val="18"/>
                <w:szCs w:val="18"/>
                <w:color w:val="auto"/>
              </w:rPr>
              <w:t>10.6</w:t>
            </w:r>
          </w:p>
        </w:tc>
        <w:tc>
          <w:tcPr>
            <w:tcW w:w="10480" w:type="dxa"/>
            <w:vAlign w:val="bottom"/>
          </w:tcPr>
          <w:p>
            <w:pPr>
              <w:ind w:left="200"/>
              <w:spacing w:after="0"/>
              <w:rPr>
                <w:sz w:val="20"/>
                <w:szCs w:val="20"/>
                <w:color w:val="auto"/>
              </w:rPr>
            </w:pPr>
            <w:r>
              <w:rPr>
                <w:rFonts w:ascii="Arial" w:cs="Arial" w:eastAsia="Arial" w:hAnsi="Arial"/>
                <w:sz w:val="18"/>
                <w:szCs w:val="18"/>
                <w:color w:val="auto"/>
                <w:w w:val="96"/>
              </w:rPr>
              <w:t>Subscription Agreement, dated March 15, 2017, by and between the Company and the investors party thereto (incorporated herein by</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w w:val="91"/>
              </w:rPr>
              <w:t>reference to Exhibit 10.6 to the Company’s 8-K filed with the Securities and Exchange Commission on March 17, 2017, File No. 000-53057).</w:t>
            </w:r>
          </w:p>
        </w:tc>
        <w:tc>
          <w:tcPr>
            <w:tcW w:w="0" w:type="dxa"/>
            <w:vAlign w:val="bottom"/>
          </w:tcPr>
          <w:p>
            <w:pPr>
              <w:spacing w:after="0"/>
              <w:rPr>
                <w:sz w:val="1"/>
                <w:szCs w:val="1"/>
                <w:color w:val="auto"/>
              </w:rPr>
            </w:pPr>
          </w:p>
        </w:tc>
      </w:tr>
      <w:tr>
        <w:trPr>
          <w:trHeight w:val="662"/>
        </w:trPr>
        <w:tc>
          <w:tcPr>
            <w:tcW w:w="960" w:type="dxa"/>
            <w:vAlign w:val="bottom"/>
          </w:tcPr>
          <w:p>
            <w:pPr>
              <w:spacing w:after="0"/>
              <w:rPr>
                <w:sz w:val="24"/>
                <w:szCs w:val="24"/>
                <w:color w:val="auto"/>
              </w:rPr>
            </w:pPr>
          </w:p>
        </w:tc>
        <w:tc>
          <w:tcPr>
            <w:tcW w:w="10480" w:type="dxa"/>
            <w:vAlign w:val="bottom"/>
          </w:tcPr>
          <w:p>
            <w:pPr>
              <w:ind w:left="46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10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0480" w:type="dxa"/>
            <w:vAlign w:val="bottom"/>
          </w:tcPr>
          <w:p>
            <w:pPr>
              <w:ind w:left="240"/>
              <w:spacing w:after="0"/>
              <w:rPr>
                <w:sz w:val="20"/>
                <w:szCs w:val="20"/>
                <w:color w:val="auto"/>
              </w:rPr>
            </w:pPr>
            <w:r>
              <w:rPr>
                <w:rFonts w:ascii="Arial" w:cs="Arial" w:eastAsia="Arial" w:hAnsi="Arial"/>
                <w:sz w:val="18"/>
                <w:szCs w:val="18"/>
                <w:color w:val="auto"/>
                <w:w w:val="92"/>
              </w:rPr>
              <w:t>Office Lease at 10300 Alliance Road, Cincinnati, OH dated as of September 29, 2009, by and between Akebia Therapeutics, Inc. and Duke</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4"/>
              </w:rPr>
              <w:t>Realty Ohio, as amended by the First Lease Amendment dated as of April 23, 2010 by and between Akebia Therapeutics, Inc. and Duke</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Realty Ohio, as amended by the Second Lease Amendment and Assignment and Assumption of Lease dated as of April 25, 2012 by and</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2"/>
              </w:rPr>
              <w:t>between DP Landings Building II, LLC, Akebia Therapeutics, Inc., and Aerpio, as amended by the Third Amendment to Office Lease dated</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as of February 27, 2015 by and between RT Landings Building II, LLC and Aerpio (incorporated herein by reference to Exhibit 10.7 to the</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Company’s 8-K filed with the Securities and Exchange Commission on March 17, 2017, File No. 000-53057).</w:t>
            </w:r>
          </w:p>
        </w:tc>
      </w:tr>
      <w:tr>
        <w:trPr>
          <w:trHeight w:val="445"/>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10.8#</w:t>
            </w: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Employment Agreement, dated as of March 15, 2017, between the Company and Joseph H. Gardner (incorporated herein by reference to</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Exhibit 10.8 to the Company’s Registration Statement on Form S-1 filed with the Securities and Exchange Commission on April 14, 2017,</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File No. 333-217320).</w:t>
            </w:r>
          </w:p>
        </w:tc>
      </w:tr>
      <w:tr>
        <w:trPr>
          <w:trHeight w:val="445"/>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10.9#</w:t>
            </w:r>
          </w:p>
        </w:tc>
        <w:tc>
          <w:tcPr>
            <w:tcW w:w="10480" w:type="dxa"/>
            <w:vAlign w:val="bottom"/>
          </w:tcPr>
          <w:p>
            <w:pPr>
              <w:ind w:left="240"/>
              <w:spacing w:after="0"/>
              <w:rPr>
                <w:sz w:val="20"/>
                <w:szCs w:val="20"/>
                <w:color w:val="auto"/>
              </w:rPr>
            </w:pPr>
            <w:r>
              <w:rPr>
                <w:rFonts w:ascii="Arial" w:cs="Arial" w:eastAsia="Arial" w:hAnsi="Arial"/>
                <w:sz w:val="18"/>
                <w:szCs w:val="18"/>
                <w:color w:val="auto"/>
                <w:w w:val="90"/>
              </w:rPr>
              <w:t>Employment Agreement, dated as of March 15, 2017, between the Company and Kevin G. Peters (incorporated herein by reference to Exhibit</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2"/>
              </w:rPr>
              <w:t>10.9 to the Company’s Registration Statement on Form S-1 filed with the Securities and Exchange Commission on April 14, 2017, File No.</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333-217320).</w:t>
            </w:r>
          </w:p>
        </w:tc>
      </w:tr>
      <w:tr>
        <w:trPr>
          <w:trHeight w:val="445"/>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0480" w:type="dxa"/>
            <w:vAlign w:val="bottom"/>
          </w:tcPr>
          <w:p>
            <w:pPr>
              <w:ind w:left="240"/>
              <w:spacing w:after="0"/>
              <w:rPr>
                <w:sz w:val="20"/>
                <w:szCs w:val="20"/>
                <w:color w:val="auto"/>
              </w:rPr>
            </w:pPr>
            <w:r>
              <w:rPr>
                <w:rFonts w:ascii="Arial" w:cs="Arial" w:eastAsia="Arial" w:hAnsi="Arial"/>
                <w:sz w:val="18"/>
                <w:szCs w:val="18"/>
                <w:color w:val="auto"/>
                <w:w w:val="90"/>
              </w:rPr>
              <w:t>Employment Agreement, dated as of March 15, 2017, between the Company and Stephen Pakola (incorporated herein by reference to Exhibit</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2"/>
              </w:rPr>
              <w:t>10.10 to the Company’s Registration Statement on Form S-1 filed with the Securities and Exchange Commission on April 14, 2017, File No.</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333-217320).</w:t>
            </w:r>
          </w:p>
        </w:tc>
      </w:tr>
      <w:tr>
        <w:trPr>
          <w:trHeight w:val="445"/>
        </w:trPr>
        <w:tc>
          <w:tcPr>
            <w:tcW w:w="920" w:type="dxa"/>
            <w:vAlign w:val="bottom"/>
          </w:tcPr>
          <w:p>
            <w:pPr>
              <w:jc w:val="right"/>
              <w:ind w:right="430"/>
              <w:spacing w:after="0"/>
              <w:rPr>
                <w:sz w:val="20"/>
                <w:szCs w:val="20"/>
                <w:color w:val="auto"/>
              </w:rPr>
            </w:pPr>
            <w:r>
              <w:rPr>
                <w:rFonts w:ascii="Arial" w:cs="Arial" w:eastAsia="Arial" w:hAnsi="Arial"/>
                <w:sz w:val="18"/>
                <w:szCs w:val="18"/>
                <w:color w:val="auto"/>
                <w:w w:val="84"/>
              </w:rPr>
              <w:t>10.11</w:t>
            </w:r>
          </w:p>
        </w:tc>
        <w:tc>
          <w:tcPr>
            <w:tcW w:w="10480" w:type="dxa"/>
            <w:vAlign w:val="bottom"/>
          </w:tcPr>
          <w:p>
            <w:pPr>
              <w:ind w:left="240"/>
              <w:spacing w:after="0"/>
              <w:rPr>
                <w:sz w:val="20"/>
                <w:szCs w:val="20"/>
                <w:color w:val="auto"/>
              </w:rPr>
            </w:pPr>
            <w:r>
              <w:rPr>
                <w:rFonts w:ascii="Arial" w:cs="Arial" w:eastAsia="Arial" w:hAnsi="Arial"/>
                <w:sz w:val="18"/>
                <w:szCs w:val="18"/>
                <w:color w:val="auto"/>
                <w:w w:val="92"/>
              </w:rPr>
              <w:t>Registration Rights Agreement by and among the Company and certain former stockholders of Aerpio (incorporated herein by reference to</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Exhibit 10.9 to the Company’s 8-K filed with the Securities and Exchange Commission on March 17, 2017, File No. 000-53057).</w:t>
            </w:r>
          </w:p>
        </w:tc>
      </w:tr>
      <w:tr>
        <w:trPr>
          <w:trHeight w:val="445"/>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31.1*</w:t>
            </w:r>
          </w:p>
        </w:tc>
        <w:tc>
          <w:tcPr>
            <w:tcW w:w="10480" w:type="dxa"/>
            <w:vAlign w:val="bottom"/>
          </w:tcPr>
          <w:p>
            <w:pPr>
              <w:ind w:left="240"/>
              <w:spacing w:after="0"/>
              <w:rPr>
                <w:sz w:val="20"/>
                <w:szCs w:val="20"/>
                <w:color w:val="auto"/>
              </w:rPr>
            </w:pPr>
            <w:r>
              <w:rPr>
                <w:rFonts w:ascii="Arial" w:cs="Arial" w:eastAsia="Arial" w:hAnsi="Arial"/>
                <w:sz w:val="18"/>
                <w:szCs w:val="18"/>
                <w:color w:val="auto"/>
                <w:w w:val="96"/>
              </w:rPr>
              <w:t>Certification of Principal Executive Officer Pursuant to Rules 13a-14(a) and 15d-14(a) under the Securities Exchange Act of 1934, as</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350"/>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31.2*</w:t>
            </w:r>
          </w:p>
        </w:tc>
        <w:tc>
          <w:tcPr>
            <w:tcW w:w="10480" w:type="dxa"/>
            <w:vAlign w:val="bottom"/>
          </w:tcPr>
          <w:p>
            <w:pPr>
              <w:ind w:left="240"/>
              <w:spacing w:after="0"/>
              <w:rPr>
                <w:sz w:val="20"/>
                <w:szCs w:val="20"/>
                <w:color w:val="auto"/>
              </w:rPr>
            </w:pPr>
            <w:r>
              <w:rPr>
                <w:rFonts w:ascii="Arial" w:cs="Arial" w:eastAsia="Arial" w:hAnsi="Arial"/>
                <w:sz w:val="18"/>
                <w:szCs w:val="18"/>
                <w:color w:val="auto"/>
                <w:w w:val="91"/>
              </w:rPr>
              <w:t>Certification of Principal Financial Officer Pursuant to Rules 13a-14(a) and 15d-14(a) under the Securities Exchange Act of 1934, as Adopted</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50"/>
        </w:trPr>
        <w:tc>
          <w:tcPr>
            <w:tcW w:w="920" w:type="dxa"/>
            <w:vAlign w:val="bottom"/>
          </w:tcPr>
          <w:p>
            <w:pPr>
              <w:jc w:val="right"/>
              <w:ind w:right="230"/>
              <w:spacing w:after="0"/>
              <w:rPr>
                <w:sz w:val="20"/>
                <w:szCs w:val="20"/>
                <w:color w:val="auto"/>
              </w:rPr>
            </w:pPr>
            <w:r>
              <w:rPr>
                <w:rFonts w:ascii="Arial" w:cs="Arial" w:eastAsia="Arial" w:hAnsi="Arial"/>
                <w:sz w:val="18"/>
                <w:szCs w:val="18"/>
                <w:color w:val="auto"/>
              </w:rPr>
              <w:t>32.1**</w:t>
            </w:r>
          </w:p>
        </w:tc>
        <w:tc>
          <w:tcPr>
            <w:tcW w:w="10480" w:type="dxa"/>
            <w:vAlign w:val="bottom"/>
          </w:tcPr>
          <w:p>
            <w:pPr>
              <w:ind w:left="240"/>
              <w:spacing w:after="0"/>
              <w:rPr>
                <w:sz w:val="20"/>
                <w:szCs w:val="20"/>
                <w:color w:val="auto"/>
              </w:rPr>
            </w:pPr>
            <w:r>
              <w:rPr>
                <w:rFonts w:ascii="Arial" w:cs="Arial" w:eastAsia="Arial" w:hAnsi="Arial"/>
                <w:sz w:val="18"/>
                <w:szCs w:val="18"/>
                <w:color w:val="auto"/>
                <w:w w:val="92"/>
              </w:rPr>
              <w:t>Certification of Principal Executive Officer Pursuant to 18 U.S.C. Section 1350, as Adopted Pursuant to Section 906 of the Sarbanes-Oxley</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Act of 2002.</w:t>
            </w:r>
          </w:p>
        </w:tc>
      </w:tr>
      <w:tr>
        <w:trPr>
          <w:trHeight w:val="350"/>
        </w:trPr>
        <w:tc>
          <w:tcPr>
            <w:tcW w:w="920" w:type="dxa"/>
            <w:vAlign w:val="bottom"/>
          </w:tcPr>
          <w:p>
            <w:pPr>
              <w:jc w:val="right"/>
              <w:ind w:right="230"/>
              <w:spacing w:after="0"/>
              <w:rPr>
                <w:sz w:val="20"/>
                <w:szCs w:val="20"/>
                <w:color w:val="auto"/>
              </w:rPr>
            </w:pPr>
            <w:r>
              <w:rPr>
                <w:rFonts w:ascii="Arial" w:cs="Arial" w:eastAsia="Arial" w:hAnsi="Arial"/>
                <w:sz w:val="18"/>
                <w:szCs w:val="18"/>
                <w:color w:val="auto"/>
              </w:rPr>
              <w:t>32.2**</w:t>
            </w: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Certification of Principal Financial Officer Pursuant to 18 U.S.C. Section 1350, as Adopted Pursuant to Section 906 of the Sarbanes-Oxley</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Act of 2002.</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6"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20" w:right="320" w:hanging="512"/>
        <w:spacing w:after="0" w:line="264"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6" w:lineRule="exact"/>
        <w:rPr>
          <w:sz w:val="20"/>
          <w:szCs w:val="20"/>
          <w:color w:val="auto"/>
        </w:rPr>
      </w:pPr>
    </w:p>
    <w:p>
      <w:pPr>
        <w:ind w:left="5620" w:right="5120" w:hanging="5612"/>
        <w:spacing w:after="0" w:line="624" w:lineRule="auto"/>
        <w:tabs>
          <w:tab w:leader="none" w:pos="139"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Indicates a management contract or any compensatory plan, contract or arrangement. 61</w:t>
      </w:r>
    </w:p>
    <w:p>
      <w:pPr>
        <w:sectPr>
          <w:pgSz w:w="11900" w:h="16838" w:orient="portrait"/>
          <w:cols w:equalWidth="0" w:num="1">
            <w:col w:w="11400"/>
          </w:cols>
          <w:pgMar w:left="240" w:top="139" w:right="2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H. Gardner, certify that:</w:t>
      </w:r>
    </w:p>
    <w:p>
      <w:pPr>
        <w:spacing w:after="0" w:line="225"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Aerpio Pharmaceuticals, Inc., for the three-month period ending March 31, 2017;</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500" w:val="left"/>
        </w:tabs>
        <w:rPr>
          <w:sz w:val="20"/>
          <w:szCs w:val="20"/>
          <w:color w:val="auto"/>
        </w:rPr>
      </w:pPr>
      <w:r>
        <w:rPr>
          <w:rFonts w:ascii="Arial" w:cs="Arial" w:eastAsia="Arial" w:hAnsi="Arial"/>
          <w:sz w:val="18"/>
          <w:szCs w:val="18"/>
          <w:color w:val="auto"/>
        </w:rPr>
        <w:t>Date: May 15,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H.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Joseph H. Gardner</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B. Murphy, certify that:</w:t>
      </w:r>
    </w:p>
    <w:p>
      <w:pPr>
        <w:spacing w:after="0" w:line="225"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Aerpio Pharmaceuticals, Inc., for the three-month period ending March 31, 2017;</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540" w:val="left"/>
        </w:tabs>
        <w:rPr>
          <w:sz w:val="20"/>
          <w:szCs w:val="20"/>
          <w:color w:val="auto"/>
        </w:rPr>
      </w:pPr>
      <w:r>
        <w:rPr>
          <w:rFonts w:ascii="Arial" w:cs="Arial" w:eastAsia="Arial" w:hAnsi="Arial"/>
          <w:sz w:val="18"/>
          <w:szCs w:val="18"/>
          <w:color w:val="auto"/>
        </w:rPr>
        <w:t>Date: May 15,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B.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James B. Murphy</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Accounting Officer)</w:t>
      </w:r>
    </w:p>
    <w:p>
      <w:pPr>
        <w:sectPr>
          <w:pgSz w:w="11900" w:h="16838" w:orient="portrait"/>
          <w:cols w:equalWidth="0" w:num="1">
            <w:col w:w="11420"/>
          </w:cols>
          <w:pgMar w:left="2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In connection with the Quarterly Report of Aerpio Pharmaceuticals, Inc., (the “Company”) on Form 10-Q for the period ending March 31, 2017 as filed with the Securities and Exchange Commission on the date hereof (the “Report”), I certify, pursuant to 18 U.S.C. § 1350, as adopted pursuant to § 906 of the Sarbanes-Oxley Act of 2002, that to my knowledge:</w:t>
      </w:r>
    </w:p>
    <w:p>
      <w:pPr>
        <w:spacing w:after="0" w:line="73"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40" w:val="left"/>
          <w:tab w:leader="none" w:pos="8500" w:val="left"/>
        </w:tabs>
        <w:rPr>
          <w:sz w:val="20"/>
          <w:szCs w:val="20"/>
          <w:color w:val="auto"/>
        </w:rPr>
      </w:pPr>
      <w:r>
        <w:rPr>
          <w:rFonts w:ascii="Arial" w:cs="Arial" w:eastAsia="Arial" w:hAnsi="Arial"/>
          <w:sz w:val="18"/>
          <w:szCs w:val="18"/>
          <w:color w:val="auto"/>
        </w:rPr>
        <w:t>Date: May 15,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H.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Joseph H. Gardner</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In connection with the Quarterly Report of Aerpio Pharmaceuticals, Inc., (the “Company”) on Form 10-Q for the period ending March 31, 2017 as filed with the Securities and Exchange Commission on the date hereof (the “Report”), I certify, pursuant to 18 U.S.C. § 1350, as adopted pursuant to § 906 of the Sarbanes-Oxley Act of 2002, that to my knowledge:</w:t>
      </w:r>
    </w:p>
    <w:p>
      <w:pPr>
        <w:spacing w:after="0" w:line="73"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40" w:val="left"/>
          <w:tab w:leader="none" w:pos="8540" w:val="left"/>
        </w:tabs>
        <w:rPr>
          <w:sz w:val="20"/>
          <w:szCs w:val="20"/>
          <w:color w:val="auto"/>
        </w:rPr>
      </w:pPr>
      <w:r>
        <w:rPr>
          <w:rFonts w:ascii="Arial" w:cs="Arial" w:eastAsia="Arial" w:hAnsi="Arial"/>
          <w:sz w:val="18"/>
          <w:szCs w:val="18"/>
          <w:color w:val="auto"/>
        </w:rPr>
        <w:t>Date: May 15,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B.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James B. Murphy</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6"/>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2019-12-29T06:23:30Z</dcterms:created>
  <dcterms:modified xsi:type="dcterms:W3CDTF">2019-12-29T06:23:30Z</dcterms:modified>
</cp:coreProperties>
</file>