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9182026_080949.xml.htm"/>
      <w:bookmarkStart w:id="1" w:name="ksform4a09182026_08094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Lennon David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WHITEHAWK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HEADQUARTERS PLAZA, EAST BUILDING, 11T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Whitehawk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WHWK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4.09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193,957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193,957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193,957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193,957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193,957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193,957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Subject to the Reporting Person continuing to be a Service Provider (as defined in the Issuer's 2021 Equity Incentive Plan) through each applicable date, twenty five percent (25%) of the shares subject to the option shall vest on the one-year anniversary of the Vesting Commencement Date and 1/48th of the total shares subject to the option shall vest every month thereafter such that all shares subject to the option shall be fully vested on the four-year anniversary of the Vesting Commencement Date. "Vesting Commencement Date" shall mean September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("RSU") represents a contingent right to receive one share of Whitehawk Therapeutics,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original Form 4 filed by the Reporting Person erroneously reflected an incorrect vesting schedule. Subject to the Reporting Person continuing to be a Service Provider (as defined in the Issuer's 2021 Equity Incentive Plan) through the applicable date, one hundred percent (100%) of the shares subject to the award shall vest on the one-year anniversary of the Vesting Commencement Date. "Vesting Commencement Date" shall mean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Rodin,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5275" TargetMode="External"/><Relationship Id="rId5" Type="http://schemas.openxmlformats.org/officeDocument/2006/relationships/hyperlink" Target="http://www.sec.gov/cgi-bin/browse-edgar?action=getcompany&amp;CIK=00014221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775</Words>
  <Characters>4233</Characters>
  <CharactersWithSpaces>4922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