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80" w:hanging="3652"/>
        <w:spacing w:after="0" w:line="344"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3060" w:right="1580" w:hanging="3052"/>
        <w:spacing w:after="0" w:line="328" w:lineRule="auto"/>
        <w:tabs>
          <w:tab w:leader="none" w:pos="4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9987 Carver Road</w:t>
            </w:r>
          </w:p>
        </w:tc>
        <w:tc>
          <w:tcPr>
            <w:tcW w:w="3180" w:type="dxa"/>
            <w:vAlign w:val="bottom"/>
          </w:tcPr>
          <w:p>
            <w:pPr>
              <w:spacing w:after="0"/>
              <w:rPr>
                <w:sz w:val="18"/>
                <w:szCs w:val="18"/>
                <w:color w:val="auto"/>
              </w:rPr>
            </w:pPr>
          </w:p>
        </w:tc>
      </w:tr>
      <w:tr>
        <w:trPr>
          <w:trHeight w:val="216"/>
        </w:trPr>
        <w:tc>
          <w:tcPr>
            <w:tcW w:w="4020" w:type="dxa"/>
            <w:vAlign w:val="bottom"/>
          </w:tcPr>
          <w:p>
            <w:pPr>
              <w:jc w:val="center"/>
              <w:ind w:right="1844"/>
              <w:spacing w:after="0"/>
              <w:rPr>
                <w:sz w:val="20"/>
                <w:szCs w:val="20"/>
                <w:color w:val="auto"/>
              </w:rPr>
            </w:pPr>
            <w:r>
              <w:rPr>
                <w:rFonts w:ascii="Arial" w:cs="Arial" w:eastAsia="Arial" w:hAnsi="Arial"/>
                <w:sz w:val="18"/>
                <w:szCs w:val="18"/>
                <w:b w:val="1"/>
                <w:bCs w:val="1"/>
                <w:color w:val="auto"/>
                <w:w w:val="95"/>
              </w:rPr>
              <w:t>Cincinnati, OH</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0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8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ARPO</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8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1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61" w:lineRule="exact"/>
        <w:rPr>
          <w:sz w:val="24"/>
          <w:szCs w:val="24"/>
          <w:color w:val="auto"/>
        </w:rPr>
      </w:pPr>
    </w:p>
    <w:p>
      <w:pPr>
        <w:jc w:val="both"/>
        <w:ind w:right="6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6, 2020, the registrant had 47,111,659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62" w:lineRule="exact"/>
        <w:rPr>
          <w:sz w:val="20"/>
          <w:szCs w:val="20"/>
          <w:color w:val="auto"/>
        </w:rPr>
      </w:pPr>
    </w:p>
    <w:p>
      <w:pPr>
        <w:jc w:val="both"/>
        <w:ind w:left="740" w:right="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heavily on the success of our lead product candidate, razuprotafib. Even if we obtain favorable clinical results, we may not be able to obtain regulatory approval for, or successfully commercialize, razuprotafib.</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clinical trials of our product candidates.</w:t>
      </w:r>
    </w:p>
    <w:p>
      <w:pPr>
        <w:spacing w:after="0" w:line="117"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drug development is a lengthy and expensive process with an uncertain outcome, and positive results from preclinical studies or earlier stage clinical trials are not necessarily predictive of the results of our future clinical trials of razuprotafib.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delays in the planned clinical development program for razuprotafib, and we do not know whether planned clinical trials will begin on time, need to be redesigned, enroll patients on time or be completed on schedule, if at all.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patents covering one or more of our products or product candidates could be found invalid or unenforceable if challenged.</w:t>
      </w:r>
    </w:p>
    <w:p>
      <w:pPr>
        <w:spacing w:after="0" w:line="117"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rFonts w:ascii="Arial" w:cs="Arial" w:eastAsia="Arial" w:hAnsi="Arial"/>
          <w:sz w:val="18"/>
          <w:szCs w:val="18"/>
          <w:color w:val="auto"/>
        </w:rPr>
      </w:pPr>
    </w:p>
    <w:p>
      <w:pPr>
        <w:ind w:left="740" w:right="7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rely on third parties to conduct some or all aspects of our product manufacturing, and these third parties may not perform satisfactorily.</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28" w:lineRule="exact"/>
        <w:rPr>
          <w:rFonts w:ascii="Arial" w:cs="Arial" w:eastAsia="Arial" w:hAnsi="Arial"/>
          <w:sz w:val="17"/>
          <w:szCs w:val="17"/>
          <w:color w:val="auto"/>
        </w:rPr>
      </w:pPr>
    </w:p>
    <w:p>
      <w:pPr>
        <w:ind w:left="740" w:right="220" w:hanging="368"/>
        <w:spacing w:after="0" w:line="308"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38" w:lineRule="exact"/>
        <w:rPr>
          <w:rFonts w:ascii="Arial" w:cs="Arial" w:eastAsia="Arial" w:hAnsi="Arial"/>
          <w:sz w:val="17"/>
          <w:szCs w:val="17"/>
          <w:color w:val="auto"/>
        </w:rPr>
      </w:pPr>
    </w:p>
    <w:p>
      <w:pPr>
        <w:ind w:left="740" w:right="2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delay or prevent their regulatory approval or limit their commercial potential.</w:t>
      </w:r>
    </w:p>
    <w:p>
      <w:pPr>
        <w:spacing w:after="0" w:line="62"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 of our common stock may be highly volatile, and may be influenced by numerous factors, some of which are beyond our control.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 may adversely affect us or our investors.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gridSpan w:val="5"/>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Financial Statements</w:t>
              </w:r>
            </w:hyperlink>
          </w:p>
        </w:tc>
        <w:tc>
          <w:tcPr>
            <w:tcW w:w="3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29"/>
        </w:trPr>
        <w:tc>
          <w:tcPr>
            <w:tcW w:w="920" w:type="dxa"/>
            <w:vAlign w:val="bottom"/>
          </w:tcPr>
          <w:p>
            <w:pPr>
              <w:spacing w:after="0"/>
              <w:rPr>
                <w:sz w:val="19"/>
                <w:szCs w:val="19"/>
                <w:color w:val="auto"/>
              </w:rPr>
            </w:pPr>
          </w:p>
        </w:tc>
        <w:tc>
          <w:tcPr>
            <w:tcW w:w="974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 September 30, 2020 (Unaudited) and December 31, 2019</w:t>
              </w:r>
            </w:hyperlink>
          </w:p>
        </w:tc>
        <w:tc>
          <w:tcPr>
            <w:tcW w:w="3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190"/>
        </w:trPr>
        <w:tc>
          <w:tcPr>
            <w:tcW w:w="920" w:type="dxa"/>
            <w:vAlign w:val="bottom"/>
          </w:tcPr>
          <w:p>
            <w:pPr>
              <w:spacing w:after="0"/>
              <w:rPr>
                <w:sz w:val="16"/>
                <w:szCs w:val="16"/>
                <w:color w:val="auto"/>
              </w:rPr>
            </w:pPr>
          </w:p>
        </w:tc>
        <w:tc>
          <w:tcPr>
            <w:tcW w:w="9740" w:type="dxa"/>
            <w:vAlign w:val="bottom"/>
            <w:gridSpan w:val="5"/>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Income – Three and Nine Months Ended September 30,</w:t>
              </w:r>
            </w:hyperlink>
          </w:p>
        </w:tc>
        <w:tc>
          <w:tcPr>
            <w:tcW w:w="38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2020 and 2019 (Unaudited)</w:t>
              </w:r>
            </w:hyperlink>
          </w:p>
        </w:tc>
        <w:tc>
          <w:tcPr>
            <w:tcW w:w="772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10"/>
        </w:trPr>
        <w:tc>
          <w:tcPr>
            <w:tcW w:w="920" w:type="dxa"/>
            <w:vAlign w:val="bottom"/>
          </w:tcPr>
          <w:p>
            <w:pPr>
              <w:spacing w:after="0"/>
              <w:rPr>
                <w:sz w:val="18"/>
                <w:szCs w:val="18"/>
                <w:color w:val="auto"/>
              </w:rPr>
            </w:pPr>
          </w:p>
        </w:tc>
        <w:tc>
          <w:tcPr>
            <w:tcW w:w="9740" w:type="dxa"/>
            <w:vAlign w:val="bottom"/>
            <w:gridSpan w:val="5"/>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Stockholders’ Equity – Three and Nine Months Ended September 30, 2020 and 2019</w:t>
              </w:r>
            </w:hyperlink>
          </w:p>
        </w:tc>
        <w:tc>
          <w:tcPr>
            <w:tcW w:w="38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8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60" w:type="dxa"/>
            <w:vAlign w:val="bottom"/>
            <w:gridSpan w:val="2"/>
          </w:tcPr>
          <w:p>
            <w:pPr>
              <w:spacing w:after="0"/>
              <w:rPr>
                <w:sz w:val="17"/>
                <w:szCs w:val="17"/>
                <w:color w:val="auto"/>
              </w:rPr>
            </w:pPr>
          </w:p>
        </w:tc>
        <w:tc>
          <w:tcPr>
            <w:tcW w:w="380" w:type="dxa"/>
            <w:vAlign w:val="bottom"/>
          </w:tcPr>
          <w:p>
            <w:pPr>
              <w:jc w:val="right"/>
              <w:spacing w:after="0" w:line="19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0"/>
        </w:trPr>
        <w:tc>
          <w:tcPr>
            <w:tcW w:w="9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9"/>
        </w:trPr>
        <w:tc>
          <w:tcPr>
            <w:tcW w:w="920" w:type="dxa"/>
            <w:vAlign w:val="bottom"/>
          </w:tcPr>
          <w:p>
            <w:pPr>
              <w:spacing w:after="0"/>
              <w:rPr>
                <w:sz w:val="21"/>
                <w:szCs w:val="21"/>
                <w:color w:val="auto"/>
              </w:rPr>
            </w:pPr>
          </w:p>
        </w:tc>
        <w:tc>
          <w:tcPr>
            <w:tcW w:w="974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 Nine Months Ended September 30, 2020 and 2019 (Unaudited)</w:t>
              </w:r>
            </w:hyperlink>
          </w:p>
        </w:tc>
        <w:tc>
          <w:tcPr>
            <w:tcW w:w="3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29"/>
        </w:trPr>
        <w:tc>
          <w:tcPr>
            <w:tcW w:w="920" w:type="dxa"/>
            <w:vAlign w:val="bottom"/>
          </w:tcPr>
          <w:p>
            <w:pPr>
              <w:spacing w:after="0"/>
              <w:rPr>
                <w:sz w:val="19"/>
                <w:szCs w:val="19"/>
                <w:color w:val="auto"/>
              </w:rPr>
            </w:pPr>
          </w:p>
        </w:tc>
        <w:tc>
          <w:tcPr>
            <w:tcW w:w="974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3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19</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tc>
      </w:tr>
      <w:tr>
        <w:trPr>
          <w:trHeight w:val="225"/>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5"/>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gridSpan w:val="5"/>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OTHER INFORMATION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5"/>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gridSpan w:val="5"/>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38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5"/>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5"/>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5"/>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40" w:type="dxa"/>
            <w:vAlign w:val="bottom"/>
            <w:gridSpan w:val="5"/>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gridSpan w:val="5"/>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20" w:top="33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11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47,281,986</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38,524,536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Prepaid research and development contracts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455,855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1,845,451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49,583,292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39,570,475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137,325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89,761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49,830,378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39,936,786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2,417,172</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94,787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2,511,959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2,511,959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3,401,443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w w:val="97"/>
              </w:rPr>
              <w:t>Common stock, $0.0001 par value per share; 300,000,000 shares authorized and 47,111,659 and</w:t>
            </w: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w w:val="91"/>
              </w:rPr>
              <w:t>40,588,004 shares issued and outstanding at September 30, 2020 and December 31, 2019, respectively.</w:t>
            </w:r>
          </w:p>
        </w:tc>
        <w:tc>
          <w:tcPr>
            <w:tcW w:w="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189,146,884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178,766,806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(141,833,176)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(142,235,522)</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47,318,419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36,535,343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49,830,378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39,936,786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Three Months Ended September 30,</w:t>
            </w:r>
          </w:p>
        </w:tc>
        <w:tc>
          <w:tcPr>
            <w:tcW w:w="240" w:type="dxa"/>
            <w:vAlign w:val="bottom"/>
          </w:tcPr>
          <w:p>
            <w:pPr>
              <w:spacing w:after="0"/>
              <w:rPr>
                <w:sz w:val="14"/>
                <w:szCs w:val="14"/>
                <w:color w:val="auto"/>
              </w:rPr>
            </w:pPr>
          </w:p>
        </w:tc>
        <w:tc>
          <w:tcPr>
            <w:tcW w:w="2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right"/>
              <w:ind w:right="30"/>
              <w:spacing w:after="0" w:line="155" w:lineRule="exact"/>
              <w:rPr>
                <w:sz w:val="20"/>
                <w:szCs w:val="20"/>
                <w:color w:val="auto"/>
              </w:rPr>
            </w:pPr>
            <w:r>
              <w:rPr>
                <w:rFonts w:ascii="Arial" w:cs="Arial" w:eastAsia="Arial" w:hAnsi="Arial"/>
                <w:sz w:val="14"/>
                <w:szCs w:val="14"/>
                <w:i w:val="1"/>
                <w:iCs w:val="1"/>
                <w:color w:val="auto"/>
              </w:rPr>
              <w:t>(unaudited)</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jc w:val="right"/>
              <w:ind w:right="47"/>
              <w:spacing w:after="0" w:line="155" w:lineRule="exact"/>
              <w:rPr>
                <w:sz w:val="20"/>
                <w:szCs w:val="20"/>
                <w:color w:val="auto"/>
              </w:rPr>
            </w:pPr>
            <w:r>
              <w:rPr>
                <w:rFonts w:ascii="Arial" w:cs="Arial" w:eastAsia="Arial" w:hAnsi="Arial"/>
                <w:sz w:val="14"/>
                <w:szCs w:val="14"/>
                <w:i w:val="1"/>
                <w:iCs w:val="1"/>
                <w:color w:val="auto"/>
              </w:rPr>
              <w:t>(unaudited)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3,985,988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2,844,603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9,363,602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1,875,415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2,160,845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6,356,821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8,215,456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(benefit) expense</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(38,810)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5,861,403</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4,966,638</w:t>
            </w:r>
          </w:p>
        </w:tc>
        <w:tc>
          <w:tcPr>
            <w:tcW w:w="3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15,720,423</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19,786,849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(5,861,403)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(4,966,638)</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(720,423)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(19,786,849)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79,303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897,378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897,378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239,405</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145,491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906,380</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318,708</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1,122,769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and comprehensive (loss) income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(4,955,023)</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(4,647,930)</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402,346</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(18,824,371)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and comprehensive (loss) income per share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(0.12)</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rPr>
                <w:sz w:val="20"/>
                <w:szCs w:val="20"/>
                <w:color w:val="auto"/>
              </w:rPr>
            </w:pPr>
            <w:r>
              <w:rPr>
                <w:rFonts w:ascii="Arial" w:cs="Arial" w:eastAsia="Arial" w:hAnsi="Arial"/>
                <w:sz w:val="18"/>
                <w:szCs w:val="18"/>
                <w:color w:val="auto"/>
              </w:rPr>
              <w:t>Weighted average number of common shares used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Arial" w:cs="Arial" w:eastAsia="Arial" w:hAnsi="Arial"/>
                <w:sz w:val="18"/>
                <w:szCs w:val="18"/>
                <w:color w:val="auto"/>
              </w:rPr>
              <w:t>in computing net and comprehensive (loss) income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per share basic and diluted</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42,139,493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41,108,942</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42,139,493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41,477,388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6080" w:type="dxa"/>
            <w:vAlign w:val="bottom"/>
            <w:gridSpan w:val="13"/>
          </w:tcPr>
          <w:p>
            <w:pPr>
              <w:jc w:val="center"/>
              <w:ind w:right="140"/>
              <w:spacing w:after="0"/>
              <w:rPr>
                <w:sz w:val="20"/>
                <w:szCs w:val="20"/>
                <w:color w:val="auto"/>
              </w:rPr>
            </w:pPr>
            <w:r>
              <w:rPr>
                <w:rFonts w:ascii="Arial" w:cs="Arial" w:eastAsia="Arial" w:hAnsi="Arial"/>
                <w:sz w:val="14"/>
                <w:szCs w:val="14"/>
                <w:b w:val="1"/>
                <w:bCs w:val="1"/>
                <w:color w:val="auto"/>
                <w:w w:val="93"/>
              </w:rPr>
              <w:t>For the Three and Nine Months Ended September 30, 2020 (unaudited)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4"/>
                <w:szCs w:val="14"/>
                <w:b w:val="1"/>
                <w:bCs w:val="1"/>
                <w:color w:val="auto"/>
                <w:w w:val="93"/>
              </w:rPr>
              <w:t>Stockholders' Equity</w:t>
            </w: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20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1"/>
                <w:szCs w:val="11"/>
                <w:color w:val="auto"/>
              </w:rPr>
            </w:pPr>
          </w:p>
        </w:tc>
        <w:tc>
          <w:tcPr>
            <w:tcW w:w="12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132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0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3"/>
                <w:szCs w:val="13"/>
                <w:color w:val="auto"/>
              </w:rPr>
            </w:pPr>
          </w:p>
        </w:tc>
        <w:tc>
          <w:tcPr>
            <w:tcW w:w="1320" w:type="dxa"/>
            <w:vAlign w:val="bottom"/>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9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$ 178,766,806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(142,235,522)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36,535,343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Issuance of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62,347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327,467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(3,918,663)</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(3,918,663)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179,156,620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(146,154,185)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33,006,494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Issuance of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308,341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Net and comprehensive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9,276,032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9,276,032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179,474,553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(136,878,153)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42,600,459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60"/>
              <w:spacing w:after="0"/>
              <w:rPr>
                <w:sz w:val="20"/>
                <w:szCs w:val="20"/>
                <w:color w:val="auto"/>
              </w:rPr>
            </w:pPr>
            <w:r>
              <w:rPr>
                <w:rFonts w:ascii="Arial" w:cs="Arial" w:eastAsia="Arial" w:hAnsi="Arial"/>
                <w:sz w:val="18"/>
                <w:szCs w:val="18"/>
                <w:color w:val="auto"/>
              </w:rPr>
              <w:t>Issuance of common stock, net of issuance costs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9,340,842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of $402,795</w:t>
            </w:r>
          </w:p>
        </w:tc>
        <w:tc>
          <w:tcPr>
            <w:tcW w:w="1000" w:type="dxa"/>
            <w:vAlign w:val="bottom"/>
          </w:tcPr>
          <w:p>
            <w:pPr>
              <w:jc w:val="right"/>
              <w:spacing w:after="0"/>
              <w:rPr>
                <w:sz w:val="20"/>
                <w:szCs w:val="20"/>
                <w:color w:val="auto"/>
              </w:rPr>
            </w:pPr>
            <w:r>
              <w:rPr>
                <w:rFonts w:ascii="Arial" w:cs="Arial" w:eastAsia="Arial" w:hAnsi="Arial"/>
                <w:sz w:val="18"/>
                <w:szCs w:val="18"/>
                <w:color w:val="auto"/>
              </w:rPr>
              <w:t>6,523,655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9,340,190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332,141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332,141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(4,955,023)</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(4,955,023)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47,111,659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189,146,884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(141,833,176</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47,318,419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160" w:type="dxa"/>
            <w:vAlign w:val="bottom"/>
          </w:tcPr>
          <w:p>
            <w:pPr>
              <w:spacing w:after="0"/>
              <w:rPr>
                <w:sz w:val="24"/>
                <w:szCs w:val="24"/>
                <w:color w:val="auto"/>
              </w:rPr>
            </w:pPr>
          </w:p>
        </w:tc>
        <w:tc>
          <w:tcPr>
            <w:tcW w:w="6080" w:type="dxa"/>
            <w:vAlign w:val="bottom"/>
            <w:gridSpan w:val="13"/>
          </w:tcPr>
          <w:p>
            <w:pPr>
              <w:jc w:val="center"/>
              <w:ind w:right="140"/>
              <w:spacing w:after="0"/>
              <w:rPr>
                <w:sz w:val="20"/>
                <w:szCs w:val="20"/>
                <w:color w:val="auto"/>
              </w:rPr>
            </w:pPr>
            <w:r>
              <w:rPr>
                <w:rFonts w:ascii="Arial" w:cs="Arial" w:eastAsia="Arial" w:hAnsi="Arial"/>
                <w:sz w:val="14"/>
                <w:szCs w:val="14"/>
                <w:b w:val="1"/>
                <w:bCs w:val="1"/>
                <w:color w:val="auto"/>
                <w:w w:val="93"/>
              </w:rPr>
              <w:t>For the Three and Nine Months Ended September 30, 2019 (unaudited)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4"/>
                <w:szCs w:val="14"/>
                <w:b w:val="1"/>
                <w:bCs w:val="1"/>
                <w:color w:val="auto"/>
                <w:w w:val="93"/>
              </w:rPr>
              <w:t>Stockholders' Equity</w:t>
            </w: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20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1"/>
                <w:szCs w:val="11"/>
                <w:color w:val="auto"/>
              </w:rPr>
            </w:pPr>
          </w:p>
        </w:tc>
        <w:tc>
          <w:tcPr>
            <w:tcW w:w="12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132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0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3"/>
                <w:szCs w:val="13"/>
                <w:color w:val="auto"/>
              </w:rPr>
            </w:pPr>
          </w:p>
        </w:tc>
        <w:tc>
          <w:tcPr>
            <w:tcW w:w="1320" w:type="dxa"/>
            <w:vAlign w:val="bottom"/>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9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$ 177,621,807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(118,959,291)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58,666,575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Cumulative effect of change in accounting principle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5,717</w:t>
            </w:r>
          </w:p>
        </w:tc>
        <w:tc>
          <w:tcPr>
            <w:tcW w:w="200" w:type="dxa"/>
            <w:vAlign w:val="bottom"/>
          </w:tcPr>
          <w:p>
            <w:pPr>
              <w:spacing w:after="0"/>
              <w:rPr>
                <w:sz w:val="19"/>
                <w:szCs w:val="19"/>
                <w:color w:val="auto"/>
              </w:rPr>
            </w:pP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(5,717)</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621,685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(8,492,825)</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(8,492,825)</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178,249,209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(127,457,833)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50,795,435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604,661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(5,683,616)</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(5,683,616)</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178,853,870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(133,141,449)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45,716,480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645,899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(4,647,930)</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(4,647,930)</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$ 179,499,769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(137,789,379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41,714,449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67"/>
              <w:spacing w:after="0"/>
              <w:rPr>
                <w:sz w:val="20"/>
                <w:szCs w:val="20"/>
                <w:color w:val="auto"/>
              </w:rPr>
            </w:pPr>
            <w:r>
              <w:rPr>
                <w:rFonts w:ascii="Arial" w:cs="Arial" w:eastAsia="Arial" w:hAnsi="Arial"/>
                <w:sz w:val="18"/>
                <w:szCs w:val="18"/>
                <w:i w:val="1"/>
                <w:iCs w:val="1"/>
                <w:color w:val="auto"/>
              </w:rPr>
              <w:t>(unaudited)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income (loss)</w:t>
            </w:r>
          </w:p>
        </w:tc>
        <w:tc>
          <w:tcPr>
            <w:tcW w:w="162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402,346</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(18,824,371)</w:t>
            </w:r>
          </w:p>
        </w:tc>
        <w:tc>
          <w:tcPr>
            <w:tcW w:w="0" w:type="dxa"/>
            <w:vAlign w:val="bottom"/>
          </w:tcPr>
          <w:p>
            <w:pPr>
              <w:spacing w:after="0"/>
              <w:rPr>
                <w:sz w:val="1"/>
                <w:szCs w:val="1"/>
                <w:color w:val="auto"/>
              </w:rPr>
            </w:pPr>
          </w:p>
        </w:tc>
      </w:tr>
      <w:tr>
        <w:trPr>
          <w:trHeight w:val="215"/>
        </w:trPr>
        <w:tc>
          <w:tcPr>
            <w:tcW w:w="5980" w:type="dxa"/>
            <w:vAlign w:val="bottom"/>
          </w:tcPr>
          <w:p>
            <w:pPr>
              <w:ind w:left="260"/>
              <w:spacing w:after="0"/>
              <w:rPr>
                <w:sz w:val="20"/>
                <w:szCs w:val="20"/>
                <w:color w:val="auto"/>
              </w:rPr>
            </w:pPr>
            <w:r>
              <w:rPr>
                <w:rFonts w:ascii="Arial" w:cs="Arial" w:eastAsia="Arial" w:hAnsi="Arial"/>
                <w:sz w:val="18"/>
                <w:szCs w:val="18"/>
                <w:color w:val="auto"/>
              </w:rPr>
              <w:t>Adjustments to reconcile net and comprehensive income (loss)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to net cash used in operating activities:</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45,887</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967,949</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1,872,245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Consulting expense related to warrants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71,939</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research and development contracts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(144,701)</w:t>
            </w: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(1,090,666)</w:t>
            </w:r>
          </w:p>
        </w:tc>
        <w:tc>
          <w:tcPr>
            <w:tcW w:w="5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(260,811)</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current liabilities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(817,121)</w:t>
            </w: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(2,044,301)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(564,367)</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(18,987,454)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500"/>
              <w:spacing w:after="0"/>
              <w:rPr>
                <w:sz w:val="20"/>
                <w:szCs w:val="20"/>
                <w:color w:val="auto"/>
              </w:rPr>
            </w:pPr>
            <w:r>
              <w:rPr>
                <w:rFonts w:ascii="Arial" w:cs="Arial" w:eastAsia="Arial" w:hAnsi="Arial"/>
                <w:sz w:val="18"/>
                <w:szCs w:val="18"/>
                <w:color w:val="auto"/>
              </w:rPr>
              <w:t>Purchase of furniture and equipment</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(19,025)</w:t>
            </w:r>
          </w:p>
        </w:tc>
        <w:tc>
          <w:tcPr>
            <w:tcW w:w="5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(236,953)</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(19,025)</w:t>
            </w:r>
          </w:p>
        </w:tc>
        <w:tc>
          <w:tcPr>
            <w:tcW w:w="3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common stock</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9,743,637</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500"/>
              <w:spacing w:after="0"/>
              <w:rPr>
                <w:sz w:val="20"/>
                <w:szCs w:val="20"/>
                <w:color w:val="auto"/>
              </w:rPr>
            </w:pPr>
            <w:r>
              <w:rPr>
                <w:rFonts w:ascii="Arial" w:cs="Arial" w:eastAsia="Arial" w:hAnsi="Arial"/>
                <w:sz w:val="18"/>
                <w:szCs w:val="18"/>
                <w:color w:val="auto"/>
              </w:rPr>
              <w:t>Cash paid in connection with the sale of common stock</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(402,795)</w:t>
            </w:r>
          </w:p>
        </w:tc>
        <w:tc>
          <w:tcPr>
            <w:tcW w:w="5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9,340,842</w:t>
            </w:r>
          </w:p>
        </w:tc>
        <w:tc>
          <w:tcPr>
            <w:tcW w:w="3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8,757,450</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(19,224,407)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38,524,536</w:t>
            </w:r>
          </w:p>
        </w:tc>
        <w:tc>
          <w:tcPr>
            <w:tcW w:w="3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Cash and cash equivalents, nine months ended</w:t>
            </w:r>
          </w:p>
        </w:tc>
        <w:tc>
          <w:tcPr>
            <w:tcW w:w="12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47,281,986</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43,389,603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Aerpio Pharmaceuticals, Inc. (the “Company”) is a biopharmaceutical company focused on developing compounds that activate Tie2 to treat ocular diseases and diabetic complications, as well as other indications in which the Company believes that activation of Tie2 may have therapeutic potential, including acute respiratory distress syndrome (“ARDS”) associated with a novel strain of coronavirus (“COVID-19”) infections. The Company was incorporated as Zeta Acquisition Corp. II (“Zeta”) in the State of Delaware on November 16, 2007. Zeta was a “shell company” (as defined in Rule 12b-2 of the Securities Exchange Act of 1934, as amended).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 the following programs: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Glaucoma: </w:t>
      </w:r>
      <w:r>
        <w:rPr>
          <w:rFonts w:ascii="Arial" w:cs="Arial" w:eastAsia="Arial" w:hAnsi="Arial"/>
          <w:sz w:val="17"/>
          <w:szCs w:val="17"/>
          <w:color w:val="auto"/>
        </w:rPr>
        <w:t>Based on the preclinical proof of concept and the results of the Phase 1b trial showing a reduction in intraocular pressure (“IOP”)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ocular hypertension (“OHT”) and open angle glaucoma (“OAG”), the Company initiated a Phase 2 clinical trial in June 2020 designed to evaluate the safety and efficacy of a topical formulation of razuprotafib (also known as AKB-9778) in approximately 195 patients followed over a 28-day period. Patients enrolled in the trial will be administered a baseline of latanoprost ophthalmic solution 0.005%, and then randomized in a 1:1:1 fashion to receive adjunctive therapy consisting of placebo, 40 mg/ml razuprotafib once-daily, or 40 mg/ml razuprotafib twice-daily. The primary endpoint of the study is mean diurnal IOP at 28 days in the razuprotafib treated groups compared to the latanoprost monotherapy group. The Company expects to report topline results from this study in December or possibly in early January 2021 to coincide with seasonal healthcare industry conferences, subject to potential delays in study completion, including due to delays arising from the ongoing COVID-19 pandemic.</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Acute Respiratory Distress Syndrome: </w:t>
      </w:r>
      <w:r>
        <w:rPr>
          <w:rFonts w:ascii="Arial" w:cs="Arial" w:eastAsia="Arial" w:hAnsi="Arial"/>
          <w:sz w:val="18"/>
          <w:szCs w:val="18"/>
          <w:color w:val="auto"/>
        </w:rPr>
        <w:t>Based on results in preclinical studies and observations in patients in the TIME-2 and TIME-2b trials,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a vascular endothelial receptor, Tie2, may play a pivotal role in the defense against microvascular breach in ARDS. The Company hypothesizes that razuprotafib, the Company’s lead Tie2 activator, may have therapeutic potential for the treatment of COVID-19 associated ARDS and initiated two Phase 2 trials during 2020.</w:t>
      </w:r>
    </w:p>
    <w:p>
      <w:pPr>
        <w:spacing w:after="0" w:line="7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May 2020, the Company was selected by Quantum Leap Healthcare Collaborative to participate in the I-SPY COVID-19 Trial (Investigation of Serial studies to Predict Your COVID Therapeutic Response with biomarker Integration and Adaptive Learning) to evaluate subcutaneous razuprotafib for the treatment of COVID-19 related ARDS in adult patients with critical COVID-19. Trial updates are anticipated in the first half of 2021, subject to potential delays in subject enrollment and study completion, including due to delays arising from the ongoing COVID-19 pandemic.</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August 2020, the Company initiated a second Phase 2 clinical trial (“RESCUE”) for the treatment of COVID-19 with the U.S. Government operating through Medical Technology Enterprise Consortium (“MTEC”). This RESCUE trial will evaluate subcutaneous razuprotafib for the prevention and treatment of ARDS in adult patients with moderate to severe COVID-19 as part of MTEC-20-09-COVID-19 Treatment Military Infectious Disease Research Program (“MIDRP”) “Development of Treatments for COVID-19”. MTEC will provide up to $5.1 million of reimbursement related to qualified internal and external spending of the Company, as it relates to the clinical trial. Total anticipated spend of the RESCUE clinical trial is $7.9 million. Aerpio will support the trial with “in kind” spending in the amount of $2.8 million. The Company expects to conduct the trial at approximately 10 clinical sites and expects the trial to be completed in the first half of 2021, subject to potential delays in subject enrollment and study completion, including due to delays arising from the ongoing COVID-19 pandemic.</w:t>
      </w:r>
    </w:p>
    <w:p>
      <w:pPr>
        <w:spacing w:after="0" w:line="8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showed reduction in Urine Albumin-Creatinine</w:t>
      </w:r>
      <w:r>
        <w:rPr>
          <w:rFonts w:ascii="Arial" w:cs="Arial" w:eastAsia="Arial" w:hAnsi="Arial"/>
          <w:sz w:val="18"/>
          <w:szCs w:val="18"/>
          <w:i w:val="1"/>
          <w:iCs w:val="1"/>
          <w:color w:val="auto"/>
        </w:rPr>
        <w:t xml:space="preserve"> </w:t>
      </w:r>
      <w:r>
        <w:rPr>
          <w:rFonts w:ascii="Arial" w:cs="Arial" w:eastAsia="Arial" w:hAnsi="Arial"/>
          <w:sz w:val="18"/>
          <w:szCs w:val="18"/>
          <w:color w:val="auto"/>
        </w:rPr>
        <w:t>Ratio (“UACR”), a measure of progression of diabetic kidney disease. The Company believes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ARP-1536: </w:t>
      </w:r>
      <w:r>
        <w:rPr>
          <w:rFonts w:ascii="Arial" w:cs="Arial" w:eastAsia="Arial" w:hAnsi="Arial"/>
          <w:sz w:val="18"/>
          <w:szCs w:val="18"/>
          <w:color w:val="auto"/>
        </w:rPr>
        <w:t>The humanized monoclonal antibody, ARP-1536, directed at the same target as subcutaneous razuprotafib, is in preclinical development.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evaluating development options for ARP-1536, including subcutaneous injection for the treatment of diabetic vascular complications, e.g., diabetic nephropathy and intravitreal injection as an adjunctive therapy for diabetic macular edema.</w:t>
      </w:r>
    </w:p>
    <w:p>
      <w:pPr>
        <w:spacing w:after="0" w:line="7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is also developing a bispecific antibody that binds both vascular endothelial growth factor (“VEGF”) and vascular endothelial protein tyrosine phosphatase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licensed AKB-4924 (now GB004), a selective stabilizer of hypoxia-inducible factor-1 alpha (“HIF-1 alpha”) to a wholly-owned subsidiary of Gossamer Bio, Inc., GB004, Inc. (collectively “Gossamer”), which is being developed for the treatment of inflammatory bowel disease (“IBD”). HIF-1 alpha is involved in mucosal wound healing and the reduction of inflammation in the gastrointestinal tract. Gossamer completed the Phase 1b clinical trial in ulcerative colitis (“UC”) patients and reported results during the second quarter of 2020. Gossamer has announced that, subject to developments in the ongoing COVID-19 pandemic, it plans to initiate a 12-week Phase 2 study of GB004 in patients with mild-to-moderate UC in the second half of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8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license agreement. Gossamer is responsible for all remaining development and commercial activities for GB004.</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February 2018, the Company filed a shelf registration statement on Form S-3 with the Securities and Exchange Commission (“SEC”) which was declared effective by the SEC on April 11, 2018 (the “Form S-3”). On February 21, 2018, and pursuant to the Form S-3, the Company entered into a Controlled Equity Offering Sales Agreement (the “Sales Agreement”) with Cantor Fitzgerald &amp; Co. (“Cantor”), pursuant to which it may issue and sell, from time to time, shares of its common stock having an aggregate offering price of up to $75.0 million through Cantor as the sales agent. Cantor may sell the Company’s common stock by any method permitted by law deemed to be an “at the market offering” as defined in Rule 415(a)(4) of the Securities Act, including sales made directly on or through the Nasdaq Capital Market or any other existing trade market for the Company’s common stock, in negotiated transactions at market prices prevailing at the time of sale or at prices related to prevailing market prices, or any other method permitted by law. During the three months ended September 30, 2020, 6,523,655 shares of the Company’s common stock were sold under the Sales Agreement, pursuant to the Form S-3, the related prospectus, and the prospectus supplement. The net proceeds received from this transaction were $9.3 million, after deducting expenses of approximately $403,000 (including sales agent compensation of approximately $292,000) that were direct and incremental to the sale of the Company’s common stock.</w:t>
      </w:r>
    </w:p>
    <w:p>
      <w:pPr>
        <w:spacing w:after="0" w:line="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described in Note 11. The Company’s product candidates are subject to long development cycles and there is no assurance the Company will be able to successfully develop, obtain regulatory approval for, or market its product candidates.</w:t>
      </w:r>
    </w:p>
    <w:p>
      <w:pPr>
        <w:spacing w:after="0" w:line="6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pipeline products that are approved, and protection of proprietary technology. If the Company does not successfully commercialize any of its pipeline products or mitigate any of these other risks, it will be unable to generate revenue or achieve profitability.</w:t>
      </w:r>
    </w:p>
    <w:p>
      <w:pPr>
        <w:spacing w:after="0" w:line="6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Excluding the one-time payments from Gossamer, the Company incurred losses from operations and had negative cash flows from operating activities for the nine months ended September 30, 2020 and 2019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product revenue generating activities. However, the Company believes it has the ability to control its current operating plan and that existing cash and cash equivalents of approximately $47.3 million at September 30, 2020, will be sufficient to allow the Company to fund its current operating plan through the fourth quarter of 2022.</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need to raise additional funds in order to further advance its clinical research programs, commence additional clinical trials, and operate its business and meet its obligations as they come due. The Company is pursuing financing alternatives, which include permanent equity financing, business development arrangements, and licensing arrangements.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COVID-19 has resulted, and will likely continue to result, in significant governmental measures being implemented to control the spread of the virus through quarantines, travel restrictions, heightened border security and other measures. While the Company cannot predict the scope and severity, these developments and measures could materially and adversely affect its business, including its planned Phase 2 clinical trials for the glaucoma and ARDS programs, results of operations and financial condition. In addition, in response to the continuing spread of COVID-19, the Company has kept its executive offices closed with its employees continuing their work outside of the office. The Company is closely monitoring the impact of COVID-19 on all aspects of its business and is taking steps to minimize the impact on its business. However, the extent to which COVID-19 ultimately impacts the Company’s business, results of operations or financial condition will depend on future developments, which remain highly uncertain and cannot be predicted with confidence, such as the duration of the COVID-19 pandemic, new information that may emerge concerning the severity of COVID-19 and the effectiveness of actions taken to contain the COVID-19 pandemic or treat its impact, among others. While some states and jurisdictions have started to rollback stay-at-home and quarantine orders and reopened in phases, it is difficult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line="275" w:lineRule="auto"/>
        <w:rPr>
          <w:sz w:val="20"/>
          <w:szCs w:val="20"/>
          <w:color w:val="auto"/>
        </w:rPr>
      </w:pPr>
      <w:r>
        <w:rPr>
          <w:rFonts w:ascii="Arial" w:cs="Arial" w:eastAsia="Arial" w:hAnsi="Arial"/>
          <w:sz w:val="17"/>
          <w:szCs w:val="17"/>
          <w:color w:val="auto"/>
        </w:rPr>
        <w:t>to predict what the lasting impact of the COVID-19 pandemic will be, and if the Company or any of the third parties with whom it engages were to experience additional shutdowns or other prolonged business disruptions, the Company’s ability to conduct its business in the manner and on the timelines presently planned could have a material adverse impact on the Company’s business, results of operation and financial condition. In addition, a recurrence of COVID-19 cases could cause other widespread or more severe impacts depending on where infection rates are highest. The Company will continue to monitor developments as it deals with the disruptions and uncertainties relating to the COVID-19 pandemic.</w:t>
      </w:r>
    </w:p>
    <w:p>
      <w:pPr>
        <w:spacing w:after="0" w:line="213" w:lineRule="exact"/>
        <w:rPr>
          <w:sz w:val="20"/>
          <w:szCs w:val="20"/>
          <w:color w:val="auto"/>
        </w:rPr>
      </w:pPr>
    </w:p>
    <w:p>
      <w:pPr>
        <w:ind w:right="7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spacing w:after="0" w:line="289" w:lineRule="auto"/>
        <w:rPr>
          <w:sz w:val="20"/>
          <w:szCs w:val="20"/>
          <w:color w:val="auto"/>
        </w:rPr>
      </w:pPr>
      <w:r>
        <w:rPr>
          <w:rFonts w:ascii="Arial" w:cs="Arial" w:eastAsia="Arial" w:hAnsi="Arial"/>
          <w:sz w:val="16"/>
          <w:szCs w:val="16"/>
          <w:color w:val="auto"/>
        </w:rPr>
        <w:t>The unaudited condensed consolidated financial statements have been prepared in accordance with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U.S. GAAP as found in the Accounting Standards Codification (“ASC”) and Accounting Standards Updates (“ASU”) of the Financial Accounting Standards Board (“FASB”). All adjustments are of a normal and recurring in nature. These unaudited condensed consolidated financial statements should be read in conjunction with the consolidated financial statements of the Company as of and for the year ended December 31, 2019, included in the Company’s Annual Report on Form 10-K filed with the SEC on March 16, 2020. The results of operations for the interim periods are not necessarily indicative of results of operations for a full year. The Company’s condensed consolidated financial statements are stated in U.S. Dollars.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9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Company’s results can also be affected by economic conditions, global health concerns, such as COVID-19, and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and cash equivalents consist of all cash on hand and $100,000 invested in short-term certificates of deposits with original maturities of three months or less at the time of purchase. At September 30, 2020 and December 31, 2019, the Company’s cash equivalents are primarily held in money market funds. The Company maintains balances with its banks in excess of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60"/>
        <w:spacing w:after="0" w:line="270" w:lineRule="auto"/>
        <w:rPr>
          <w:sz w:val="20"/>
          <w:szCs w:val="20"/>
          <w:color w:val="auto"/>
        </w:rPr>
      </w:pPr>
      <w:r>
        <w:rPr>
          <w:rFonts w:ascii="Arial" w:cs="Arial" w:eastAsia="Arial" w:hAnsi="Arial"/>
          <w:sz w:val="17"/>
          <w:szCs w:val="17"/>
          <w:color w:val="auto"/>
        </w:rPr>
        <w:t>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License Fees: </w:t>
      </w:r>
      <w:r>
        <w:rPr>
          <w:rFonts w:ascii="Arial" w:cs="Arial" w:eastAsia="Arial" w:hAnsi="Arial"/>
          <w:sz w:val="17"/>
          <w:szCs w:val="17"/>
          <w:color w:val="auto"/>
        </w:rPr>
        <w:t>If a license to the Company’s intellectual property is determined to be distinct from the other performance obligations identified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Company recognizes revenues from nonrefundable, upfront (or one-time) license fees based on the relative value prescribed to the license compared to the total value of the arrangement. The revenue is recognized when the cash is received or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license fees. The Company evaluates the measure of progress each reporting period and, if necessary, adjusts the measure of performance and related revenue recognition.</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Development Milestone Payments</w:t>
      </w:r>
      <w:r>
        <w:rPr>
          <w:rFonts w:ascii="Arial" w:cs="Arial" w:eastAsia="Arial" w:hAnsi="Arial"/>
          <w:sz w:val="17"/>
          <w:szCs w:val="17"/>
          <w:color w:val="auto"/>
        </w:rPr>
        <w:t>: 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2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income represents reimbursed internal and external qualified expenses, per the terms of the MTEC arrangement, related to the ARDS clinical trial. Other income is recorded, and generally received, in the period the internal or external qualified clinical trial expenses are incurred, and paid,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7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2020 and December 31, 2019, the Company does not have any uncertain tax positions. The Company recognizes interest and penalties related to uncertain tax positions, if any exist, in income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and Comprehensive (Loss) Income per Share Attributable to Common Stockholders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Company’s basic net and comprehensive (loss) income per share attributable to common stockholders is calculated by dividing the net and comprehensive (loss) income by the weighted average number of shares of common stock outstanding for the period. The diluted net and comprehensive (loss) income per share attributable to common stockholders is computed by adjusting the weighted average shares outstanding for the dilutive effect of common stock equivalents outstanding for the period, determined using the treasury stock method.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accounts for its stock-based compensation awards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ASC 718 requires all stock-based payments to employees, including grants of employee stock options, to be recognized in the condensed consolidated statements of operations and comprehensive (loss) income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Due to the historical lack of public market for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880" w:right="2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 w:name="page14"/>
    <w:bookmarkEnd w:id="13"/>
    <w:p>
      <w:pPr>
        <w:ind w:right="20"/>
        <w:spacing w:after="0" w:line="275"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nine months ended September 30, 2020 or 2019. The assets of the Company measured at fair value on a recurring basis as of September 30, 2020 and December 31, 2019, are summarized below:</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0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2020</w:t>
            </w: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47,281,986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47,281,986</w:t>
            </w:r>
          </w:p>
        </w:tc>
        <w:tc>
          <w:tcPr>
            <w:tcW w:w="100" w:type="dxa"/>
            <w:vAlign w:val="bottom"/>
            <w:shd w:val="clear" w:color="auto" w:fill="CFF0FC"/>
          </w:tcPr>
          <w:p>
            <w:pPr>
              <w:spacing w:after="0"/>
              <w:rPr>
                <w:sz w:val="19"/>
                <w:szCs w:val="19"/>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47,281,986</w:t>
            </w:r>
          </w:p>
        </w:tc>
        <w:tc>
          <w:tcPr>
            <w:tcW w:w="2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47,281,986</w:t>
            </w:r>
          </w:p>
        </w:tc>
        <w:tc>
          <w:tcPr>
            <w:tcW w:w="100" w:type="dxa"/>
            <w:vAlign w:val="bottom"/>
            <w:tcBorders>
              <w:bottom w:val="single" w:sz="8" w:color="CFF0FC"/>
            </w:tcBorders>
          </w:tcPr>
          <w:p>
            <w:pPr>
              <w:spacing w:after="0"/>
              <w:rPr>
                <w:sz w:val="22"/>
                <w:szCs w:val="22"/>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38,524,536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38,524,536</w:t>
            </w: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38,524,536</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38,524,536</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September 30, 2020 and December 31, 2019, the Company maintains its cash and cash equivalents with high-quality, accredited financial institutions and, accordingly, such funds are subject to minimal credit risk.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121"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Comprehensive (loss) income is defined as the change in equity of a business enterprise during a period from transactions and other events and circumstances from non-owner sources, if any. Comprehensive (loss) income equaled net (loss) income for all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w:t>
      </w:r>
      <w:r>
        <w:rPr>
          <w:rFonts w:ascii="Arial" w:cs="Arial" w:eastAsia="Arial" w:hAnsi="Arial"/>
          <w:sz w:val="18"/>
          <w:szCs w:val="18"/>
          <w:i w:val="1"/>
          <w:iCs w:val="1"/>
          <w:color w:val="auto"/>
        </w:rPr>
        <w:t>.</w:t>
      </w:r>
      <w:r>
        <w:rPr>
          <w:rFonts w:ascii="Arial" w:cs="Arial" w:eastAsia="Arial" w:hAnsi="Arial"/>
          <w:sz w:val="18"/>
          <w:szCs w:val="18"/>
          <w:color w:val="auto"/>
        </w:rPr>
        <w:t xml:space="preserve"> ASU 2018-07 improves financial reporting for share-based payments issued to nonemployees under ASC 718 by expanding the scope of the employee share-based payments guidance to include share-based payments issued to nonemployees. The amendments in ASU 2018-07 are effective for public companies for fiscal years beginning after December 31, 2018, including interim periods within that fiscal year. The Company adopted ASU 2018-07 as of January 1, 2019 and recorded a one-time cumulative adjustment of $5,717 upon adoption.</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850,330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382,131</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709,272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439,785</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480,324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689,830</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234,151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346,999</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83,402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43,470</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Restructuring accrual (see Note 12)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38,114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793,913</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21,579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retention bonus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521,859</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2,417,172</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8"/>
          <w:szCs w:val="18"/>
          <w:color w:val="auto"/>
        </w:rPr>
        <w:t>As of September 30, 2020 and December 31, 2019, the Company had 300,000,000 shares of authorized common stock with par value of $0.0001 per 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September 30, 2020 and December 31, 2019, the Company had warrants outstanding for the purchase of 600,000 and 917,562 shares, respectively, of the Company’s common stock. In October 2019, the Company issued warrants for the purchase of 600,000 shares of the Company’s common stock at an exercise price of $0.486 per share in connection with the hiring of a strategic advisor consultant for a six-month period. These warrants vested in equal monthly installments over a six-month period beginning October 14, 2019 and expire on October 24, 2024. At the date of grant the fair value of these awards were determined using a Black-Scholes Merton pricing model. Included at December 31,2019 are warrants for the purchase of 317,562 shares of the Company’s common stock at an exercise price of $5.00 per share that were issued in connection with the 2017 Offering and have a three-year term. The 317,562 warrants expired on March 15, 2020, and none were exercised or settled as the fair value of the Company’s common stock was below the exercise price.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ind w:right="100"/>
        <w:spacing w:after="0" w:line="313" w:lineRule="auto"/>
        <w:rPr>
          <w:sz w:val="20"/>
          <w:szCs w:val="20"/>
          <w:color w:val="auto"/>
        </w:rPr>
      </w:pPr>
      <w:r>
        <w:rPr>
          <w:rFonts w:ascii="Arial" w:cs="Arial" w:eastAsia="Arial" w:hAnsi="Arial"/>
          <w:sz w:val="16"/>
          <w:szCs w:val="16"/>
          <w:color w:val="auto"/>
        </w:rPr>
        <w:t>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2020 and December 31, 2019, the Company had 10,000,000 shares of preferred stock, par value $0.0001 per share, in authorized capital. No preferred stock was issued and outstanding at September 30, 2020 and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March 2020, the Company’s Board of Directors approved a 4% increase adding 1,623,520 shares to the 2017 Plan, which was effective as of January 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3"/>
          <w:szCs w:val="13"/>
          <w:color w:val="auto"/>
        </w:rPr>
        <w:t>st</w:t>
      </w:r>
      <w:r>
        <w:rPr>
          <w:rFonts w:ascii="Arial" w:cs="Arial" w:eastAsia="Arial" w:hAnsi="Arial"/>
          <w:sz w:val="16"/>
          <w:szCs w:val="16"/>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No option awards to purchase common stock were granted during the three months ended September 30, 2020 and 2019. Option awards to purchase an aggregate of 962,720 and 4,622,428 shares of common stock were granted in the nine months ended September 30,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2020 and December 31, 2019, 3,570,705 and 1,983,093 shares were reserved for issuance under the 2017 Plan,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nine months ended September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(in Years)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5,335,850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962,720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(1,452,470)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September 30,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1,789,867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Expected to vest, September 30, 2020</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2,219,001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1,086,038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September 30,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2,627,099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Aggregate intrinsic value represents the estimated fair value of the Company’s common stock in excess of the weighted average exercise price multiplied by the number of options outstanding or exercisable.</w:t>
      </w:r>
    </w:p>
    <w:p>
      <w:pPr>
        <w:spacing w:after="0" w:line="3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2020, there was $1,776,807 of unrecognized compensation cost related to stock options, which is expected to be recognized over a weighted average period of 1.80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compensation cost related to stock-based compensation activity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139,544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403,453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386,791</w:t>
            </w: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192,597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491,902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564,496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1,485,454</w:t>
            </w:r>
          </w:p>
        </w:tc>
        <w:tc>
          <w:tcPr>
            <w:tcW w:w="12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332,141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645,899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967,949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1,872,245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and nine months ended September 30, 2020 and 2019 was $0.43 and $1.11 per share, respectively. No options were granted during the three months ended September 30, 2020 and September 30, 2019. The calculation was based on the following assumptions.</w:t>
      </w:r>
    </w:p>
    <w:p>
      <w:pPr>
        <w:sectPr>
          <w:pgSz w:w="11900" w:h="16838" w:orient="portrait"/>
          <w:cols w:equalWidth="0" w:num="1">
            <w:col w:w="11260"/>
          </w:cols>
          <w:pgMar w:left="320" w:top="557" w:right="3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Expected term (years)</w:t>
      </w:r>
    </w:p>
    <w:p>
      <w:pPr>
        <w:spacing w:after="0" w:line="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Risk-free interest rate</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Expected volatility</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Expected dividend yield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Nine Months Ended September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5.92</w:t>
            </w:r>
          </w:p>
        </w:tc>
        <w:tc>
          <w:tcPr>
            <w:tcW w:w="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5.77</w:t>
            </w:r>
          </w:p>
        </w:tc>
      </w:tr>
      <w:tr>
        <w:trPr>
          <w:trHeight w:val="243"/>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0.53%</w:t>
            </w:r>
          </w:p>
        </w:tc>
        <w:tc>
          <w:tcPr>
            <w:tcW w:w="2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2.32%</w:t>
            </w:r>
          </w:p>
        </w:tc>
      </w:tr>
      <w:tr>
        <w:trPr>
          <w:trHeight w:val="25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69.36%</w:t>
            </w:r>
          </w:p>
        </w:tc>
        <w:tc>
          <w:tcPr>
            <w:tcW w:w="2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65.83%</w:t>
            </w:r>
          </w:p>
        </w:tc>
      </w:tr>
      <w:tr>
        <w:trPr>
          <w:trHeight w:val="248"/>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0.00%</w:t>
            </w:r>
          </w:p>
        </w:tc>
        <w:tc>
          <w:tcPr>
            <w:tcW w:w="2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-633730</wp:posOffset>
            </wp:positionV>
            <wp:extent cx="57518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1830" cy="16319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-316865</wp:posOffset>
            </wp:positionV>
            <wp:extent cx="575183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1830" cy="16319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6340" w:space="720"/>
            <w:col w:w="4200"/>
          </w:cols>
          <w:pgMar w:left="320" w:top="557" w:right="31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and nine months ended September 30, 2020 and 2019, due to the Company’s net and comprehensive (loss) income and increases in its deferred tax asset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and Comprehensive (Loss) Income per Share Attributable to Common Stockholders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(loss) income per share (“EPS”) attributable to common stockholders for the periods presented: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rPr>
              <w:t>Net and comprehensive (loss) income per share</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(4,955,023)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(4,647,930)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402,346</w:t>
            </w:r>
          </w:p>
        </w:tc>
        <w:tc>
          <w:tcPr>
            <w:tcW w:w="240" w:type="dxa"/>
            <w:vAlign w:val="bottom"/>
          </w:tcPr>
          <w:p>
            <w:pPr>
              <w:spacing w:after="0"/>
              <w:rPr>
                <w:sz w:val="23"/>
                <w:szCs w:val="23"/>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(18,824,371)</w:t>
            </w:r>
          </w:p>
        </w:tc>
        <w:tc>
          <w:tcPr>
            <w:tcW w:w="0" w:type="dxa"/>
            <w:vAlign w:val="bottom"/>
          </w:tcPr>
          <w:p>
            <w:pPr>
              <w:spacing w:after="0"/>
              <w:rPr>
                <w:sz w:val="1"/>
                <w:szCs w:val="1"/>
                <w:color w:val="auto"/>
              </w:rPr>
            </w:pPr>
          </w:p>
        </w:tc>
      </w:tr>
      <w:tr>
        <w:trPr>
          <w:trHeight w:val="210"/>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Weighted average common shares used in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computing EPS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42,139,493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41,108,942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42,139,493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41,477,388</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Basic and diluted EPS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24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Holders of non-vested stock-based compensation awards do not have voting rights.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weighted average common stock equivalents were excluded from the calculation of basic and diluted net and comprehensive loss per share for the three months ended September 30, 2020 and 2019 because including them would have had an anti-dilutive effect. The following weighted average common stock equivalents were excluded from the calculation of diluted net and comprehensive income per share for the nine months ended September 30, 2020 and basic and diluted net and comprehensive loss per share for the nine months ended September 30, 2020 and 2019 because including them would have had an anti-dilutive effect: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7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4,846,100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6,726,097</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4,020,193</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6,726,097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317,562</w:t>
            </w:r>
          </w:p>
        </w:tc>
        <w:tc>
          <w:tcPr>
            <w:tcW w:w="2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317,562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397"/>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September 30, 2020, the Company is a party to one property lease in Cincinnati, Ohio under an arrangement which provides the right to use the underlying asset and require lease payments for the lease term. During the fourth quarter of 2019, the Company terminated its leases in Lexington, Massachusetts and Dexter, Michigan; no penalties were incurred related to these terminations. The Cincinnati, Ohio lease agreement obligates the Company to pay real estate taxes, insurance and certain maintenance costs (hereinafter referred to as non-lease components). The Company’s lease arrangement contains a renewal provision of 5 years, exercisable at the Company’s option. The Company’s lease agreement does not contain any material residual value guarantees or material restrictive covenants.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condensed consolidated statements of operations and comprehensive (loss)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and operating lease liabilities: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800" w:type="dxa"/>
            <w:vAlign w:val="bottom"/>
          </w:tcPr>
          <w:p>
            <w:pPr>
              <w:spacing w:after="0"/>
              <w:rPr>
                <w:sz w:val="20"/>
                <w:szCs w:val="20"/>
                <w:color w:val="auto"/>
              </w:rPr>
            </w:pPr>
            <w:r>
              <w:rPr>
                <w:rFonts w:ascii="Arial" w:cs="Arial" w:eastAsia="Arial" w:hAnsi="Arial"/>
                <w:sz w:val="18"/>
                <w:szCs w:val="18"/>
                <w:color w:val="auto"/>
              </w:rPr>
              <w:t>Average rent expense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28,357</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62,086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85,072</w:t>
            </w:r>
          </w:p>
        </w:tc>
        <w:tc>
          <w:tcPr>
            <w:tcW w:w="3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186,226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w:t>
            </w:r>
          </w:p>
        </w:tc>
        <w:tc>
          <w:tcPr>
            <w:tcW w:w="3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29,625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87,915</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measurement of operating lease liabilities</w:t>
            </w:r>
          </w:p>
        </w:tc>
        <w:tc>
          <w:tcPr>
            <w:tcW w:w="32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62,634</w:t>
            </w:r>
          </w:p>
        </w:tc>
        <w:tc>
          <w:tcPr>
            <w:tcW w:w="50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The weighted average remaining lease term and</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discount rate at September 30, 2020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Weighted-average remaining lease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term – operating leases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Weighted-average discount rate – operating leases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13.28%</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future payments related to operating leases activities are presented in the table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40" w:type="dxa"/>
            <w:vAlign w:val="bottom"/>
          </w:tcPr>
          <w:p>
            <w:pPr>
              <w:jc w:val="center"/>
              <w:ind w:left="242"/>
              <w:spacing w:after="0"/>
              <w:rPr>
                <w:sz w:val="20"/>
                <w:szCs w:val="20"/>
                <w:color w:val="auto"/>
              </w:rPr>
            </w:pPr>
            <w:r>
              <w:rPr>
                <w:rFonts w:ascii="Arial" w:cs="Arial" w:eastAsia="Arial" w:hAnsi="Arial"/>
                <w:sz w:val="14"/>
                <w:szCs w:val="14"/>
                <w:b w:val="1"/>
                <w:bCs w:val="1"/>
                <w:color w:val="auto"/>
                <w:w w:val="93"/>
              </w:rPr>
              <w:t>2022 and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 Lease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Thereafter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29,865</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69,685</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Less interest</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36"/>
        </w:trPr>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94,787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Stock Purchase Plan</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2020, the Company’s Board of Directors approved an increase of 350,000 shares to the ESPP, which increase was effective as of January 1, 2020. No shares under the ESPP are outstanding at September 30, 2020 and December 31,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License Agreement</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24, 2018, the Company entered into a license agreement (the “Gossamer License Agreement”) with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Agreement, AKB-4924 was a pipeline program for the Company that completed a Phase 1a clinical trial in healthy volunteers.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12, 2020, the Company entered into Amendment No. 1 to the Gossamer License Agreement (“Amendment No. 1”). Pursuant to Amendment No. 1, Gossamer made a payment to the Company of $15.0 million on May 12, 2020. For the nine months ended September 30, 2020, the Company recognized revenue of $15.0 million based on the terms of Amendment No. 1, and no such revenue was recognized during the three months ended September 30, 2020.</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Agreement and as amended by Amendment No. 1 (collectively, the “Amended Gossamer License Agreement”), Gossamer is obligated to use its commercially reasonable efforts to develop and commercialize licensed products in the United States, two major European countries and Japan for at least one of the initial indications. The Amended Gossamer License Agreement includes an exclusivity provision that prohibits the Company from developing, manufacturing or commercializing, and prohibits Gossamer from clinically developing or commercializing certain HIF stabilizing compounds other than as permitted in the Amended Gossamer License Agreement.</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Amended Gossamer License Agreement, the Company is eligible to receive up to $40.0 million in approval milestone payments related to indications in ulcerative colitis and Crohn’s disease, and up to $50.0 million in sales milestone payments. The Company is also eligible to receive the tiered royalties on sales of licensed products from percentages ranging from a low-single-digit to mid-single-digit, subject to certain customary reductions.</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under certain circumstances, in lieu of receiving the foregoing milestone payments and royalties, the Company may elect to receive 20%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in which case each of the royalty rate percentages described above would automatically be increased by low single digits). Conversely, the Company could be required to accept such 20% of those payments if Gossamer agrees to pay the Company a certain minimum upon Gossamer and its stockholders being paid. Such amount may be reduced if the transaction includes pharmaceutical candidates or products or other named asset categories in addition to the licensed products.</w:t>
      </w:r>
    </w:p>
    <w:p>
      <w:pPr>
        <w:spacing w:after="0" w:line="5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Amended Gossamer License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Gossamer may terminate the Amended Gossamer License Agreement in the event Gossamer determines there is a potential safety or efficacy issue with the licensed products. The Company may terminate the Amended Gossamer License Agreement if Gossamer institutes certain actions related to the licensed patents. Under certain termination circumstances, the Company would have worldwide rights to the terminated program.</w:t>
      </w:r>
    </w:p>
    <w:p>
      <w:pPr>
        <w:spacing w:after="0" w:line="5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September 30, 2020 and 2019, all development milestones, sales-based milestones and royalty payments within the Amended Gossamer License Agreement are constrained to the point where no transaction price has been allocated to the future milestones or royalty payments.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April 2019, the Company executed a realignment plan to reduce operating costs and better align its workforce with the needs of its ongoing business and in October 2019, the Company’s Chief Executive Officer and Chief Financial Officer departed from their positions. As a result, the Company recorded employee severance (benefit) expense of ($38,810) and $0.9 million during the three and nine months ended September 30, 2019, respectively, and an additional $1.0 million in the three months ended December 31, 2019. The severance liability as of December 31, 2019 was approximately $0.8 million and was included in accounts payable and accrued expenses in the condensed consolidated balance sheet.</w:t>
      </w:r>
    </w:p>
    <w:p>
      <w:pPr>
        <w:spacing w:after="0" w:line="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cash payments against the severance liability was approximately $0.2 million and $0.8 million in the three and nine months ended September 30, 2020, respectively. The remaining liability as of September 30, 2020, was approximately $38,000 and is included in accounts payable and accrued expenses in the condensed consolidated balance sheet. These amounts were paid in cash in October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Quarterly Report on Form 10-Q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8"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exploration of strategic alternatives;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880" w:right="1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including with Gossamer, as well as the expected benefits from such collaboration;</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w:t>
      </w:r>
    </w:p>
    <w:p>
      <w:pPr>
        <w:spacing w:after="0" w:line="117"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ultimate impact of the current coronavirus pandemic (“COVID-19”), or any other health epidemic, on our business, our clinical trials, our research programs, healthcare systems or the global economy as a whole;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material risks and uncertainties, including those listed under the caption “Risk Factors” in this Quarterly Report on Form 10-Q.</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or furnished to the U.S. Securities and Exchange Commission (“SEC”) completely and with the understanding that our actual future results may be materially different from any future results expressed or implied by these forward-looking statements.</w:t>
      </w:r>
    </w:p>
    <w:p>
      <w:pPr>
        <w:spacing w:after="0" w:line="7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unaudited condensed consolidated financial statements and the notes to those statements included in this Quarterly Report on Form 10-Q as of and for the period ended September 30, 2020 and our audited consolidated financial statements and related notes thereto for the year ended December 31, 2019 included in our Annual Report on Form 10-K for the year ended December 31, 2019, which was filed with the SEC on March 16, 2020.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2019 filed with the SEC on March 16, 2020, as updated by the risk factors contained this Quarterly Report on Form 10-Q and our other filings with the SEC, for a discussion of important factors that could cause actual results to differ materially from the results described in or implied by the forward-looking statements contained in the following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Aerpio Pharmaceuticals, Inc. is a biopharmaceutical company focused on developing compounds that activate Tie2 to treat ocular diseases and diabetic complications, as well as other indications in which the Company believes that activation of Tie2 may have therapeutic potential, including acute respiratory distress syndrome (“ARDS”) associated with a novel strain of coronavirus (“COVID-19”) infections.</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2019, we announced topline results from our Phase 2b (“TIME-2b”) clinical trial of AKB-9778 (also known as razuprotafib) for the treatment of non-proliferative diabetic retinopathy. Although the results did not meet the study’s primary endpoint, the TIME-2b study further supported the reduction of intraocular pressure (“IOP”) seen with subcutaneous razuprotafib in the previous TIME-2 study. Importantly, IOP is the only identifiable modifiable risk factor for prevention of vision loss in patients with open angle glaucoma (“OAG”) and ocular hypertension (“OHT”). Moreover, recently published mouse and human genetic data implicate the Angpt/Tie2 pathway in maintenance of Schlemm’s canal, a critical component of the conventional outflow tract. The conventional outflow tract is the main conduit for the fluid drainage from the front of the eye and the principle regulator of IOP. Based on these findings, we developed a topical ocular formulation of razuprotafib, and observed in preclinical studies activation of Tie2 in Schlemm’s canal, IOP reduction via enhanced outflow facility and favorable tolerability.</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2019, we initiated a double-masked, multiple-ascending dose Phase 1b clinical trial for OAG. We enrolled four cohorts of 12 subjects each and subjects received increasing daily doses of a topical ocular formulation of razuprotafib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razuprotafib was well tolerated. Compared to placebo, there was a dose dependent increase in minimal to mild conjunctival hyperemia with razuprotafib, which was transient and generally considered non-adverse, and a time and dose dependent reduction in IOP that, in the highest once daily (“QD”) dose cohort peaked at 4 hours post-dose and was sustained through eight hours on day 7, returning to baseline levels at 24 hours post-dose. Based on these data, a cohort of 43 patients with OHT/OAG (hypertensive eyes) was added to the ongoing study to assess safety and pilot efficacy in the target patient population.</w:t>
      </w:r>
    </w:p>
    <w:p>
      <w:pPr>
        <w:spacing w:after="0" w:line="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January 2020, we announced the results of the fifth cohort of subjects noting subjects in cohort five randomized to the active arm exhibited statistically significant decreases in IOP at all post razuprotafib administration time points on both days 1 and 7 compared with day -1 baseline values when they were being treated with prostaglandin alone. When the change is placebo-corrected, razuprotafib plus prostaglandin versus prostaglandin alone produced a statistically significant decrease in IOP on Day 7 at 0, 4 and 8 hours post dose as compared to placebo. We believe these results suggest a persistent IOP-lowering activity from adding razuprotafib to standard-of-care prostaglandin therapy. Topical ocular administration of razuprotafib was well tolerated over seven days in cohort five. There were no reports of conjunctival hemorrhage or pain on instillation during the seven days of dosing and no systemic/non-ocular AEs were observed.</w:t>
      </w:r>
    </w:p>
    <w:p>
      <w:pPr>
        <w:spacing w:after="0" w:line="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Based on the preclinical proof of concept and the results of the Phase 1b trial showing a reduction in IOP in patients with OHT and OAG, we initiated a Phase 2 clinical trial in June 2020 designed to evaluate the safety and efficacy of a topical formulation of razuprotafib in approximately 195 patients followed over a 28-day period. Patients enrolled in the trial will be administered a baseline of latanoprost ophthalmic solution 0.005%, and then randomized in a 1:1:1 fashion to receive adjunctive therapy consisting of placebo, 40 mg/ml razuprotafib once-daily, or 40 mg/ml razuprotafib twice-daily. The primary endpoint of the study is mean diurnal IOP at 28 days in the razuprotafib treated groups compared to the latanoprost monotherapy group. We expect to report topline results from this study in December or possibly early January 2021 to coincide with seasonal healthcare industry conferences, subject to potential delays in subject enrollment and study completion, including due to delays arising from the ongoing COVID-19 pandemic.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280"/>
        <w:spacing w:after="0" w:line="257" w:lineRule="auto"/>
        <w:rPr>
          <w:sz w:val="20"/>
          <w:szCs w:val="20"/>
          <w:color w:val="auto"/>
        </w:rPr>
      </w:pPr>
      <w:r>
        <w:rPr>
          <w:rFonts w:ascii="Arial" w:cs="Arial" w:eastAsia="Arial" w:hAnsi="Arial"/>
          <w:sz w:val="18"/>
          <w:szCs w:val="18"/>
          <w:color w:val="auto"/>
        </w:rPr>
        <w:t>We believe that glaucoma, a serious condition of the eye affecting three million patients in the United States (“U.S.”), is an attractive commercial opportunity. If we develop, obtain marketing approval for and commercialize razuprotafib, our goal is to capture a portion of annual sales for adjunctive glaucoma therapies. We currently estimate that the dollar value of the U.S. glaucoma market is approximately $4 billion dollars per year, and adjunctive therapies represent approximately half of this value. There were approximately 17 million prescriptions written for adjunctive glaucoma therapies in the U.S.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Respiratory Distress Syndrome</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Based on results in preclinical studies and observations in patients in TIME-2 and TIME-2b trials, we believe that a vascular endothelial receptor, Tie2, may play a pivotal role in the defense against microvascular breach in ARDS. We hypothesize that razuprotafib, our lead Tie2 activator, may have therapeutic potential for the treatment of COVID-19 associated ARDS and initiated two Phase 2 trials during 2020.</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May 2020, we were selected by Quantum Leap Healthcare Collaborative to participate in the I-SPY COVID Trial (Investigation of Serial studies to Predict Your COVID Therapeutic Response with biomarker Integration and Adaptive Learning) to evaluate subcutaneous razuprotafib for the treatment of COVID-19 related ARDS in adult patients with critical COVID-19 (ClinicalTrials.gov Identifier: NCT04488081). The trial was initiated during the third quarter of 2020 and trial updates are anticipated in the first half of 2021, subject to potential delays in subject enrollment and study completion, including due to delays arising from the ongoing COVID-19 pandemic.</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August 2020, we announced the receipt of funding to evaluate subcutaneous razuprotafib in a new randomized, investigational trial for the prevention and treatment of ARDS in adult patients with moderate to severe COVID-19 (“RESCUE” trial; ClinicalTrials.gov Identifier: NCT04511650). The RESCUE trial is part of the MTEC-20-09-COVID-19 Treatment Military Infectious Disease Research Program (“MIDRP”). The RESCUE clinical trial was initiated during the third quarter of 2020 and is expected to be completed in the first half of 2021, subject to potential delays in subject enrollment and study completion, including due to delays arising from the ongoing COVID-19 pandemic. The Medical Technology Enterprise Consortium (“MTEC”), a non-profit organization primarily funded by the U.S. Army Medical Research and Development Command, will provide up to $5.1 million of reimbursement related to qualified internal and external spending of the Company, as it relates to the clinical trial. Total anticipated spend of the RESCUE clinical trial is $7.9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Diabetic Kidney Disease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two consecutive trials, TIME-2 and TIME-2b, subcutaneous razuprotafib showed reduction in Urine Albumin-Creatinine Ratio (“UACR”), a measure of progression of diabetic kidney disease. In a post-hoc analysis of the earlier TIME-2 clinical trial, there was a 21% reduction (geometric mean) in UACR from baseline in the razuprotafib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ARP-1536</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ARP-1536, our humanized monoclonal antibody directed at the same target as subcutaneous razuprotafib, is in 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vascular endothelial growth factor (“VEGF”) and vascular endothelial protein tyrosine phosphatase (“VE-PTP”) which is designed to inhibit VEGF activation and activate Tie2. We believe this bispecific antibody has the potential to be an improved treatment for wet AMD and diabetic macular edema via intravitreal injection.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Gossamer License Agreement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(“UC”) patients. Gossamer has progressed GB004 during 2019 by completing the Phase 1 trial in healthy volunteers and initiating a Phase 1b study in ulcerative colitis patients of 28-day duration. Gossamer reported topline results from the Phase 1b study in the second quarter of 2020 and has announced that, subject to developments in the ongoing COVID-19 pandemic, it plans to initiate a 12-week Phase 2 study of GB004 in patients with mild-to-moderate UC in the second half of 2020. Gossamer is responsible for all remaining development and commercial activities for GB004.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160"/>
        <w:spacing w:after="0" w:line="254" w:lineRule="auto"/>
        <w:rPr>
          <w:sz w:val="20"/>
          <w:szCs w:val="20"/>
          <w:color w:val="auto"/>
        </w:rPr>
      </w:pPr>
      <w:r>
        <w:rPr>
          <w:rFonts w:ascii="Arial" w:cs="Arial" w:eastAsia="Arial" w:hAnsi="Arial"/>
          <w:sz w:val="18"/>
          <w:szCs w:val="18"/>
          <w:color w:val="auto"/>
        </w:rPr>
        <w:t>In April 2019, we adopted a realignment plan to reduce operating costs and better align our workforce with the needs of our ongoing business and in October 2019, our Chief Executive Officer and Chief Financial and Business Officer departed from their positions. As a result, we recorded severance (benefit) and expense of ($38,810) and $0.9 million during the three and nine months ended September 30, 2019, respectively, and an additional $1.0 million in the three months ended December 31, 2019 for employee related costs, including severance benefits and payment of healthcare insurance premiums. Additionally, we recorded a one-time stock-based compensation cumulative reversal of $1.1 million during the year ended December 31, 2019 for the forfeitures of outstanding equity awards. The total remaining liability under these severance-related actions was $38,000 as of September 30, 2020 and was paid in October 2020.</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source of liquidity to date has been through public and private sales of our common stock, redeemable convertible preferred stock, convertible debt and the proceeds from a license agreement entered into with Gossamer (the “Gossamer License Agreement”), as amended by that certain Amendment No. 1 to the Gossamer License Agreement (“Amendment No. 1” and together with the Gossamer License Agreement, as amended by Amendment No. 1, the “Amended Gossamer License Agreement”). For the three and nine months ended September 30, 2020, we generated $0.0 and $15.0 million, respectively, in revenue pursuant to Amendment No. 1.</w:t>
      </w:r>
    </w:p>
    <w:p>
      <w:pPr>
        <w:spacing w:after="0" w:line="8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5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Except for the Amended Gossamer License Agreement that we entered into with Gossamer in June 2018 and amended in May 2020,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Amended Gossamer License Agreement, transition services or from our product candidates. Our product candidates are subject to long development cycles, and there is no assurance we will be able to successfully develop, obtain regulatory approval for, or market our product candidates. As of September 30, 2020, we had an accumulated deficit of $141.8 million and anticipate incurring additional losses for the next several years.</w:t>
      </w:r>
    </w:p>
    <w:p>
      <w:pPr>
        <w:spacing w:after="0" w:line="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$47.3 million at September 30, 2020 and financial condition as of this Quarterly Report on Form 10-Q, we believe our existing cash and cash equivalent will be sufficient to fund currently planned operations through the fourth quarter of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COVID-19 pandemic is evolving, and to date has led to the implementation of various responses, including government-imposed quarantines, stay-at-home orders, travel restrictions, mandated business closures and other public health safety measures. In addition, in response to the spread of COVID-19, we have continued to keep our executive offices closed with our employees continue to work outside of our offices. We are closely monitoring the impact of COVID-19 on all aspects of our business, including how it may impact our planned Phase 2 clinical trial for our glaucoma program, expected timelines and costs on an ongoing basis. We do not yet know the full extent of potential delays or the impact on our business, our planned clinical trial, our research programs, healthcare systems or the global economy and we cannot presently predict the scope and severity of any potential business shutdowns or disruptions. The extent to which COVID-19 ultimately impacts our business, results of operations and financial condition will depend on future developments, which remain highly uncertain and cannot be predicted with confidence, such as the duration of the outbreak, new information that may emerge concerning the severity of COVID-19 or the effectiveness of actions to contain COVID-19 or treat its impact, among others. While some states and jurisdictions have started to rollback stay-at-home orders, quarantines and similar restrictions and reopened in phases, the regulations vary on a state by state basis and the impact of loosening of those restrictions is not yet known. If we or any of the third parties with whom we engage were to experience additional shutdowns or other prolonged business disruptions, our ability to conduct our business in the manner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300"/>
        <w:spacing w:after="0" w:line="286" w:lineRule="auto"/>
        <w:rPr>
          <w:sz w:val="20"/>
          <w:szCs w:val="20"/>
          <w:color w:val="auto"/>
        </w:rPr>
      </w:pPr>
      <w:r>
        <w:rPr>
          <w:rFonts w:ascii="Arial" w:cs="Arial" w:eastAsia="Arial" w:hAnsi="Arial"/>
          <w:sz w:val="17"/>
          <w:szCs w:val="17"/>
          <w:color w:val="auto"/>
        </w:rPr>
        <w:t>and on the timelines presently planned could have a material adverse impact on our business, results of operation and financial condition. In addition, a recurrence of COVID-19 cases could cause other widespread or more severe impacts depending on where infection rates are highest. We continue to monitor developments as we deal with the disruptions and uncertainties relating to the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income presented herein. The following discussion and analysis are based on the Company’s condensed consolidated financial statements contained in this Quarterly Report on Form 10-Q, which we have prepared in accordance with U.S. generally accepted accounting principles (“U.S. GAAP” or “GAAP”). You should read the discussion and analysis together with such condensed consolidated financial statements and the related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relates to payments received pursuant to the license agreement with Gossamer.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continue to invest in basic research and clinical development of our product candidates, we expect research and development expenses to increase in absolute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growing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(Benefit) Expense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Restructuring (benefit) expense consists primarily of severance related expenses of employees terminated as a result of our restructuring efforts. Expenses include continued payroll, benefits and outplacement services (collectively “severance”) as defined and agreed upon by the respective employees’ severance agreement. Severance was recognized as restructuring expense in 2019 when employees were notified of the restructuring event with a corresponding restructuring accrual which was reduced as payments were made to the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Other income represents reimbursed internal and external qualified expenses, per the terms of the MTEC arrangement, related to the ARDS RESCUE clinical trial. Other income is recorded, and generally received, in the period the internal or external qualified clinical trial as we incur and pay expenses.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2020 and 2019</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29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3,985,988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2,844,603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9,363,602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10,695,109</w:t>
            </w:r>
          </w:p>
        </w:tc>
        <w:tc>
          <w:tcPr>
            <w:tcW w:w="120" w:type="dxa"/>
            <w:vAlign w:val="bottom"/>
            <w:shd w:val="clear" w:color="auto" w:fill="CFF0FC"/>
          </w:tcPr>
          <w:p>
            <w:pPr>
              <w:spacing w:after="0"/>
              <w:rPr>
                <w:sz w:val="19"/>
                <w:szCs w:val="19"/>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1,875,415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2,160,845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6,356,821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8,215,456</w:t>
            </w:r>
          </w:p>
        </w:tc>
        <w:tc>
          <w:tcPr>
            <w:tcW w:w="12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(benefit) expense</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876,284</w:t>
            </w:r>
          </w:p>
        </w:tc>
        <w:tc>
          <w:tcPr>
            <w:tcW w:w="120" w:type="dxa"/>
            <w:vAlign w:val="bottom"/>
            <w:shd w:val="clear" w:color="auto" w:fill="CFF0FC"/>
          </w:tcPr>
          <w:p>
            <w:pPr>
              <w:spacing w:after="0"/>
              <w:rPr>
                <w:sz w:val="19"/>
                <w:szCs w:val="19"/>
                <w:color w:val="auto"/>
              </w:rPr>
            </w:pPr>
          </w:p>
        </w:tc>
      </w:tr>
      <w:tr>
        <w:trPr>
          <w:trHeight w:val="223"/>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5,861,403</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4,966,638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15,720,423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19,786,849</w:t>
            </w:r>
          </w:p>
        </w:tc>
        <w:tc>
          <w:tcPr>
            <w:tcW w:w="120" w:type="dxa"/>
            <w:vAlign w:val="bottom"/>
            <w:tcBorders>
              <w:bottom w:val="single" w:sz="8" w:color="CFF0FC"/>
            </w:tcBorders>
          </w:tcPr>
          <w:p>
            <w:pPr>
              <w:spacing w:after="0"/>
              <w:rPr>
                <w:sz w:val="19"/>
                <w:szCs w:val="19"/>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(5,861,403)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(4,966,638)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(720,423)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(19,786,849)</w:t>
            </w:r>
          </w:p>
        </w:tc>
        <w:tc>
          <w:tcPr>
            <w:tcW w:w="120" w:type="dxa"/>
            <w:vAlign w:val="bottom"/>
            <w:shd w:val="clear" w:color="auto" w:fill="CFF0FC"/>
          </w:tcPr>
          <w:p>
            <w:pPr>
              <w:spacing w:after="0"/>
              <w:rPr>
                <w:sz w:val="19"/>
                <w:szCs w:val="19"/>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Grant income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99,574</w:t>
            </w:r>
          </w:p>
        </w:tc>
        <w:tc>
          <w:tcPr>
            <w:tcW w:w="12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897,378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897,378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145,491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862,904</w:t>
            </w:r>
          </w:p>
        </w:tc>
        <w:tc>
          <w:tcPr>
            <w:tcW w:w="120" w:type="dxa"/>
            <w:vAlign w:val="bottom"/>
            <w:tcBorders>
              <w:bottom w:val="single" w:sz="8" w:color="CFF0FC"/>
            </w:tcBorders>
          </w:tcPr>
          <w:p>
            <w:pPr>
              <w:spacing w:after="0"/>
              <w:rPr>
                <w:sz w:val="19"/>
                <w:szCs w:val="19"/>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906,380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1,122,769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962,478</w:t>
            </w:r>
          </w:p>
        </w:tc>
        <w:tc>
          <w:tcPr>
            <w:tcW w:w="120" w:type="dxa"/>
            <w:vAlign w:val="bottom"/>
            <w:shd w:val="clear" w:color="auto" w:fill="CFF0FC"/>
          </w:tcPr>
          <w:p>
            <w:pPr>
              <w:spacing w:after="0"/>
              <w:rPr>
                <w:sz w:val="19"/>
                <w:szCs w:val="19"/>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w w:val="97"/>
              </w:rPr>
              <w:t>Net and comprehensive (loss) income</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(4,955,023)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(4,647,930)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(18,824,371)</w:t>
            </w:r>
          </w:p>
        </w:tc>
        <w:tc>
          <w:tcPr>
            <w:tcW w:w="12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jc w:val="both"/>
        <w:ind w:right="680"/>
        <w:spacing w:after="0" w:line="308" w:lineRule="auto"/>
        <w:rPr>
          <w:sz w:val="20"/>
          <w:szCs w:val="20"/>
          <w:color w:val="auto"/>
        </w:rPr>
      </w:pPr>
      <w:r>
        <w:rPr>
          <w:rFonts w:ascii="Arial" w:cs="Arial" w:eastAsia="Arial" w:hAnsi="Arial"/>
          <w:sz w:val="17"/>
          <w:szCs w:val="17"/>
          <w:color w:val="auto"/>
        </w:rPr>
        <w:t>License revenue for the three and nine months ended September 30, 2020 was $0.0 and $15.0 million, respectively, related to payment received as consideration pursuant to Amendment No. 1. This revenue was recognized when cash was received on May 12, 2020.</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 such license agreement amendment was executed in 2019, nor were any milestones of the Gossamer License Agreement achieved in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3,985,988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2,844,603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9,363,602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10,695,109</w:t>
            </w:r>
          </w:p>
        </w:tc>
        <w:tc>
          <w:tcPr>
            <w:tcW w:w="12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1,875,415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2,160,845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6,356,821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8,215,456</w:t>
            </w:r>
          </w:p>
        </w:tc>
        <w:tc>
          <w:tcPr>
            <w:tcW w:w="12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(benefit) expense</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876,284</w:t>
            </w:r>
          </w:p>
        </w:tc>
        <w:tc>
          <w:tcPr>
            <w:tcW w:w="120" w:type="dxa"/>
            <w:vAlign w:val="bottom"/>
            <w:shd w:val="clear" w:color="auto" w:fill="CFF0FC"/>
          </w:tcPr>
          <w:p>
            <w:pPr>
              <w:spacing w:after="0"/>
              <w:rPr>
                <w:sz w:val="19"/>
                <w:szCs w:val="19"/>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5,861,403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15,720,423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19,786,849</w:t>
            </w:r>
          </w:p>
        </w:tc>
        <w:tc>
          <w:tcPr>
            <w:tcW w:w="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2020, increased by approximately $1.1 million or 40.1%, compared to the three months ended September 30, 2019. This was the result of increased spending on clinical trials during the three months ended September 30, 2020, specifically the Phase 2 program for glaucoma, and the I-SPY and RESCUE clinical trials, compared to spending related to the glaucoma Phase 1b clinical trial during the same period in 2019.</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expenses for the nine months ended September 30, 2020, decreased approximately $1.3 million or 12.4%, compared to the nine months ended September 30, 2019. This was the result of decreased spending on clinical trials during the nine months ended September 30, 2020 compared to the two trials in process during the same period in 2019, specifically the completion of razuprotafib TIME-2b and glaucoma Phase 1b clinical trials.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General and administrative expenses for the three months ended September 30, 2020, decreased by approximately $0.3 million, or 13.2%, compared to the three months ended September 30, 2019. This decrease was primarily attributable to a decrease in employee related expenses.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7"/>
          <w:szCs w:val="17"/>
          <w:color w:val="auto"/>
        </w:rPr>
        <w:t>General and administrative expenses for the nine months ended September 30, 2020, decreased by approximately $1.9 million, or 22.6%, compared to the nine months ended September 30, 2019. This decrease was primarily attributable to a decrease in employee related expenses of $0.5 million, legal expenses of $0.3 million, stock-based compensation of $0.9 million and general office expenses of $0.2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(Benefit) Expense</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Restructuring (benefit) expense for the three and nine months ended September 30, 2019 was ($38,810) and $0.9 million, respectively. The credit in the three months ended September 30, 2019 relates to a one-time true up of the expense recorded as a result of a reduction of headcount during the second quarter of 2019. No such actions were taken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6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19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Grant income</w:t>
            </w:r>
          </w:p>
        </w:tc>
        <w:tc>
          <w:tcPr>
            <w:tcW w:w="6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79,303</w:t>
            </w:r>
          </w:p>
        </w:tc>
        <w:tc>
          <w:tcPr>
            <w:tcW w:w="3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79,900</w:t>
            </w:r>
          </w:p>
        </w:tc>
        <w:tc>
          <w:tcPr>
            <w:tcW w:w="3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Other income</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897,378</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897,378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9,002</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239,405</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145,491</w:t>
            </w:r>
          </w:p>
        </w:tc>
        <w:tc>
          <w:tcPr>
            <w:tcW w:w="3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862,904</w:t>
            </w:r>
          </w:p>
        </w:tc>
        <w:tc>
          <w:tcPr>
            <w:tcW w:w="100" w:type="dxa"/>
            <w:vAlign w:val="bottom"/>
            <w:shd w:val="clear" w:color="auto" w:fill="CFF0FC"/>
          </w:tcPr>
          <w:p>
            <w:pPr>
              <w:spacing w:after="0"/>
              <w:rPr>
                <w:sz w:val="19"/>
                <w:szCs w:val="19"/>
                <w:color w:val="auto"/>
              </w:rPr>
            </w:pPr>
          </w:p>
        </w:tc>
      </w:tr>
      <w:tr>
        <w:trPr>
          <w:trHeight w:val="223"/>
        </w:trPr>
        <w:tc>
          <w:tcPr>
            <w:tcW w:w="1980" w:type="dxa"/>
            <w:vAlign w:val="bottom"/>
          </w:tcPr>
          <w:p>
            <w:pPr>
              <w:spacing w:after="0"/>
              <w:rPr>
                <w:sz w:val="20"/>
                <w:szCs w:val="20"/>
                <w:color w:val="auto"/>
              </w:rPr>
            </w:pPr>
            <w:r>
              <w:rPr>
                <w:rFonts w:ascii="Arial" w:cs="Arial" w:eastAsia="Arial" w:hAnsi="Arial"/>
                <w:sz w:val="18"/>
                <w:szCs w:val="18"/>
                <w:color w:val="auto"/>
              </w:rPr>
              <w:t>Total other income</w:t>
            </w:r>
          </w:p>
        </w:tc>
        <w:tc>
          <w:tcPr>
            <w:tcW w:w="64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906,380</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318,708</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1,122,769</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962,478</w:t>
            </w:r>
          </w:p>
        </w:tc>
        <w:tc>
          <w:tcPr>
            <w:tcW w:w="10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income for the three and nine months ended September 30, 2020 of $0.9 million represents reimbursed internal and external qualified expenses related to the ARDS RESECUE clinical trial, per the terms of the MTEC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income in the three and nine months ended September 30, 2020 and 2019, reflects interest earned on short term money market instruments. The net proceeds from our underwritten public offering in June 2018, sale of Company stock and payments received in conjunction with the execution of the Gossamer License Agreement in June 2018 and Amendment No. 1 in May 2020, less cash used in operations, were available for investment. The decrease in interest income in 2020 was due primarily to lower interest rates compared to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Since inception, we have incurred significant net and comprehensive losses and negative cash flows from operations. For the nine months ended September 30, 2020 and 2019, we had net and comprehensive income (loss) of $0.4 million and ($18.8) million, respectively. At September 30, 2020 and December 31, 2019, we had an accumulated deficit of $141.8 and $142.2 million, respectively.</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September 30, 2020, we had cash and cash equivalents of $47.3 million. To date, we have financed our operations principally through private and public offerings of our equity securities, private placements of our redeemable convertible preferred stock, common stock, issuances of secured convertible promissory notes and proceeds from the Amended Gossamer License Agreement and Amendment No. 1 thereto. Based on our current plans, we expect that our existing cash and cash equivalents, will enable us to conduct our planned operations through the fourth quarter of 2022.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20"/>
        <w:spacing w:after="0" w:line="255" w:lineRule="auto"/>
        <w:rPr>
          <w:sz w:val="20"/>
          <w:szCs w:val="20"/>
          <w:color w:val="auto"/>
        </w:rPr>
      </w:pPr>
      <w:r>
        <w:rPr>
          <w:rFonts w:ascii="Arial" w:cs="Arial" w:eastAsia="Arial" w:hAnsi="Arial"/>
          <w:sz w:val="18"/>
          <w:szCs w:val="18"/>
          <w:color w:val="auto"/>
        </w:rPr>
        <w:t>In February 2018, we filed a shelf registration statement on Form S-3 with the SEC which was declared effective by the SEC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of common stock under the Sales Agreement.</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three months ended September 30, 2020, 6,523,655 shares of common stock had been sold under this Sales Agreement and received net proceeds of $9.3 million, after deducting expenses of approximately $403,000 (including sales agent compensation of approximately $292,000) that were direct and incremental to the sale of the Company’s common stock.</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 Company continues to explore strategic alternatives; however, there can be no assurance that the exploration of strategic alternatives will result in any transaction or other alternative.</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Market volatility resulting from COVID-19 or other factors could also adversely impact our ability to access capital as and when needed.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6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74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7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(564,367)</w:t>
            </w:r>
          </w:p>
        </w:tc>
        <w:tc>
          <w:tcPr>
            <w:tcW w:w="3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(18,987,454)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(19,025)</w:t>
            </w:r>
          </w:p>
        </w:tc>
        <w:tc>
          <w:tcPr>
            <w:tcW w:w="46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(236,953)</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9,340,842</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8,757,450</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(19,224,407)</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historically experienced negative cash outflows as we developed razuprotafib and our pipeline programs. Our net cash used in operating activities primarily results from our net (loss) income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w:t>
      </w:r>
    </w:p>
    <w:p>
      <w:pPr>
        <w:spacing w:after="0" w:line="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For the nine months ended September 30, 2020, operating activities used $0.6 million in cash as result of $2.1 million decrease in working capital offset by approximately $0.4 million of net income and $1.1 million in non-cash expenses related to stock-based compensation and depreciation expense. For the nine months ended September 30, 2019, operating activities used $19.0 million in cash as a result of $2.1 million decrease in working capital and $18.8 million net loss offset by approximately $1.9 million in non-cash expenses related to stock-based compensation and depreciation expense.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for the nine months ended September 30, 2020 and 2019, was related to capital expenditures to support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nine months ended September 30, 2020, we received $9.3 million net proceeds from the sale of our common stock sold under the Sales Agreement with Cantor. No such activity occurred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have been no material changes outside the ordinary course of business during the period covered by this Quarterly Report on Form 10-Q from the contractual obligations and commitments as of December 31, 2019 as described in our Annual Report on Form 10-K filed with the SEC on March 16,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2020 and December 31, 2019, we did not have any off-balance sheet arrangements as defined by applicable SEC regulations.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further information on all our significant accounting policies, see the notes to our condensed consolidated financial statements appearing elsewhere in this Quarterly Report on Form 10-Q and our Annual Report on Form 10-K filed with the SEC on March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our principal financial officer, we conducted an evaluation of the effectiveness of our disclosure controls and procedures as of September 30, 2020, the end of the period covered by this Quarterly Report on Form 10-Q. The term “disclosure controls and procedures,” as set forth in Rules 13a-15€ and 15d-15(e) under the Securities Exchange Act of 1934, as amended,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222222"/>
        </w:rPr>
        <w:t>During the quarter ended September 30, 2020,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As of the date of this Quarterly Report on Form 10-Q,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and in other documents that we file with the SEC should be carefully considered. The risks and uncertainties summarized above and described below are not intended to be exhaustive and are not the only ones we face. Additional risks and uncertainties not presently known to us or that we presently deem immaterial may also materially impair our business operations. Please see page 18 of this Quarterly Report on Form 10-Q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188" w:lineRule="exact"/>
        <w:rPr>
          <w:sz w:val="20"/>
          <w:szCs w:val="20"/>
          <w:color w:val="auto"/>
        </w:rPr>
      </w:pPr>
    </w:p>
    <w:p>
      <w:pPr>
        <w:ind w:right="2160"/>
        <w:spacing w:after="0" w:line="378" w:lineRule="auto"/>
        <w:rPr>
          <w:sz w:val="20"/>
          <w:szCs w:val="20"/>
          <w:color w:val="auto"/>
        </w:rPr>
      </w:pPr>
      <w:r>
        <w:rPr>
          <w:rFonts w:ascii="Arial" w:cs="Arial" w:eastAsia="Arial" w:hAnsi="Arial"/>
          <w:sz w:val="18"/>
          <w:szCs w:val="18"/>
          <w:b w:val="1"/>
          <w:bCs w:val="1"/>
          <w:color w:val="auto"/>
        </w:rPr>
        <w:t xml:space="preserve">Risks Related to Our Business and the Clinical Development, Regulatory Review and Approval of Product Candidates </w:t>
      </w:r>
      <w:r>
        <w:rPr>
          <w:rFonts w:ascii="Arial" w:cs="Arial" w:eastAsia="Arial" w:hAnsi="Arial"/>
          <w:sz w:val="18"/>
          <w:szCs w:val="18"/>
          <w:u w:val="single" w:color="auto"/>
          <w:color w:val="auto"/>
        </w:rPr>
        <w:t>Risks Related to the COVID-19 Pandemic</w:t>
      </w: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Broad-based business or economic disruptions could adversely affect our ongoing or planned research and development activities. For example, in December 2019, an outbreak of a novel strain of coronavirus originated in Wuhan, China, and has since spread to other regions and countries worldwide. In March 2020, the World Health Organization declared the COVID-19 outbreak a pandemic, and the U.S. government-imposed travel restrictions on travel between the United States, Europe and certain other countries. To date, the 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other public health safety measures. Such orders, restrictions and recommendations, and the perception that additional orders, restrictions or recommendations could occur, have resulted in widespread closures of businesses not deemed “essential,” work stoppages, slowdowns and delays, work-from-home policies, travel restrictions and cancellation of events, as well as record declines in stock prices, among other effects. Although some states are starting to relax quarantines and similar restrictions, the regulations vary on a state by state basis and the impact of loosening of those restrictions is not yet known.</w:t>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extent to which COVID-19 may impact our preclinical studies or clinical trial operations will depend on future developments, which are highly uncertain and cannot be predicted with confidence, such as the duration of the outbreak, the severity of COVID-19, or the effectiveness of actions to contain and treat COVID-19. For example, while we initiated our ongoing Phase 2 clinical trial of razuprotafib for open angle glaucoma in June 2020, the cost, timeline, completion and conduct of this trial will be subject to potential delays arising from the ongoing COVID-19 pandemic. The continued spread of COVID-19 globally could adversely impact our preclinical studies or clinical trial operations in the United States, including our ability to recruit and retain patients and principal investigators and site staff who, as healthcare providers, may have heightened exposure to COVID-19 if an outbreak occurs in their geography. COVID-19 may also affect employees of third-party CROs located in affected geographies that we rely upon to carry out our clinical trials. Any negative impact COVID-19 has to patient enrollment or treatment or the execution of our current product candidates and any future product candidates could cause costly delays to clinical trial activities, which could adversely affect our ability to obtain regulatory approval for and to commercialize our current product candidate and any future product candidates, increase our operating expenses, and have a material adverse effect on our financial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line="253" w:lineRule="auto"/>
        <w:rPr>
          <w:sz w:val="20"/>
          <w:szCs w:val="20"/>
          <w:color w:val="auto"/>
        </w:rPr>
      </w:pPr>
      <w:r>
        <w:rPr>
          <w:rFonts w:ascii="Arial" w:cs="Arial" w:eastAsia="Arial" w:hAnsi="Arial"/>
          <w:sz w:val="18"/>
          <w:szCs w:val="18"/>
          <w:color w:val="auto"/>
        </w:rPr>
        <w:t>Further, the COVID-19 outbreak may delay enrollment in our clinical trials due to diversion or prioritization of trial site resources away from the conduct of clinical trials and toward the COVID-19 pandemic. Key clinical trial activities, such as site monitoring, may be interrupted due to restrictions in travel, and some patients may be unwilling to enroll in our trials or be unable to comply with clinical trial protocols if quarantines or travel restrictions impede patient movement or interrupt healthcare services, which would delay our ability to conduct clinical trials or release clinical trial results. The spread of COVID-19, or another infectious disease, could also negatively affect the operations at our third-party manufacturers, which could result in delays or disruptions in the supply of our current product candidates and any future product candidates. In addition, we may continue to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timely enrollment in our clinical trials is dependent upon clinical trial sites which may be adversely affected by global health matters, such as pandemics. For example, we are currently conducting our ongoing Phase 2 clinical trial for razuprotafib for open angle glaucoma, and our trial sites are located in geographies that have been affected by COVID-19. Some factors from the COVID-19 outbreak that may adversely affect enrollment in the clinical trials of our product candidates include:</w:t>
      </w:r>
    </w:p>
    <w:p>
      <w:pPr>
        <w:spacing w:after="0" w:line="79" w:lineRule="exact"/>
        <w:rPr>
          <w:sz w:val="20"/>
          <w:szCs w:val="20"/>
          <w:color w:val="auto"/>
        </w:rPr>
      </w:pPr>
    </w:p>
    <w:p>
      <w:pPr>
        <w:ind w:left="740" w:right="1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740" w:right="100" w:hanging="368"/>
        <w:spacing w:after="0" w:line="30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38" w:lineRule="exact"/>
        <w:rPr>
          <w:rFonts w:ascii="Arial" w:cs="Arial" w:eastAsia="Arial" w:hAnsi="Arial"/>
          <w:sz w:val="17"/>
          <w:szCs w:val="17"/>
          <w:color w:val="auto"/>
        </w:rPr>
      </w:pPr>
    </w:p>
    <w:p>
      <w:pPr>
        <w:ind w:left="740" w:right="68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740" w:right="8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16"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We cannot presently predict the scope and severity of any potential business shutdowns or disruptions. If we or any of the third parties with whom we engage were to experience additional shutdowns or other prolonged business disruptions, our ability to conduct our business in the manner and on the timelines presently planned could have a material adverse impact on our business and our results of operation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Clinical Development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lead product candidate, razuprotafib. Even if we obtain favorable clinical results, we may not be able to obtain regulatory approval for, or successfully commercialize, razuprotafib.</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on our lead product candidate, razuprotafib, and our business depends almost entirely on the successful clinical development, regulatory approval and commercialization of that product candidate, which may never occur. In March 2019, we announced topline results of the Phase 2b clinical trial for razuprotafib in the treatment of non-proliferative diabetic retinopathy. While we believed razuprotafib had the potential to slow down or possibly reverse retinal vascular changes caused by diabetes, the subcutaneous administration of razuprotafib twice daily did not meet the study’s primary endpoint of the percentage of patients with an improvement of two or more steps in diabetic retinopathy severity score (DRSS) in the study eye, compared to placebo. In June 2019, we initiated a Phase 1b clinical trial for our lead product candidate, razuprotafib, for a topical drop formulation to treat open angle glaucoma and ocular hypertension. In October 2019, we announced interim results from its Phase 1b clinical trial. The unmasked interim analysis, limited to the first three cohorts, shows the topical ocular administration of razuprotafib was well tolerated. Compared to placebo, there was a dose dependent increase in minimal to mild conjunctival hyperemia with razuprotafib, which was transient and generally considered non-adverse, and a time and dose dependent reduction IOP that, in the highest QD dose cohort peaked at 4 hours post-dose and was sustained through eight hours on day 7, returning to baseline levels at 24 hours post-dose. Based on these data, a cohort of up to 36 patients with OHT/OAG (hypertensive eyes) was added to the ongoing study to assess safety and pilot efficacy in the target patient population, and results were announced in January 2020. These results showed statistically significant decreases in IOP on Day 1 and Day 7 compared to prostaglandin alone. When compared to placebo, razuprotafib plus prostaglandin produced a statistically significant decrease in IOP versus prostaglandin alone on Day 7. Topical ocular administration of razuprotafib was well-tolerated over seven days, with 21.9% of subjects experiencing hyperemia compared with 9.1% of subjects in the prostaglandin alone arm. Based on the preclinical proof of concept and the results of the Phase 1b trial showing a reduction in IOP in patients with OHT and OAG, we initiated our Phase 2 clinical trial in June 2020 and expect to report topline results from the study December or possibly in early January 2021 to coincide with seasonal healthcare industry conference, subject to potential delays in subject enrollment and study completion, including due to the COVID-19 pandemic.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80"/>
        <w:spacing w:after="0" w:line="268" w:lineRule="auto"/>
        <w:rPr>
          <w:sz w:val="20"/>
          <w:szCs w:val="20"/>
          <w:color w:val="auto"/>
        </w:rPr>
      </w:pPr>
      <w:r>
        <w:rPr>
          <w:rFonts w:ascii="Arial" w:cs="Arial" w:eastAsia="Arial" w:hAnsi="Arial"/>
          <w:sz w:val="17"/>
          <w:szCs w:val="17"/>
          <w:color w:val="auto"/>
        </w:rPr>
        <w:t>In addition, in May 2020, we were selected by Quantum Leap Healthcare Collaborative to participate in the I-SPY COVID Trial to evaluate razuprotafib for the treatment of COVID-19 related ARDS in adult patients with critical COVID-19. However, investigation into the therapeutic potential of razuprotafib in this indication is in its early stages and is exploratory, and there can be no assurance that the development of razuprotafib will yield promising results in this indication or that such development will be successful or otherwise proceed on the anticipated timelines or within the anticipated budget. The I-SPY COVID trial is an investigator-sponsored clinical trial, which is being conducted by Quantum Leap. While we have provided input to I-SPY with respect to the razuprotafib arm of the I-SPY COVID clinical trial, we have not controlled and do not control the design or administration of investigator-sponsored clinical trials, nor the submission or approval of any IND or foreign equivalent required to conduct these trials. As a result,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Razuprotafib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a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razuprotafib.</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not permitted to market razuprotafib in the United States until we receive approval of an NDA from the FDA, or in any foreign countries until we receive the requisite approval from such countries. As a condition to submitting an NDA to the FDA for razuprotafib, we must complete our ongoing Phase 2 clinical trial, conduct and complete further Phase 3 clinical trials, and any additional nonclinical studies or clinical trials required by the FDA. To date, we have only completed a Phase 1b clinical trial of razuprotafib in healthy volunteers and in patients with open angle glaucoma or ocular hypertension on standard of care prostaglandin therapy. Razuprotafib may not be successful in clinical trials or receive regulatory approval. Further, razuprotafib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razuprotafib will never obtain regulatory approval. The FDA may delay, limit or deny approval of razuprotafib for many reasons, including, among others:</w:t>
      </w:r>
    </w:p>
    <w:p>
      <w:pPr>
        <w:spacing w:after="0" w:line="64" w:lineRule="exact"/>
        <w:rPr>
          <w:sz w:val="20"/>
          <w:szCs w:val="20"/>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razuprotafib is safe and effective in treating patients with open angle glaucoma and ocular hypertension, or any other indications that may be pursued for the product candidate, to the satisfaction of the FDA;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razuprotafib;</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880" w:right="3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addition, similar reasons may cause the EMA or other regulatory authorities to delay, limit or deny approval of razuprotafib outside the United States.</w:t>
      </w:r>
    </w:p>
    <w:p>
      <w:pPr>
        <w:spacing w:after="0" w:line="14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razuprotafib. Because our business is substantially dependent upon razuprotafib, any such setback in our pursuit of regulatory approval would have a material adverse effect on our business and prospects.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razuprotafib or termination of the clinical trials altogether.</w:t>
      </w:r>
    </w:p>
    <w:p>
      <w:pPr>
        <w:spacing w:after="0" w:line="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razuprotafib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3" w:name="page34"/>
    <w:bookmarkEnd w:id="33"/>
    <w:p>
      <w:pPr>
        <w:ind w:right="160"/>
        <w:spacing w:after="0" w:line="259" w:lineRule="auto"/>
        <w:rPr>
          <w:sz w:val="20"/>
          <w:szCs w:val="20"/>
          <w:color w:val="auto"/>
        </w:rPr>
      </w:pPr>
      <w:r>
        <w:rPr>
          <w:rFonts w:ascii="Arial" w:cs="Arial" w:eastAsia="Arial" w:hAnsi="Arial"/>
          <w:sz w:val="18"/>
          <w:szCs w:val="18"/>
          <w:color w:val="auto"/>
        </w:rPr>
        <w:t>With respect to the investigator-sponsored I-SPY trial to evaluate razuprotafib for its potential to treat ARDS associated with COVID-19, the trial may encounter enrollment challenges due to the large number of product candidates in development for the indication, all of whom compete for patients. Such enrollment challenges may be exacerbated to the extent additional product candidates enter development or the number of COVID-19 patients eligible for evaluation decline.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razuprotafib.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razuprotafib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the results of our ongoing or future clinical trials for razuprotafib are inconclusive with respect to efficacy, if we do not meet our clinical endpoints with statistical significance, or if there are safety concerns or adverse events, we may be prevented from or delayed in obtaining marketing approval for razuprotafib.</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planned clinical development program for razuprotafib,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Risks Related to Regulatory Review and Approval of Product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obtained agreement with the FDA, EMA or other regulatory authorities on the design of our development programs.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we have interacted with the FDA and received feedback from the agency for the design of our ongoing Phase 2 clinical trial of razuprotafib, we have not obtained agreement with the FDA on the design of such trial or any future trials we may conduct for this product candidate. As a result, we have not yet received additional regulatory input on the development program for razuprotafib beyond our ongoing clinical trial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razuprotafib development program could increase materially and the potential market introduction of razuprotafib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not yet sought guidance for the regulatory path for the topical formulation of razuprotafib for open angle glaucoma and ocular hypertension with the FDA, EMA or other regulatory authorities, nor have we interacted with such agencies with respect to the development of razuprotafib for any other indications, including for COVID-19.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razuprotafib, any such delay or increase in costs would have an adverse effect on our business.</w:t>
      </w:r>
    </w:p>
    <w:p>
      <w:pPr>
        <w:spacing w:after="0" w:line="16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w:t>
      </w:r>
    </w:p>
    <w:p>
      <w:pPr>
        <w:spacing w:after="0" w:line="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1"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5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conducting mission critical domestic and foreign inspections to ensure compliance of manufacturing facilities with FDA quality standards. On July 10, 2020, the FDA announced its goal of restarting domestic on-site inspections during the week of July 20, 2020, but such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w:t>
      </w:r>
    </w:p>
    <w:p>
      <w:pPr>
        <w:spacing w:after="0" w:line="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completed. Regulatory authorities outside the U.S. may adopt similar restrictions or other policy measures in response to the COVID-19 pandemic and may experience delays in their regulatory activities.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Protecting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right="2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400"/>
        <w:spacing w:after="0" w:line="263" w:lineRule="auto"/>
        <w:rPr>
          <w:sz w:val="20"/>
          <w:szCs w:val="20"/>
          <w:color w:val="auto"/>
        </w:rPr>
      </w:pPr>
      <w:r>
        <w:rPr>
          <w:rFonts w:ascii="Arial" w:cs="Arial" w:eastAsia="Arial" w:hAnsi="Arial"/>
          <w:sz w:val="18"/>
          <w:szCs w:val="18"/>
          <w:color w:val="auto"/>
        </w:rPr>
        <w:t>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6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our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160"/>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razuprotafib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180"/>
        <w:spacing w:after="0" w:line="311" w:lineRule="auto"/>
        <w:rPr>
          <w:sz w:val="20"/>
          <w:szCs w:val="20"/>
          <w:color w:val="auto"/>
        </w:rPr>
      </w:pPr>
      <w:r>
        <w:rPr>
          <w:rFonts w:ascii="Arial" w:cs="Arial" w:eastAsia="Arial" w:hAnsi="Arial"/>
          <w:sz w:val="16"/>
          <w:szCs w:val="16"/>
          <w:color w:val="auto"/>
        </w:rPr>
        <w:t>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Employee Matters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highly dependent on members of our senior management, including Joseph Gardner, our President and Founder and former Chief Executive Officer, Kevin G. Peters, our Chief Scientific Officer and acting Chief Medical Officer, and Regina Marek, our Vice President of Finance. The loss of the services of any of these persons could impede the achievement of our research, development and commercialization objectives.</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April 2019, we adopted a realignment plan to reduce operating costs and better align our workforce with the needs of our ongoing business. The realignment plan reduced our workforce by 11 employees, representing approximately 41% of our workforce. As a result, while we have undertaken efforts to retain our current employees, we may experience challenges in doing so.</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00"/>
        <w:spacing w:after="0" w:line="255" w:lineRule="auto"/>
        <w:rPr>
          <w:sz w:val="20"/>
          <w:szCs w:val="20"/>
          <w:color w:val="auto"/>
        </w:rPr>
      </w:pPr>
      <w:r>
        <w:rPr>
          <w:rFonts w:ascii="Arial" w:cs="Arial" w:eastAsia="Arial" w:hAnsi="Arial"/>
          <w:sz w:val="18"/>
          <w:szCs w:val="18"/>
          <w:color w:val="auto"/>
        </w:rPr>
        <w:t>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Operations and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razuprotafib,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ongoing Phase 2 clinical trial for razuprotafib.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8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5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Further, if these third parties experience disruptions due to the COVID-19 pandemic and government measures taken in response to the COVID-19 pandemic, it may adversely affect our ability to initiate and complete our preclinical studies and clinical trials.</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i w:val="1"/>
          <w:iCs w:val="1"/>
          <w:color w:val="auto"/>
        </w:rPr>
        <w:t>We intend to rely on third parties to conduct some or all aspects of our product manufacturing, and these third parties may not perform satisfactorily.</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razuprotafib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w:t>
      </w:r>
    </w:p>
    <w:p>
      <w:pPr>
        <w:spacing w:after="0" w:line="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Any of these third parties may terminate their engagement with us at any time. We currently have arrangements in place for the manufacturing of drug substance and drug product for our development programs.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razuprotafib is approved and marketed, a failure to satisfy patient demand.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880" w:right="420" w:hanging="373"/>
        <w:spacing w:after="0" w:line="308"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3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 Furthermore,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approved, we plan to commercialize razuprotafib ourselves in the United States and intend to seek one or more strategic collaborators to commercialize razuprotafib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 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7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June 24, 2018, we entered into a license agreement with Gossamer (the “Gossamer License Agreement”) pursuant to which we granted to Gossamer an exclusive, sublicensable license to develop and commercialize AKB-4924 and other structurally related products worldwide. We received an upfront payment of $20.0 million in connection with the Gossamer License Agreement and are eligible to receive additional payments contingent upon the achievement of specified milestones. On May 12, 2020, we entered into that certain Amendment No. 1 to the Gossamer License Agreement (“Amendment No. 1” and together with the Gossamer License Agreement, as amended by Amendment No. 1, the “Amended Gossamer License Agreement”) and received a payment of $15.0 million in conjunction with the terms of the Amendment 1.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Amended Gossamer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In addition, Gossamer may terminate the Amended Gossamer License Agreement in the event it determines that there is a potential safety or efficacy issue with the licensed products. Therefore, there can be no assurance that the Amended Gossamer License Agreement will continue for its full duration or that we will realize the intended benefits.</w:t>
      </w:r>
    </w:p>
    <w:p>
      <w:pPr>
        <w:spacing w:after="0" w:line="6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Past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incurred net and comprehensive losses each year since our inception, with the exception of the three months ended September 30, 2018 and June 30, 2020, as a result of the upfront Gossamer payments discussed above. For the three months ended September 30, 2020 and 2019, we incurred net and comprehensive loss of $5.0 million and $4.6 million, respectively. As of September 30, 2020, we had an accumulated deficit of $141.8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6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In June 2019 we initiated a Phase 1b clinical trial for our lead product candidate, razuprotafib (formerly AKB-9778), for a topical drop formulation to treat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razuprotafib or any of our other product candidates, our future revenues will depend upon the size of any markets in which razuprotafib or any of our other product candidates has received approval, our ability to achieve sufficient market acceptance, reimbursement from third-party payors and other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38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62" w:lineRule="exact"/>
        <w:rPr>
          <w:sz w:val="20"/>
          <w:szCs w:val="20"/>
          <w:color w:val="auto"/>
        </w:rPr>
      </w:pPr>
    </w:p>
    <w:p>
      <w:pPr>
        <w:ind w:left="880" w:right="16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a topical drop formulation of razuprotafib for the treatment of open angle glaucoma and ocular hypertension, including as we plan to advance into a Phase 2 clinical trial of this product candidate;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880" w:hanging="373"/>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razuprotafib, ARP-1536 and other product candidates that we may develop or acquire, including additional indications for one or more of these product candidates, such as razuprotafib for the treatment of ARDS in adult patients with critical COVID-19;</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11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net and comprehensive income (loss)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April 2019, we adopted a realignment plan to reduce operating costs and better align our workforce with the needs of our ongoing business. The realignment plan reduced our workforce by 11 employees, representing approximately 41% of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This strategic alternative process is ongoing and we continue to engage Duane Nash to assist us with this process. There can be no assurances that the strategic alternatives process will result in the announcement or consummation of any strategic transaction,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1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September 30, 2020, our cash and cash equivalents were $47.3 million. We believe that we will continue to expend substantial resources for the foreseeable future developing razuprotafib for the indications that we are pursuing, such as OAG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32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progress, results and cost of commencing our planned Phase 2 program of razuprotafib for open angle glaucoma and ocular hypertension and our operating costs incurred as we conduct these trials, including any unforeseen costs we may incur as a result of clinical trial delays due to the COVID-19 pandemic or other causes;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size, rate of progress, results and costs of initiating and completing additional development of razuprotafib;</w:t>
      </w:r>
    </w:p>
    <w:p>
      <w:pPr>
        <w:spacing w:after="0" w:line="117" w:lineRule="exact"/>
        <w:rPr>
          <w:rFonts w:ascii="Arial" w:cs="Arial" w:eastAsia="Arial" w:hAnsi="Arial"/>
          <w:sz w:val="18"/>
          <w:szCs w:val="18"/>
          <w:color w:val="auto"/>
        </w:rPr>
      </w:pPr>
    </w:p>
    <w:p>
      <w:pPr>
        <w:ind w:left="880" w:right="12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razuprotafib in the United States, Europe and in other jurisdictions, including to fund the preparation and filing of regulatory submissions for razuprotafib with the FDA, the EMA and other regulatory authorities;</w:t>
      </w:r>
    </w:p>
    <w:p>
      <w:pPr>
        <w:spacing w:after="0" w:line="75"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ARP-1536 if clinical trials of this product candidate are successful;</w:t>
      </w:r>
    </w:p>
    <w:p>
      <w:pPr>
        <w:spacing w:after="0" w:line="140" w:lineRule="exact"/>
        <w:rPr>
          <w:rFonts w:ascii="Arial" w:cs="Arial" w:eastAsia="Arial" w:hAnsi="Arial"/>
          <w:sz w:val="16"/>
          <w:szCs w:val="16"/>
          <w:color w:val="auto"/>
        </w:rPr>
      </w:pPr>
    </w:p>
    <w:p>
      <w:pPr>
        <w:ind w:left="880" w:right="60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left="880" w:hanging="373"/>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40" w:lineRule="exact"/>
        <w:rPr>
          <w:rFonts w:ascii="Arial" w:cs="Arial" w:eastAsia="Arial" w:hAnsi="Arial"/>
          <w:sz w:val="16"/>
          <w:szCs w:val="16"/>
          <w:color w:val="auto"/>
        </w:rPr>
      </w:pPr>
    </w:p>
    <w:p>
      <w:pPr>
        <w:ind w:left="880" w:right="26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will be sufficient to fund our projected operating expenses and capital expenditure requirements through the fourth quarter of 2022.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Market volatility resulting from the COVID-19 pandemic or other factors could also adversely impact our ability to access capital as and when needed. If adequate funds are not available to us on a timely basis, we may be required to delay, limit, reduce or terminate preclinical studies, clinical trials or other development activities for razuprotafib, ARP-1536 or any other product candidates that we develop or acquire, or delay, limit, reduce or terminate our establishment of sales and marketing capabilities or other activities that may be necessary to commercialize our product candidates.</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are unable to raise additional funds through equity or debt financing when needed, we may be required to delay, limit, reduce or terminate our product development or commercialization efforts for razuprotafib, ARP-1536 or any other product candidates that we develop or acquire, or grant rights to develop and market product candidates that we would otherwise prefer to develop and market ourselves.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Sales, Marketing and Competition</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Even if we obtain marketing approval for razuprotafib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20"/>
        <w:spacing w:after="0" w:line="271" w:lineRule="auto"/>
        <w:rPr>
          <w:sz w:val="20"/>
          <w:szCs w:val="20"/>
          <w:color w:val="auto"/>
        </w:rPr>
      </w:pPr>
      <w:r>
        <w:rPr>
          <w:rFonts w:ascii="Arial" w:cs="Arial" w:eastAsia="Arial" w:hAnsi="Arial"/>
          <w:sz w:val="17"/>
          <w:szCs w:val="17"/>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 netarsidil (Rhopress TM, and in combination with latanoprost, Rhoclatan TM) and latanoprostene bunod (Vyzulta TM) In addition, razuprotafib is being explored for its potential to treat ARDS associated with COVID-19, an indication in which many companies have devoted substantial time and resources and for which a large number of agents are in various stages of development, such as remdesivir and dexamethasone. If one or more of these competing agents are approved for commercial sale and receive market acceptance as the standard of care in this indication, physicians may be resistant to prescribing razuprotafib even if it receives regulatory approval.</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we demonstrate that razuprotafib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razuprotafib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 In addition, razuprotafib is being explored for its potential to treat ARDS associated with COVID-19, an indication in which many companies have devoted substantial time and resources and for which a large number of agents are in various stages of development.</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Bausch + Lomb, Santen, Novartis, ONO, Takeda, Allergan and others compete in the market for products for the treatment of glaucoma. Companies developing product candidates for the treatment or prevention of ARDS as it relates to COVID-19 include, but not limited to the following, Lilly, Regeneron, Takeda, Amgen, Abbvie, Edesa Biotech, Implicit Bioscience, Athersys and Biomarck Pharmaceuticals.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 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Factors that may inhibit our efforts to commercialize our products on our own include:</w:t>
      </w:r>
    </w:p>
    <w:p>
      <w:pPr>
        <w:spacing w:after="0" w:line="58"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razuprotafib have been dizziness and asymptomatic decreases in blood pressure, and these adverse events may occur in future development by this route of administration. The most common adverse event seen in the Phase 1b clinical trial evaluating the safety and tolerability of topical ocular razuprotafib was mild conjunctival hyperemia. Our understanding of the relationship between razuprotafib and these events, as well as our understanding of adverse events in future clinical trials of other product candidates, may change as we gather more information, and additional unexpected adverse events may be observed.</w:t>
      </w:r>
    </w:p>
    <w:p>
      <w:pPr>
        <w:spacing w:after="0" w:line="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52" w:name="page53"/>
    <w:bookmarkEnd w:id="52"/>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potential use of razuprotafib for the treatment of ARDS associated with COVID-19, we have not conducted clinical development of this product candidate for such indication. As a result, while we believe razuprotafib may have a favorable tolerability profile in this patient population, there can be no assurance that we will not observe the incidence of adverse events or serious adverse events upon further development of razuprotafib. For example, the incidence of adverse events and serious adverse events may be magnified in this patient population due to the critical and often life-threatening nature of the underlying disease.</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 Regulation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 Further, due to the COVID-19 pandemic, millions of individuals have lost or will be losing employer-based insurance coverage, which may adversely affect our ability to commercialize our product candidates even if there is adequate coverage and reimbursement from third party payors.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spacing w:after="0" w:line="273" w:lineRule="auto"/>
        <w:rPr>
          <w:sz w:val="20"/>
          <w:szCs w:val="20"/>
          <w:color w:val="auto"/>
        </w:rPr>
      </w:pPr>
      <w:r>
        <w:rPr>
          <w:rFonts w:ascii="Arial" w:cs="Arial" w:eastAsia="Arial" w:hAnsi="Arial"/>
          <w:sz w:val="17"/>
          <w:szCs w:val="17"/>
          <w:color w:val="auto"/>
        </w:rPr>
        <w:t>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the Affordable Care Act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as of January 1, 2019 pursuant to subsequent legislation)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Pursuant to the Coronavirus Aid, Relief, and Economic Security Act, also known as the CARES Act, these reductions are suspended from May 1, 2020 through December 31, 2020 due to the COVID-19 pandemic. As the legislation currently stands, the reductions will go back into effect January 2021 and will remain in effect through 2030 unless additional Congressional action is taken.</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40"/>
        <w:spacing w:after="0" w:line="287" w:lineRule="auto"/>
        <w:rPr>
          <w:sz w:val="20"/>
          <w:szCs w:val="20"/>
          <w:color w:val="auto"/>
        </w:rPr>
      </w:pPr>
      <w:r>
        <w:rPr>
          <w:rFonts w:ascii="Arial" w:cs="Arial" w:eastAsia="Arial" w:hAnsi="Arial"/>
          <w:sz w:val="16"/>
          <w:szCs w:val="16"/>
          <w:color w:val="auto"/>
        </w:rPr>
        <w:t>Other legislative changes have been proposed and adopted since the ACA was enacted.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On December 18, 2019, the Fifth Circuit U.S. Court of Appeals held the individual mandate is unconstitutional, and remanded the case to the lower court to reconsider its earlier invalidation of the full ACA. In March 2020, the U.S. Supreme Court agreed to hear this case, with arguments likely to take place later this year. Pending review, the ACA remains in effect, but it is unclear at this time what effect the latest ruling will have on the status of the ACA. Litigation and legislation related to the ACA are likely to continue, with unpredictable and uncertain results. We will continue to evaluate the effect that the ACA and its possible repeal and replacement has on our business.</w:t>
      </w:r>
    </w:p>
    <w:p>
      <w:pPr>
        <w:spacing w:after="0" w:line="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the Trump administration’s budget for fiscal year 2021 includes a $135 billion allowance (over a period of time) to support legislative proposals seeking to reduce drug prices, increase competition, lower out-of-pocket drug costs for patients, and increase patient access to lower-cost generic and biosimilar drugs. Additionally, in 2018,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already started the process of soliciting feedback on some of these measures and, at the same time, is immediately implementing others under its existing authority. For example, in May 2019, the Centers for Medicare &amp; Medicaid Services (“CMS”) issued a final rule to allow Medicare Advantage Plans the option of using step therapy, a type of prior authorization, for Part B drugs beginning January 1, 2020. This final rule codified CMS’s policy change that was effective January 1, 2019. It is unclear what effect such changes will have on our business and our ability to receive adequate reimbursement for our future products.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1"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and the level of taxes that we are required to pay.</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72" w:lineRule="exact"/>
        <w:rPr>
          <w:sz w:val="20"/>
          <w:szCs w:val="20"/>
          <w:color w:val="auto"/>
        </w:rPr>
      </w:pPr>
    </w:p>
    <w:p>
      <w:pPr>
        <w:ind w:left="880" w:right="20" w:hanging="373"/>
        <w:spacing w:after="0" w:line="25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Although there are several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left="380" w:right="60"/>
        <w:spacing w:after="0" w:line="255" w:lineRule="auto"/>
        <w:rPr>
          <w:sz w:val="20"/>
          <w:szCs w:val="20"/>
          <w:color w:val="auto"/>
        </w:rPr>
      </w:pPr>
      <w:r>
        <w:rPr>
          <w:rFonts w:ascii="Arial" w:cs="Arial" w:eastAsia="Arial" w:hAnsi="Arial"/>
          <w:sz w:val="18"/>
          <w:szCs w:val="18"/>
          <w:color w:val="auto"/>
        </w:rPr>
        <w:t>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98" w:lineRule="exact"/>
        <w:rPr>
          <w:sz w:val="20"/>
          <w:szCs w:val="20"/>
          <w:color w:val="auto"/>
        </w:rPr>
      </w:pPr>
    </w:p>
    <w:p>
      <w:pPr>
        <w:ind w:left="380" w:right="180" w:hanging="373"/>
        <w:spacing w:after="0" w:line="25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380" w:right="60" w:hanging="373"/>
        <w:spacing w:after="0" w:line="269"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or the FCA, which prohibit, among other things, individuals or entities from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may also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87" w:lineRule="exact"/>
        <w:rPr>
          <w:rFonts w:ascii="Arial" w:cs="Arial" w:eastAsia="Arial" w:hAnsi="Arial"/>
          <w:sz w:val="17"/>
          <w:szCs w:val="17"/>
          <w:color w:val="auto"/>
        </w:rPr>
      </w:pPr>
    </w:p>
    <w:p>
      <w:pPr>
        <w:ind w:left="380" w:hanging="373"/>
        <w:spacing w:after="0" w:line="272"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and its implementing regulations,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380" w:right="20" w:hanging="373"/>
        <w:spacing w:after="0" w:line="25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or HITECH, and its implementing regulations, which imposes certain requirements on certain covered healthcare providers, health plans, and healthcare clearinghouses, otherwise known as covered entities, relating to the privacy, security and transmission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0" w:lineRule="exact"/>
        <w:rPr>
          <w:rFonts w:ascii="Arial" w:cs="Arial" w:eastAsia="Arial" w:hAnsi="Arial"/>
          <w:sz w:val="18"/>
          <w:szCs w:val="18"/>
          <w:color w:val="auto"/>
        </w:rPr>
      </w:pPr>
    </w:p>
    <w:p>
      <w:pPr>
        <w:ind w:left="380" w:right="20" w:hanging="373"/>
        <w:spacing w:after="0" w:line="271"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including the Physician Payment Sunshine Act, which require drug and biologics manufacturers eligible for payment under Medicare, Medicaid or the Children’s Health Insurance Program to report annually to HHS, information related to payments or other “transfers of value” made or distributed to physicians (defined to include doctors, dentists, optometrists, podiatrists and chiropractors) and teaching hospitals, as well as ownership and investment interests held by the physicians described above and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83" w:lineRule="exact"/>
        <w:rPr>
          <w:rFonts w:ascii="Arial" w:cs="Arial" w:eastAsia="Arial" w:hAnsi="Arial"/>
          <w:sz w:val="17"/>
          <w:szCs w:val="17"/>
          <w:color w:val="auto"/>
        </w:rPr>
      </w:pPr>
    </w:p>
    <w:p>
      <w:pPr>
        <w:ind w:left="380" w:right="320" w:hanging="373"/>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380" w:right="380" w:hanging="373"/>
        <w:spacing w:after="0" w:line="25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56" w:name="page57"/>
    <w:bookmarkEnd w:id="56"/>
    <w:p>
      <w:pPr>
        <w:ind w:right="280"/>
        <w:spacing w:after="0" w:line="296"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5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subject to the U.S. Foreign Corrupt Practices Act, or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including environmental, health and safety laws and regulations, we may be subject to penalties, including administrative,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Investments in Our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$0.42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7"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8" w:lineRule="exact"/>
        <w:rPr>
          <w:sz w:val="20"/>
          <w:szCs w:val="20"/>
          <w:color w:val="auto"/>
        </w:rPr>
      </w:pPr>
    </w:p>
    <w:p>
      <w:pPr>
        <w:jc w:val="both"/>
        <w:ind w:right="42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880" w:right="200" w:hanging="373"/>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8" w:name="page59"/>
    <w:bookmarkEnd w:id="58"/>
    <w:p>
      <w:pPr>
        <w:ind w:right="120"/>
        <w:spacing w:after="0" w:line="275" w:lineRule="auto"/>
        <w:rPr>
          <w:sz w:val="20"/>
          <w:szCs w:val="20"/>
          <w:color w:val="auto"/>
        </w:rPr>
      </w:pPr>
      <w:r>
        <w:rPr>
          <w:rFonts w:ascii="Arial" w:cs="Arial" w:eastAsia="Arial" w:hAnsi="Arial"/>
          <w:sz w:val="17"/>
          <w:szCs w:val="17"/>
          <w:color w:val="auto"/>
        </w:rPr>
        <w:t>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could be an emerging growth company for up to five years following the date of completion of our initial public offering,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To regain compliance, the bid price of our common stock must have a closing bid price of at least $1.00 per share for a minimum of 10 consecutive business days. In June 2020, we were notified by Nasdaq that the closing bid price of our common stock was maintained for a minimum of 10 consecutive business days and, therefore, we regained compliance with the minimum bid price requirement. However, there can be no assurance that we will not encounter challenges with maintaining compliance with Nasdaq Capital Market listing standards in the future.</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320"/>
        <w:spacing w:after="0" w:line="277" w:lineRule="auto"/>
        <w:rPr>
          <w:sz w:val="20"/>
          <w:szCs w:val="20"/>
          <w:color w:val="auto"/>
        </w:rPr>
      </w:pPr>
      <w:r>
        <w:rPr>
          <w:rFonts w:ascii="Arial" w:cs="Arial" w:eastAsia="Arial" w:hAnsi="Arial"/>
          <w:sz w:val="18"/>
          <w:szCs w:val="18"/>
          <w:color w:val="auto"/>
        </w:rPr>
        <w:t>registered in that state. If we fail to maintain our Nasdaq Capital Market listing, then we may not be considered to be on a national exchange and do not know whether our securities will be registered or exempt from registration under the laws of any state.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September 30, 2020, our executive officers, directors and principal stockholders, together with their respective affiliates, owned approximately 32.4%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9,497,337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intend to use our cash and cash equivalents for continuing clinical development of razuprotafib in ocular and other indications, early research on antibody therapies that inhibit VE-PTP,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180"/>
        <w:spacing w:after="0" w:line="277" w:lineRule="auto"/>
        <w:rPr>
          <w:sz w:val="20"/>
          <w:szCs w:val="20"/>
          <w:color w:val="auto"/>
        </w:rPr>
      </w:pPr>
      <w:r>
        <w:rPr>
          <w:rFonts w:ascii="Arial" w:cs="Arial" w:eastAsia="Arial" w:hAnsi="Arial"/>
          <w:sz w:val="18"/>
          <w:szCs w:val="18"/>
          <w:color w:val="auto"/>
        </w:rPr>
        <w:t>commercialize our product candidates. Pending their use, we may invest our cash and cash equivalents in a manner that does not produce income or loses value.</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color w:val="auto"/>
        </w:rPr>
        <w:t>price appreciation, which may never occur, as the only way to realize any return on their investment. As a result, investors seeking cash dividends should not purchase our common stock.</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Charter and Bylaws</w:t>
      </w:r>
    </w:p>
    <w:p>
      <w:pPr>
        <w:spacing w:after="0" w:line="11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jc w:val="both"/>
        <w:ind w:left="880" w:right="46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880" w:right="2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2" w:name="page63"/>
    <w:bookmarkEnd w:id="62"/>
    <w:p>
      <w:pPr>
        <w:ind w:right="1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face risks arising from the results of the public referendum held in United Kingdom and its membership in the European Union.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However, the terms of the withdrawal have yet to be fully negotiated. The implementation period began February 1, 2020 and will continue until December 31, 2020. During this 11-month period, the United Kingdom will continue to follow all of the European Union’s rules, the European Union’s pharmaceutical law remains applicable to the United Kingdom and the United Kingdom’s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United Kingdom laws and regulations and their interaction with the European Union laws and regulations may negatively impact foreign direct investment in the United Kingdom, increase costs, depress economic activity and restrict access to capital.</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United Kingdom financial and banking markets, as well as on the regulatory process in Europe. Asset valuations, currency exchange rates and credit ratings may also be subject to increased market volatility.</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United Kingdom and the European Union are unable to negotiate acceptable agreements or if other European Union Member States pursue withdrawal, barrier-free access between the United Kingdom and other European Union Member States or among the European Economic Area overall could be diminished or eliminated. The long-term effects of Brexit will depend on any agreements (or lack thereof) between the United Kingdom and the European Union and, in particular, any arrangements for the United Kingdom to retain access to European Union markets either during a transitional period or more permanently.</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our relationships with existing and potential suppliers, manufacturers and other third parties.</w:t>
      </w:r>
    </w:p>
    <w:p>
      <w:pPr>
        <w:spacing w:after="0" w:line="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United Kingdom’s withdrawal from the European Union, the United Kingdom could lose the benefits of global trade agreements negotiated by the European Union on behalf of its members, which may result in increased trade barriers that could make our doing business in the European Union or European Economic Area more difficult. In addition, the measures could potentially have corporate structural consequences, adversely change tax benefits or liabilities in these or other jurisdictions and could disrupt some of the markets and jurisdictions in which we operate. Any of these effects of Brexit, among others, could materially adversely affect the business, business opportunities, and financial condition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 on Form 10-Q.</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0" w:type="dxa"/>
            <w:vAlign w:val="bottom"/>
            <w:gridSpan w:val="5"/>
            <w:vMerge w:val="restart"/>
          </w:tcPr>
          <w:p>
            <w:pPr>
              <w:ind w:left="3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35"/>
        </w:trPr>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right="14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6940" w:type="dxa"/>
            <w:vAlign w:val="bottom"/>
            <w:gridSpan w:val="2"/>
          </w:tcPr>
          <w:p>
            <w:pPr>
              <w:ind w:left="240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Date: November 10, 2020</w:t>
            </w:r>
          </w:p>
        </w:tc>
        <w:tc>
          <w:tcPr>
            <w:tcW w:w="2680" w:type="dxa"/>
            <w:vAlign w:val="bottom"/>
          </w:tcPr>
          <w:p>
            <w:pPr>
              <w:ind w:left="240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Gardner, Ph.D.</w:t>
            </w:r>
          </w:p>
        </w:tc>
      </w:tr>
      <w:tr>
        <w:trPr>
          <w:trHeight w:val="218"/>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r>
      <w:tr>
        <w:trPr>
          <w:trHeight w:val="220"/>
        </w:trPr>
        <w:tc>
          <w:tcPr>
            <w:tcW w:w="4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r>
        <w:trPr>
          <w:trHeight w:val="230"/>
        </w:trPr>
        <w:tc>
          <w:tcPr>
            <w:tcW w:w="4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Date: November 10, 2020</w:t>
            </w:r>
          </w:p>
        </w:tc>
        <w:tc>
          <w:tcPr>
            <w:tcW w:w="2680" w:type="dxa"/>
            <w:vAlign w:val="bottom"/>
          </w:tcPr>
          <w:p>
            <w:pPr>
              <w:ind w:left="240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Regina Marek</w:t>
            </w:r>
          </w:p>
        </w:tc>
      </w:tr>
      <w:tr>
        <w:trPr>
          <w:trHeight w:val="218"/>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r>
      <w:tr>
        <w:trPr>
          <w:trHeight w:val="234"/>
        </w:trPr>
        <w:tc>
          <w:tcPr>
            <w:tcW w:w="4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Vice President Finance</w:t>
            </w:r>
          </w:p>
        </w:tc>
      </w:tr>
    </w:tbl>
    <w:p>
      <w:pPr>
        <w:ind w:left="710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3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ended September 30, 2020 as filed with the Securities and Exchange Commission on the date hereof (the “Report”), I, Joseph Gardner, President of the Company, certify, pursuant to 18 U.S.C. § 1350, as adopted pursuant to § 906 of the Sarbanes-Oxley Act of 2002, that to my knowledge:</w:t>
      </w:r>
    </w:p>
    <w:p>
      <w:pPr>
        <w:spacing w:after="0" w:line="57"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ended September 30, 2020 as filed with the Securities and Exchange Commission on the date hereof (the “Report”), I, Regina Marek, Vice President Finance of the Company, certify, pursuant to 18 U.S.C. § 1350, as adopted pursuant to § 906 of the Sarbanes-Oxley Act of 2002, that to my knowledge:</w:t>
      </w:r>
    </w:p>
    <w:p>
      <w:pPr>
        <w:spacing w:after="0" w:line="57"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2020-11-10T07:34:45Z</dcterms:created>
  <dcterms:modified xsi:type="dcterms:W3CDTF">2020-11-10T07:34:45Z</dcterms:modified>
</cp:coreProperties>
</file>