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9182026_080953.xml.htm"/>
      <w:bookmarkStart w:id="1" w:name="ksform4a09182026_0809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Giacobello Scott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118,476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118,476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118,476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118,476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118,476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118,476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original Form 4 filed by the Reporting Person erroneously reflected an incorrect vesting schedule. Subject to the Reporting Person continuing to be a Service Provider (as defined in the Issuer's 2021 Equity Incentive Plan) through the applicable date, one hundred percent (100%) of the shares subject to the award shall vest on the one-year anniversary of the Vesting Commencement Date. "Vesting Commencement Date" shall mean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154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775</Words>
  <Characters>4234</Characters>
  <CharactersWithSpaces>4923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