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110942.xml.htm"/>
      <w:bookmarkStart w:id="1" w:name="ksform409152026_1109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Dornan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85,887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85,887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 continuing to be a Service Provider (as defined in the Issuer's 2021 Equity Incentive Plan) through each applicable date, twenty five percent (25%) of the shares subject to the award shall vest on the one-year anniversary of the Vesting Commencement Date, and twenty five percent (25%) of the shares subject to the award shall vest on each of the next three Vesting Commencement Date anniversaries thereafter.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353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783</Words>
  <Characters>4254</Characters>
  <CharactersWithSpaces>4951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