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09182026_080955.xml.htm"/>
      <w:bookmarkStart w:id="1" w:name="ksform4a09182026_0809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Dornan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WHITEHAWK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HEADQUARTERS PLAZA, EAST BUILDING, 11T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Whitehawk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WHWK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4.09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85,887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85,887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85,887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85,887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85,887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85,887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Subject to the Reporting Person continuing to be a Service Provider (as defined in the Issuer's 2021 Equity Incentive Plan) through each applicable date, twenty five percent (25%) of the shares subject to the option shall vest on the one-year anniversary of the Vesting Commencement Date and 1/48th of the total shares subject to the option shall vest every month thereafter such that all shares subject to the option shall be fully vested on the four-year anniversary of the Vesting Commencement Date. "Vesting Commencement Date" shall mean September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Whitehawk Therapeutics,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original Form 4 filed by the Reporting Person erroneously reflected an incorrect vesting schedule. Subject to the Reporting Person continuing to be a Service Provider (as defined in the Issuer's 2021 Equity Incentive Plan) through the applicable date, one hundred percent (100%) of the shares subject to the award shall vest on the one-year anniversary of the Vesting Commencement Date. "Vesting Commencement Date" shall mean September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Rodin,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1353" TargetMode="External"/><Relationship Id="rId5" Type="http://schemas.openxmlformats.org/officeDocument/2006/relationships/hyperlink" Target="http://www.sec.gov/cgi-bin/browse-edgar?action=getcompany&amp;CIK=00014221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774</Words>
  <Characters>4223</Characters>
  <CharactersWithSpaces>4911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