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40" w:right="1640" w:hanging="3732"/>
        <w:spacing w:after="0" w:line="392" w:lineRule="auto"/>
        <w:tabs>
          <w:tab w:leader="none" w:pos="51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283" w:lineRule="exact"/>
        <w:rPr>
          <w:sz w:val="24"/>
          <w:szCs w:val="24"/>
          <w:color w:val="auto"/>
        </w:rPr>
      </w:pPr>
    </w:p>
    <w:p>
      <w:pPr>
        <w:ind w:left="3140" w:right="1640" w:hanging="3132"/>
        <w:spacing w:after="0" w:line="375" w:lineRule="auto"/>
        <w:tabs>
          <w:tab w:leader="none" w:pos="51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000-53057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Aerpio Pharmaceuticals, Inc.</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3"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3"/>
              </w:rPr>
              <w:t>EIN 61-1547850</w:t>
            </w:r>
          </w:p>
        </w:tc>
      </w:tr>
      <w:tr>
        <w:trPr>
          <w:trHeight w:val="135"/>
        </w:trPr>
        <w:tc>
          <w:tcPr>
            <w:tcW w:w="4100" w:type="dxa"/>
            <w:vAlign w:val="bottom"/>
          </w:tcPr>
          <w:p>
            <w:pPr>
              <w:jc w:val="center"/>
              <w:ind w:right="192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26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8"/>
              </w:rPr>
              <w:t>incorporation or organization)</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403"/>
        </w:trPr>
        <w:tc>
          <w:tcPr>
            <w:tcW w:w="4100" w:type="dxa"/>
            <w:vAlign w:val="bottom"/>
          </w:tcPr>
          <w:p>
            <w:pPr>
              <w:jc w:val="center"/>
              <w:ind w:right="1943"/>
              <w:spacing w:after="0"/>
              <w:rPr>
                <w:sz w:val="20"/>
                <w:szCs w:val="20"/>
                <w:color w:val="auto"/>
              </w:rPr>
            </w:pPr>
            <w:r>
              <w:rPr>
                <w:rFonts w:ascii="Arial" w:cs="Arial" w:eastAsia="Arial" w:hAnsi="Arial"/>
                <w:sz w:val="18"/>
                <w:szCs w:val="18"/>
                <w:b w:val="1"/>
                <w:bCs w:val="1"/>
                <w:color w:val="auto"/>
                <w:w w:val="92"/>
              </w:rPr>
              <w:t>9987 Carver Road</w:t>
            </w:r>
          </w:p>
        </w:tc>
        <w:tc>
          <w:tcPr>
            <w:tcW w:w="3260" w:type="dxa"/>
            <w:vAlign w:val="bottom"/>
          </w:tcPr>
          <w:p>
            <w:pPr>
              <w:spacing w:after="0"/>
              <w:rPr>
                <w:sz w:val="24"/>
                <w:szCs w:val="24"/>
                <w:color w:val="auto"/>
              </w:rPr>
            </w:pPr>
          </w:p>
        </w:tc>
      </w:tr>
      <w:tr>
        <w:trPr>
          <w:trHeight w:val="216"/>
        </w:trPr>
        <w:tc>
          <w:tcPr>
            <w:tcW w:w="4100" w:type="dxa"/>
            <w:vAlign w:val="bottom"/>
          </w:tcPr>
          <w:p>
            <w:pPr>
              <w:jc w:val="center"/>
              <w:ind w:right="1923"/>
              <w:spacing w:after="0"/>
              <w:rPr>
                <w:sz w:val="20"/>
                <w:szCs w:val="20"/>
                <w:color w:val="auto"/>
              </w:rPr>
            </w:pPr>
            <w:r>
              <w:rPr>
                <w:rFonts w:ascii="Arial" w:cs="Arial" w:eastAsia="Arial" w:hAnsi="Arial"/>
                <w:sz w:val="18"/>
                <w:szCs w:val="18"/>
                <w:b w:val="1"/>
                <w:bCs w:val="1"/>
                <w:color w:val="auto"/>
                <w:w w:val="95"/>
              </w:rPr>
              <w:t>Cincinnati, OH</w:t>
            </w:r>
          </w:p>
        </w:tc>
        <w:tc>
          <w:tcPr>
            <w:tcW w:w="3260" w:type="dxa"/>
            <w:vAlign w:val="bottom"/>
          </w:tcPr>
          <w:p>
            <w:pPr>
              <w:jc w:val="center"/>
              <w:ind w:left="1966"/>
              <w:spacing w:after="0"/>
              <w:rPr>
                <w:sz w:val="20"/>
                <w:szCs w:val="20"/>
                <w:color w:val="auto"/>
              </w:rPr>
            </w:pPr>
            <w:r>
              <w:rPr>
                <w:rFonts w:ascii="Arial" w:cs="Arial" w:eastAsia="Arial" w:hAnsi="Arial"/>
                <w:sz w:val="18"/>
                <w:szCs w:val="18"/>
                <w:b w:val="1"/>
                <w:bCs w:val="1"/>
                <w:color w:val="auto"/>
                <w:w w:val="91"/>
              </w:rPr>
              <w:t>45242</w:t>
            </w:r>
          </w:p>
        </w:tc>
      </w:tr>
      <w:tr>
        <w:trPr>
          <w:trHeight w:val="164"/>
        </w:trPr>
        <w:tc>
          <w:tcPr>
            <w:tcW w:w="4100" w:type="dxa"/>
            <w:vAlign w:val="bottom"/>
          </w:tcPr>
          <w:p>
            <w:pPr>
              <w:jc w:val="center"/>
              <w:ind w:right="194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26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(513) 985-1920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p>
      <w:pPr>
        <w:ind w:right="8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No</w:t>
      </w:r>
      <w:r>
        <w:rPr>
          <w:rFonts w:ascii="MS PGothic" w:cs="MS PGothic" w:eastAsia="MS PGothic" w:hAnsi="MS PGothic"/>
          <w:sz w:val="16"/>
          <w:szCs w:val="16"/>
          <w:color w:val="auto"/>
        </w:rPr>
        <w:t>☐</w:t>
      </w:r>
    </w:p>
    <w:p>
      <w:pPr>
        <w:spacing w:after="0" w:line="136" w:lineRule="exact"/>
        <w:rPr>
          <w:sz w:val="24"/>
          <w:szCs w:val="24"/>
          <w:color w:val="auto"/>
        </w:rPr>
      </w:pPr>
    </w:p>
    <w:p>
      <w:pPr>
        <w:ind w:right="260" w:firstLine="518"/>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80" w:lineRule="exact"/>
        <w:rPr>
          <w:sz w:val="24"/>
          <w:szCs w:val="24"/>
          <w:color w:val="auto"/>
        </w:rPr>
      </w:pPr>
    </w:p>
    <w:p>
      <w:pPr>
        <w:jc w:val="both"/>
        <w:ind w:right="34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20"/>
          </w:cols>
          <w:pgMar w:left="240" w:top="422" w:right="339" w:bottom="1440" w:gutter="0" w:footer="0" w:header="0"/>
        </w:sectPr>
      </w:pPr>
    </w:p>
    <w:p>
      <w:pPr>
        <w:spacing w:after="0" w:line="117"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4">
            <w:col w:w="1460" w:space="520"/>
            <w:col w:w="6080" w:space="720"/>
            <w:col w:w="1680" w:space="720"/>
            <w:col w:w="140"/>
          </w:cols>
          <w:pgMar w:left="240" w:top="422" w:right="33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a small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Small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1380" w:space="600"/>
            <w:col w:w="140" w:space="80"/>
            <w:col w:w="5860" w:space="720"/>
            <w:col w:w="1680" w:space="720"/>
            <w:col w:w="140"/>
          </w:cols>
          <w:pgMar w:left="240" w:top="422" w:right="339" w:bottom="1440" w:gutter="0" w:footer="0" w:header="0"/>
          <w:type w:val="continuous"/>
        </w:sectPr>
      </w:pPr>
    </w:p>
    <w:p>
      <w:pPr>
        <w:spacing w:after="0"/>
        <w:rPr>
          <w:sz w:val="20"/>
          <w:szCs w:val="20"/>
          <w:color w:val="auto"/>
        </w:rPr>
      </w:pPr>
      <w:r>
        <w:rPr>
          <w:rFonts w:ascii="Arial" w:cs="Arial" w:eastAsia="Arial" w:hAnsi="Arial"/>
          <w:sz w:val="15"/>
          <w:szCs w:val="15"/>
          <w:color w:val="auto"/>
        </w:rPr>
        <w:t>Emerging growth</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42" w:lineRule="exact"/>
        <w:rPr>
          <w:sz w:val="24"/>
          <w:szCs w:val="24"/>
          <w:color w:val="auto"/>
        </w:rPr>
      </w:pPr>
    </w:p>
    <w:p>
      <w:pPr>
        <w:sectPr>
          <w:pgSz w:w="11900" w:h="16838" w:orient="portrait"/>
          <w:cols w:equalWidth="0" w:num="2">
            <w:col w:w="1140" w:space="360"/>
            <w:col w:w="9820"/>
          </w:cols>
          <w:pgMar w:left="240" w:top="422"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pacing w:after="0" w:line="118" w:lineRule="exact"/>
        <w:rPr>
          <w:sz w:val="24"/>
          <w:szCs w:val="24"/>
          <w:color w:val="auto"/>
        </w:rPr>
      </w:pPr>
    </w:p>
    <w:p>
      <w:pPr>
        <w:ind w:left="520" w:right="1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20"/>
          </w:cols>
          <w:pgMar w:left="240" w:top="422" w:right="339" w:bottom="1440" w:gutter="0" w:footer="0" w:header="0"/>
          <w:type w:val="continuous"/>
        </w:sectPr>
      </w:pPr>
    </w:p>
    <w:p>
      <w:pPr>
        <w:spacing w:after="0" w:line="114"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7880" w:space="160"/>
            <w:col w:w="240" w:space="80"/>
            <w:col w:w="160" w:space="160"/>
            <w:col w:w="200" w:space="80"/>
            <w:col w:w="2360"/>
          </w:cols>
          <w:pgMar w:left="240" w:top="422" w:right="339" w:bottom="1440" w:gutter="0" w:footer="0" w:header="0"/>
          <w:type w:val="continuous"/>
        </w:sectPr>
      </w:pPr>
    </w:p>
    <w:p>
      <w:pPr>
        <w:ind w:left="520"/>
        <w:spacing w:after="0"/>
        <w:rPr>
          <w:sz w:val="20"/>
          <w:szCs w:val="20"/>
          <w:color w:val="auto"/>
        </w:rPr>
      </w:pPr>
      <w:r>
        <w:rPr>
          <w:rFonts w:ascii="Arial" w:cs="Arial" w:eastAsia="Arial" w:hAnsi="Arial"/>
          <w:sz w:val="14"/>
          <w:szCs w:val="14"/>
          <w:color w:val="auto"/>
        </w:rPr>
        <w:t>As of November 13, 2017, the registrant had 27,070,038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808990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422"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This Quarterly Report on Form 10-Q contains express or implied forward-looking statements within the meaning of Section 27A of the Securities Act and Section 21E of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spacing w:after="0" w:line="57" w:lineRule="exact"/>
        <w:rPr>
          <w:sz w:val="20"/>
          <w:szCs w:val="20"/>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future preclinical and clinical studies;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advance any product candidates into, and successfully complete, clinical studies and obtain regulatory approval for them;</w:t>
      </w:r>
    </w:p>
    <w:p>
      <w:pPr>
        <w:spacing w:after="0" w:line="128" w:lineRule="exact"/>
        <w:rPr>
          <w:rFonts w:ascii="Arial" w:cs="Arial" w:eastAsia="Arial" w:hAnsi="Arial"/>
          <w:sz w:val="17"/>
          <w:szCs w:val="17"/>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marketing and manufacturing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product candidates and technology;</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900" w:right="800" w:hanging="379"/>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private placement offering, and estimates of our expenses, future revenues, capital requirements and our needs for additional financing;</w:t>
      </w:r>
    </w:p>
    <w:p>
      <w:pPr>
        <w:spacing w:after="0" w:line="62"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the impact of government regulation; and</w:t>
      </w:r>
    </w:p>
    <w:p>
      <w:pPr>
        <w:spacing w:after="0" w:line="117" w:lineRule="exact"/>
        <w:rPr>
          <w:rFonts w:ascii="Arial" w:cs="Arial" w:eastAsia="Arial" w:hAnsi="Arial"/>
          <w:sz w:val="18"/>
          <w:szCs w:val="18"/>
          <w:color w:val="auto"/>
        </w:rPr>
      </w:pPr>
    </w:p>
    <w:p>
      <w:pPr>
        <w:ind w:left="900" w:hanging="379"/>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7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457835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40" w:type="dxa"/>
            <w:vAlign w:val="bottom"/>
            <w:gridSpan w:val="6"/>
          </w:tcPr>
          <w:p>
            <w:pPr>
              <w:ind w:left="360"/>
              <w:spacing w:after="0"/>
              <w:rPr>
                <w:sz w:val="20"/>
                <w:szCs w:val="20"/>
                <w:color w:val="auto"/>
              </w:rPr>
            </w:pPr>
            <w:r>
              <w:rPr>
                <w:rFonts w:ascii="Arial" w:cs="Arial" w:eastAsia="Arial" w:hAnsi="Arial"/>
                <w:sz w:val="18"/>
                <w:szCs w:val="18"/>
                <w:b w:val="1"/>
                <w:bCs w:val="1"/>
                <w:color w:val="auto"/>
              </w:rPr>
              <w:t>Table of Contents</w:t>
            </w:r>
          </w:p>
        </w:tc>
      </w:tr>
      <w:tr>
        <w:trPr>
          <w:trHeight w:val="60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4060" w:type="dxa"/>
            <w:vAlign w:val="bottom"/>
            <w:gridSpan w:val="9"/>
          </w:tcPr>
          <w:p>
            <w:pPr>
              <w:spacing w:after="0"/>
              <w:rPr>
                <w:sz w:val="24"/>
                <w:szCs w:val="24"/>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4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 and Comprehensive Loss</w:t>
              </w:r>
            </w:hyperlink>
          </w:p>
        </w:tc>
        <w:tc>
          <w:tcPr>
            <w:tcW w:w="92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(Deficit)</w:t>
              </w:r>
            </w:hyperlink>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1460" w:type="dxa"/>
            <w:vAlign w:val="bottom"/>
            <w:gridSpan w:val="2"/>
          </w:tcPr>
          <w:p>
            <w:pPr>
              <w:spacing w:after="0"/>
              <w:rPr>
                <w:sz w:val="18"/>
                <w:szCs w:val="18"/>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1660" w:type="dxa"/>
            <w:vAlign w:val="bottom"/>
            <w:gridSpan w:val="3"/>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gridSpan w:val="4"/>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Controls and Procedures</w:t>
              </w:r>
            </w:hyperlink>
          </w:p>
        </w:tc>
        <w:tc>
          <w:tcPr>
            <w:tcW w:w="4660" w:type="dxa"/>
            <w:vAlign w:val="bottom"/>
            <w:gridSpan w:val="12"/>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60" w:type="dxa"/>
            <w:vAlign w:val="bottom"/>
            <w:gridSpan w:val="18"/>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020" w:type="dxa"/>
            <w:vAlign w:val="bottom"/>
            <w:tcBorders>
              <w:top w:val="single" w:sz="8" w:color="0000EE"/>
            </w:tcBorders>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4440" w:type="dxa"/>
            <w:vAlign w:val="bottom"/>
            <w:gridSpan w:val="11"/>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5120" w:type="dxa"/>
            <w:vAlign w:val="bottom"/>
            <w:gridSpan w:val="14"/>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Unregistered Sales of Equity Securities and Use of Proceeds</w:t>
              </w:r>
            </w:hyperlink>
          </w:p>
        </w:tc>
        <w:tc>
          <w:tcPr>
            <w:tcW w:w="2100" w:type="dxa"/>
            <w:vAlign w:val="bottom"/>
            <w:gridSpan w:val="5"/>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Upon Senior Securities</w:t>
              </w:r>
            </w:hyperlink>
          </w:p>
        </w:tc>
        <w:tc>
          <w:tcPr>
            <w:tcW w:w="4120" w:type="dxa"/>
            <w:vAlign w:val="bottom"/>
            <w:gridSpan w:val="10"/>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59">
              <w:r>
                <w:rPr>
                  <w:rFonts w:ascii="Arial" w:cs="Arial" w:eastAsia="Arial" w:hAnsi="Arial"/>
                  <w:sz w:val="18"/>
                  <w:szCs w:val="18"/>
                  <w:color w:val="0000EE"/>
                  <w:w w:val="91"/>
                </w:rPr>
                <w:t>Mine Safety Disclosures</w:t>
              </w:r>
            </w:hyperlink>
          </w:p>
        </w:tc>
        <w:tc>
          <w:tcPr>
            <w:tcW w:w="4680" w:type="dxa"/>
            <w:vAlign w:val="bottom"/>
            <w:gridSpan w:val="13"/>
          </w:tcPr>
          <w:p>
            <w:pPr>
              <w:spacing w:after="0"/>
              <w:rPr>
                <w:sz w:val="18"/>
                <w:szCs w:val="18"/>
                <w:color w:val="auto"/>
              </w:rPr>
            </w:pPr>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646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r>
      <w:tr>
        <w:trPr>
          <w:trHeight w:val="210"/>
        </w:trPr>
        <w:tc>
          <w:tcPr>
            <w:tcW w:w="9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Exhibits</w:t>
              </w:r>
            </w:hyperlink>
          </w:p>
        </w:tc>
        <w:tc>
          <w:tcPr>
            <w:tcW w:w="5140" w:type="dxa"/>
            <w:vAlign w:val="bottom"/>
            <w:gridSpan w:val="15"/>
          </w:tcPr>
          <w:p>
            <w:pPr>
              <w:spacing w:after="0"/>
              <w:rPr>
                <w:sz w:val="18"/>
                <w:szCs w:val="18"/>
                <w:color w:val="auto"/>
              </w:rPr>
            </w:pPr>
          </w:p>
        </w:tc>
      </w:tr>
      <w:tr>
        <w:trPr>
          <w:trHeight w:val="210"/>
        </w:trPr>
        <w:tc>
          <w:tcPr>
            <w:tcW w:w="96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11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15240</wp:posOffset>
            </wp:positionV>
            <wp:extent cx="308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10320" w:space="720"/>
            <w:col w:w="40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ind w:right="113"/>
              <w:spacing w:after="0" w:line="155" w:lineRule="exact"/>
              <w:rPr>
                <w:sz w:val="20"/>
                <w:szCs w:val="20"/>
                <w:color w:val="auto"/>
              </w:rPr>
            </w:pPr>
            <w:r>
              <w:rPr>
                <w:rFonts w:ascii="Arial" w:cs="Arial" w:eastAsia="Arial" w:hAnsi="Arial"/>
                <w:sz w:val="14"/>
                <w:szCs w:val="14"/>
                <w:i w:val="1"/>
                <w:iCs w:val="1"/>
                <w:color w:val="auto"/>
                <w:w w:val="95"/>
              </w:rPr>
              <w:t>(unaudited)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24,828,910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39,246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Prepaid research and development contracts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323,814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353,434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621,807</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209,038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25,863,777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2,226,323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116,873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26,001,610</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2,396,878</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2,586,233</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2,470,970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12,386,647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2,586,233</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14,857,617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(all classes)</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73,757,890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Common stock, $0.0001 par value per share; 300,000,000 and 17,440,436 shares authorized and</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89"/>
              </w:rPr>
              <w:t>27,070,038 and 1,240,925 shares issued and outstanding at September 30, 2017 and December 31, 2016,</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125,740,297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(102,327,627)</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(86,218,753)</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23,415,377</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(86,218,629)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redeemable convertible preferred stock, and stockholders’ equity (deficit)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26,001,610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2,396,878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i w:val="1"/>
                <w:iCs w:val="1"/>
                <w:color w:val="auto"/>
              </w:rPr>
              <w:t>(unaudited)</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380" w:type="dxa"/>
            <w:vAlign w:val="bottom"/>
            <w:gridSpan w:val="5"/>
            <w:shd w:val="clear" w:color="auto" w:fill="CFF0FC"/>
          </w:tcPr>
          <w:p>
            <w:pPr>
              <w:jc w:val="right"/>
              <w:ind w:right="771"/>
              <w:spacing w:after="0"/>
              <w:rPr>
                <w:sz w:val="20"/>
                <w:szCs w:val="20"/>
                <w:color w:val="auto"/>
              </w:rPr>
            </w:pPr>
            <w:r>
              <w:rPr>
                <w:rFonts w:ascii="Arial" w:cs="Arial" w:eastAsia="Arial" w:hAnsi="Arial"/>
                <w:sz w:val="18"/>
                <w:szCs w:val="18"/>
                <w:i w:val="1"/>
                <w:iCs w:val="1"/>
                <w:color w:val="auto"/>
              </w:rPr>
              <w:t>(unaudited)</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2,942,170</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3,481,261</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8,366,869</w:t>
            </w:r>
          </w:p>
        </w:tc>
        <w:tc>
          <w:tcPr>
            <w:tcW w:w="160" w:type="dxa"/>
            <w:vAlign w:val="bottom"/>
          </w:tcPr>
          <w:p>
            <w:pPr>
              <w:spacing w:after="0"/>
              <w:rPr>
                <w:sz w:val="19"/>
                <w:szCs w:val="19"/>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9,374,383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1,814,068</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1,264,054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6,732,816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4,756,238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4,745,315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15,099,685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13,328,191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(4,756,238)</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(4,745,315)</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(15,099,685)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(13,328,191)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Grant income</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26,561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93,720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59,847</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(166,847)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(159,612)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106,671</w:t>
            </w: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(140,286)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Arial" w:cs="Arial" w:eastAsia="Arial" w:hAnsi="Arial"/>
                <w:sz w:val="18"/>
                <w:szCs w:val="18"/>
                <w:color w:val="auto"/>
              </w:rPr>
              <w:t>Net and comprehensive loss</w:t>
            </w:r>
          </w:p>
        </w:tc>
        <w:tc>
          <w:tcPr>
            <w:tcW w:w="180" w:type="dxa"/>
            <w:vAlign w:val="bottom"/>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(4,649,567)</w:t>
            </w:r>
          </w:p>
        </w:tc>
        <w:tc>
          <w:tcPr>
            <w:tcW w:w="2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(4,885,601</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(15,165,577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(13,465,561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Reconciliation of net loss attributable to common stockholders: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and comprehensive loss</w:t>
            </w:r>
          </w:p>
        </w:tc>
        <w:tc>
          <w:tcPr>
            <w:tcW w:w="3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(4,649,567)</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(4,885,601)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(15,165,577)</w:t>
            </w: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7"/>
              </w:rPr>
              <w:t>(13,465,561)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ind w:left="240"/>
              <w:spacing w:after="0"/>
              <w:rPr>
                <w:sz w:val="20"/>
                <w:szCs w:val="20"/>
                <w:color w:val="auto"/>
              </w:rPr>
            </w:pPr>
            <w:r>
              <w:rPr>
                <w:rFonts w:ascii="Arial" w:cs="Arial" w:eastAsia="Arial" w:hAnsi="Arial"/>
                <w:sz w:val="18"/>
                <w:szCs w:val="18"/>
                <w:color w:val="auto"/>
              </w:rPr>
              <w:t>Extinguishment of preferred stock</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3"/>
              </w:rPr>
              <w:t>Accretion of redeemable convertible preferred stock to redemption value</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(1,054,657)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(943,297)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(3,098,149)</w:t>
            </w:r>
          </w:p>
        </w:tc>
        <w:tc>
          <w:tcPr>
            <w:tcW w:w="0" w:type="dxa"/>
            <w:vAlign w:val="bottom"/>
          </w:tcPr>
          <w:p>
            <w:pPr>
              <w:spacing w:after="0"/>
              <w:rPr>
                <w:sz w:val="1"/>
                <w:szCs w:val="1"/>
                <w:color w:val="auto"/>
              </w:rPr>
            </w:pPr>
          </w:p>
        </w:tc>
      </w:tr>
      <w:tr>
        <w:trPr>
          <w:trHeight w:val="263"/>
        </w:trPr>
        <w:tc>
          <w:tcPr>
            <w:tcW w:w="56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(4,649,567)</w:t>
            </w:r>
          </w:p>
        </w:tc>
        <w:tc>
          <w:tcPr>
            <w:tcW w:w="2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(5,940,258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(16,108,874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(16,339,486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loss per share attributable to common stockholders, basic</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60" w:type="dxa"/>
            <w:vAlign w:val="bottom"/>
          </w:tcPr>
          <w:p>
            <w:pPr>
              <w:ind w:left="120"/>
              <w:spacing w:after="0"/>
              <w:rPr>
                <w:sz w:val="20"/>
                <w:szCs w:val="20"/>
                <w:color w:val="auto"/>
              </w:rPr>
            </w:pPr>
            <w:r>
              <w:rPr>
                <w:rFonts w:ascii="Arial" w:cs="Arial" w:eastAsia="Arial" w:hAnsi="Arial"/>
                <w:sz w:val="18"/>
                <w:szCs w:val="18"/>
                <w:color w:val="auto"/>
              </w:rPr>
              <w:t>and diluted</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(0.81)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6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Weighted average number of common shares used in computing</w:t>
            </w: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per share attributable to common stockholders, basic</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and diluted</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26,926,673</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888,094</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19,889,984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816,395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w w:val="93"/>
              </w:rPr>
              <w:t>For the Nine Months Ended September 30, 2017</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52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4"/>
              </w:rPr>
              <w:t>Redeemable Convertible Preferred</w:t>
            </w: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8"/>
          </w:tcPr>
          <w:p>
            <w:pPr>
              <w:jc w:val="right"/>
              <w:ind w:right="828"/>
              <w:spacing w:after="0"/>
              <w:rPr>
                <w:sz w:val="20"/>
                <w:szCs w:val="20"/>
                <w:color w:val="auto"/>
              </w:rPr>
            </w:pPr>
            <w:r>
              <w:rPr>
                <w:rFonts w:ascii="Arial" w:cs="Arial" w:eastAsia="Arial" w:hAnsi="Arial"/>
                <w:sz w:val="14"/>
                <w:szCs w:val="14"/>
                <w:b w:val="1"/>
                <w:bCs w:val="1"/>
                <w:color w:val="auto"/>
              </w:rPr>
              <w:t>Stockholders’ Equity (Deficit)</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2520" w:type="dxa"/>
            <w:vAlign w:val="bottom"/>
            <w:gridSpan w:val="6"/>
            <w:vMerge w:val="continue"/>
          </w:tcPr>
          <w:p>
            <w:pPr>
              <w:spacing w:after="0"/>
              <w:rPr>
                <w:sz w:val="11"/>
                <w:szCs w:val="11"/>
                <w:color w:val="auto"/>
              </w:rPr>
            </w:pPr>
          </w:p>
        </w:tc>
        <w:tc>
          <w:tcPr>
            <w:tcW w:w="2220" w:type="dxa"/>
            <w:vAlign w:val="bottom"/>
            <w:gridSpan w:val="5"/>
            <w:vMerge w:val="restart"/>
          </w:tcPr>
          <w:p>
            <w:pPr>
              <w:jc w:val="right"/>
              <w:ind w:right="5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528"/>
              <w:spacing w:after="0"/>
              <w:rPr>
                <w:sz w:val="20"/>
                <w:szCs w:val="20"/>
                <w:color w:val="auto"/>
              </w:rPr>
            </w:pPr>
            <w:r>
              <w:rPr>
                <w:rFonts w:ascii="Arial" w:cs="Arial" w:eastAsia="Arial" w:hAnsi="Arial"/>
                <w:sz w:val="14"/>
                <w:szCs w:val="14"/>
                <w:b w:val="1"/>
                <w:bCs w:val="1"/>
                <w:color w:val="auto"/>
              </w:rPr>
              <w:t>Stock (all classes)</w:t>
            </w:r>
          </w:p>
        </w:tc>
        <w:tc>
          <w:tcPr>
            <w:tcW w:w="240" w:type="dxa"/>
            <w:vAlign w:val="bottom"/>
          </w:tcPr>
          <w:p>
            <w:pPr>
              <w:spacing w:after="0"/>
              <w:rPr>
                <w:sz w:val="14"/>
                <w:szCs w:val="14"/>
                <w:color w:val="auto"/>
              </w:rPr>
            </w:pPr>
          </w:p>
        </w:tc>
        <w:tc>
          <w:tcPr>
            <w:tcW w:w="2220" w:type="dxa"/>
            <w:vAlign w:val="bottom"/>
            <w:tcBorders>
              <w:bottom w:val="single" w:sz="8" w:color="auto"/>
            </w:tcBorders>
            <w:gridSpan w:val="5"/>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116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4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vMerge w:val="restart"/>
          </w:tcPr>
          <w:p>
            <w:pPr>
              <w:spacing w:after="0"/>
              <w:rPr>
                <w:sz w:val="20"/>
                <w:szCs w:val="20"/>
                <w:color w:val="auto"/>
              </w:rPr>
            </w:pPr>
            <w:r>
              <w:rPr>
                <w:rFonts w:ascii="Arial" w:cs="Arial" w:eastAsia="Arial" w:hAnsi="Arial"/>
                <w:sz w:val="14"/>
                <w:szCs w:val="14"/>
                <w:color w:val="auto"/>
              </w:rPr>
              <w:t>Balance at December 31, 2016</w:t>
            </w: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Pr>
          <w:p>
            <w:pPr>
              <w:spacing w:after="0"/>
              <w:rPr>
                <w:sz w:val="14"/>
                <w:szCs w:val="14"/>
                <w:color w:val="auto"/>
              </w:rPr>
            </w:pPr>
          </w:p>
        </w:tc>
        <w:tc>
          <w:tcPr>
            <w:tcW w:w="11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40" w:type="dxa"/>
            <w:vAlign w:val="bottom"/>
            <w:vMerge w:val="continue"/>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14,015,016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73,757,890</w:t>
            </w:r>
          </w:p>
        </w:tc>
        <w:tc>
          <w:tcPr>
            <w:tcW w:w="240" w:type="dxa"/>
            <w:vAlign w:val="bottom"/>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1,240,925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124</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(86,218,753)</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(86,218,629)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 of redeemable</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FF0FC"/>
          </w:tcPr>
          <w:p>
            <w:pPr>
              <w:ind w:left="360"/>
              <w:spacing w:after="0" w:line="149" w:lineRule="exact"/>
              <w:rPr>
                <w:sz w:val="20"/>
                <w:szCs w:val="20"/>
                <w:color w:val="auto"/>
              </w:rPr>
            </w:pPr>
            <w:r>
              <w:rPr>
                <w:rFonts w:ascii="Arial" w:cs="Arial" w:eastAsia="Arial" w:hAnsi="Arial"/>
                <w:sz w:val="14"/>
                <w:szCs w:val="14"/>
                <w:color w:val="auto"/>
              </w:rPr>
              <w:t>convertible preferred stock</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to redemption value</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943,297</w:t>
            </w:r>
          </w:p>
        </w:tc>
        <w:tc>
          <w:tcPr>
            <w:tcW w:w="2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(943,297)</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(943,297)</w:t>
            </w: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Conversion of redeemable convertible</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260"/>
              <w:spacing w:after="0"/>
              <w:rPr>
                <w:sz w:val="20"/>
                <w:szCs w:val="20"/>
                <w:color w:val="auto"/>
              </w:rPr>
            </w:pPr>
            <w:r>
              <w:rPr>
                <w:rFonts w:ascii="Arial" w:cs="Arial" w:eastAsia="Arial" w:hAnsi="Arial"/>
                <w:sz w:val="14"/>
                <w:szCs w:val="14"/>
                <w:color w:val="auto"/>
              </w:rPr>
              <w:t>preferred stock</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(14,015,016)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(74,701,187)</w:t>
            </w:r>
          </w:p>
        </w:tc>
        <w:tc>
          <w:tcPr>
            <w:tcW w:w="1000" w:type="dxa"/>
            <w:vAlign w:val="bottom"/>
          </w:tcPr>
          <w:p>
            <w:pPr>
              <w:jc w:val="right"/>
              <w:spacing w:after="0"/>
              <w:rPr>
                <w:sz w:val="20"/>
                <w:szCs w:val="20"/>
                <w:color w:val="auto"/>
              </w:rPr>
            </w:pPr>
            <w:r>
              <w:rPr>
                <w:rFonts w:ascii="Arial" w:cs="Arial" w:eastAsia="Arial" w:hAnsi="Arial"/>
                <w:sz w:val="14"/>
                <w:szCs w:val="14"/>
                <w:color w:val="auto"/>
              </w:rPr>
              <w:t>14,015,016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74,699,785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74,701,187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Conversion of convertible</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notes and accrued interest</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2,744,059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13,447,660</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13,447,934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Share exchange in connection</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360"/>
              <w:spacing w:after="0"/>
              <w:rPr>
                <w:sz w:val="20"/>
                <w:szCs w:val="20"/>
                <w:color w:val="auto"/>
              </w:rPr>
            </w:pPr>
            <w:r>
              <w:rPr>
                <w:rFonts w:ascii="Arial" w:cs="Arial" w:eastAsia="Arial" w:hAnsi="Arial"/>
                <w:sz w:val="14"/>
                <w:szCs w:val="14"/>
                <w:color w:val="auto"/>
              </w:rPr>
              <w:t>with Merger</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4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Issuance of common stock, net</w:t>
            </w: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FF0FC"/>
          </w:tcPr>
          <w:p>
            <w:pPr>
              <w:ind w:left="360"/>
              <w:spacing w:after="0"/>
              <w:rPr>
                <w:sz w:val="20"/>
                <w:szCs w:val="20"/>
                <w:color w:val="auto"/>
              </w:rPr>
            </w:pPr>
            <w:r>
              <w:rPr>
                <w:rFonts w:ascii="Arial" w:cs="Arial" w:eastAsia="Arial" w:hAnsi="Arial"/>
                <w:sz w:val="14"/>
                <w:szCs w:val="14"/>
                <w:color w:val="auto"/>
              </w:rPr>
              <w:t>of issuance costs of $3,084,385</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8,049,555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805</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37,162,585</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37,163,390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360"/>
              <w:spacing w:after="0"/>
              <w:rPr>
                <w:sz w:val="20"/>
                <w:szCs w:val="20"/>
                <w:color w:val="auto"/>
              </w:rPr>
            </w:pPr>
            <w:r>
              <w:rPr>
                <w:rFonts w:ascii="Arial" w:cs="Arial" w:eastAsia="Arial" w:hAnsi="Arial"/>
                <w:sz w:val="14"/>
                <w:szCs w:val="14"/>
                <w:color w:val="auto"/>
              </w:rPr>
              <w:t>upon exercise of stock options</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25,729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36,101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Forfeiture of restricted stock</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(5,246)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640" w:type="dxa"/>
            <w:vAlign w:val="bottom"/>
          </w:tcPr>
          <w:p>
            <w:pPr>
              <w:ind w:left="260"/>
              <w:spacing w:after="0" w:line="143" w:lineRule="exact"/>
              <w:rPr>
                <w:sz w:val="20"/>
                <w:szCs w:val="20"/>
                <w:color w:val="auto"/>
              </w:rPr>
            </w:pPr>
            <w:r>
              <w:rPr>
                <w:rFonts w:ascii="Arial" w:cs="Arial" w:eastAsia="Arial" w:hAnsi="Arial"/>
                <w:sz w:val="14"/>
                <w:szCs w:val="14"/>
                <w:color w:val="auto"/>
              </w:rPr>
              <w:t>Share-based compensation</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40" w:type="dxa"/>
            <w:vAlign w:val="bottom"/>
          </w:tcPr>
          <w:p>
            <w:pPr>
              <w:ind w:left="360"/>
              <w:spacing w:after="0"/>
              <w:rPr>
                <w:sz w:val="20"/>
                <w:szCs w:val="20"/>
                <w:color w:val="auto"/>
              </w:rPr>
            </w:pPr>
            <w:r>
              <w:rPr>
                <w:rFonts w:ascii="Arial" w:cs="Arial" w:eastAsia="Arial" w:hAnsi="Arial"/>
                <w:sz w:val="14"/>
                <w:szCs w:val="14"/>
                <w:color w:val="auto"/>
              </w:rPr>
              <w:t>expense</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394,268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394,268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and comprehensive loss</w:t>
            </w: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(15,165,577)</w:t>
            </w:r>
          </w:p>
        </w:tc>
        <w:tc>
          <w:tcPr>
            <w:tcW w:w="2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(15,165,577)</w:t>
            </w:r>
          </w:p>
        </w:tc>
        <w:tc>
          <w:tcPr>
            <w:tcW w:w="0" w:type="dxa"/>
            <w:vAlign w:val="bottom"/>
          </w:tcPr>
          <w:p>
            <w:pPr>
              <w:spacing w:after="0"/>
              <w:rPr>
                <w:sz w:val="1"/>
                <w:szCs w:val="1"/>
                <w:color w:val="auto"/>
              </w:rPr>
            </w:pPr>
          </w:p>
        </w:tc>
      </w:tr>
      <w:tr>
        <w:trPr>
          <w:trHeight w:val="156"/>
        </w:trPr>
        <w:tc>
          <w:tcPr>
            <w:tcW w:w="2640" w:type="dxa"/>
            <w:vAlign w:val="bottom"/>
          </w:tcPr>
          <w:p>
            <w:pPr>
              <w:spacing w:after="0" w:line="155" w:lineRule="exact"/>
              <w:rPr>
                <w:sz w:val="20"/>
                <w:szCs w:val="20"/>
                <w:color w:val="auto"/>
              </w:rPr>
            </w:pPr>
            <w:r>
              <w:rPr>
                <w:rFonts w:ascii="Arial" w:cs="Arial" w:eastAsia="Arial" w:hAnsi="Arial"/>
                <w:sz w:val="14"/>
                <w:szCs w:val="14"/>
                <w:color w:val="auto"/>
              </w:rPr>
              <w:t>Balance at September 30, 2017</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27,070,038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2,707</w:t>
            </w:r>
          </w:p>
        </w:tc>
        <w:tc>
          <w:tcPr>
            <w:tcW w:w="2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125,740,297</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(102,327,627</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23,415,377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AERPIO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6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9"/>
                <w:szCs w:val="19"/>
                <w:color w:val="auto"/>
              </w:rPr>
            </w:pPr>
          </w:p>
        </w:tc>
        <w:tc>
          <w:tcPr>
            <w:tcW w:w="1960" w:type="dxa"/>
            <w:vAlign w:val="bottom"/>
            <w:gridSpan w:val="4"/>
            <w:shd w:val="clear" w:color="auto" w:fill="CFF0FC"/>
          </w:tcPr>
          <w:p>
            <w:pPr>
              <w:jc w:val="right"/>
              <w:ind w:right="125"/>
              <w:spacing w:after="0"/>
              <w:rPr>
                <w:sz w:val="20"/>
                <w:szCs w:val="20"/>
                <w:color w:val="auto"/>
              </w:rPr>
            </w:pPr>
            <w:r>
              <w:rPr>
                <w:rFonts w:ascii="Arial" w:cs="Arial" w:eastAsia="Arial" w:hAnsi="Arial"/>
                <w:sz w:val="18"/>
                <w:szCs w:val="18"/>
                <w:i w:val="1"/>
                <w:iCs w:val="1"/>
                <w:color w:val="auto"/>
              </w:rPr>
              <w:t>(unaudited)</w:t>
            </w: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Net and comprehensive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(15,165,577)</w:t>
            </w:r>
          </w:p>
        </w:tc>
        <w:tc>
          <w:tcPr>
            <w:tcW w:w="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(13,465,561)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net and comprehensive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39,269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 related to convertible note conversion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257,998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(35,089)</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Prepaid expenses and current other assets</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(383,149)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other current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598,706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(168,018)</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(14,271,082)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(12,676,283)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(113,297)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(113,297)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Proceeds from issuances of convertible notes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297,354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9,073,062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paid for debt issuance costs</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ind w:left="480"/>
              <w:spacing w:after="0"/>
              <w:rPr>
                <w:sz w:val="20"/>
                <w:szCs w:val="20"/>
                <w:color w:val="auto"/>
              </w:rPr>
            </w:pPr>
            <w:r>
              <w:rPr>
                <w:rFonts w:ascii="Arial" w:cs="Arial" w:eastAsia="Arial" w:hAnsi="Arial"/>
                <w:sz w:val="18"/>
                <w:szCs w:val="18"/>
                <w:color w:val="auto"/>
              </w:rPr>
              <w:t>Proceeds from sale of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40,247,775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paid in connection with the sale of common stock</w:t>
            </w: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(3,084,385)</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37,496,845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8,953,719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23,219,216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(3,835,861)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1,609,694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5,144,211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80" w:type="dxa"/>
            <w:vAlign w:val="bottom"/>
            <w:gridSpan w:val="2"/>
          </w:tcPr>
          <w:p>
            <w:pPr>
              <w:spacing w:after="0"/>
              <w:rPr>
                <w:sz w:val="20"/>
                <w:szCs w:val="20"/>
                <w:color w:val="auto"/>
              </w:rPr>
            </w:pPr>
            <w:r>
              <w:rPr>
                <w:rFonts w:ascii="Arial" w:cs="Arial" w:eastAsia="Arial" w:hAnsi="Arial"/>
                <w:sz w:val="18"/>
                <w:szCs w:val="18"/>
                <w:color w:val="auto"/>
              </w:rPr>
              <w:t>Cash and cash equivalents, nine months ended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24,828,910</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1,308,350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redeemable convertible preferred stock into common stock</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74,701,187</w:t>
            </w:r>
          </w:p>
        </w:tc>
        <w:tc>
          <w:tcPr>
            <w:tcW w:w="1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Conversion of convertible notes and accrued interest into common stock</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13,447,934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943,297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3,098,149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Extinguishment of redeemable convertible preferred stock</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(224,224)</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Aerpio Pharmaceuticals, Inc. (the “Company”) was incorporated as Zeta Acquisition Corp. II (“Zeta”) in the State of Delaware on November 16, 2007. Prior to the Merger, (as defined below), Zeta was a “shell company” (as defined in Rule 12b-2 of the Securities Exchange Act of 1934, as amended).</w:t>
      </w:r>
    </w:p>
    <w:p>
      <w:pPr>
        <w:spacing w:after="0" w:line="14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On March 3, 2017, the Company’s Board of Directors, and on March 10, 2017, the Company’s pre-Merger (as defined below) stockholders, approved an amended and restated certificate of incorporation, which, among other things, increased authorized capital stock from 100,000,000 shares of common stock, par value $0.0001 per share, and 10,000,000 shares of preferred stock, par value $0.0001 per share, to 300,000,000 shares of common stock, par value $0.0001 per share, and 10,000,000 shares of preferred stock, par value $0.0001 per share.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15, 2017, Zeta changed its name to Aerpio Pharmaceuticals, Inc. and its wholly-owned subsidiary, Aerpio Acquisition Corp., a corporation formed in the State of Delaware on March 3, 2017, merged with and into Aerpio Therapeutics, Inc., (“Aerpio”), (the “Merger”), a corporation incorporated on November 17, 2011 in the State of Delaware. Pursuant to the Merger, Aerpio remained as the surviving corporation and became the Company’s wholly-owned subsidiary.</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the effective time of the Merger, the shares of the Aerpio’s (i) common stock issued and outstanding immediately prior to the closing of the Merger (including restricted common stock, whether vested or unvested, issued under the Aerpio’s 2011 Equity Incentive Plan), and (ii) redeemable convertible preferred stock issued and outstanding immediately prior to the closing of the Merger, were converted into shares of the Company’s common stock. In addition, immediately prior to the Merger, the outstanding amounts under certain senior secured convertible notes issued by Aerpio to its pre-Merger noteholders were converted into shares of Aerpio’s preferred stock, which were then converted to shares of Aerpio’s common stock and subsequently were converted into shares of the Company’s common stock, together with the other shares of the Aerpio’s common stock described above. In addition, pursuant to the Merger Agreement options to purchase shares of the Aerpio’s common stock issued and outstanding immediately prior to the closing of the Merger were assumed and converted into options to purchase shares of the Company’s common stock. All the outstanding capital stock of Aerpio was converted into shares of the Company’s common stock on a 2.3336572:1 basis.</w:t>
      </w:r>
    </w:p>
    <w:p>
      <w:pPr>
        <w:spacing w:after="0" w:line="18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a result of the Merger, the Company acquired the business of Aerpio and will continue the existing business operations of Aerpio as a public reporting company under the name Aerpio Pharmaceuticals, Inc. Immediately after the Merger, on March 15, 2017, Aerpio converted into a Delaware limited liability company (the “Conversion”).</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Immediately following the Conversion, the pre-Merger stockholders of Zeta surrendered for cancellation 4,000,000 of the 5,000,000 shares of the outstanding common stock of Zeta, (the “Share Cancellation”). Following the Share Cancellation, on March 15, 2017, the Company closed a private placement offering (the “Offering”) of 8,049,555 shares of the Company’s common stock, at a purchase price of $5.00 per share, for net proceeds of $37.2 million and the issuance of warrants with a term of three years, to purchase 317,562 shares of the Company’s common stock at an exercise price of $5.00 per share.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Merger was treated as a recapitalization and reverse acquisition for financial reporting purposes. The Company is the legal acquirer of Aerpio in the 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“reverse merger” or “reverse acquisition” accounting treatment, the unaudited condensed consolidated interim financial statements for the period ended September 30, 2017 include the accounts of the Company and its wholly owned subsidiary, Aerpio Therapeutics, LLC. The comparative historical financial statements for periods ended prior to the date of the Merger are the historical financial statements of Aerpio. Consequently, the assets and liabilities and the historical operations that are reflected in these condensed consolidated financial statements of the Company are those of Aerpio, which were recorded at their historical cost basis. Unless otherwise indicated, all share and per share figures reflect the exchange of each 2.3336572 shares of Aerpio capital stock, convertible notes and share based awards, then outstanding, for 1 share of the Company’s common stock at the effective time of the Merger.</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a biopharmaceutical company focused on advancing first-in-class treatments for ocular disease. The Company’s lead product candidate, AKB-9778, a small molecule activator of the Tie2 pathway, is being developed for the treatment of diabetic retinopathy (“DR”). Tie2 signaling is essential for regulating blood vessel development and the stability of mature vessels. The Company has completed a Phase 2a clinical trial in diabetic macular edema (“DME”), a swelling of the retina that is a common cause of vision loss in patients with DR and during the second quarter of 2017, initiated a twelve month, double blind Phase 2b clinical trial in patients with DR who have not developed more serious complications such as DME or proliferative diabetic retinopathy.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ind w:right="300"/>
        <w:spacing w:after="0" w:line="297" w:lineRule="auto"/>
        <w:rPr>
          <w:sz w:val="20"/>
          <w:szCs w:val="20"/>
          <w:color w:val="auto"/>
        </w:rPr>
      </w:pPr>
      <w:r>
        <w:rPr>
          <w:rFonts w:ascii="Arial" w:cs="Arial" w:eastAsia="Arial" w:hAnsi="Arial"/>
          <w:sz w:val="16"/>
          <w:szCs w:val="16"/>
          <w:color w:val="auto"/>
        </w:rPr>
        <w:t>In addition, the Company has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The Company completed a Phase 1a clinical trial in healthy volunteers for AKB-4924 and APR-1536 is currently in preclinical development. Further development on the pipeline programs is subject to receiving additional funding, which the Company may seek through collaborations with potential strategic and commercial partners.</w:t>
      </w:r>
    </w:p>
    <w:p>
      <w:pPr>
        <w:spacing w:after="0" w:line="15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Company’s operations to date have been limited to organizing and staffing the Company, business planning, raising capital, acquiring and developing its technology, identifying potential product candidates, and undertaking preclinical and clinical studies. The Company has not generated any revenues to date, nor is there any assurance of any future revenues. The Company’s product candidates are subject to long development cycles, and there is no assurance the Company will be able to successfully develop, obtain regulatory approval for, or market its product candidates.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subject to a number of risks similar to other life science companies in the current stage of its life cycle, including, but not limited to, the need to obtain adequate additional funding, possible failure of preclinical testing or clinical trials, the need to obtain marketing approval for its product candidates, competitors developing new technological innovations, the need to successfully commercialize and gain market acceptance of any of the Company’s products that are approved, and protection of proprietary technology. If the Company does not successfully commercialize any of its products or mitigate any of these other risks, it will be unable to generate revenue or achieve profitability.</w:t>
      </w:r>
    </w:p>
    <w:p>
      <w:pPr>
        <w:spacing w:after="0" w:line="292" w:lineRule="exact"/>
        <w:rPr>
          <w:sz w:val="20"/>
          <w:szCs w:val="20"/>
          <w:color w:val="auto"/>
        </w:rPr>
      </w:pPr>
    </w:p>
    <w:p>
      <w:pPr>
        <w:ind w:right="784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160"/>
        <w:spacing w:after="0" w:line="291" w:lineRule="auto"/>
        <w:rPr>
          <w:sz w:val="20"/>
          <w:szCs w:val="20"/>
          <w:color w:val="auto"/>
        </w:rPr>
      </w:pPr>
      <w:r>
        <w:rPr>
          <w:rFonts w:ascii="Arial" w:cs="Arial" w:eastAsia="Arial" w:hAnsi="Arial"/>
          <w:sz w:val="16"/>
          <w:szCs w:val="16"/>
          <w:color w:val="auto"/>
        </w:rPr>
        <w:t>The unaudited condensed consolidated financial statements have been prepared in accordance with U.S. Securities and Exchange Commission (SEC) regulations and include all of the information and disclosures required by U.S. generally accepted accounting principles ("U.S. GAAP" or "GAAP") for interim financial reporting, and, in the opinion of management include all adjustments necessary for a fair presentation of the results of operations, financial position and cash flows for each period presented. All adjustments are of a normal and recurring nature. These unaudited condensed consolidated financial statements should be read in conjunction with the consolidated financial statements of Aerpio Therapeutics Inc. for the year ended December 31, 2016, included in the Company’s Registration Statement on Form S-1 filed with the SEC. The results of operations for the interim periods are not necessarily indicative of results of operations for a full year. The Company’s condensed consolidated financial statements are stated in U.S. Dollars.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segment are located in the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if applicable,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fair value of the Company’s common stock and other equity instruments, accrued expenses, and income taxes.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ind w:right="60"/>
        <w:spacing w:after="0" w:line="254" w:lineRule="auto"/>
        <w:rPr>
          <w:sz w:val="20"/>
          <w:szCs w:val="20"/>
          <w:color w:val="auto"/>
        </w:rPr>
      </w:pPr>
      <w:r>
        <w:rPr>
          <w:rFonts w:ascii="Arial" w:cs="Arial" w:eastAsia="Arial" w:hAnsi="Arial"/>
          <w:sz w:val="18"/>
          <w:szCs w:val="18"/>
          <w:color w:val="auto"/>
        </w:rPr>
        <w:t xml:space="preserve">Historically,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to estimate the fair value of its common stock. Each valuation methodology includes estimates and assumptions that require the Company’s judgment. These estimates and assumptions include a number of objective and subjective factors, including external market conditions, the prices at which the Company sold shares of redeemable convertible preferred stock, the superior rights and preferences of securities senior to the Company’s common stock at the time, and, at December 31, 2016, a probability analysis of various liquidity events under differing scenarios, including both a potential public trading scenario and potential sale scenario. Significant changes to the key assumptions used in the valuations could result in different fair values of common stock and other equity instruments at each valuation date.</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utilizes significant estimates and assumptions in determining the fair value of its common stock and other equity instruments. The Company granted stock options at exercise prices not less than the fair value of its common stock, as determined by the Board of Directors contemporaneously at the date such grants were made. The Board of Directors has historically determined the estimated fair value of the Company’s common stock based on a number of objective and subjective factors, including external market conditions affecting the biotechnology industry sector and the prices at which the Company sold shares of common and preferred stock, the superior rights and preferences of securities senior to the Company’s common stock at the time, and, for periods prior to the Offering, the likelihood of achieving a liquidity event, such as a public offering or sale of the Company.</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Company’s results can also be affected by economic, political, legislative, regulatory, and legal actions. Economic conditions, such as recessionary trends, inflation, interest and monetary exchange rates, government fiscal policies, and changes in the prices of research studies, can have a significant effect on operations. While the Company maintains reserves for anticipated liabilities and carries various levels of insurance, the Company could be affected by civil, criminal, regulatory or administrative actions, claims, or proceedings.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Cash and cash equivalents consist of all cash on hand, deposits, and funds invested in short-term investments with remaining maturities of three months or less at the time of purchase. The Company may maintain balances with its banks in excess of federally insured limits.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Time deposits with remaining maturities of greater than three months but less than one year at the time of purchase are classified as short-term investments in the accompanying condensed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Costs incurred in connection with research and development activities are expensed as incurred. Research and development expense consists of (i) employee-related expenses, including salaries, benefits, travel, and stock-based compensation expense; (ii) external research and development expenses incurred under arrangements with third parties, such as contract research organizations and consultants; (iii) the cost of acquiring, developing, and manufacturing clinical study materials; (iv) facilities and other expenses, which include direct and allocated expenses for rent and maintenance of facilities and laboratory and other supplies; and (v) costs associated with preclinical activities and regulatory operations.</w:t>
      </w:r>
    </w:p>
    <w:p>
      <w:pPr>
        <w:spacing w:after="0" w:line="173"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enters into consulting, research, and other agreements with commercial firms, researchers, universities, and others for the provision of goods and services. Under such agreements, the Company may pay for services on a monthly, quarterly, project, or other basis. Such arrangements are generally cancellable upon reasonable notice and payment of costs incurred. Costs are considered incurred based on an evaluation of the progress to completion of specific tasks under each contract using information and data provided to the Company by its clinical sites and vendors. These costs consist of direct and indirect costs associated with specific projects, as well as fees paid to various entities that perform certain research on behalf of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in connection with the application for and issuances of patents are expensed as incurred.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Income taxes are recorded in accordance with Financial Accounting Standards Board (“FASB”) Accounting Standards Codification (ASC) Topic 740, </w:t>
      </w:r>
      <w:r>
        <w:rPr>
          <w:rFonts w:ascii="Arial" w:cs="Arial" w:eastAsia="Arial" w:hAnsi="Arial"/>
          <w:sz w:val="16"/>
          <w:szCs w:val="16"/>
          <w:i w:val="1"/>
          <w:iCs w:val="1"/>
          <w:color w:val="auto"/>
        </w:rPr>
        <w:t>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which provides for deferred taxes using an asset and liability approach. The Company recognizes deferred tax assets and liabilities for the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tax consequences of events that have been included in the condensed consolidated financial statements or tax returns. Deferred tax assets and liabilities are determined based on the difference between the financial statement and tax bases of assets and liabilities and for loss and credit carryforwards using enacted tax rates anticipated to be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6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some or all of the benefit will more likely than not be realized. The determination as to whether the tax benefit will more likely than not be realized is based upon the technical merits of the tax position, as well as consideration of the available facts and circumstances. As of September 30, 2017, and December 31, 2016, the Company does not have any significant uncertain tax positions. If incurred, the Company would classify interest and penalties on uncertain tax positions as income tax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basic net loss per share attributable to common stockholders is calculated by dividing the net loss attributable to common stockholders by the weighted average number of shares of common stock outstanding for the period. The diluted net loss per share attributable to common stockholders is computed by adjusting the weighted average shares outstanding for the dilutive effect of common stock equivalents outstanding for the period, determined using the treasury stock method. For purposes of this calculation, redeemable convertible preferred stock, convertible notes payable, stock options to purchase common stock, warrants, and unvested restricted stock awards are considered to be common stock equivalents but have been excluded from the calculation of diluted net loss per share attributable to common stockholders as their effect is anti-dilutive for all periods presented. Therefore, basic and diluted net loss per share attributable to common stockholders were the same for all periods presented.</w:t>
      </w:r>
    </w:p>
    <w:p>
      <w:pPr>
        <w:spacing w:after="0" w:line="178"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For all periods presented, all share and per share amounts have been retrospectively adjusted to reflect the exchange of each 2.3336572 shares of Aerpio capital stock and share based awards then outstanding, for 1 share of the Company’s common stock at the effective time of the Merger.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Company accounts for its stock-based compensation awards in accordance with FASB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ASC 718 requires all stock-based payments to employees, including grants of employee stock options and restricted stock, to be recognized in the condensed consolidated statements of operations and comprehensive loss based on their fair values. All the Company’s stock-based awards are subject only to service-based vesting conditions. The Company estimates the fair value of its stock-based awards using the Black-Scholes option pricing model, which requires the input of subjective assumptions, including (a) the expected stock price volatility, (b) the calculation of expected term of the award, (c) the risk-free interest rate, and (d) expected dividends. The fair value of restricted stock awards is determined based on the Company’s estimated common stock value.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Due to the lack of a public market for the trading of the Company’s common stock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The Company uses the simplified method as prescribed by the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to 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a treasury instrument whose term is consistent with the expected life of the stock options.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1" w:name="page12"/>
    <w:bookmarkEnd w:id="11"/>
    <w:p>
      <w:pPr>
        <w:jc w:val="both"/>
        <w:ind w:right="20"/>
        <w:spacing w:after="0" w:line="286" w:lineRule="auto"/>
        <w:rPr>
          <w:sz w:val="20"/>
          <w:szCs w:val="20"/>
          <w:color w:val="auto"/>
        </w:rPr>
      </w:pPr>
      <w:r>
        <w:rPr>
          <w:rFonts w:ascii="Arial" w:cs="Arial" w:eastAsia="Arial" w:hAnsi="Arial"/>
          <w:sz w:val="17"/>
          <w:szCs w:val="17"/>
          <w:color w:val="auto"/>
        </w:rPr>
        <w:t>Compensation expense related to awards to employees is calculated on a straight-line basis by recognizing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Company’s financial instruments consist of cash equivalents, short-term investments, accounts receivable, and accounts payable. The Company values cash equivalents using quoted market prices. The valuation technique used to measure the fair value of short-term investments was based on observable market data. The fair value of accounts receivable and accounts payable approximate the carrying value because of their short-term nature.</w:t>
      </w:r>
    </w:p>
    <w:p>
      <w:pPr>
        <w:spacing w:after="0" w:line="14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 xml:space="preserve">The Company is required to disclose information on all assets and liabilities reported at fair value that enables an assessment of the inputs used in determining the reported fair values. FASB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establishes a hierarchy of inputs used in measuring fair value that maximizes the use of observable inputs and minimizes the use of unobservable inputs by requiring that the observable inputs be used when available.</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p>
    <w:p>
      <w:pPr>
        <w:spacing w:after="0" w:line="80" w:lineRule="exact"/>
        <w:rPr>
          <w:sz w:val="20"/>
          <w:szCs w:val="20"/>
          <w:color w:val="auto"/>
        </w:rPr>
      </w:pPr>
    </w:p>
    <w:p>
      <w:pPr>
        <w:ind w:left="1040" w:right="2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Valuations based on unadjusted quoted prices in active markets for identical assets or liabilities that the Company has the ability to access at the measurement date</w:t>
      </w:r>
    </w:p>
    <w:p>
      <w:pPr>
        <w:spacing w:after="0" w:line="62"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Valuations that require inputs that reflect the Company’s own assumptions that are both significant to the fair value measurement and unobservable</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within the fair value hierarchy in the nine months ended September 30, 2017 or September 30, 2016. The assets of the Company measured at fair value on a recurring basis as of September 30, 2017 and December 31, 2016 are summarized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Fair Value Measurements Using</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108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9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2017</w:t>
            </w:r>
          </w:p>
        </w:tc>
        <w:tc>
          <w:tcPr>
            <w:tcW w:w="17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Assets: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24,828,910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24,828,910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24,828,910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24,878,910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December 31, 2016</w:t>
            </w: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1,609,694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1,609,694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Short-term investments</w:t>
            </w: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580"/>
              <w:spacing w:after="0"/>
              <w:rPr>
                <w:sz w:val="20"/>
                <w:szCs w:val="20"/>
                <w:color w:val="auto"/>
              </w:rPr>
            </w:pPr>
            <w:r>
              <w:rPr>
                <w:rFonts w:ascii="Arial" w:cs="Arial" w:eastAsia="Arial" w:hAnsi="Arial"/>
                <w:sz w:val="18"/>
                <w:szCs w:val="18"/>
                <w:color w:val="auto"/>
              </w:rPr>
              <w:t>Total assets</w:t>
            </w:r>
          </w:p>
        </w:tc>
        <w:tc>
          <w:tcPr>
            <w:tcW w:w="1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1,609,694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1,659,694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740" w:type="dxa"/>
            <w:vAlign w:val="bottom"/>
            <w:vMerge w:val="restart"/>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Concentrations of Credit Risk and Off-Balance Sheet Risk</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Cash and cash equivalents and short-term investments are the only financial instruments that potentially subject the Company to concentrations of credit risk. At September 30, 2017 and December 31, 2016, all the Company’s cash was deposited in accounts at two principal financial institutions. The Company maintains its cash and cash equivalents and short-term investments with a high-quality, accredited financial institution and, accordingly, such funds are subject to minimal credit risk. The Company has no significant off-balance sheet concentrations of credit risk, such as foreign currency exchange contracts, option contracts, or other hedging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if any. Comprehensive loss equaled net loss for all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Furniture and equipment is stated at cost, less accumulated depreciation. Furniture and equipment is depreciated using the straight-line method over the estimated useful lives of the assets, generally three to seven years. Such costs are periodically reviewed for recoverability when impairment indicators are present. Such indicators include, among other factors, operating losses, unused capacity, market value declines, and technological obsolescence. Recorded values of asset groups of furniture and equipment that are not expected to be recovered through undiscounted future net cash flows are written down to current fair value, which generally is determined from estimated discounted future net cash flows (assets held for use) or net realizable value (assets held for sale).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the impact of recently issued standards that are not yet effective will not have a material impact on its consolidated financial position or results of operations upon adoption.</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This ASU is intended to simplify accounting for share-based payments and requires that excess tax benefits for share-based payments be recorded as a reduction of income tax expense and reflected within operating cash flows rather than being recorded within equity and reflected within financing cash flows. The ASU also provides an option for companies to recognize forfeitures as they occur rather than estimating the number of awards expected to be forfeited. The Company adopted this ASU on January 1, 2017 and has applied the new guidance related to excess tax benefits on a prospective basis. The Company also elected to account for forfeitures of share-based payments as they occur. The effect of adoption was not material to the condensed consolidated financial statements.</w:t>
      </w:r>
    </w:p>
    <w:p>
      <w:pPr>
        <w:spacing w:after="0" w:line="16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This ASU will require lessees to recognize almost all leases on the balance sheet as a right-of-use asset and a lease liability. For statement of operations purposes, the FASB retained a dual model, requiring leases to be classified as finance leases or operating leases. This update is effective for interim and annual periods beginning after December 15, 2018, with early adoption permitted. The Company is currently assessing the effect that adoption of the new standard will have on its condensed consolidated financial statements.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(a consensus of the Emerging Issues Task Force). The amendments in ASU 2016-15 address eight specific cash flow issues and apply to all entities that are required to present a statement of cash flows under FASB Accounting Standards Codification (FASB ASC) 230, Statement of Cash Flows. The amendments in ASU 2016-15 are effective for public business entities for fiscal years beginning after December 15, 2017, and interim periods within those fiscal years. Early adoption is permitted, including adoption during an interim period. The Company has not yet adopted this ASU and is currently evaluating the effect that adoption of this new standard will have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Related-Party Arrangements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Aerpio was initially capitalized in December 2011 in a spinout transaction from Akebia Therapeutics, Inc. (Akebia) to enable more rapid development of its compounds. In connection with the spinout of Aerpio from Akebia, the companies entered into shared services agreements. Under the terms of the shared services agreements, Akebia and Aerpio obtained from and provided to each other certain services, as outlined below. These agreements expired on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activities included in the statements of operations and comprehensive loss: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vMerge w:val="restart"/>
          </w:tcPr>
          <w:p>
            <w:pPr>
              <w:jc w:val="center"/>
              <w:ind w:left="42"/>
              <w:spacing w:after="0"/>
              <w:rPr>
                <w:sz w:val="20"/>
                <w:szCs w:val="20"/>
                <w:color w:val="auto"/>
              </w:rPr>
            </w:pPr>
            <w:r>
              <w:rPr>
                <w:rFonts w:ascii="Arial" w:cs="Arial" w:eastAsia="Arial" w:hAnsi="Arial"/>
                <w:sz w:val="14"/>
                <w:szCs w:val="14"/>
                <w:b w:val="1"/>
                <w:bCs w:val="1"/>
                <w:color w:val="auto"/>
                <w:w w:val="91"/>
              </w:rPr>
              <w:t>Condensed Consolidated Financial</w:t>
            </w:r>
          </w:p>
        </w:tc>
        <w:tc>
          <w:tcPr>
            <w:tcW w:w="320" w:type="dxa"/>
            <w:vAlign w:val="bottom"/>
          </w:tcPr>
          <w:p>
            <w:pPr>
              <w:spacing w:after="0"/>
              <w:rPr>
                <w:sz w:val="16"/>
                <w:szCs w:val="16"/>
                <w:color w:val="auto"/>
              </w:rPr>
            </w:pPr>
          </w:p>
        </w:tc>
        <w:tc>
          <w:tcPr>
            <w:tcW w:w="282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7"/>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4"/>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Activity</w:t>
            </w:r>
          </w:p>
        </w:tc>
        <w:tc>
          <w:tcPr>
            <w:tcW w:w="14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54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3"/>
              </w:rPr>
              <w:t>Statement Caption</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Akebia related employee costs</w:t>
            </w:r>
          </w:p>
        </w:tc>
        <w:tc>
          <w:tcPr>
            <w:tcW w:w="140" w:type="dxa"/>
            <w:vAlign w:val="bottom"/>
            <w:shd w:val="clear" w:color="auto" w:fill="CFF0FC"/>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4"/>
            <w:vMerge w:val="restart"/>
            <w:shd w:val="clear" w:color="auto" w:fill="CFF0FC"/>
          </w:tcPr>
          <w:p>
            <w:pPr>
              <w:ind w:left="900"/>
              <w:spacing w:after="0"/>
              <w:rPr>
                <w:sz w:val="20"/>
                <w:szCs w:val="20"/>
                <w:color w:val="auto"/>
              </w:rPr>
            </w:pPr>
            <w:r>
              <w:rPr>
                <w:rFonts w:ascii="Arial" w:cs="Arial" w:eastAsia="Arial" w:hAnsi="Arial"/>
                <w:sz w:val="18"/>
                <w:szCs w:val="18"/>
                <w:b w:val="1"/>
                <w:bCs w:val="1"/>
                <w:color w:val="auto"/>
              </w:rPr>
              <w:t>—   $</w:t>
            </w:r>
          </w:p>
        </w:tc>
        <w:tc>
          <w:tcPr>
            <w:tcW w:w="1080" w:type="dxa"/>
            <w:vAlign w:val="bottom"/>
            <w:gridSpan w:val="3"/>
            <w:vMerge w:val="restart"/>
            <w:shd w:val="clear" w:color="auto" w:fill="CFF0FC"/>
          </w:tcPr>
          <w:p>
            <w:pPr>
              <w:ind w:left="660"/>
              <w:spacing w:after="0"/>
              <w:rPr>
                <w:sz w:val="20"/>
                <w:szCs w:val="20"/>
                <w:color w:val="auto"/>
              </w:rPr>
            </w:pPr>
            <w:r>
              <w:rPr>
                <w:rFonts w:ascii="Arial" w:cs="Arial" w:eastAsia="Arial" w:hAnsi="Arial"/>
                <w:sz w:val="18"/>
                <w:szCs w:val="18"/>
                <w:b w:val="1"/>
                <w:bCs w:val="1"/>
                <w:color w:val="auto"/>
              </w:rPr>
              <w:t>—</w:t>
            </w:r>
          </w:p>
        </w:tc>
        <w:tc>
          <w:tcPr>
            <w:tcW w:w="1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700" w:type="dxa"/>
            <w:vAlign w:val="bottom"/>
            <w:gridSpan w:val="5"/>
            <w:vMerge w:val="restart"/>
            <w:shd w:val="clear" w:color="auto" w:fill="CFF0FC"/>
          </w:tcPr>
          <w:p>
            <w:pPr>
              <w:ind w:left="9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expenses</w:t>
            </w:r>
          </w:p>
        </w:tc>
        <w:tc>
          <w:tcPr>
            <w:tcW w:w="320" w:type="dxa"/>
            <w:vAlign w:val="bottom"/>
            <w:vMerge w:val="continue"/>
            <w:shd w:val="clear" w:color="auto" w:fill="CFF0FC"/>
          </w:tcPr>
          <w:p>
            <w:pPr>
              <w:spacing w:after="0"/>
              <w:rPr>
                <w:sz w:val="20"/>
                <w:szCs w:val="20"/>
                <w:color w:val="auto"/>
              </w:rPr>
            </w:pPr>
          </w:p>
        </w:tc>
        <w:tc>
          <w:tcPr>
            <w:tcW w:w="1740" w:type="dxa"/>
            <w:vAlign w:val="bottom"/>
            <w:gridSpan w:val="4"/>
            <w:vMerge w:val="continue"/>
            <w:shd w:val="clear" w:color="auto" w:fill="CFF0FC"/>
          </w:tcPr>
          <w:p>
            <w:pPr>
              <w:spacing w:after="0"/>
              <w:rPr>
                <w:sz w:val="20"/>
                <w:szCs w:val="20"/>
                <w:color w:val="auto"/>
              </w:rPr>
            </w:pPr>
          </w:p>
        </w:tc>
        <w:tc>
          <w:tcPr>
            <w:tcW w:w="1080" w:type="dxa"/>
            <w:vAlign w:val="bottom"/>
            <w:gridSpan w:val="3"/>
            <w:vMerge w:val="continue"/>
            <w:shd w:val="clear" w:color="auto" w:fill="CFF0FC"/>
          </w:tcPr>
          <w:p>
            <w:pPr>
              <w:spacing w:after="0"/>
              <w:rPr>
                <w:sz w:val="20"/>
                <w:szCs w:val="20"/>
                <w:color w:val="auto"/>
              </w:rPr>
            </w:pPr>
          </w:p>
        </w:tc>
        <w:tc>
          <w:tcPr>
            <w:tcW w:w="140" w:type="dxa"/>
            <w:vAlign w:val="bottom"/>
            <w:gridSpan w:val="2"/>
            <w:vMerge w:val="continue"/>
            <w:shd w:val="clear" w:color="auto" w:fill="CFF0FC"/>
          </w:tcPr>
          <w:p>
            <w:pPr>
              <w:spacing w:after="0"/>
              <w:rPr>
                <w:sz w:val="20"/>
                <w:szCs w:val="20"/>
                <w:color w:val="auto"/>
              </w:rPr>
            </w:pPr>
          </w:p>
        </w:tc>
        <w:tc>
          <w:tcPr>
            <w:tcW w:w="1700" w:type="dxa"/>
            <w:vAlign w:val="bottom"/>
            <w:gridSpan w:val="5"/>
            <w:vMerge w:val="continue"/>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60" w:type="dxa"/>
            <w:vAlign w:val="bottom"/>
            <w:gridSpan w:val="2"/>
          </w:tcPr>
          <w:p>
            <w:pPr>
              <w:spacing w:after="0"/>
              <w:rPr>
                <w:sz w:val="20"/>
                <w:szCs w:val="20"/>
                <w:color w:val="auto"/>
              </w:rPr>
            </w:pPr>
            <w:r>
              <w:rPr>
                <w:rFonts w:ascii="Arial" w:cs="Arial" w:eastAsia="Arial" w:hAnsi="Arial"/>
                <w:sz w:val="18"/>
                <w:szCs w:val="18"/>
                <w:color w:val="auto"/>
              </w:rPr>
              <w:t>Facility-related reimbursement</w:t>
            </w:r>
          </w:p>
        </w:tc>
        <w:tc>
          <w:tcPr>
            <w:tcW w:w="2680" w:type="dxa"/>
            <w:vAlign w:val="bottom"/>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740" w:type="dxa"/>
            <w:vAlign w:val="bottom"/>
            <w:gridSpan w:val="4"/>
          </w:tcPr>
          <w:p>
            <w:pPr>
              <w:ind w:left="9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5"/>
          </w:tcPr>
          <w:p>
            <w:pPr>
              <w:ind w:left="9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4. Accounts Payable and Accrued 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40" w:type="dxa"/>
            <w:vAlign w:val="bottom"/>
            <w:gridSpan w:val="4"/>
          </w:tcPr>
          <w:p>
            <w:pPr>
              <w:spacing w:after="0"/>
              <w:rPr>
                <w:sz w:val="20"/>
                <w:szCs w:val="20"/>
                <w:color w:val="auto"/>
              </w:rPr>
            </w:pPr>
            <w:r>
              <w:rPr>
                <w:rFonts w:ascii="Arial" w:cs="Arial" w:eastAsia="Arial" w:hAnsi="Arial"/>
                <w:sz w:val="18"/>
                <w:szCs w:val="18"/>
                <w:color w:val="auto"/>
              </w:rPr>
              <w:t>Accounts payable and accrued expenses are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54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10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spacing w:after="0"/>
              <w:rPr>
                <w:sz w:val="19"/>
                <w:szCs w:val="19"/>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855,423</w:t>
            </w: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1,135,608</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355,099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200,468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bonus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470,362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483,442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Accrued vacation</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103,300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52,835</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gridSpan w:val="3"/>
          </w:tcPr>
          <w:p>
            <w:pPr>
              <w:spacing w:after="0"/>
              <w:rPr>
                <w:sz w:val="20"/>
                <w:szCs w:val="20"/>
                <w:color w:val="auto"/>
              </w:rPr>
            </w:pPr>
            <w:r>
              <w:rPr>
                <w:rFonts w:ascii="Arial" w:cs="Arial" w:eastAsia="Arial" w:hAnsi="Arial"/>
                <w:sz w:val="18"/>
                <w:szCs w:val="18"/>
                <w:color w:val="auto"/>
              </w:rPr>
              <w:t>Accrued project costs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749,183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541,158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52,866</w:t>
            </w:r>
          </w:p>
        </w:tc>
        <w:tc>
          <w:tcPr>
            <w:tcW w:w="1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57,459</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gridSpan w:val="4"/>
          </w:tcPr>
          <w:p>
            <w:pPr>
              <w:ind w:left="1720"/>
              <w:spacing w:after="0"/>
              <w:rPr>
                <w:sz w:val="20"/>
                <w:szCs w:val="20"/>
                <w:color w:val="auto"/>
              </w:rPr>
            </w:pPr>
            <w:r>
              <w:rPr>
                <w:rFonts w:ascii="Arial" w:cs="Arial" w:eastAsia="Arial" w:hAnsi="Arial"/>
                <w:sz w:val="18"/>
                <w:szCs w:val="18"/>
                <w:color w:val="auto"/>
                <w:w w:val="96"/>
              </w:rPr>
              <w:t>Total accounts payable and accrued expenses</w:t>
            </w:r>
          </w:p>
        </w:tc>
        <w:tc>
          <w:tcPr>
            <w:tcW w:w="320" w:type="dxa"/>
            <w:vAlign w:val="bottom"/>
          </w:tcPr>
          <w:p>
            <w:pPr>
              <w:spacing w:after="0"/>
              <w:rPr>
                <w:sz w:val="19"/>
                <w:szCs w:val="19"/>
                <w:color w:val="auto"/>
              </w:rPr>
            </w:pPr>
          </w:p>
        </w:tc>
        <w:tc>
          <w:tcPr>
            <w:tcW w:w="1580" w:type="dxa"/>
            <w:vAlign w:val="bottom"/>
            <w:gridSpan w:val="3"/>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2,586,233</w:t>
            </w:r>
          </w:p>
        </w:tc>
        <w:tc>
          <w:tcPr>
            <w:tcW w:w="18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2,470,970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to Investors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2016, Aerpio entered into a senior secured convertible note financing (the “Convertible Notes” or the “Convertible Note Financing”) totaling approximately $9,000,000, with certain preferred investors of Aerpio. All preferred investors were invited to participate in the Convertible Notes Financing. At September 30, 2017 and December 31, 2016, the unamortized debt issuance costs related to Convertible Note financings was $0 and $75,561, respectively. In connection with the Convertible Note Financing, Aerpio’s Articles of Incorporation were amended such that any Aerpio preferred stockholder that did not participate in the Convertible Note Financing would have their respective shares of Aerpio preferred stock automatically converted into Aerpio common stock using a 3-to-1 conversion ratio and such preferred stockholders would lose the right to representation on the Aerpio Board of Directors and other preferred rights.</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Convertible Note Financing had two separate closings of approximately $4,500,000 each on April 14, 2016 and July 15, 2016. Certain Aerpio preferred stockholders chose not to participate in the Convertible Note Financing and their respective Aerpio preferred stock was converted into shares of Aerpio common stock in April 2016 in accordance with the terms of the Articles of Incorporation. Aerpio treated this as an extinguishment of its preferred stock. The Convertible Notes accrued interest at 8% per annum, compounded annually. The Company incurred $138,312 of costs in association with the issuance of the Convertible Notes that were amortized over the expected life of the Convertible Notes, from the date of execution through October 31, 2016. The Convertible Notes were also subject to mandatory prepayment upon the occurrence of certain events, such as a liquidation, dissolution, or the sale of Aerpio. In addition, and prior to maturity, the Convertible Notes were automatically convertible into shares of Aerpio capital stock upon the occurrence of a sale of Aerpio’s capital stock in a single transaction resulting in gross proceeds to Aerpio of $30,000,000 (hereinafter referred to as an “Investor Sale”). The type and class of Aerpio capital stock of to be issued to the holder of each Convertible Note upon conversion would have been identical to the type and class of Aerpio capital stock issued in the Investor Sale. The holder of each Convertible Note was entitled to a number of shares of Aerpio capital determined by dividing (i) the outstanding principal amount of the Convertible Note plus any unpaid accrued interest by (ii) an amount equal to the price per share of Aerpio capital stock paid by the purchasers of such shares in connection with the Investor Sale. The Convertible Notes were secured by a first priority perfected security interest in all of the Aerpio’s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4" w:name="page15"/>
    <w:bookmarkEnd w:id="14"/>
    <w:p>
      <w:pPr>
        <w:spacing w:after="0" w:line="273" w:lineRule="auto"/>
        <w:rPr>
          <w:sz w:val="20"/>
          <w:szCs w:val="20"/>
          <w:color w:val="auto"/>
        </w:rPr>
      </w:pPr>
      <w:r>
        <w:rPr>
          <w:rFonts w:ascii="Arial" w:cs="Arial" w:eastAsia="Arial" w:hAnsi="Arial"/>
          <w:sz w:val="17"/>
          <w:szCs w:val="17"/>
          <w:color w:val="auto"/>
        </w:rPr>
        <w:t>In October 2016 and February 2017, Aerpio executed an additional senior secured Convertible Note financings (the “Additional Convertible Notes” or the “Additional Convertible Note Financings”) totaling approximately $3,500,000 and $300,000 respectively, with certain preferred investors of Aerpio. The terms of the Additional Convertible Notes are identical to the Convertible Notes and are treated as extensions of the original Convertible Note Financing. The Company incurred $125,935 of costs associated with these transactions, which were amortized to the maturity date of March 31, 2017. In connection with the Additional Convertible Note Financings, the Convertible Notes were amended and their respective maturity dates were extended from October 31, 2016 to March 31, 2017. The amendments are accounted for as a modification for accounting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(Note 1) the Convertible Notes and accrued interest were converted into the Company’s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2017 and December 31, 2016, the Company had 300,000,000 and 17,440,436 shares, respectively, of authorized common stock with par value of $0.0001 per share. On March 15, 2017, in connection with the Merger, (Note 1) all the outstanding redeemable convertible preferred stock, was converted into 14,015,016 shares of the Company’s common stock and the Convertible Notes, both principal and accrued interest, were converted into 2,744,059 shares of the Company’s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has the following characteristics.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holders of common stock are entitled to receive dividends, if and when declared by the Board of Directors. Since the Company’s inception, no dividends have been declared or paid to the holders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 and Other Restrictions</w:t>
      </w:r>
    </w:p>
    <w:p>
      <w:pPr>
        <w:spacing w:after="0" w:line="12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connection with the Merger, each of the Company’s executive officers, directors, stockholders holding substantially all of the shares of common stock issued in exchange for shares held in Aerpio immediately prior to the Merger, certain other stockholders, and certain key employees, (the “Restricted Holders”), holding at the closing date of the Merger (the “Closing Date”) an aggregate of approximately 18.9 million shares of common stock, entered into lock-up agreements,(the “Lock-Up Agreements”), whereby they are restricted for a period of nine months after the Merger, or the Restricted Period, from certain sales or dispositions (including pledge) of all (or 80% in the case of the holders of 915,000 shares) of the Company’s common stock held by (or issuable to) them, (such restrictions together referred to as the “Lock-Up”). The foregoing restrictions will not apply to the resale of shares of common stock by any Restricted Holder in any registered secondary offering of equity securities by the Company (and, if such offering is underwritten, with the written consent of the lead or managing underwriter), or to certain other transfers customarily excepted.</w:t>
      </w:r>
    </w:p>
    <w:p>
      <w:pPr>
        <w:spacing w:after="0" w:line="1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addition, each Restricted Holder and any stockholders holding or beneficially owning 1% or more of our common stock after giving effect to the Merger, agreed, for a period of 12 months following the Closing Date, that it will not, directly or indirectly, effect or agree to effect any short sale (as defined in Rule 200 under Regulation SHO of the Securities Exchange Act of 1934 (“the Exchange Act”), whether or not against the box, establish any “put equivalent position” (as defined in Rule 16a-1(h) under the Exchange Act) with respect to the common stock, borrow or pre-borrow any shares of common stock, or grant any other right (including, without limitation, any put or call option) with respect to the common stock or with respect to any security that includes, relates to or derives any significant part of its value from the common stock or otherwise seek to hedge its position in the common stock.</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Anti-dilution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Investors in the Offering have anti-dilution protection with respect to the shares of the Company’s common stock sold in the Offering such that if within six</w:t>
      </w:r>
    </w:p>
    <w:p>
      <w:pPr>
        <w:spacing w:after="0" w:line="46" w:lineRule="exact"/>
        <w:rPr>
          <w:sz w:val="20"/>
          <w:szCs w:val="20"/>
          <w:color w:val="auto"/>
        </w:rPr>
      </w:pPr>
    </w:p>
    <w:p>
      <w:pPr>
        <w:ind w:firstLine="8"/>
        <w:spacing w:after="0" w:line="268" w:lineRule="auto"/>
        <w:tabs>
          <w:tab w:leader="none" w:pos="255" w:val="left"/>
        </w:tabs>
        <w:numPr>
          <w:ilvl w:val="0"/>
          <w:numId w:val="6"/>
        </w:numPr>
        <w:rPr>
          <w:rFonts w:ascii="Arial" w:cs="Arial" w:eastAsia="Arial" w:hAnsi="Arial"/>
          <w:sz w:val="17"/>
          <w:szCs w:val="17"/>
          <w:color w:val="auto"/>
        </w:rPr>
      </w:pPr>
      <w:r>
        <w:rPr>
          <w:rFonts w:ascii="Arial" w:cs="Arial" w:eastAsia="Arial" w:hAnsi="Arial"/>
          <w:sz w:val="17"/>
          <w:szCs w:val="17"/>
          <w:color w:val="auto"/>
        </w:rPr>
        <w:t>months after the initial closing of the Offering the Company issues additional shares of common stock or common stock equivalents (subject to certain exceptions), for consideration per share less than the Offering Price, or the Lower Price, each such investor will be entitled to receive from the Company additional shares of common stock in an amount such that, when added to the number of shares of common stock initially purchased by such investor and still held of record and beneficially owned by such investor at the time of the dilutive issuance, or the Held Shares, will equal the number of shares of common stock that such investor’s Offering subscription amount for the Held Shares would have purchased at the Lower Price. Either (i) holders of a majority of the then-held Held Shares or (ii) a representative of the holders of the then-held Held Shares, which representative shall be appointed by three (3) investors who then hold the largest number of Held Shares, may waive the anti-dilution rights of all Offering investors with respect to a particular issuance by the Company. These anti-dilution rights were determined not to be a freestanding financial instrument and did not meet the definition of a derivative. At September 30, 2017, the anti-dilution rights were expired and the Company did not issue any additional shares of common stock or common stock equivalents during the nine-month period ended September 30, 2017.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September 30, 2017, the Company had warrants outstanding for the purchase of 317,562 shares of the Company’s common stock at an exercise price of $5.00 per share. The warrants have a three-year term and expire on March 15, 2020. The Warrants were issued in connection with the Offering. At the expiration date of the warrant, if the fair value of the Company’s common stock exceeds the exercise price, the warrant will be automatically exercised and the exercise price will be fulfilled through the net share settlement provisions. The number of shares and the exercise price shall be adjusted for standard ant-dilution events such as stock splits, combinations, reorganizations, or issue shares as part of a stock dividend. Upon a change of control, the warrant holder will have the right to receive securities, cash or other properties it would have been entitled to receive had the warrant been exercised. The Warrants are equity classified instruments and do not contain contingent exercise provisions, or other features, that would preclude the Company from concluding that the Warrants are indexed solely to the Company’s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At September 30, 2017, the Company had 10,000,000 shares of preferred stock, par value $0.0001 per share, in authorized capital. No preferred stock was issued and outstanding at September 30, 2017. In connection with the Merger (Note 1), all the Aerpio redeemable convertible preferred stock issued and outstanding prior to the Merger was converted into shares of the Company’s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Aerpio’s redeemable convertible preferred stock consisted of the following:</w:t>
      </w:r>
    </w:p>
    <w:p>
      <w:pPr>
        <w:spacing w:after="0" w:line="117"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Series A redeemable convertible preferred stock: 1,326,147 shares authorized and 1,239,338 shares issued and outstanding;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Series A1 redeemable convertible preferred stock: 8,368,247 shares authorized and 8,289,663 shares issued and outstanding;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Series A2 redeemable convertible preferred stock: 4,660,573 shares authorized and 4,486,015 shares issued and outstanding.</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All share and per share amounts are on an as converted basis to reflect the effect of the Merger. The rights, preferences, and privileges of the redeemable convertible preferred stock issued and outstanding prior to the Merger were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holders of redeemable convertible preferred stock were entitled to the number of votes equal to the number of whole shares of Aerpio common stock into which the shares of redeemable convertible preferred stock were convertible. Except as provided by law or otherwise, the holders of redeemable convertible preferred stock voted together with the holders of Aerpio common stock as a single class. Certain significant actions required approval by at least 50% of the holders of redeemable convertible preferred stock voting as a single class on an as converted basis. Such significant actions include significant asset transfers, acquisitions, liquidation, amendments to the certificate of incorporation, new indebtedness, repurchase of common stock, changes in the authorized numbers of directors constituting the Board of Directors, and the declaration of dividends.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6" w:name="page17"/>
    <w:bookmarkEnd w:id="16"/>
    <w:p>
      <w:pPr>
        <w:ind w:right="100"/>
        <w:spacing w:after="0" w:line="259" w:lineRule="auto"/>
        <w:rPr>
          <w:sz w:val="20"/>
          <w:szCs w:val="20"/>
          <w:color w:val="auto"/>
        </w:rPr>
      </w:pPr>
      <w:r>
        <w:rPr>
          <w:rFonts w:ascii="Arial" w:cs="Arial" w:eastAsia="Arial" w:hAnsi="Arial"/>
          <w:sz w:val="18"/>
          <w:szCs w:val="18"/>
          <w:color w:val="auto"/>
        </w:rPr>
        <w:t>The holders of shares of redeemable convertible preferred stock were entitled to elect six members of Aerpio’s Board of Directors, which was subject to reduction to not less than four directors under certain circumstances. The holders of Aerpio common stock (including any holders of all shares of redeemable convertible preferred stock on an as converted basis) were entitled to elect two members of Aerpio’s Board of Directors, which was subject to reduction to one director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Dividends were payable, if permitted by law, in accordance with redeemable convertible preferred stock terms or when and if declared by Aerpio Board of Directors. Prior to the issuance of Series A2 Preferred Stock, dividends on Series A Preferred Stock and Series A1 Preferred Stock were cumulative and accrued daily at a rate of 6% per annum whether or not declared. As part of the Series A2 Preferred Stock issuance, the dividend provisions for Series A Preferred Stock and Series A1 Preferred Stock were retrospectively amended to be noncumulative with the cumulative provision to begin after the Series A2 Preferred Stock issuance date at a rate of 6% per annum. This amendment did not significantly affect the nature of the Series A Preferred Stock and Series A1 Preferred Stock or their fair value. Accordingly, the amendment was treated as a modification for accounting purposes.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event of any voluntary or involuntary liquidation, dissolution, or winding-up of Aerpio, or upon the occurrence of a Deemed Liquidation Event, as defined, at the election of more than 50% of the holders of Series A2 Preferred Stock and Series A1 Preferred Stock, those holders were entitled to be paid, in preference to the holders of Series A Preferred Stock and Aerpio common stock, out of the assets of Aerpio available for distribution at $4.90 per share for Series A2 Preferred Stock and $3.97 per share for Series A1 Preferred Stock, plus any accrued but unpaid dividends. After the holders of Series A1 Preferred Stock and Series A2 Preferred Stock are satisfied, the holders of Series A Preferred Stock were paid at $4.27 per share, plus any accrued but unpaid dividends before any payment was made to the holders of Aerpio’s common stock.</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the assets of Aerpio available for distribution to stockholders were insufficient to pay the full amount to which the holder was entitled, the holders of Series A2 Preferred Stock and Series A1 Preferred Stock would share ratably any assets available for distribution in proportion to their relative original investment amounts. Any remaining assets of Aerpio would be distributed ratably among the holders of Series A Preferred Stock based upon aggregate applicable dividends accrued on Series A Preferred Stock not previously paid.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After the payment of all preferential amounts required to be paid to the holders of redeemable convertible preferred stock, the remaining assets available for distribution would be distributed among the holders of redeemable convertible preferred stock and Aerpio common stock based on the pro rata number of shares held by each holder, treating such securities as if they had been converted to Aerpio common stock immediately prior to such dissolution, liquidation, or winding-up of Aerpio.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Each share of redeemable convertible preferred stock was convertible at the option of the holder, at any time and from time to time, into fully paid and non-assessable shares of Aerpio common stock. The initial conversion ratio was one share of redeemable convertible preferred stock for one share of Aerpio’s common stock. The applicable conversion rate was subject to adjustments upon the occurrence of certain events.</w:t>
      </w:r>
    </w:p>
    <w:p>
      <w:pPr>
        <w:spacing w:after="0" w:line="16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Each share of redeemable convertible preferred stock was automatically convertible into fully paid and non-assessable shares of Aerpio common stock at the then-applicable conversion ratio, as defined, upon either: (i) the closing of the sale of shares of Aerpio’s common stock to the public in an underwritten public offering at a price of $14.70 resulting in at least $40,000,000 of gross proceeds, or (ii) the date and time, or the occurrence of an event, specified by vote or written consent of the holders of more than 50% of the then outstanding shares of redeemable convertible preferred stock on an as-converted basis.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7" w:name="page18"/>
    <w:bookmarkEnd w:id="17"/>
    <w:p>
      <w:pPr>
        <w:ind w:right="20"/>
        <w:spacing w:after="0" w:line="270" w:lineRule="auto"/>
        <w:rPr>
          <w:sz w:val="20"/>
          <w:szCs w:val="20"/>
          <w:color w:val="auto"/>
        </w:rPr>
      </w:pPr>
      <w:r>
        <w:rPr>
          <w:rFonts w:ascii="Arial" w:cs="Arial" w:eastAsia="Arial" w:hAnsi="Arial"/>
          <w:sz w:val="17"/>
          <w:szCs w:val="17"/>
          <w:color w:val="auto"/>
        </w:rPr>
        <w:t>Aerpio evaluated each series of its redeemable convertible preferred stock and determined that each individual series is considered an equity host under ASC Topic 815, Derivatives and Hedging. In making this determination, Aerpio’s analysis followed the whole instrument approach, which compares an individual feature against the entire redeemable convertible preferred stock instrument that includes that feature. Aerpio’s analysis was based on a consideration of the economic characteristics and risks of each series of redeemable convertible preferred stock. More specifically, Aerpio evaluated all the stated and implied substantive terms and features, including: (i) whether the redeemable convertible preferred stock included redemption features, (ii) how and when any redemption features could be exercised, (iii) whether the holders of redeemable convertible preferred stock were entitled to dividends, (iv) the voting rights of the redeemable convertible preferred stock, and (v) the existence and nature of any conversion rights. Aerpio concluded that as the redeemable convertible preferred stock represents an equity host, the conversion feature included in all series of redeemable convertible preferred stock is clearly and closely related to the associated host instrument. Accordingly, the conversion feature of all series of redeemable convertible preferred stock was not considered an embedded derivative that required bifurcation.</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Aerpio accounted for potentially beneficial conversion features under ASC Topic 470-20, Debt with Conversion and Other Options. At the time of each of the issuances of redeemable convertible preferred stock, Aerpio’s common stock into which each series of the redeemable convertible preferred stock was convertible had an estimated fair value less than the effective conversion prices of the redeemable convertible preferred stock. Therefore, there was no beneficial conversion element on the respective commitment dates.</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2016, in connection with the Convertible Note Financing described more fully in Note 5, Aerpio’s Articles of Incorporation were amended such that any preferred stockholder that did not participate in the Convertible Note Financing would have their respective shares of redeemable convertible preferred stock automatically converted into Aerpio common stock using a 3-to-1 conversion ratio and such preferred stockholders would lose the right to representation on Aerpio’s Board of Directors and other preferred rights. The amendment did not represent an increase in value to the preferred stockholders and was treated as a modification to the redeemable convertible preferred stock for accounting purposes. Certain shares of redeemable convertible preferred stock held by preferred stockholders that elected to not participate in the Convertible Note Financing were converted to shares in Aerpio’s common stock.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redeemable convertible preferred stock was redeemable on or after July 31, 2017, upon a request by more than 50% of the holders of redeemable convertible preferred stock then outstanding, payable in three annual installments commencing not more than 60 days following receipt by notice at a price equal to the greater of (i) the applicable original purchase price and dividends accrued but unpaid (Applicable Accrued Value), which is equal to its liquidation preference, or (ii) the redeemable convertible preferred stock fair value per share. Due to this redemption option, the redeemable convertible preferred stock was recorded in the mezzanine equity and subject to subsequent measurement under the guidance provided under ASC 480-10-S99. In accordance with that guidance, Aerpio elected to recognize changes in redemption value immediately as they occur through adjustments to the carrying amounts of the instruments at the end of each reporting period. As of December 31, 2016, the redemption values of all series of redeemable convertible preferred stock were equal to their respective Applicable Accrued Value. The fair values of redeemable convertible preferred stock were based upon a hybrid of the probability-weighted expected returns method and an option pricing model (OPM), which is a nonrecurring Level 3 fair value measurement within the fair value hierarchy. Under this hybrid model, share value is based on the probability weighted value of Aerpio in a potential public trading scenario, in which the redeemable convertible preferred stock converted to Aerpio common stock, and a second scenario in which equity value is allocated using the OPM. For the public trading scenario, Aerpio used the guideline public company method under the market approach.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Pursuant to the Merger (Note 1), the Company assumed each option to purchase Aerpio common stock that remained outstanding under the Aerpio Therapeutics, Inc. 2011 Equity Incentive Plan (the “2011 Plan”), whether vested or unvested, and converted it into an option to purchase such number of shares of the Company’s common stock equal to the number of shares of Aerpio common stock subject to the option immediately prior to the Merger, divided by the applicable Merger exchange rate of 2.3336572, with any fraction rounded down to the nearest whole number. The exercise price per share of each assumed option is equal to the exercise price of the Aerpio option prior to the assumption, multiplied by the applicable Merger exchange rate of 2.3336572, rounded up to the nearest whole cent. The terms of the 2011 Plan continue to govern the options covering an aggregate of 898,962 and 927,592 shares of the Company’s common stock at September 30, 2017 and December 31, 2016 respectively, subject to awards assumed by the Company, except that all references in the 2011 Plan to Aerpio, will now be the Company. In addition, each unvested share of Aerpio restricted common stock issued under the 2011 Plan that was outstanding immediately prior to the effective time of the Merger, was converted by virtue of the Merger into restricted common stock of the Company, equal to the number of shares of Aerpio common stock subject to the unvested shares of Aerpio restricted common stock immediately prior to the Merger divided by the applicable Merger exchange rate of 2.3336572, with any fraction rounded down to the nearest whole number.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ind w:right="20"/>
        <w:spacing w:after="0" w:line="280" w:lineRule="auto"/>
        <w:rPr>
          <w:sz w:val="20"/>
          <w:szCs w:val="20"/>
          <w:color w:val="auto"/>
        </w:rPr>
      </w:pPr>
      <w:r>
        <w:rPr>
          <w:rFonts w:ascii="Arial" w:cs="Arial" w:eastAsia="Arial" w:hAnsi="Arial"/>
          <w:sz w:val="17"/>
          <w:szCs w:val="17"/>
          <w:color w:val="auto"/>
        </w:rPr>
        <w:t>In March 2017, the Company’s Board of Directors adopted, and the stockholders approved, the 2017 Stock Option and Incentive Plan (the “2017 Plan”), that became effective in April 2017. The 2017 Plan provides for the issuance of incentive awards up to 4,600,000 shares of common stock to officers, employees, consultants and directors, less the number of shares subject to issued and outstanding awards under the 2011 Plan that were assumed in the Merger. The 2017 Plan also provides that the number of shares reserved for issuance thereunder will be increased annually on the first day of each year beginning in 2018 by four percent (4%) of the shares of our common stock outstanding on the last day of the immediately preceding year or such smaller increase as determined by our Board of Directors. No awards were granted under the 2017 Plan as of September 30,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options granted generally vest over 48 months. For employees with less than one year’s service, options vest in installments of 25% at the one-year anniversary and thereafter in 36 equal monthly installments beginning in the 13th month after the initial Vesting Commencement Date (as defined), subject to the employee’s continuous service with the Company. Options granted to other employees vest in 48 equal monthly installments after the initial Vesting Commencement Date, subject to the employee’s continuous service with the Company. The options generally expire ten years after the date of grant. The fair value of the options at the date of grant is recognized as an expense over the requisite service period. No option awards were granted in the nine months ended September 30, 2017 and one option award was granted for 50,228 shares in the nine months ended September 30,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nine-months ended September 30, 2017:</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1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34"/>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Term (in Years)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927,592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1,030,217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(25,729)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Expired/cancelled</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(2,901)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September 30, 2017</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3,862,412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Expected to vest, September 30, 2017</w:t>
            </w: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September 30, 2017</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710,037</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3,065,178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60"/>
        <w:spacing w:after="0" w:line="309" w:lineRule="auto"/>
        <w:rPr>
          <w:sz w:val="20"/>
          <w:szCs w:val="20"/>
          <w:color w:val="auto"/>
        </w:rPr>
      </w:pPr>
      <w:r>
        <w:rPr>
          <w:rFonts w:ascii="Arial" w:cs="Arial" w:eastAsia="Arial" w:hAnsi="Arial"/>
          <w:sz w:val="18"/>
          <w:szCs w:val="18"/>
          <w:color w:val="auto"/>
        </w:rPr>
        <w:t>Aggregate intrinsic value represents the estimated fair value of the Company’s common stock at the end of the period in excess of the weighted average exercise price multiplied by the number of options outstanding or exercisable.</w:t>
      </w:r>
    </w:p>
    <w:p>
      <w:pPr>
        <w:spacing w:after="0" w:line="14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Compensation expense for stock options was $53,814 and $39,100 for the three months ended September 30, 2017 and 2016, respectively and $173,888 and $124,141 for the nine months ended September 30, 2017 and 2016 respectively. As of September 30, 2017, there was $201,221 of unrecognized compensation cost related to stock options, which is expected to be recognized over a weighted average period of 2.0 years.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of restricted stock generally have similar vesting terms as stock options. A summary of the Company’s restricted stock activity and related information during the nine months ended September 30, 2017 is as follows: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January 1, 2017</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241,096</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(106,015)</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September 30, 2017</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Company recognized compensation expense for restricted stock of $73,545 and $74,398 for the three months ended September 30, 2017 and 2016, respectively, and $220,380 and 234,122 for the nine months ended September 30, 2017 and 2016 respectively. As of September 30, 2017, there was $248,517 of unrecognized compensation cost related to these restricted stock grants, which is expected to be recognized over a weighted average period of 1.2 years.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Compensation Expense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recognized the following compensation cost related to employee and non-employee stock-based compensation activity:</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4"/>
              </w:rPr>
              <w:t>Three Months Ended September</w:t>
            </w:r>
          </w:p>
        </w:tc>
        <w:tc>
          <w:tcPr>
            <w:tcW w:w="22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w w:val="81"/>
              </w:rPr>
              <w:t>30,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88,443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276,778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228,429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38,916</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117,490</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129,834</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127,359</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113,498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394,268</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358,263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uses the Black-Scholes option pricing model to determine the estimated fair value for stock-based awards. There were no options granted in the nine months ended September 30,2017. Option pricing models require the input of various subjective assumptions, including the option’s expected life, expected dividend yield, price volatility and risk-free interest rate of the underlying stock. Accordingly, the weighted-average fair value of the options granted during the three and nine months ended September 30, 2016 was $1.22. The calculation was based on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2780" w:type="dxa"/>
            <w:vAlign w:val="bottom"/>
            <w:gridSpan w:val="2"/>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600" w:type="dxa"/>
            <w:vAlign w:val="bottom"/>
          </w:tcPr>
          <w:p>
            <w:pPr>
              <w:spacing w:after="0"/>
              <w:rPr>
                <w:sz w:val="14"/>
                <w:szCs w:val="14"/>
                <w:color w:val="auto"/>
              </w:rPr>
            </w:pPr>
          </w:p>
        </w:tc>
        <w:tc>
          <w:tcPr>
            <w:tcW w:w="3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 2016</w:t>
            </w:r>
          </w:p>
        </w:tc>
        <w:tc>
          <w:tcPr>
            <w:tcW w:w="2780" w:type="dxa"/>
            <w:vAlign w:val="bottom"/>
            <w:gridSpan w:val="2"/>
          </w:tcPr>
          <w:p>
            <w:pPr>
              <w:ind w:left="720"/>
              <w:spacing w:after="0"/>
              <w:rPr>
                <w:sz w:val="20"/>
                <w:szCs w:val="20"/>
                <w:color w:val="auto"/>
              </w:rPr>
            </w:pPr>
            <w:r>
              <w:rPr>
                <w:rFonts w:ascii="Arial" w:cs="Arial" w:eastAsia="Arial" w:hAnsi="Arial"/>
                <w:sz w:val="14"/>
                <w:szCs w:val="14"/>
                <w:b w:val="1"/>
                <w:bCs w:val="1"/>
                <w:color w:val="auto"/>
              </w:rPr>
              <w:t>September 30, 2016</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n/a</w:t>
            </w:r>
          </w:p>
        </w:tc>
        <w:tc>
          <w:tcPr>
            <w:tcW w:w="20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center"/>
              <w:ind w:left="16"/>
              <w:spacing w:after="0"/>
              <w:rPr>
                <w:sz w:val="20"/>
                <w:szCs w:val="20"/>
                <w:color w:val="auto"/>
              </w:rPr>
            </w:pPr>
            <w:r>
              <w:rPr>
                <w:rFonts w:ascii="Arial" w:cs="Arial" w:eastAsia="Arial" w:hAnsi="Arial"/>
                <w:sz w:val="18"/>
                <w:szCs w:val="18"/>
                <w:color w:val="auto"/>
                <w:w w:val="91"/>
              </w:rPr>
              <w:t>6.00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1.39%</w:t>
            </w:r>
          </w:p>
        </w:tc>
        <w:tc>
          <w:tcPr>
            <w:tcW w:w="120" w:type="dxa"/>
            <w:vAlign w:val="bottom"/>
          </w:tcPr>
          <w:p>
            <w:pPr>
              <w:spacing w:after="0"/>
              <w:rPr>
                <w:sz w:val="19"/>
                <w:szCs w:val="19"/>
                <w:color w:val="auto"/>
              </w:rPr>
            </w:pPr>
          </w:p>
        </w:tc>
      </w:tr>
      <w:tr>
        <w:trPr>
          <w:trHeight w:val="230"/>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040" w:type="dxa"/>
            <w:vAlign w:val="bottom"/>
            <w:gridSpan w:val="2"/>
            <w:shd w:val="clear" w:color="auto" w:fill="CFF0FC"/>
          </w:tcPr>
          <w:p>
            <w:pPr>
              <w:jc w:val="center"/>
              <w:ind w:right="220"/>
              <w:spacing w:after="0"/>
              <w:rPr>
                <w:sz w:val="20"/>
                <w:szCs w:val="20"/>
                <w:color w:val="auto"/>
              </w:rPr>
            </w:pPr>
            <w:r>
              <w:rPr>
                <w:rFonts w:ascii="Arial" w:cs="Arial" w:eastAsia="Arial" w:hAnsi="Arial"/>
                <w:sz w:val="18"/>
                <w:szCs w:val="18"/>
                <w:color w:val="auto"/>
                <w:w w:val="87"/>
              </w:rPr>
              <w:t>n/a</w:t>
            </w:r>
          </w:p>
        </w:tc>
        <w:tc>
          <w:tcPr>
            <w:tcW w:w="2660" w:type="dxa"/>
            <w:vAlign w:val="bottom"/>
            <w:shd w:val="clear" w:color="auto" w:fill="CFF0FC"/>
          </w:tcPr>
          <w:p>
            <w:pPr>
              <w:jc w:val="center"/>
              <w:ind w:left="16"/>
              <w:spacing w:after="0"/>
              <w:rPr>
                <w:sz w:val="20"/>
                <w:szCs w:val="20"/>
                <w:color w:val="auto"/>
              </w:rPr>
            </w:pPr>
            <w:r>
              <w:rPr>
                <w:rFonts w:ascii="Arial" w:cs="Arial" w:eastAsia="Arial" w:hAnsi="Arial"/>
                <w:sz w:val="18"/>
                <w:szCs w:val="18"/>
                <w:color w:val="auto"/>
                <w:w w:val="91"/>
              </w:rPr>
              <w:t>78.00%</w:t>
            </w:r>
          </w:p>
        </w:tc>
        <w:tc>
          <w:tcPr>
            <w:tcW w:w="120" w:type="dxa"/>
            <w:vAlign w:val="bottom"/>
            <w:shd w:val="clear" w:color="auto" w:fill="CFF0FC"/>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26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Company did not record a current or deferred income tax expense or benefit for the nine months ended September 30, 2017 and 2016, due to the Company’s net losses and increases in its deferred tax asset valuation allowance.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loss per share attributable to common stockholders for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4"/>
              </w:rPr>
              <w:t>Nine Months Ended September 30,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2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(4,649,567)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(4,885,601)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(15,165,577)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(13,465,561)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Extinguishment of preferred stock</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224,224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w w:val="99"/>
              </w:rPr>
              <w:t>Accretion of redeemable convertible preferred stock to</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redemption value</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(1,054,657)</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(943,297)</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(3,098,149)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00" w:type="dxa"/>
            <w:vAlign w:val="bottom"/>
            <w:gridSpan w:val="2"/>
          </w:tcPr>
          <w:p>
            <w:pPr>
              <w:ind w:left="580"/>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(4,649,567</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(5,940,258</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(16,108,874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(16,339,486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3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(6.69)</w:t>
            </w:r>
          </w:p>
        </w:tc>
        <w:tc>
          <w:tcPr>
            <w:tcW w:w="26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28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(20.01)</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line="20" w:lineRule="exact"/>
              <w:rPr>
                <w:sz w:val="1"/>
                <w:szCs w:val="1"/>
                <w:color w:val="auto"/>
              </w:rPr>
            </w:pPr>
          </w:p>
        </w:tc>
        <w:tc>
          <w:tcPr>
            <w:tcW w:w="43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used in</w:t>
            </w:r>
          </w:p>
        </w:tc>
        <w:tc>
          <w:tcPr>
            <w:tcW w:w="3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vMerge w:val="continue"/>
          </w:tcPr>
          <w:p>
            <w:pPr>
              <w:spacing w:after="0"/>
              <w:rPr>
                <w:sz w:val="17"/>
                <w:szCs w:val="17"/>
                <w:color w:val="auto"/>
              </w:rPr>
            </w:pPr>
          </w:p>
        </w:tc>
        <w:tc>
          <w:tcPr>
            <w:tcW w:w="43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computing net loss per share attributable to</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26,926,673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888,094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19,889,984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816,395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74"/>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20" w:name="page21"/>
    <w:bookmarkEnd w:id="20"/>
    <w:p>
      <w:pPr>
        <w:ind w:right="760"/>
        <w:spacing w:after="0" w:line="277" w:lineRule="auto"/>
        <w:rPr>
          <w:sz w:val="20"/>
          <w:szCs w:val="20"/>
          <w:color w:val="auto"/>
        </w:rPr>
      </w:pPr>
      <w:r>
        <w:rPr>
          <w:rFonts w:ascii="Arial" w:cs="Arial" w:eastAsia="Arial" w:hAnsi="Arial"/>
          <w:sz w:val="18"/>
          <w:szCs w:val="18"/>
          <w:color w:val="auto"/>
        </w:rPr>
        <w:t>The following weighted average common stock equivalents were excluded from the calculation of diluted net loss per share attributable to common stockholders for the periods presented because including them would have had an anti-dilutive effect:</w:t>
      </w:r>
    </w:p>
    <w:p>
      <w:pPr>
        <w:spacing w:after="0" w:line="176"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Three and Nine Months Ended</w:t>
      </w:r>
    </w:p>
    <w:p>
      <w:pPr>
        <w:spacing w:after="0" w:line="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September 30,</w:t>
      </w:r>
    </w:p>
    <w:tbl>
      <w:tblPr>
        <w:tblLayout w:type="fixed"/>
        <w:tblInd w:w="1720" w:type="dxa"/>
        <w:tblCellMar>
          <w:top w:w="0" w:type="dxa"/>
          <w:left w:w="0" w:type="dxa"/>
          <w:bottom w:w="0" w:type="dxa"/>
          <w:right w:w="0" w:type="dxa"/>
        </w:tblCellMar>
      </w:tblPr>
      <w:tr>
        <w:trPr>
          <w:trHeight w:val="156"/>
        </w:trPr>
        <w:tc>
          <w:tcPr>
            <w:tcW w:w="55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13"/>
              <w:spacing w:after="0" w:line="157"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3"/>
              <w:spacing w:after="0" w:line="157"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(if converted)</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14,141,112</w:t>
            </w:r>
          </w:p>
        </w:tc>
        <w:tc>
          <w:tcPr>
            <w:tcW w:w="6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Notes and accrued interest (if converted)</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1,904,034</w:t>
            </w:r>
          </w:p>
        </w:tc>
        <w:tc>
          <w:tcPr>
            <w:tcW w:w="6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898,962</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927,592</w:t>
            </w:r>
          </w:p>
        </w:tc>
        <w:tc>
          <w:tcPr>
            <w:tcW w:w="6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129,835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292,183</w:t>
            </w:r>
          </w:p>
        </w:tc>
        <w:tc>
          <w:tcPr>
            <w:tcW w:w="6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common stock</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317,562</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Company is a party to a lease covering 7,580 square feet of space in Cincinnati, Ohio that expires in June 2018. Total rent expense for all operating leases was $53,071 and $54,320 for the three months ended September 30, 2017 and 2016, respectively and $155,513 and $162,424 the nine months ended September 30, 2017 and 2016, respectively. The lease agreement contains free rent, escalating rent payments and reimbursement for tenant improvements that amounted to $0 and $46,390 in the three and nine months ended September 30, 2016, respectively. No such lease incentives were recognized in 2017. Rent expense is recorded on the straight-line basis over the initial term with the differences between rent expense and rent payments recorded as deferred rent. As of September 30, 2017, the Company had deferred rent of $44,566, which is included in accrued expenses in the accompanying condensed consolidated balance sheet. As of September 30, 2017, non-cancelable future minimum lease payments under the existing operating lease were $79,357. As of September 30, 2017, future payments related to operating leases activities are presented in the table below.</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center"/>
              <w:ind w:right="585"/>
              <w:spacing w:after="0"/>
              <w:rPr>
                <w:sz w:val="20"/>
                <w:szCs w:val="20"/>
                <w:color w:val="auto"/>
              </w:rPr>
            </w:pPr>
            <w:r>
              <w:rPr>
                <w:rFonts w:ascii="Arial" w:cs="Arial" w:eastAsia="Arial" w:hAnsi="Arial"/>
                <w:sz w:val="14"/>
                <w:szCs w:val="14"/>
                <w:b w:val="1"/>
                <w:bCs w:val="1"/>
                <w:color w:val="auto"/>
                <w:w w:val="93"/>
              </w:rPr>
              <w:t>2019 and</w:t>
            </w: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3"/>
          </w:tcPr>
          <w:p>
            <w:pPr>
              <w:jc w:val="center"/>
              <w:ind w:right="585"/>
              <w:spacing w:after="0"/>
              <w:rPr>
                <w:sz w:val="20"/>
                <w:szCs w:val="20"/>
                <w:color w:val="auto"/>
              </w:rPr>
            </w:pPr>
            <w:r>
              <w:rPr>
                <w:rFonts w:ascii="Arial" w:cs="Arial" w:eastAsia="Arial" w:hAnsi="Arial"/>
                <w:sz w:val="14"/>
                <w:szCs w:val="14"/>
                <w:b w:val="1"/>
                <w:bCs w:val="1"/>
                <w:color w:val="auto"/>
                <w:w w:val="99"/>
              </w:rPr>
              <w:t>Thereafter</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26,379</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52,978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contracts with various organizations to conduct research and development activities, including clinical trial organizations to manage clinical trial activities. The scope of the services under these research and development contracts can be modified and the contracts cancelled by the Company upon written notice. In the event of a cancellation, the Company would only be liable for the cost and expenses incurred to date.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Stock Purchase Plan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March 2017, the Board of Directors adopted and the stockholders approved, the Employee Stock Purchase Plan (the “ESPP”), that became effective in April 2017. The ESPP provides for the issuance of up to 300,000 shares of the Company’s common stock for the purchases made under the ESPP. The ESPP also provides that the number of shares reserved for issuance thereunder will be increased annually on the first day of each year beginning in 2018 by one percent (1%) of the shares of the Company’s common stock outstanding on the last day of the immediately preceding year or such smaller increase as determined by the Company’s Board of Directors. The Board of Directors has not yet determined the timing for the offering periods under the ESPP.</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The following discussion of the financial condition and results of operations of Aerpio Pharmaceuticals, Inc. should be read in conjunction with the financial statements and the notes to those statements included in this Quarterly Report on Form 10Q for the period ended September 30, 2017. Some of the information contained in this discussion and analysis including information with respect to our plans and strategy for our business, includes forward-looking statements that involve risk, uncertainties and assumptions.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Overview</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are a biopharmaceutical company focused on advancing first-in-class treatments for ocular disease. Our lead product candidate, AKB-9778, a small molecule activator of the Tie-2 pathway, is being developed for the treatment of diabetic retinopathy (“DR”). Tie-2 signaling is essential for regulating blood vessel development and the stability of mature vessels. We completed a Phase 2a clinical trial in diabetic macular edema (“DME”), a swelling of the retina that is a common cause of vision loss in patients with DR. In June 2017, we initiated a twelve month, double blind Phase 2b clinical trial, which we refer to as TIME-2b, in patients with DR who have not developed more serious complications such as DME or proliferative diabetic retinopathy.</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TIME-2b study is a double-masked, placebo-controlled multi-center trial that will enroll 150 patients randomized 1:1:1 to receive either AKB-9778 15 mg subcutaneously once daily, AKB-9778 15 mg twice daily or placebo for a 12-month period. The primary endpoint of the TIME-2b study is the percentage of patients who improve by at least 2 steps in DR Severity Score, or DRSS in the study eye.</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recently completed a single-center study of the safety and efficacy of AKB-9778 with concomitant PRN anti-vascular endothelial growth factor (“anti-VEGF”) therapy in patients with retinal vein occlusion and a history of persistent macular edema on anti-VEGF monotherapy. We believe the results from this study suggest that activation of Tie-2 by AKB-9778 may be beneficial in patients with chronic retinal vein occlusion. However, these results are considered exploratory, given that this was an open-label, non-controlled study without a placebo or active control arm.</w:t>
      </w:r>
    </w:p>
    <w:p>
      <w:pPr>
        <w:spacing w:after="0" w:line="17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we have two pipeline programs. AKB-4924 is a drug candidate for the treatment of inflammatory bowel disease and ARP-1536, humanized monoclonal antibody is a drug candidate for ocular disease. Humanized antibodies are antibodies from non-human species whose protein sequences have been modified to increase their similarity to antibodies produced naturally in humans. We completed a Phase 1a clinical trial in healthy volunteers for AKB-4924 and APR-1536 is currently in preclinical development. Further development on the pipeline programs is subject to receiving additional funding, which we may seek through collaborations with potential strategic and commercial partners.</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acquiring and developing our technology, identifying potential product candidates, and undertaking preclinical and clinical studies. We have not generated any revenues to date, nor is there any assurance of future revenues. Our product candidates are subject to long development cycles, and there is no assurance we will be able to successfully develop, obtain regulatory approval for, or market our product candidates. As of September 30, 2017, we had an accumulated deficit of $102.3 million and anticipate incurring additional losses for the next several years.</w:t>
      </w:r>
    </w:p>
    <w:p>
      <w:pPr>
        <w:spacing w:after="0" w:line="18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primary source of liquidity to date has been through the private placement offering of our common stock (the “Offering”) in March 2017 and the historical sales of redeemable convertible preferred stock, common stock and proceeds from convertible debt. The aggregate net proceeds from the Offering in March 2017 was $37.2 million. In 2016, we raised a total of $12.5 million through the issuance of secured convertible notes. In 2017, we raised a total of $0.3 million through the issuance of secured convertible notes. In 2014, we raised a total of $22.0 million ($21.8 million net of offering costs) through the issuance of redeemable convertible preferred stock. We will need to raise additional funds to further advance our clinical research programs, commence additional clinical trials, and commercialize our products, if approved. While we continue to pursue financing alternatives, which may include equity financing, business development arrangements, licensing arrangements and business combination transactions, financing may not be available to us in the necessary time frame, in the amounts that we need, on terms that are acceptable to us or at all. If we are unable to raise the necessary funds when needed or reduce spending on currently planned activities, we may not be able to continue the development of our product candidates or we could be required to delay, scale back, or eliminate some or all of our development programs and other operations and will materially harm our business and consolidated financial position.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ind w:right="76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expect our expenses will increase substantially in connection with our ongoing activities, as we:</w:t>
      </w:r>
    </w:p>
    <w:p>
      <w:pPr>
        <w:spacing w:after="0" w:line="62"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our research and development efforts, primarily in connection with our ongoing TIME-2b clinical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 personnel to support our clinical development program;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a number of risks similar to other life science companies in the current stage of our life cycle, including, but not limited to, the need to obtain adequate additional funding, possible failure of preclinical testing or clinical trials, competitors developing new technological innovations, and protection of proprietary technology. If we do not successfully mitigate any of these risks, we will be unable to generate revenue or achieve profitability. The condensed consolidated accompanying financial statements have been prepared assuming our Company will continue as a going concern, which contemplates the realization of assets and payments of liabilities in the ordinary course of business. We had cash and cash equivalents and short-term investments of $24.8 million at September 30, 2017. We believe our existing cash and cash equivalents and short-term investments, will be sufficient to fund currently planned operations into the first quarter of fiscal year 2019.</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unaudited interim condensed consolidated financial statements of the Company for the three months ended September 30, 2017 and 2016, and the nine months ended September 30, 2017 and 2016 contained herein, include a summary of our significant accounting policies and should be read in conjunction with the discussion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OTCQB Market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were approved for trading and began trading on August 8, 2017 on the OTCQB marketplace under the symbol “ARPO.”</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March 15, 2017, our wholly-owned subsidiary, Aerpio Acquisition Corp., a corporation formed in the State of Delaware, or the Acquisition Sub, merged with and into Aerpio Therapeutics, Inc., (“Aerpio”) a corporation incorporated on November 17, 2011 under the laws of the State of Delaware. Pursuant to this transaction, or the Merger, Aerpio was the surviving corporation and became our wholly-owned subsidiary. We changed our name from Zeta Acquisition Corp II to Aerpio Pharmaceuticals, Inc. All the outstanding stock of Aerpio was converted into shares of our common stock.</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the effective time of the Merger, the legal existence of Acquisition Sub ceased and each 2.3336572 shares of Aerpio common and preferred stock that was issued and outstanding immediately prior to the effective time of the Merger, including share based awards, whether vested or unvested issued under the Aerpio Therapeutics, Inc. 2011 Equity Incentive Plan (the “2011 Plan”), was automatically exchanged for one share of our common stock. In addition, immediately prior to the Merger, the outstanding amounts under certain senior secured convertible notes issued by Aerpio to its pre-Merger noteholders were converted into Aerpio common stock, which were converted in the Merger into shares of our common stock at the same ratio. We issued an aggregate of 18,000,000 shares of our common stock upon such exchange of the outstanding shares of Aerpio common stock. In addition, at the effective time of the Merger, we assumed Aerpio’s 2011 Equity Incentive Plan. At the effective time of the Merger, we assumed the outstanding options under the 2011 Plan and converted them into options to purchase 927,592 shares of our common stock. As a result of the Merger, we acquired the business of Aerpio and will continue the existing business operations of Aerpio as a public reporting company under the name Aerpio Pharmaceuticals, Inc. Immediately after the Merger, Aerpio was converted into a Delaware limited liability company (the “Conversion”).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Merger was treated as a recapitalization and reverse acquisition for financial reporting purposes. We are the legal acquirer of Aerpio in the</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transaction. However, Aerpio is considered the acquiring company for accounting purposes since (i) former Aerpio stockholders own in excess of 50% of the combined enterprise on a fully diluted basis immediately following the Merger and Offering, and (ii) all members of the Company’s executive management and Board of Directors are from Aerpio. In accordance with the “reverse merger” or “reverse acquisition” accounting treatment, the unaudited condensed consolidated interim financial statements for the period ended September 30, 2017 include the accounts of the Company and its wholly owned subsidiary, Aerpio Therapeutics, LLC. The comparative historical financial statements for periods ended prior to the date of the Merger are the historical financial statements of Aerpio.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 w:name="page24"/>
    <w:bookmarkEnd w:id="23"/>
    <w:p>
      <w:pPr>
        <w:spacing w:after="0" w:line="255" w:lineRule="auto"/>
        <w:rPr>
          <w:sz w:val="20"/>
          <w:szCs w:val="20"/>
          <w:color w:val="auto"/>
        </w:rPr>
      </w:pPr>
      <w:r>
        <w:rPr>
          <w:rFonts w:ascii="Arial" w:cs="Arial" w:eastAsia="Arial" w:hAnsi="Arial"/>
          <w:sz w:val="18"/>
          <w:szCs w:val="18"/>
          <w:color w:val="auto"/>
        </w:rPr>
        <w:t>The following discussion highlights Aerpio’s results of operations and the principal factors that have affected our financial condition as well as our liquidity and capital resources for the periods described, and provides information that management believes is relevant for an assessment and understanding of the unaudited condensed consolidated statements of financial condition and results of operations presented herein. The following discussion and analysis are based on the Company’s unaudited condensed consolidated financial statements contained in this Quarterly Report on Form 10-Q, which we have prepared in accordance with United States generally accepted accounting principles. You should read the discussion and analysis together with such condensed consolidated financial statements and the related notes thereto.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Cancellation</w:t>
      </w:r>
    </w:p>
    <w:p>
      <w:pPr>
        <w:spacing w:after="0" w:line="11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Following the Merger and Conversion, and immediately prior to the closing of the Offering, an aggregate of 4,000,000 of the 5,000,000 shares of our common stock that were held by the pre-Merger stockholders of Zeta Acquisition Corp. II were surrendered for cancellation (the “Share Cancellation”).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Following the Merger, the Conversion and the Share Cancellation, we sold to accredited investors $40.2 million of our shares of common stock, or 8,049,555 shares, at a price of $5.00 per share, (net proceeds of $37.2 million after deducting placement agent fees and expenses of the offering). In connection with the Offering, we issued warrants to purchase 317,562 shares of our common stock at $5.00 per share to the placement agents for the Offering. The warrants are exercisable for three years. The Offering closed on March 15,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expenses consist primarily of compensation and related costs for personnel, including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and travel. These costs also consist of third-party service providers for our potential product development activities, third-party consulting services, laboratory supplies, research materials, medical equipment, computer equipment, and related depreciation and amortization. We expense research and development expenses as incurred. As we continue to invest in basic research and clinical development of our product candidates, we expect research and development expenses to increase in absolute dollars.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 xml:space="preserve">General and Administrative. </w:t>
      </w:r>
      <w:r>
        <w:rPr>
          <w:rFonts w:ascii="Arial" w:cs="Arial" w:eastAsia="Arial" w:hAnsi="Arial"/>
          <w:sz w:val="17"/>
          <w:szCs w:val="17"/>
          <w:color w:val="auto"/>
        </w:rPr>
        <w:t>Our general and administrative expenses consist primarily of compensation and related costs for personnel, including stock-based compensation, employee benefits and travel, for our finance, human resources and other administrative personnel. In addition, general and administrative expenses include third-party consulting, legal, patent, audit, accounting services, and facilities costs. We expect general and administrative expenses to increase in absolute dollars following the consummation of the Merger due to additional legal, accounting, insurance, investor relations and other costs associated with being a public company, as well as other costs associated with growing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Interest income consists primarily of interest income received on our cash and cash equivalents. Interest expense consists primarily of interest and amortization of debt issuance costs related to our secured convertible promissory notes issued in 2016 and 2017. The secured convertible notes have converted into shares of our common stock in connection with the Merger and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Grant income is recognized as earned based on contract work performed.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gridSpan w:val="6"/>
          </w:tcPr>
          <w:p>
            <w:pPr>
              <w:spacing w:after="0"/>
              <w:rPr>
                <w:sz w:val="20"/>
                <w:szCs w:val="20"/>
                <w:color w:val="auto"/>
              </w:rPr>
            </w:pPr>
            <w:r>
              <w:rPr>
                <w:rFonts w:ascii="Arial" w:cs="Arial" w:eastAsia="Arial" w:hAnsi="Arial"/>
                <w:sz w:val="14"/>
                <w:szCs w:val="14"/>
                <w:b w:val="1"/>
                <w:bCs w:val="1"/>
                <w:color w:val="auto"/>
                <w:w w:val="94"/>
              </w:rPr>
              <w:t>Nine Months Ended</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w:t>
            </w:r>
          </w:p>
        </w:tc>
      </w:tr>
      <w:tr>
        <w:trPr>
          <w:trHeight w:val="162"/>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6"/>
          </w:tcPr>
          <w:p>
            <w:pPr>
              <w:jc w:val="right"/>
              <w:ind w:right="10"/>
              <w:spacing w:after="0"/>
              <w:rPr>
                <w:sz w:val="20"/>
                <w:szCs w:val="20"/>
                <w:color w:val="auto"/>
              </w:rPr>
            </w:pPr>
            <w:r>
              <w:rPr>
                <w:rFonts w:ascii="Arial" w:cs="Arial" w:eastAsia="Arial" w:hAnsi="Arial"/>
                <w:sz w:val="14"/>
                <w:szCs w:val="14"/>
                <w:b w:val="1"/>
                <w:bCs w:val="1"/>
                <w:color w:val="auto"/>
              </w:rPr>
              <w:t>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960" w:type="dxa"/>
            <w:vAlign w:val="bottom"/>
            <w:gridSpan w:val="3"/>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60" w:type="dxa"/>
            <w:vAlign w:val="bottom"/>
          </w:tcPr>
          <w:p>
            <w:pPr>
              <w:jc w:val="center"/>
              <w:ind w:left="54"/>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spacing w:after="0"/>
              <w:rPr>
                <w:sz w:val="20"/>
                <w:szCs w:val="20"/>
                <w:color w:val="auto"/>
              </w:rPr>
            </w:pPr>
            <w:r>
              <w:rPr>
                <w:rFonts w:ascii="Arial" w:cs="Arial" w:eastAsia="Arial" w:hAnsi="Arial"/>
                <w:sz w:val="18"/>
                <w:szCs w:val="18"/>
                <w:color w:val="auto"/>
                <w:w w:val="92"/>
              </w:rPr>
              <w:t>$ 2,942,170</w:t>
            </w: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w w:val="96"/>
              </w:rPr>
              <w:t>$ 3,481,261</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  8,366,869</w:t>
            </w:r>
          </w:p>
        </w:tc>
        <w:tc>
          <w:tcPr>
            <w:tcW w:w="2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9,374,383</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1,814,068</w:t>
            </w:r>
          </w:p>
        </w:tc>
        <w:tc>
          <w:tcPr>
            <w:tcW w:w="1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1,264,054</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6,732,816</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3,953,808</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4,756,238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4,745,315</w:t>
            </w:r>
          </w:p>
        </w:tc>
        <w:tc>
          <w:tcPr>
            <w:tcW w:w="16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15,099,685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13,328,191</w:t>
            </w:r>
          </w:p>
        </w:tc>
        <w:tc>
          <w:tcPr>
            <w:tcW w:w="8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(4,756,238)</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(4,745,315)</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(15,099,685)</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(13,328,191)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Grant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46,824</w:t>
            </w:r>
          </w:p>
        </w:tc>
        <w:tc>
          <w:tcPr>
            <w:tcW w:w="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26,561</w:t>
            </w:r>
          </w:p>
        </w:tc>
        <w:tc>
          <w:tcPr>
            <w:tcW w:w="1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93,720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116,185</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59,847</w:t>
            </w:r>
          </w:p>
        </w:tc>
        <w:tc>
          <w:tcPr>
            <w:tcW w:w="100" w:type="dxa"/>
            <w:vAlign w:val="bottom"/>
            <w:shd w:val="clear" w:color="auto" w:fill="CFF0FC"/>
          </w:tcPr>
          <w:p>
            <w:pPr>
              <w:spacing w:after="0"/>
              <w:rPr>
                <w:sz w:val="19"/>
                <w:szCs w:val="19"/>
                <w:color w:val="auto"/>
              </w:rPr>
            </w:pPr>
          </w:p>
        </w:tc>
        <w:tc>
          <w:tcPr>
            <w:tcW w:w="11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(166,847)</w:t>
            </w:r>
          </w:p>
        </w:tc>
        <w:tc>
          <w:tcPr>
            <w:tcW w:w="1160" w:type="dxa"/>
            <w:vAlign w:val="bottom"/>
            <w:gridSpan w:val="5"/>
            <w:shd w:val="clear" w:color="auto" w:fill="CFF0FC"/>
          </w:tcPr>
          <w:p>
            <w:pPr>
              <w:jc w:val="right"/>
              <w:ind w:right="25"/>
              <w:spacing w:after="0"/>
              <w:rPr>
                <w:sz w:val="20"/>
                <w:szCs w:val="20"/>
                <w:color w:val="auto"/>
              </w:rPr>
            </w:pPr>
            <w:r>
              <w:rPr>
                <w:rFonts w:ascii="Arial" w:cs="Arial" w:eastAsia="Arial" w:hAnsi="Arial"/>
                <w:sz w:val="18"/>
                <w:szCs w:val="18"/>
                <w:color w:val="auto"/>
              </w:rPr>
              <w:t>(159,612)</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(254,552)</w:t>
            </w:r>
          </w:p>
        </w:tc>
      </w:tr>
      <w:tr>
        <w:trPr>
          <w:trHeight w:val="243"/>
        </w:trPr>
        <w:tc>
          <w:tcPr>
            <w:tcW w:w="172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income, net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21"/>
                <w:szCs w:val="21"/>
                <w:color w:val="auto"/>
              </w:rPr>
            </w:pPr>
          </w:p>
        </w:tc>
      </w:tr>
      <w:tr>
        <w:trPr>
          <w:trHeight w:val="223"/>
        </w:trPr>
        <w:tc>
          <w:tcPr>
            <w:tcW w:w="17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106,671</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(140,286)</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(65,892)</w:t>
            </w: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Net and comprehensive loss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(4,649,567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(4,885,601</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(15,165,577</w:t>
            </w:r>
          </w:p>
        </w:tc>
        <w:tc>
          <w:tcPr>
            <w:tcW w:w="160" w:type="dxa"/>
            <w:vAlign w:val="bottom"/>
            <w:gridSpan w:val="3"/>
          </w:tcPr>
          <w:p>
            <w:pPr>
              <w:jc w:val="right"/>
              <w:ind w:right="25"/>
              <w:spacing w:after="0"/>
              <w:rPr>
                <w:sz w:val="20"/>
                <w:szCs w:val="20"/>
                <w:color w:val="auto"/>
              </w:rPr>
            </w:pPr>
            <w:r>
              <w:rPr>
                <w:rFonts w:ascii="Arial" w:cs="Arial" w:eastAsia="Arial" w:hAnsi="Arial"/>
                <w:sz w:val="16"/>
                <w:szCs w:val="16"/>
                <w:color w:val="auto"/>
                <w:w w:val="74"/>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(13,465,561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3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61"/>
        </w:trPr>
        <w:tc>
          <w:tcPr>
            <w:tcW w:w="6340" w:type="dxa"/>
            <w:vAlign w:val="bottom"/>
            <w:gridSpan w:val="4"/>
          </w:tcPr>
          <w:p>
            <w:pPr>
              <w:spacing w:after="0"/>
              <w:rPr>
                <w:sz w:val="20"/>
                <w:szCs w:val="20"/>
                <w:color w:val="auto"/>
              </w:rPr>
            </w:pPr>
            <w:r>
              <w:rPr>
                <w:rFonts w:ascii="Arial" w:cs="Arial" w:eastAsia="Arial" w:hAnsi="Arial"/>
                <w:sz w:val="18"/>
                <w:szCs w:val="18"/>
                <w:b w:val="1"/>
                <w:bCs w:val="1"/>
                <w:color w:val="auto"/>
              </w:rPr>
              <w:t>Comparison of the Three Months Ended September 30, 2017 and 2016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6"/>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r>
      <w:tr>
        <w:trPr>
          <w:trHeight w:val="171"/>
        </w:trPr>
        <w:tc>
          <w:tcPr>
            <w:tcW w:w="1720" w:type="dxa"/>
            <w:vAlign w:val="bottom"/>
          </w:tcPr>
          <w:p>
            <w:pPr>
              <w:spacing w:after="0"/>
              <w:rPr>
                <w:sz w:val="14"/>
                <w:szCs w:val="14"/>
                <w:color w:val="auto"/>
              </w:rPr>
            </w:pPr>
          </w:p>
        </w:tc>
        <w:tc>
          <w:tcPr>
            <w:tcW w:w="3600" w:type="dxa"/>
            <w:vAlign w:val="bottom"/>
            <w:tcBorders>
              <w:bottom w:val="single" w:sz="8" w:color="CFF0FC"/>
            </w:tcBorders>
          </w:tcPr>
          <w:p>
            <w:pPr>
              <w:spacing w:after="0"/>
              <w:rPr>
                <w:sz w:val="14"/>
                <w:szCs w:val="14"/>
                <w:color w:val="auto"/>
              </w:rPr>
            </w:pPr>
          </w:p>
        </w:tc>
        <w:tc>
          <w:tcPr>
            <w:tcW w:w="9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right"/>
              <w:ind w:right="20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89"/>
              </w:rPr>
              <w:t>2,942,170</w:t>
            </w:r>
          </w:p>
        </w:tc>
        <w:tc>
          <w:tcPr>
            <w:tcW w:w="14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3,481,261</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center"/>
              <w:ind w:left="14"/>
              <w:spacing w:after="0"/>
              <w:rPr>
                <w:sz w:val="20"/>
                <w:szCs w:val="20"/>
                <w:color w:val="auto"/>
              </w:rPr>
            </w:pPr>
            <w:r>
              <w:rPr>
                <w:rFonts w:ascii="Arial" w:cs="Arial" w:eastAsia="Arial" w:hAnsi="Arial"/>
                <w:sz w:val="18"/>
                <w:szCs w:val="18"/>
                <w:color w:val="auto"/>
                <w:w w:val="89"/>
              </w:rPr>
              <w:t>1,814,068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1,264,054</w:t>
            </w:r>
          </w:p>
        </w:tc>
        <w:tc>
          <w:tcPr>
            <w:tcW w:w="80" w:type="dxa"/>
            <w:vAlign w:val="bottom"/>
            <w:shd w:val="clear" w:color="auto" w:fill="CFF0FC"/>
          </w:tcPr>
          <w:p>
            <w:pPr>
              <w:spacing w:after="0"/>
              <w:rPr>
                <w:sz w:val="19"/>
                <w:szCs w:val="19"/>
                <w:color w:val="auto"/>
              </w:rPr>
            </w:pPr>
          </w:p>
        </w:tc>
      </w:tr>
      <w:tr>
        <w:trPr>
          <w:trHeight w:val="22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360" w:type="dxa"/>
            <w:vAlign w:val="bottom"/>
          </w:tcPr>
          <w:p>
            <w:pPr>
              <w:jc w:val="right"/>
              <w:ind w:right="201"/>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9"/>
                <w:szCs w:val="19"/>
                <w:color w:val="auto"/>
              </w:rPr>
            </w:pPr>
          </w:p>
        </w:tc>
        <w:tc>
          <w:tcPr>
            <w:tcW w:w="860" w:type="dxa"/>
            <w:vAlign w:val="bottom"/>
          </w:tcPr>
          <w:p>
            <w:pPr>
              <w:jc w:val="center"/>
              <w:ind w:left="14"/>
              <w:spacing w:after="0"/>
              <w:rPr>
                <w:sz w:val="20"/>
                <w:szCs w:val="20"/>
                <w:color w:val="auto"/>
              </w:rPr>
            </w:pPr>
            <w:r>
              <w:rPr>
                <w:rFonts w:ascii="Arial" w:cs="Arial" w:eastAsia="Arial" w:hAnsi="Arial"/>
                <w:sz w:val="18"/>
                <w:szCs w:val="18"/>
                <w:color w:val="auto"/>
                <w:w w:val="89"/>
              </w:rPr>
              <w:t>4,756,238</w:t>
            </w:r>
          </w:p>
        </w:tc>
        <w:tc>
          <w:tcPr>
            <w:tcW w:w="1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4,745,315</w:t>
            </w:r>
          </w:p>
        </w:tc>
        <w:tc>
          <w:tcPr>
            <w:tcW w:w="8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Research and development expenses for the three months ended September 30, 2017 decreased approximately $0.5 million or 15%, compared to the three months ended September 30, 2016. This decrease was the result of decreased spending on our pipeline programs -AKB 4924 and ARP 1536, partially offset by an increase in spending on our lead program AKB-9778.</w:t>
      </w:r>
    </w:p>
    <w:p>
      <w:pPr>
        <w:spacing w:after="0" w:line="181"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The $0.4 million increase in spending in our lead program, AKB-9778, for the three months ended September 30, 2017 from the corresponding period in 2016 is primarily attributed to the cost of drug product, associated with our double-blind Phase 2 DR clinical trial initiated in the second quarter of 2017, partially offset by a decrease in pre-clinical and Phase 1 clinical trial expenses incurred in the prior period.</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$0.9 million decrease in spending on our pipeline programs, for the three months ended September 30, 2017 from the corresponding period in 2016 is primarily due to our decision to focus on the lead program while pursuing alternative strategies to fund further development activities for one or both the pipeline programs. Healthy volunteers were enrolled in the AKB-4924 Phase 1a clinical trial and cell line development expenses were incurred on ARP-1536 during the 2016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General and administrative expenses in the three months ended September 30, 2017, increased $0.6 million, or 44%, compared to the three months ended September 30, 2016. This increase was primarily attributable to personnel and related expenses, including costs to recruit additional resources as well as professional services, including legal, accounting, insurance and other professional service expenses associated with the Merger, related transactions and operating as a public company.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98"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Three Months Ended September 30,</w:t>
            </w:r>
          </w:p>
        </w:tc>
      </w:tr>
      <w:tr>
        <w:trPr>
          <w:trHeight w:val="171"/>
        </w:trPr>
        <w:tc>
          <w:tcPr>
            <w:tcW w:w="3920" w:type="dxa"/>
            <w:vAlign w:val="bottom"/>
            <w:tcBorders>
              <w:bottom w:val="single" w:sz="8" w:color="CFF0FC"/>
            </w:tcBorders>
          </w:tcPr>
          <w:p>
            <w:pPr>
              <w:spacing w:after="0"/>
              <w:rPr>
                <w:sz w:val="14"/>
                <w:szCs w:val="14"/>
                <w:color w:val="auto"/>
              </w:rPr>
            </w:pPr>
          </w:p>
        </w:tc>
        <w:tc>
          <w:tcPr>
            <w:tcW w:w="15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r>
      <w:tr>
        <w:trPr>
          <w:trHeight w:val="223"/>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Grant income</w:t>
            </w:r>
          </w:p>
        </w:tc>
        <w:tc>
          <w:tcPr>
            <w:tcW w:w="16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46,824</w:t>
            </w:r>
          </w:p>
        </w:tc>
        <w:tc>
          <w:tcPr>
            <w:tcW w:w="160" w:type="dxa"/>
            <w:vAlign w:val="bottom"/>
          </w:tcPr>
          <w:p>
            <w:pPr>
              <w:spacing w:after="0"/>
              <w:rPr>
                <w:sz w:val="19"/>
                <w:szCs w:val="19"/>
                <w:color w:val="auto"/>
              </w:rPr>
            </w:pPr>
          </w:p>
        </w:tc>
        <w:tc>
          <w:tcPr>
            <w:tcW w:w="300" w:type="dxa"/>
            <w:vAlign w:val="bottom"/>
            <w:gridSpan w:val="2"/>
          </w:tcPr>
          <w:p>
            <w:pPr>
              <w:jc w:val="center"/>
              <w:ind w:right="145"/>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26,561</w:t>
            </w:r>
          </w:p>
        </w:tc>
        <w:tc>
          <w:tcPr>
            <w:tcW w:w="120" w:type="dxa"/>
            <w:vAlign w:val="bottom"/>
          </w:tcPr>
          <w:p>
            <w:pPr>
              <w:spacing w:after="0"/>
              <w:rPr>
                <w:sz w:val="19"/>
                <w:szCs w:val="19"/>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1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59,847</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(166,847)</w:t>
            </w: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5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106,671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center"/>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(140,286)</w:t>
            </w:r>
          </w:p>
        </w:tc>
        <w:tc>
          <w:tcPr>
            <w:tcW w:w="12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Interest income in the three months ended September 30, 2017 reflects interest earned during the period on cash balances invested in short term money market instruments. The net proceeds received in the Offering on March 15, 2017, less cash used in operations, were available for investment. The interest expense in the corresponding three-month period in 2016, was primarily related to the senior secured convertible notes issued in April 2016, offset in part by a small amount of interest income earned on invested cash balances. We completed three note financings in fiscal 2016 totaling an aggregate principal amount of approximately $12.5 million and one note financing in the first quarter of fiscal 2017, totaling an aggregate principal amount of approximately $0.3 million. The financings were funded in four tranches’, beginning with one in April 2016 for $4.5 million, one in July 2016 for $4.5 million, one in October 2016 for $3.5 million and one in January 2017 for $0.3 million. The notes accrued interest at the rate of eight percent (8%) per annum, compounded annually. The principal and accrued interest on the secured convertible notes was converted into common stock on March 15, 2017, in connection with the Merger.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2017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660" w:type="dxa"/>
            <w:vAlign w:val="bottom"/>
            <w:tcBorders>
              <w:bottom w:val="single" w:sz="8" w:color="CFF0FC"/>
            </w:tcBorders>
          </w:tcPr>
          <w:p>
            <w:pPr>
              <w:spacing w:after="0"/>
              <w:rPr>
                <w:sz w:val="14"/>
                <w:szCs w:val="14"/>
                <w:color w:val="auto"/>
              </w:rPr>
            </w:pPr>
          </w:p>
        </w:tc>
        <w:tc>
          <w:tcPr>
            <w:tcW w:w="17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FF0FC"/>
            </w:tcBorders>
          </w:tcPr>
          <w:p>
            <w:pPr>
              <w:spacing w:after="0"/>
              <w:rPr>
                <w:sz w:val="14"/>
                <w:szCs w:val="14"/>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8,366,869</w:t>
            </w:r>
          </w:p>
        </w:tc>
        <w:tc>
          <w:tcPr>
            <w:tcW w:w="180" w:type="dxa"/>
            <w:vAlign w:val="bottom"/>
          </w:tcPr>
          <w:p>
            <w:pPr>
              <w:spacing w:after="0"/>
              <w:rPr>
                <w:sz w:val="19"/>
                <w:szCs w:val="19"/>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9,374,383</w:t>
            </w:r>
          </w:p>
        </w:tc>
        <w:tc>
          <w:tcPr>
            <w:tcW w:w="6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6,732,816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3,953,808</w:t>
            </w:r>
          </w:p>
        </w:tc>
        <w:tc>
          <w:tcPr>
            <w:tcW w:w="60" w:type="dxa"/>
            <w:vAlign w:val="bottom"/>
            <w:shd w:val="clear" w:color="auto" w:fill="CFF0FC"/>
          </w:tcPr>
          <w:p>
            <w:pPr>
              <w:spacing w:after="0"/>
              <w:rPr>
                <w:sz w:val="19"/>
                <w:szCs w:val="19"/>
                <w:color w:val="auto"/>
              </w:rPr>
            </w:pP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7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15,099,685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13,328,191</w:t>
            </w:r>
          </w:p>
        </w:tc>
        <w:tc>
          <w:tcPr>
            <w:tcW w:w="6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Research and development expenses for the nine months ended September 30, 2017 decreased approximately $1.0 million, or 11%, compared to the nine months ended September 30, 2016. This decrease was the result of decreased spending on our pipeline programs AKB 4924 and ARP 1536, partially offset by an increase in spending on our lead program AKB-9778, currently in Phase 2b development.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approximate $1.0 million increase in spending on our lead program, AKB-9778, for the nine months ended September 30, 2017 from the corresponding period in 2016 is primarily attributed to the cost of drug product for our double-blind Phase 2 DR clinical trial initiated during the second quarter of 2017, partially offset by a decrease in pre-clinical and Phase 1 clinical trial expenses incurred in the prior period.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approximate $2.0 million decrease in spending on our pipeline programs, for the nine months ended September 30, 2017 from the corresponding period in 2016 is primarily due to our decision to focus on the lead program while pursuing alternative strategies to fund further development activities for one or both the pipeline programs. During the nine months ended September 30, 2016, healthy volunteers were enrolled in the AKB-4924 Phase 1a clinical trial and cell line development expenses were incurred on ARP-1536.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General and administrative expenses in the nine months ended September 30, 2017, increased $2.8 million, or 70%, compared to the nine months ended September 30, 2016. This increase was primarily attributable to personnel and related expenses, including costs to recruit additional resources as well as professional services including, legal, accounting, insurance and other professional service expenses associated with the Merger, related transactions and operating as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71"/>
        </w:trPr>
        <w:tc>
          <w:tcPr>
            <w:tcW w:w="3560" w:type="dxa"/>
            <w:vAlign w:val="bottom"/>
            <w:tcBorders>
              <w:bottom w:val="single" w:sz="8" w:color="CFF0FC"/>
            </w:tcBorders>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4"/>
                <w:szCs w:val="14"/>
                <w:color w:val="auto"/>
              </w:rPr>
            </w:pPr>
          </w:p>
        </w:tc>
      </w:tr>
      <w:tr>
        <w:trPr>
          <w:trHeight w:val="223"/>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Grant income</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93,720</w:t>
            </w:r>
          </w:p>
        </w:tc>
        <w:tc>
          <w:tcPr>
            <w:tcW w:w="20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116,185</w:t>
            </w:r>
          </w:p>
        </w:tc>
        <w:tc>
          <w:tcPr>
            <w:tcW w:w="80" w:type="dxa"/>
            <w:vAlign w:val="bottom"/>
          </w:tcPr>
          <w:p>
            <w:pPr>
              <w:spacing w:after="0"/>
              <w:rPr>
                <w:sz w:val="19"/>
                <w:szCs w:val="19"/>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(159,612)</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(254,552)</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Other income, net</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9"/>
                <w:szCs w:val="19"/>
                <w:color w:val="auto"/>
              </w:rPr>
            </w:pPr>
          </w:p>
        </w:tc>
      </w:tr>
      <w:tr>
        <w:trPr>
          <w:trHeight w:val="223"/>
        </w:trPr>
        <w:tc>
          <w:tcPr>
            <w:tcW w:w="3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17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(137,370)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Grant income is recognized as earned based on contract work performed. Grant income amounts can vary greatly from period to period depending on the funding and needs of the party for whom we perform the requested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 expense in the nine months ended September 30, 2017, was primarily related to the senior secured convertible notes issued in 2016 and 2017, offset by interest income earned during the period on cash balances invested in short term money market instruments. The net proceeds received in the Offering on March 15, 2017, less cash used in operations during the period, were available for investment. The interest expense in the corresponding nine-month period in 2016, was primarily related to the senior secured convertible notes issued in April 2016, offset in part by a small amount of interest income earned on invested cash balances. We completed three note financings in fiscal 2016 totaling an aggregate principal amount of approximately $12.5 million and one note financing in the first quarter of fiscal 2017, totaling an aggregate principal amount of approximately $0.3 million. The convertible note financings were funded in four tranches’, beginning with one in April 2016 for $4.5 million, one in July 2016 for $4.5 million, one in October 2016 for $3.5 million and one in January 2017 for $0.3 million. The notes had interest at the rate of eight percent (8%) per annum, compounded annually. The principal and accrued interest on the secured convertible notes was converted into common stock on March 15, 2017, in connection with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income represents amounts received from Akebia for services rendered under the shared services agreements. The agreements expired in 2016.</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Since inception, we have incurred significant net losses and negative cash flows from operations. For the three months ended September 30, 2017 and 2016, we had net losses of $4.6 million and $4.9 million, respectively. At September 30, 2017 and December 31, 2016, we had an accumulated deficit of $102.3 million and $86.2 million, respectively.</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September 30, 2017, we had cash and cash equivalents and short-term investments of $24.8 million. To date, we have financed our operations principally through the Offering, private placements of our redeemable convertible preferred stock, common stock and issuances of secured convertible promissory notes. Based on our current plans</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that our existing cash and cash equivalents, will enable us to conduct our planned operations into the first quarter of fiscal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27" w:name="page28"/>
    <w:bookmarkEnd w:id="27"/>
    <w:p>
      <w:pPr>
        <w:ind w:right="20"/>
        <w:spacing w:after="0" w:line="255" w:lineRule="auto"/>
        <w:rPr>
          <w:sz w:val="20"/>
          <w:szCs w:val="20"/>
          <w:color w:val="auto"/>
        </w:rPr>
      </w:pPr>
      <w:r>
        <w:rPr>
          <w:rFonts w:ascii="Arial" w:cs="Arial" w:eastAsia="Arial" w:hAnsi="Arial"/>
          <w:sz w:val="18"/>
          <w:szCs w:val="18"/>
          <w:color w:val="auto"/>
        </w:rPr>
        <w:t>We could potentially use our available financial resources sooner than we currently expect, and we may incur additional indebtedness to meet future operation liquidity. We continuously evaluate our needs for additional capital and consider opportunities on an ongoing basis, including capital from many different sources including equity capital, strategic alliances, business development debt, collaborations and business combinations. Adequate additional funding may not be available to us on acceptable terms or at all. In addition, although we anticipate being able to obtain additional financing through non-dilutive means, we may be unable to do so. Our failure to raise capital as and when needed could have significant negative consequences for our business, financial condition and results of operations. Our future capital requirements and the adequacy of available funds will depend on many factors, including those set forth in the section titled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98"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15"/>
        </w:trPr>
        <w:tc>
          <w:tcPr>
            <w:tcW w:w="55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8"/>
                <w:szCs w:val="18"/>
                <w:color w:val="auto"/>
              </w:rPr>
            </w:pPr>
          </w:p>
        </w:tc>
      </w:tr>
      <w:tr>
        <w:trPr>
          <w:trHeight w:val="223"/>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(14,271,082)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(12,676,283)</w:t>
            </w:r>
          </w:p>
        </w:tc>
        <w:tc>
          <w:tcPr>
            <w:tcW w:w="10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(6,547)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(113,297)</w:t>
            </w: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37,496,845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8,953,719</w:t>
            </w:r>
          </w:p>
        </w:tc>
        <w:tc>
          <w:tcPr>
            <w:tcW w:w="10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23,219,216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(3,835,861)</w:t>
            </w:r>
          </w:p>
        </w:tc>
        <w:tc>
          <w:tcPr>
            <w:tcW w:w="10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historically experienced negative cash outflows as we developed AKB-9778, ARP-1536 and AKB-4924. Our net cash used in operating activities primarily results from our net loss adjusted for non-cash expenses and changes in working capital components. Our primary uses of cash from operating activities are amounts due to contract research organizations for the conduct of our clinical programs and employee-related expenditures for research and development, and general and administrative activities. Our cash flows from operating activities will continue to be affected principally by increased spending to advance of our product candidates in the clinic, personnel to support those activities and other operating and general administrative activities.</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For the nine months ended September 30, 2017, operating activities used approximately $14.3 million in cash, primarily as a result of our net loss of approximately $15.2 million, offset by approximately $0.7 million in non-cash charges that consisted primarily of stock compensation expense, non-cash interest expense, amortization of debt issuance costs and depreciation expense and approximately $0.2 million from changes in working capital. For the nine months ended September 30, 2016, operating activities used approximately $12.7 million in cash, primarily as a result of our net loss of $13.5 million, offset by approximately $0.8 million of non-cash charges of stock compensation expense, non-cash interest expense, amortization of debt issuance costs and depreciation expense.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Cash used in investing activities for both nine month periods ended September 30, 2017 and 2016 was due to capital expenditures to support our operations. In addition, in the nine months ended September 30, 2016, we acquired approximately $0.1 million of laboratory equipment to support internal drug development capabilities.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the nine months ended September 30, 2017, we received net proceeds of $37.5 million from the sale of common stock at $5.00 per share, issued in the Offering and $0.3 million in January from an extension to the Aerpio senior secured convertible notes. During the nine months ended September 30, 2016, we received $8.9 million from the issuance of and an extension to the Aerpio senior secured convertible notes.</w:t>
      </w:r>
    </w:p>
    <w:p>
      <w:pPr>
        <w:spacing w:after="0" w:line="166"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On March 31, 2016, Aerpio entered into a senior secured convertible note financing with certain preferred stock investors of Aerpio. The secured convertible notes accrued interest at 8% per annum, compounded annually. Each of the secured convertible notes were also subject to mandatory prepayment and were also convertible into preferred stock of Aerpio upon the occurrence of certain events, as described in the Note Agreements.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received proceeds from the first tranche in April 2016 and subsequent tranches in July 2016, October 2016 and January 2017. The outstanding principal and accrued interest under the secured convertible notes was converted into shares of Aerpio common stock immediately prior to the effective time of the Merger, and exchanged for shares of our common stock pursuant to the Merger.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have been no material changes outside the ordinary course of business during the period covered by this Report from the contractual obligations and commitments as of December 31, 2016 described in our Current Report on Form 8-K filed on March 17,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and 2016, we did not have any off-balance sheet arrangements as defined by applicable SEC regulations.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Our condensed consolidated financial statements are prepared in accordance with U.S. generally accepted accounting principles or GAAP. The preparation of these condensed consolidated financial statements requires us to make estimates and assumptions that affect the reported amounts of assets, liabilities,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5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the assumptions and estimates have the greatest potential impact on our condensed consolidated financial statements. Therefore, we consider these to be our critical accounting policies and estimates. For further information on all our significant accounting policies, see the notes to our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and Accrued Research and Development Expenses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part of the process of preparing our condensed consolidated financial statements, we are required to estimate our prepaid and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We make estimates of our prepaid and accrued research and development expenses as of each condensed consolidated balance sheet date in our financial statements based on facts and circumstances known to us at the time. We confirm the accuracy of estimates with the service providers and make adjustments if necessary. Examples of estimated prepaid and accrued research and development expenses include expenses for:</w:t>
      </w:r>
    </w:p>
    <w:p>
      <w:pPr>
        <w:spacing w:after="0" w:line="70" w:lineRule="exact"/>
        <w:rPr>
          <w:sz w:val="20"/>
          <w:szCs w:val="20"/>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Research Organizations (CROs) in connection with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Vendors related to product manufacturing, development and distribution of clinical materials.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CROs that conduct and manage clinical studies on our behalf. The financial terms of these agreements are subject to negotiation, vary from contract to contract and may result in uneven payment flows. The scope of services under these contracts can be modified and some of the agreements may be cancelled by either party upon written notice. There may be instances in which payments made to our vendors will exceed the level of services provided and result in a prepayment of the clinical expense. Payments under some of these contracts depend on factors such as the successful enrollment of subjects and the completion of clinical study milestones.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there have been no material differences between our estimates and the amount actually incurred.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issue stock-based awards generally in the form of stock options and restricted stock. We account for our stock-based compensation awards in accordance with FASB ASC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or ASC 718. ASC 718 requires all stock-based payments to employees, including grants of employee stock options and restricted stock and modifications to existing stock awards to be recognized in the statements of operations and comprehensive loss based on their fair values. Described below is the methodology we have utilized in measuring stock-based compensation expense.</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estimate the fair value of our options to purchase shares of common stock to employees using the Black-Scholes option pricing model, which requires the input of highly subjective assumptions, including (a) the expected stock price volatility, (b) the calculation of the expected term of the award, (c) the risk-free interest rate and (d) expected dividends. Due to the lack of a public market for the trading of our common stock and a lack of company-specific historical and implied volatility data, we have based our estimate of expected volatility on the historical volatility of a group of similar companies that are publicly traded.</w:t>
      </w:r>
    </w:p>
    <w:p>
      <w:pPr>
        <w:spacing w:after="0" w:line="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historical volatility is calculated based on a period of time commensurate with the expected term assumption. The computation of expected volatility is based on the historical volatility of a representative group of companies with similar characteristics to our company, including stage of product development and life science industry focus. We are a development stage company in an early stage of product development with no revenues and the representative group of companies has certain similar characteristics. We believe the group selected has sufficient similar economic and industry characteristics, and includes companies that are most representative of our Company. We use the simplified method as prescribed by the SEC Staff Accounting Bulletin No. 107, Share-Based Payment, to calculate the expected term for options granted to employees and non-employees as we do not have sufficient historical exercise data to provide a reasonable basis upon which to estimate the expected term. The expected term is applied to the stock option grant group as a whole, as we do not expect substantially different exercise or post-vesting termination behavior among our employee population. The risk-free interest rate is based on a treasury instrument whose term is consistent with the expected life of the stock options. The expected dividend yield is assumed to be zero as we have never paid dividends and have no current plans to pay any dividends on our common stock, similar to our peer group. The grant date fair value of restricted stock award grants is based on the estimated value of our common stock at the date of grant.</w:t>
      </w:r>
    </w:p>
    <w:p>
      <w:pPr>
        <w:spacing w:after="0" w:line="16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stock-based awards are subject to service-based vesting conditions. Compensation expense related to awards to employees with service-based vesting conditions is recognized on a straight-line basis based on the grant date fair value over the associated service period of the award, which is generally the vesting term. Awards to non-employees are adjusted through share-based compensation expense as the award vests to reflect the current fair value of such awards and are expensed using an accelerated attribution model.</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September 30, 2017 and 2016, and the nine months ended September 30, 2017 and 2016 stock-based compensation expense was approximately $0.1 million, $0.1 million, $0.4 million and $0.4 million, respectively. As of September 30, 2017, we had $0.2 million of total unrecognized stock-based compensation costs for stock options, which we expect to recognize over a weighted-average period of 2.0 years. As of September 30, 2017, we had $0.2 million of total unrecognized stock-based compensation costs for restricted stock awards, which we expect to recognize over a weighted-average period of 1.2 years.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The fair value of the common stock was determined by our Board of Directors, which intended all stock options granted to be exercisable at a price per share not less than the per share fair value of our common stock underlying those options on the date of grant. In 2016, as a privately held company, the valuations of our common stock were determined in accordance with the guidelines outlined in the American Institute of Certified Public Accountants Practice</w:t>
      </w:r>
    </w:p>
    <w:p>
      <w:pPr>
        <w:ind w:right="40"/>
        <w:spacing w:after="0" w:line="254" w:lineRule="auto"/>
        <w:rPr>
          <w:sz w:val="20"/>
          <w:szCs w:val="20"/>
          <w:color w:val="auto"/>
        </w:rPr>
      </w:pPr>
      <w:r>
        <w:rPr>
          <w:rFonts w:ascii="Arial" w:cs="Arial" w:eastAsia="Arial" w:hAnsi="Arial"/>
          <w:sz w:val="18"/>
          <w:szCs w:val="18"/>
          <w:color w:val="auto"/>
        </w:rPr>
        <w:t xml:space="preserve">Aid, </w:t>
      </w:r>
      <w:r>
        <w:rPr>
          <w:rFonts w:ascii="Arial" w:cs="Arial" w:eastAsia="Arial" w:hAnsi="Arial"/>
          <w:sz w:val="18"/>
          <w:szCs w:val="18"/>
          <w:i w:val="1"/>
          <w:iCs w:val="1"/>
          <w:color w:val="auto"/>
        </w:rPr>
        <w:t>Valuation</w:t>
      </w:r>
      <w:r>
        <w:rPr>
          <w:rFonts w:ascii="Arial" w:cs="Arial" w:eastAsia="Arial" w:hAnsi="Arial"/>
          <w:sz w:val="18"/>
          <w:szCs w:val="18"/>
          <w:color w:val="auto"/>
        </w:rPr>
        <w:t xml:space="preserve"> of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or AICPA Practice Aid</w:t>
      </w:r>
      <w:r>
        <w:rPr>
          <w:rFonts w:ascii="Arial" w:cs="Arial" w:eastAsia="Arial" w:hAnsi="Arial"/>
          <w:sz w:val="18"/>
          <w:szCs w:val="18"/>
          <w:i w:val="1"/>
          <w:iCs w:val="1"/>
          <w:color w:val="auto"/>
        </w:rPr>
        <w:t>.</w:t>
      </w:r>
      <w:r>
        <w:rPr>
          <w:rFonts w:ascii="Arial" w:cs="Arial" w:eastAsia="Arial" w:hAnsi="Arial"/>
          <w:sz w:val="18"/>
          <w:szCs w:val="18"/>
          <w:color w:val="auto"/>
        </w:rPr>
        <w:t xml:space="preserve"> The assumptions we used in the valuation model were based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including the following factors:</w:t>
      </w:r>
    </w:p>
    <w:p>
      <w:pPr>
        <w:spacing w:after="0" w:line="82" w:lineRule="exact"/>
        <w:rPr>
          <w:sz w:val="20"/>
          <w:szCs w:val="20"/>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valuations performed by unrelated third-party specialists;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of Aerpio’s former convertible preferred stock sold to outside investors in arm’s-length transactions;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hiring of key personnel and the experience of our management;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0" w:name="page31"/>
    <w:bookmarkEnd w:id="30"/>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 public offering or a merger or acquisition of our business given prevailing market conditions;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illiquidity of stock-based awards involving securities in a private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2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For the valuation of our common stock at December 31, 2016, we used the hybrid method. As described in the AICPA’s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the hybrid method is a hybrid between the probability-weighted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returns method (PWERM) and the option-pricing method (OPM). We considered a “go-public scenario”, in which our preferred shares convert to common stock, and a second scenario, in which equity value is allocated using the OPM. We used the guideline public company method under the market approach to value our equity. We estimated our equity value based on a multiple of paid-in capital as indicated by a group of guideline public companies. The group consisted of clinical-stage drug development companies which completed initial public offerings in the six months preceding our appraisal date. In addition, for each of the guideline companies, we considered the increase, or step-up, in per share value from the preferred financing preceding the public offering to the common stock value in the public offering. We also considered the equity value of each guideline company, not including the proceeds of the public offering.</w:t>
      </w:r>
    </w:p>
    <w:p>
      <w:pPr>
        <w:spacing w:after="0" w:line="197"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 the value of the preferred liquidation preference at the time of a liquidity event, such as a strategic sale, merger or initial public offering. For each Black-Scholes calculation in the OPM, the option “strike price” is determined by the company’s capital structure. Additional inputs to the OPM include the estimated time to liquidity and estimated equity volatility.</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applied a discount for lack of marketability to the values indicated for the common stock in the go-public and OPM scenarios. Our estimate of the appropriate discount for lack of marketability relied on an Asian put option calculation.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summarizes the significant assumptions used in the hybrid method to determine the fair value of our common stock as of December 31, 2016:</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Go-Public</w:t>
            </w:r>
          </w:p>
        </w:tc>
        <w:tc>
          <w:tcPr>
            <w:tcW w:w="12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OPM</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Scenario</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Key assumptions</w:t>
            </w: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Probability weighting</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Years to liquidity</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Weighted-average cost of equity</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Annual volatility</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Discount for lack of marketability (DLOM)</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Based on these assumptions, we estimated the fair value of our common stock on a pre-Merger basis to be $1.20 as of December 31, 2016 ($2.80 as of December 31, 2016 on an as converted basis to reflect the effect of the Merger).</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significant judgments and estimates inherent in the determination of these valuations. These judgments and estimates include assumptions regarding our future performance, including the successful enrollment and completion of our clinical studies as well as the determination of the appropriate valuation methods. If we had made different assumptions, our stock-based compensation expense could have been different. The foregoing valuation methodologies are not the only methodologies available and they will not be used to value our common stock once this offering is complete. We cannot make assurances as to any particular valuation for our common stock. Accordingly, we caution you not to place undue reliance on the foregoing valuation methodologies as an indicator of future stock prices.</w:t>
      </w:r>
    </w:p>
    <w:p>
      <w:pPr>
        <w:spacing w:after="0" w:line="19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For the valuation of our common stock at March 31, 2017 and June 30, 2017, we used $5.00 per share, which is the share price paid by outside investors in our private placement closed on March 15, 2017 and at September 30, 2017 we used $6.00 per share, the closing share price on the OTCQB marketplace on that date. There were no stock awards granted or issued in the nine months ended September 30, 2017.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an “emerging growth company” within the meaning of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 that are not emerging growth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Company’s cash balance as of September 30, 2017 consisted of cash held in an operating account that earns nominal interest income. Therefore, there was minimal or no interest rate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222222"/>
        </w:rPr>
        <w:t>Under the supervision of and with the participation of our management, including our President and Founder, who is our principal executive officer, and our Chief Financial Officer, who is our principal financial officer, we conducted an evaluation of the effectiveness of our disclosure controls and procedures as of September 30, 2017, the end of the period covered by this Quarterly Report. The term “disclosure controls and procedures,” as set forth in Rules 13a-15(e) and 15d-15(e) under the Securities Exchange Act of 1934, as amended, or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222222"/>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 Based on the evaluation of our disclosure controls and procedures as of September 30, 2017, our chief executive officer and chief financial officer concluded that, as of such date, our disclosure controls and procedures were not effective at the reasonable assurance level due to a material weakness in internal control over financial reporting. The material weakness was initially identified at December 31, 2016 as previously disclosed and relates to the effectiveness of controls over our review and approval procedures with respect to financial information generated to prepare our consolidated financial statements, coupled with a lack of segregation of duties. We are taking steps to remediate this material weakness.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Changes in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222222"/>
        </w:rPr>
        <w:t>During the quarter ended September 30, 2017, there have been no changes in our internal control over financial reporting, as such term is defined in</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222222"/>
        </w:rPr>
        <w:t>Rules 13a-15(f) and 15(d)-15(f) promulgated under the Securities Exchange Act of 1934,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In addition to the information, documents or reports included or incorporated by reference in this Quarterly Report on Form 10-Q for the period ended September 30, 2017, you should carefully consider the risks described below, before making an investment decision. Our business, financial condition or results of operations could be harmed by any of these risks. As a result, you could lose some or all of your investment in our common stock. The risks and uncertainties described below are not the only ones we face. Additional risks not currently known to us or other factors not perceived by us to present significant risks to our business at this time also may impair our business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continue to incur significant losses for the foreseeable future and may never achieve or maintain profitability.</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have incurred net losses each year since our inception, including net losses of $17.0 million and $17.1 million for the years ended December 31, 2016 and 2015, respectively, and $15.1 million for the nine months ended September 30, 2017. As of September 30, 2017, we had an accumulated deficit of</w:t>
      </w:r>
    </w:p>
    <w:p>
      <w:pPr>
        <w:ind w:right="60"/>
        <w:spacing w:after="0" w:line="261" w:lineRule="auto"/>
        <w:rPr>
          <w:sz w:val="20"/>
          <w:szCs w:val="20"/>
          <w:color w:val="auto"/>
        </w:rPr>
      </w:pPr>
      <w:r>
        <w:rPr>
          <w:rFonts w:ascii="Arial" w:cs="Arial" w:eastAsia="Arial" w:hAnsi="Arial"/>
          <w:sz w:val="18"/>
          <w:szCs w:val="18"/>
          <w:color w:val="auto"/>
        </w:rPr>
        <w:t>$102.3 million. To date, we have not commercialized any products or generated any revenues from the sale of products, and we do not expect to generate any product revenues in the foreseeable future. We do not know whether or when we will generate revenue or become profitable.</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have devoted most of our financial resources to research and development, including our clinical and preclinical development activities. To date, we have financed our operations primarily through private placements of our preferred stock. The amount of our future net losses will depend, in part, on the rate of our future expenditures, and our financial position will depend, in part, on our ability to obtain funding through equity or debt financings, strategic collaborations or grants. Our lead product candidate, AKB-9778, recently completed a proof of concept Phase 2 clinical trial in April 2015. Our product candidate AKB-4924 in our HIF-1-a stabilization program recently completed a Phase 1a trial. Our other product candidates are in preclinical development. As a result, we expect that it will be several years, if ever, before we have a product candidate ready for commercialization. Even if we obtain regulatory approval to market AKB-9778, our future revenues will depend upon the size of any markets in which AKB-9778 has received approval, our ability to achieve sufficient market acceptance, reimbursement from third-party payors and other factors.</w:t>
      </w:r>
    </w:p>
    <w:p>
      <w:pPr>
        <w:spacing w:after="0" w:line="17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significantly if and as we:</w:t>
      </w:r>
    </w:p>
    <w:p>
      <w:pPr>
        <w:spacing w:after="0" w:line="62" w:lineRule="exact"/>
        <w:rPr>
          <w:sz w:val="20"/>
          <w:szCs w:val="20"/>
          <w:color w:val="auto"/>
        </w:rPr>
      </w:pPr>
    </w:p>
    <w:p>
      <w:pPr>
        <w:ind w:left="1040" w:right="6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Phase 2 program and prepare for a future Phase 3 development program of AKB-9778 for the treatment of diabetic retinopathy, or DR, including as we continue our ongoing TIME-2b clinical trial.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successfully complete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our product candidates manufactured for clinical trials and for commercial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128" w:lineRule="exact"/>
        <w:rPr>
          <w:rFonts w:ascii="Arial" w:cs="Arial" w:eastAsia="Arial" w:hAnsi="Arial"/>
          <w:sz w:val="17"/>
          <w:szCs w:val="17"/>
          <w:color w:val="auto"/>
        </w:rPr>
      </w:pPr>
    </w:p>
    <w:p>
      <w:pPr>
        <w:ind w:left="1040" w:right="40" w:hanging="519"/>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AKB-9778, AKB-4924, ARP-1536 and other product candidates that we may develop or acquire;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other commercial products, product candidates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royalty, milestone or other payments under any future in-license agreements;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and retain skilled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right="6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or when, if at all, we will be able to achieve profitability. If we are required by the United States Food and Drug Administration, or FDA, the European Medicines Agency, or EMA, or other regulatory authorities to perform studies in addition to those currently expected, or if there are any delays in completing our clinical trials or the development of any of our product candidates, our expenses could increase.</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become and remain profitable, we must succeed in developing and commercializing our product candidates, which must generate significant revenue. This will require us to be successful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cause you to lose all or part of your investment.</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A failure to obtain this necessary capital when needed could force us to delay, limit, reduce or terminate our product development or commercialization efforts.</w:t>
      </w:r>
    </w:p>
    <w:p>
      <w:pPr>
        <w:spacing w:after="0" w:line="6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of September 30, 2017, our cash and cash equivalents and short-term investments were $24.8 million. We believe that we will continue to expend substantial resources for the foreseeable future developing AKB-9778 and any other product candidates that we may develop or acquire. Additionally, we may expend substantial resources to further develop AKB-4924 if we secure sufficient additional funding, likely from a strategic and commercial partner for that candidate, as well as ARP-1536 if we secure sufficient additional funding, which may be from a partner for that candidate. These expenditures will include costs associated with research and development, potentially obtaining regulatory approvals and having our products manufactured, as well as marketing and selling products approved for sale, if any. In addition, other unanticipated costs may arise. Because the outcome of our current and anticipated clinical trials is highly uncertain, we cannot reasonably estimate the actual amounts necessary to successfully complete the development and commercialization of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40" w:right="280" w:hanging="519"/>
        <w:spacing w:after="0" w:line="342"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rate of progress, results and cost of completing our Phase 2 program of AKB-9778 and our operating costs incurred as we conduct these trials and through our end of Phase 2 meeting with the FDA, and equivalent meetings with the EMA and other regulatory authorities;</w:t>
      </w:r>
    </w:p>
    <w:p>
      <w:pPr>
        <w:spacing w:after="0" w:line="15" w:lineRule="exact"/>
        <w:rPr>
          <w:rFonts w:ascii="Arial" w:cs="Arial" w:eastAsia="Arial" w:hAnsi="Arial"/>
          <w:sz w:val="16"/>
          <w:szCs w:val="16"/>
          <w:color w:val="auto"/>
        </w:rPr>
      </w:pPr>
    </w:p>
    <w:p>
      <w:pPr>
        <w:ind w:left="1040" w:right="40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assuming AKB-9778 advances to Phase 3 clinical trials, the scope, size, rate of progress, results and costs of initiating and completing our Phase 3 development program of AKB-9778;</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assuming favorable clinical results, the cost, timing and outcome of our efforts to obtain marketing approval for AKB-9778 in the United States, Europe and in other jurisdictions, including to fund the preparation and filing of regulatory submissions for AKB-9778 with the FDA, the EMA and other regulatory authorities;</w:t>
      </w:r>
    </w:p>
    <w:p>
      <w:pPr>
        <w:spacing w:after="0" w:line="73"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that we may undertake for AKB-4924, ARP-1536 and any other product candidates that we may develop or acquire;</w:t>
      </w:r>
    </w:p>
    <w:p>
      <w:pPr>
        <w:spacing w:after="0" w:line="62" w:lineRule="exact"/>
        <w:rPr>
          <w:rFonts w:ascii="Arial" w:cs="Arial" w:eastAsia="Arial" w:hAnsi="Arial"/>
          <w:sz w:val="18"/>
          <w:szCs w:val="18"/>
          <w:color w:val="auto"/>
        </w:rPr>
      </w:pPr>
    </w:p>
    <w:p>
      <w:pPr>
        <w:ind w:left="1040" w:right="60" w:hanging="519"/>
        <w:spacing w:after="0" w:line="264"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AKB-4924 and ARP-1536 if we continue their further development upon securing sufficient additional funding and/or a strategic and commercial partner, and clinical trials of these product candidates are successful;</w:t>
      </w:r>
    </w:p>
    <w:p>
      <w:pPr>
        <w:spacing w:after="0" w:line="73"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having our product candidates manufactured for clinical trials in preparation for regulatory approval and in preparation for commercialization;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ind w:left="1040" w:hanging="519"/>
        <w:spacing w:after="0"/>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licensing or other arrangements and the financial terms of such agreements; and</w:t>
      </w:r>
    </w:p>
    <w:p>
      <w:pPr>
        <w:spacing w:after="0" w:line="140" w:lineRule="exact"/>
        <w:rPr>
          <w:rFonts w:ascii="Arial" w:cs="Arial" w:eastAsia="Arial" w:hAnsi="Arial"/>
          <w:sz w:val="16"/>
          <w:szCs w:val="16"/>
          <w:color w:val="auto"/>
        </w:rPr>
      </w:pPr>
    </w:p>
    <w:p>
      <w:pPr>
        <w:ind w:left="1040" w:right="280" w:hanging="519"/>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patent applications, maintaining, defending and enforcing our intellectual property rights, including litigation costs and the outcome of such litigation.</w:t>
      </w:r>
    </w:p>
    <w:p>
      <w:pPr>
        <w:spacing w:after="0" w:line="17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Based on our current operating plan, and absent any future financings or strategic partnerships, we believe that our existing cash and cash equivalents and investments will be sufficient to fund our projected operating expenses and capital expenditure requirements into the first quarter of fiscal year 2019. However, our operating plan may change as a result of many factors currently unknown to us, and we may need additional funds sooner than planned. In addition, we may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on a timely basis, we may be required to delay, limit, reduce or terminate preclinical studies, clinical trials or other development activities for AKB-9778, AKB-4924, ARP-1536 or any other product candidates that we develop or acquire, or delay, limit, reduce or terminate our establishment of sales and marketing capabilities or other activities that may be necessary to commercialize our product candidates.</w:t>
      </w:r>
    </w:p>
    <w:p>
      <w:pPr>
        <w:spacing w:after="0" w:line="2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product candidates on unfavorable terms to us.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Until such time, if ever, as we can generate substantial product revenues, we expect to finance our cash needs through a combination of equity offerings, debt financings and license, development and commercialization agreements with collaborators.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with third parties, we may have to relinquish valuable rights to our product candidates, future revenue streams, research programs or product candidates or grant licenses on terms that are not favorable to us. If we are unable to raise additional funds through equity or debt financing when needed, we may be required to delay, limit, reduce or terminate our product development or commercialization efforts for AKB-9778 and, if we secure sufficient additional funding and/or a strategic and commercial partner, to continue their development, for AKB-4924, ARP-1536 or any other product candidates that we develop or acquire, or grant rights to develop and market product candidates that we would otherwise prefer to develop and market ourselves.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may make it difficult for you to evaluate the success of our business to date and to assess our future viability.</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commenced active operations in 2011, and our operations to date have been limited to organizing and staffing our company, business planning, raising capital, identifying potential product candidates, undertaking preclinical studies and conducting clinical trials. We currently have three product candidates, one of which is in preclinical development. Of these product candidates, we may further develop AKB-4924 and ARP-1536 only if we secure sufficient additional funding and/or a strategic and commercial partner, to continue their clinical development. Biopharmaceutical product development is a highly speculative undertaking and involves a substantial degree of risk. Only a small fraction of biopharmaceutical development programs ultimately result in commercial products or even product candidates and a number of events could delay our development efforts and negatively impact our ability to obtain regulatory approval for, and to manufacture, market and sell, a product. We have not yet demonstrated our ability to successfully complete later stage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addition, as a young business, we may encounter unforeseen expenses, difficulties, complications, delays and other known and unknown factors. We will need to expand our capabilities to support commercial activities. We may not be successful in adding such capabilities.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Our Business and the Clinical Development, Regulatory Review and Approval of Product Candidates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product candidate, AKB-9778, which is in Phase 2 clinical development. Even if we obtain favorable clinical results, we may not be able to obtain regulatory approval for, or successfully commercialize, AKB-9778.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currently have only one product candidate, AKB-9778, in clinical development, and our business depends almost entirely on the successful clinical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development, regulatory approval and commercialization of that product candidate, which may never occur. We currently have no products for sale, generate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 revenues from sales of any drugs, and may never be able to develop marketable products. AKB-9778, which recently completed a proof of concept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Phase 2 clinical trial, will require substantial additional clinical development, testing, manufacturing process development, and regulatory approval before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permitted to commence its commercialization. In June 2017, we announced the initiation of patient dosing in our ongoing Phase 2b clinical trial of AKB-</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9778 in patients with DR. Additionally, in July 2017 we announced the completion of a single-center study of the safety and efficacy of treatment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concomitant anti-VEGF therapy. Our other product candidate, AKB-4924, recently completed a Phase 1a trial. We currently may further develop AKB-4924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we secure sufficient additional funding, likely from a strategic and commercial partner, to continue its development. In addition, we currently may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further develop ARP-1536 only if we secure sufficient additional funding, which may be from a strategic and commercial partner to continue its clinical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development. There can be no assurance that we will be able to secure such additional funding or a strategic or commercial partner on commercially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reasonable terms or at all. Any failure to do so would impair our ability to advance AKB-4924 and ARP-1536, resulting in our even greater dependence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AKB-9778. None of our product candidates has advanced into a pivotal trial, and it may be years before such trial is initiated, if ever. The clinical trials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candidates are, and the manufacturing and marketing of our product candidates will be, subject to extensive and rigorous review and regulation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numerous government authorities in the United States and in other countries where we intend to test and, if approved, market any product candidates.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obtaining regulatory approval for the commercial sale of any product candidate, we must demonstrate through extensive preclinical testing and clinical trials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any drug candidate is safe and effective and any biological product candidate is safe, pure, and potent for use in each target indication. This process can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take many years. Of the large number of drugs in development in the United States, only a small percentage successfully complete the FDA regulatory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process and are commercialized. Accordingly, even if we are able to obtain the requisite capital to continue to fund our development and 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programs, we may be unable to successfully develop or commercialize AKB-9778.</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not permitted to market AKB-9778 in the United States until we receive approval of an NDA from the FDA, or in any foreign countries until we receive the requisite approval from such countries. As a condition to submitting an NDA to the FDA for AKB-9778 regarding its ability to treat patients with DR, we must complete our ongoing clinical trials, Phase 3 trials, and any additional non-clinical studies or clinical trials required by the FDA. To date, we have only completed a Phase 2 clinical trial for AKB-9778 and five other early stage trials. AKB-9778 may not be successful in clinical trials or receive regulatory approval. Further, AKB-9778 may not receive regulatory approval even if it is successful in clinical trials. Obtaining approval of an NDA is a complex, lengthy, expensive and uncertain process that typically takes many years following the commencement of clinical trials and depends upon numerous factors, including the substantial discretion of the regulatory authorities. In addition, the policies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AKB-9778 will never obtain regulatory approval. The FDA may delay, limit or deny approval of AKB-9778 for many reasons, including, among others:</w:t>
      </w:r>
    </w:p>
    <w:p>
      <w:pPr>
        <w:spacing w:after="0" w:line="70"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demonstrate that AKB-9778 is safe and effective in treating patients with DR to the satisfaction of the FDA;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for marketing approval;</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not approve the formulation, labeling or specifications of AKB-9778;</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may require that we conduct additional clinical trials;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perform in accordance with the FDA’s good clinical practice, or GCP,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36" w:name="page37"/>
    <w:bookmarkEnd w:id="36"/>
    <w:p>
      <w:pPr>
        <w:ind w:left="1040" w:hanging="5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preclinical studies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may find deficiencies with the manufacturing processes or facilities of third-party manufacturers with which we contract; or</w:t>
      </w:r>
    </w:p>
    <w:p>
      <w:pPr>
        <w:spacing w:after="0" w:line="128" w:lineRule="exact"/>
        <w:rPr>
          <w:rFonts w:ascii="Arial" w:cs="Arial" w:eastAsia="Arial" w:hAnsi="Arial"/>
          <w:sz w:val="17"/>
          <w:szCs w:val="17"/>
          <w:color w:val="auto"/>
        </w:rPr>
      </w:pPr>
    </w:p>
    <w:p>
      <w:pPr>
        <w:ind w:left="1040" w:right="60" w:hanging="519"/>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policies or regulations of the FDA may significantly change in a manner that renders our clinical data insufficient for approval, or requiring that we amend or submit new clinical protocols.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addition, similar reasons may cause the EMA or other regulatory authorities to delay, limit or deny approval of AKB-9778 outside the United States.</w:t>
      </w:r>
    </w:p>
    <w:p>
      <w:pPr>
        <w:spacing w:after="0" w:line="23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AKB-9778. Because our business is almost entirely dependent upon AKB-9778, any such setback in our pursuit of regulatory approval would have a material adverse effect on our business and prospects.</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Alternatively, even if we obtain regulatory approval, that approval may be for indications or patient populations that are not as broad as we intend or desire or may require labeling that includes significant use or distribution restrictions or safety warnings. We may also be required to perform additional, unanticipated clinical trials to obtain approval or be subject to additional post marketing testing requirements to maintain regulatory approval. In addition, regulatory authorities may withdraw their approval of a product or the FDA may require a risk evaluation and mitigation strategy, or REMS, for a product, which could impose restrictions on its distribution. Any of the foregoing scenarios could materially harm the commercial prospects for our product candidates.</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not obtained agreement with the FDA, EMA or other regulatory authorities on the design of our Phase 3 development program.</w:t>
      </w:r>
    </w:p>
    <w:p>
      <w:pPr>
        <w:spacing w:after="0" w:line="1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not obtained agreement with the FDA on the design of our Phase 3 development program. We plan to hold an end of Phase 2 meeting with the FDA upon successful completion of our Phase 2 clinical program. If the FDA determines that the Phase 2 trial results do not support moving into a pivotal program, we would be required to conduct additional Phase 2 studies. Alternatively, the FDA could disagree with our proposed design of our Phase 3 development program and could suggest a larger number of subjects or a longer course of treatment than our current expectations. If the FDA takes such positions, the costs of our AKB-9778 development program could increase materially and the potential market introduction of AKB-9778 could be delayed or we could risk not obtaining FDA approval even if the Phase 3 trials meet their primary endpoints. The FDA also may require that we conduct additional clinical, nonclinical or manufacturing validation studies and submit that data before it will consider an NDA application.</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While we intend to follow the regulatory pathway that ranibizumab and aflibercept undertook when they were approved for DR in the presence of DME, we have not yet sought guidance for the regulatory path for AKB-9778 with the EMA or other regulatory authorities. We cannot predict what additional requirements may be imposed by these regulatory authorities or how such requirements might delay or increase costs for our planned Phase 3 development program. For example, ranibizumab and aflibercept are anti-vascular endothelial growth factor, or anti-VEGF therapies, which block vascular endothelial growth factor, used in the treatment of DR, DME, age-related macular degeneration and retinal vein occlusion, while AKB-9778 is a small molecule activator of the Tie-2 pathway, and such differences may result in a different regulatory pathway for AKB-9778, including one that may be longer, more complex or expensive than that of ranibizumab or aflibercept. Because our business is almost entirely dependent upon the successful development, regulatory approval, and commercialization of AKB-9778, any such delay or increase costs would have an adverse effect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clinical trials of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Our competitors may have ongoing clinical trials for product candidates that could be competitive with our product candidates, and patients who would otherwise be eligible for our clinical trials may instead enroll in clinical trials of our competitors’ product candidates. For example, while we have initiated patient dosing in our TIME-2b clinical trial, there is no guarantee that we can successfully enroll patients in a timely manner. As a result, the timeline for recruiting patients, conducting trials and obtaining regulatory approval of potential products may be delayed. These delays could result in increased costs, delays in advancing our development of AKB-9778 or termination of the clinical trials altogether.</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ind w:right="340"/>
        <w:spacing w:after="0" w:line="27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trial, to complete our clinical trials in a timely manner. Patient enrollment is affected by factors including:</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 and clinicians’ and patients’ perceptions as to the potential advantages of AKB-9778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may not be able to initiate or continue clinical trials if we cannot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would have an adverse effect on our business.</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not be able to comply with requirements of foreign jurisdictions in conducting trials outside of the United States. In addition, we may not be able to obtain regulatory approval in foreign jurisdictions.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If AKB-9778 is successful in Phase 2 development, we currently expect to conduct our Phase 3 clinical trial of AKB-9778 that may include trial sites outside of the United States, including Japan and the European Union, and seek regulatory approval for AKB-9778 for the treatment of patients with DR in major markets in addition to the United States, including the European Union. Our ability to successfully initiate, enroll and complete a clinical trial in any foreign country, should we attempt to do so, is subject to numerous risks unique to conducting business in international markets, including:</w:t>
      </w:r>
    </w:p>
    <w:p>
      <w:pPr>
        <w:spacing w:after="0" w:line="63" w:lineRule="exact"/>
        <w:rPr>
          <w:sz w:val="20"/>
          <w:szCs w:val="20"/>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qualified CROs and physicians;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different local standards for the conduct of clinical trials;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acceptability of data obtained from trials conducted in the United States to the EMA and other regulatory authorities.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we fail to successfully meet requirements for the conduct of clinical trials outside of the United States, we may be delayed in obtaining, or be unable to obtain, regulatory approval for AKB-9778 in countries outside of the United States.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Regulatory authorities outside the United States will require compliance with numerous and varying regulatory requirements. The approval procedures vary among jurisdictions and may involve requirements for additional testing, and the time required to obtain approval may differ from that required to obtain FDA approval. In addition, in many countries outside the United States, a product must be approved for reimbursement before it can be approved for sale in that country. In some cases, the price that we intend to charge for our products is also subject to approval.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negatively impact our ability to obtain approval in another jurisdiction. The foreign regulatory approval process may include all of the risks associated with obtaining FDA approval. We may not obtain foreign regulatory approvals on a timely basis, if at all. We may not be able to file for regulatory approvals and may not receive necessary approvals to commercialize our products in any market.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8" w:name="page39"/>
    <w:bookmarkEnd w:id="38"/>
    <w:p>
      <w:pPr>
        <w:spacing w:after="0" w:line="259" w:lineRule="auto"/>
        <w:rPr>
          <w:sz w:val="20"/>
          <w:szCs w:val="20"/>
          <w:color w:val="auto"/>
        </w:rPr>
      </w:pPr>
      <w:r>
        <w:rPr>
          <w:rFonts w:ascii="Arial" w:cs="Arial" w:eastAsia="Arial" w:hAnsi="Arial"/>
          <w:sz w:val="18"/>
          <w:szCs w:val="18"/>
          <w:b w:val="1"/>
          <w:bCs w:val="1"/>
          <w:i w:val="1"/>
          <w:iCs w:val="1"/>
          <w:color w:val="auto"/>
        </w:rPr>
        <w:t>Clinical drug development is a lengthy and expensive process with an uncertain outcome, and positive results from Phase 1 and Phase 2 clinical trials of AKB-9778 are not necessarily predictive of the results of our completed and any future clinical trials of AKB-9778. If we cannot replicate the positive results from our Phase 1 and Phase 2 clinical trials of AKB-9778 in our ongoing and subsequent clinical trials, we may be unable to successfully develop, obtain regulatory approval for and commercialize AKB-9778.</w:t>
      </w:r>
    </w:p>
    <w:p>
      <w:pPr>
        <w:spacing w:after="0" w:line="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Success in preclinical studies may not be predictive of similar results in humans during clinical trials, and successful results from early or small clinical trials may not be replicated in later and larger clinical trials. For example, our early encouraging preclinical and clinical results for AKB-9778 do not ensure that the results of our ongoing clinical trials, including TIME-2b, or any future clinical trials will demonstrate similar results. Our planned Phase 2 and Phase 3 development program will enroll a larger number of subjects and will treat subjects for longer periods than our prior trials, which will result in a greater likelihood that adverse events may be observed. Many companies in the pharmaceutical and biotechnology industries have suffered significant setbacks in late-stage clinical trials after achieving positive results in early stage development, and we may face similar setbacks. If the results of our ongoing or future clinical trials for AKB-9778 are inconclusive with respect to efficacy, if we do not meet our clinical endpoints with statistical significance, or if there are safety concerns or adverse events, we may be prevented from or delayed in obtaining marketing approval for AKB-9778.</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experience delays in our planned Phase 2 clinical trial for AKB-9778 and we do not know whether planned clinical trials will begin on time, need to be redesigned, enroll patients on time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aborted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regulatory approval to commence a clinical trial;</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CROs and clinical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institutional review board, or IRB, approval at each site;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clinical sites in compliance with trial protocols and regulatory requirements through the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sufficient quantities of our product candidate for use in clinical trials.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could encounter delays if a clinical trial is suspended or terminated by us, by the relevant IRBs at the sites at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lack of adequate funding to continue the clinical trial.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w:t>
      </w:r>
    </w:p>
    <w:p>
      <w:pPr>
        <w:spacing w:after="0" w:line="275"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b w:val="1"/>
          <w:bCs w:val="1"/>
          <w:i w:val="1"/>
          <w:iCs w:val="1"/>
          <w:color w:val="auto"/>
        </w:rPr>
        <w:t>Even if we receive regulatory approval for our product candidates, such products will be subject to ongoing regulatory review, which may result in significant additional expense. Additionally, our product candidates, if approved, could be subject to labeling and other restrictions, and we may be subject to penalties if we fail to comply with regulatory requirements or experience unanticipated problems with our products.</w:t>
      </w:r>
    </w:p>
    <w:p>
      <w:pPr>
        <w:spacing w:after="0" w:line="3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conditions of approval, or contain requirements for potentially costly post-marketing testing, including Phase 4 clinical trials, and surveillance to monitor the safety and efficacy of the products. 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 or cGMP, requirements and GCP requirements for any clinical trials that we conduct post-approval.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ind w:right="500"/>
        <w:spacing w:after="0" w:line="342" w:lineRule="auto"/>
        <w:rPr>
          <w:sz w:val="20"/>
          <w:szCs w:val="20"/>
          <w:color w:val="auto"/>
        </w:rPr>
      </w:pPr>
      <w:r>
        <w:rPr>
          <w:rFonts w:ascii="Arial" w:cs="Arial" w:eastAsia="Arial" w:hAnsi="Arial"/>
          <w:sz w:val="16"/>
          <w:szCs w:val="16"/>
          <w:color w:val="auto"/>
        </w:rPr>
        <w:t>Post-approval discovery of previously unknown problems with an approved product, including adverse events of unanticipated severity or frequency or relating to manufacturing operations or processes, or failure to comply with regulatory requirements, may result in, among other things:</w:t>
      </w:r>
    </w:p>
    <w:p>
      <w:pPr>
        <w:spacing w:after="0" w:line="16"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untitled or warning letters or holds on clinical trials;</w:t>
      </w:r>
    </w:p>
    <w:p>
      <w:pPr>
        <w:spacing w:after="0" w:line="117"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submitted by us, or suspension or revocation of product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REMS program;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FDA’s policies may change and additional government regulations may be enacted.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are not able to maintain regulatory compliance, we may lose any marketing approval that may have been obtained and we may not achieve or sustain profitability, which would adversely affect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rely on third party CROs and other third parties to assist in managing, monitoring and otherwise carrying out our ongoing trials of AKB-9778. We expect to continue to rely on third parties, such as CROs, clinical data management organizations, medical institutions and clinical investigators to conduct our clinical trials in the future, including our Phase 3 development program for AKB-9778. We compete with many other companies for the resources of these third parties. The third parties on whom we rely may terminate their engagements with us at any time, and having to enter into alternative arrangements would delay development and commercialization of our product candidates.</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reliance on these third parties for research and development activities will reduce our control over these activities but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are credible and accurate and that the rights, integrity and confidentiality of trial participants are protected. Although we rely on third parties to conduct our clinical trials, we are responsible for ensuring that each of these clinical trials is conducted in accordance with its general investigational plan and protocol under legal and regulatory requirements. Regulatory authorities enforce these GCP requirements through periodic inspections of trial sponsors, principal investigators and trial sites. If we or any of our investigators or CROs fail to comply with applicable GCP requirements, the clinical data generated in our clinical trials may be deemed unreliable and the FDA, EMA or other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applicable cGMP regulations. Failure to comply with these regulations may require us to repeat clinical trials, which would delay the regulatory approval process.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 clinical trials of our product candidates may not meet regulatory requirements. If clinical trials do not meet regulatory requirements or if these third parties need to be replaced, preclinical development activities or clinical trials may be extended, delayed, suspended or terminated. If any of these events occur, we may not be able to obtain regulatory approval of our product candidates on a timely basis or at all.</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i w:val="1"/>
          <w:iCs w:val="1"/>
          <w:color w:val="auto"/>
        </w:rPr>
        <w:t>We intend to rely on third parties to conduct some or all aspects of our product manufacturing, and these third parties may not perform satisfactorily.</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do not have any manufacturing facilities and do not expect to independently conduct our product candidate manufacturing for research and preclinical and clinical testing. We currently rely, and expect to rely, on third parties to manufacture and supply drug products for our AKB-9778 clinical trials, and we expect to continue to rely on third parties for the manufacture of clinical and, if necessary, commercial quantities of our product candidates.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18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Any of these third parties may terminate their engagement with us at any time. We believe we have sufficient drug product to complete our ongoing trials of AKB-9778. We have entered into an agreement for the manufacturing of the drug substance for the Phase 2 development program of AKB-9778. However, if this manufacturer cannot perform as agreed, we may be required to find replacement manufacturers. We do not currently have arrangements in place for the manufacturing of drug product for the Phase 3 development program. Although we believe that there are several potential alternative manufacturers who could manufacture our product candidates, we may incur significant delays and added costs in identifying, qualifying and contracting with any such replacement, as well as producing the drug product. The FDA or comparable foreign regulatory authorities may find deficiencies with the manufacturing processes or facilities of third-party manufacturers with which we contract for clinical and commercial supplies. Manufacturers of drug products and their facilities are subject to continual review and periodic inspections by the FDA and other regulatory authorities for compliance with cGMP requirements relating to quality control, quality assurance and corresponding maintenance of records and documents. In addition, we have to enter into technical transfer agreements and share our know-how with the third-party manufacturers, which can be time-consuming and may result in delays. These delays could result in a suspension of our clinical trials or, if AKB-9778 is approved and marketed, a failure to satisfy patient demand.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Reliance on third party manufacturers entails risks to which we would not be subject if we manufactured the product candidates ourselves, including:</w:t>
      </w:r>
    </w:p>
    <w:p>
      <w:pPr>
        <w:spacing w:after="0" w:line="129"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control as a result of using third party manufacturers for all aspects of manufacturing activities, including regulatory compliance and quality assurance;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40" w:right="460" w:hanging="519"/>
        <w:spacing w:after="0" w:line="308"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disruptions to the operations of our manufacturers or suppliers caused by conditions unrelated to our business or operations, including the bankruptcy of the manufacturer or supplier or a catastrophic event affecting our manufacturers or suppliers.</w:t>
      </w:r>
    </w:p>
    <w:p>
      <w:pPr>
        <w:spacing w:after="0" w:line="14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Any of these events could lead to clinical study delays or failure to obtain regulatory approval, or affect our ability to successfully commercialize future products. Some of these events could be the basis for FDA action, including injunction, recall, seizure or total or partial suspension of production.</w:t>
      </w:r>
    </w:p>
    <w:p>
      <w:pPr>
        <w:spacing w:after="0" w:line="12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facilities used by our contract manufacturers to manufacture our product candidates must be evaluated by the FDA pursuant to inspections that will be conducted after we submit our NDA to the FDA. We do not control the manufacturing process of, and are completely dependent on, our contract manufacturers for compliance with cGMP requirements for manufacture of both drug substance and finished drug product. If our contract manufacturers cannot successfully manufacture material that conforms to our specifications and the strict regulatory requirements of the FDA, we will not be able to secure and/or maintain regulatory approval for our product candidates. In addition, we have no control over the ability of our contract manufacturers to maintain adequate quality control, quality assurance and qualified personnel. If the FDA, EMA or other regulatory authorities find deficiencies with or do not approve these facilities for the manufacture of our product candidates or if they find deficiencies or withdraw any such approval in the future, we may need to find alternative manufacturing facilities, which would significantly impact our ability to develop, obtain regulatory approval for or market our product candidates, if approved. Moreover,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drug products or product candidates.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1" w:name="page42"/>
    <w:bookmarkEnd w:id="41"/>
    <w:p>
      <w:pPr>
        <w:ind w:right="460"/>
        <w:spacing w:after="0" w:line="259" w:lineRule="auto"/>
        <w:rPr>
          <w:sz w:val="20"/>
          <w:szCs w:val="20"/>
          <w:color w:val="auto"/>
        </w:rPr>
      </w:pPr>
      <w:r>
        <w:rPr>
          <w:rFonts w:ascii="Arial" w:cs="Arial" w:eastAsia="Arial" w:hAnsi="Arial"/>
          <w:sz w:val="18"/>
          <w:szCs w:val="18"/>
          <w:color w:val="auto"/>
        </w:rPr>
        <w:t>In addition, our product candidates and any products that we may develop may compete with other product candidates and products for access to manufacturing facilities. Certain of these manufacturing facilities may be contractually prohibited from manufacturing our product due to non-compete agreements with our competitors. There are a limited number of manufacturers that operate under cGMP regulations and that might be capable of manufacturing for us.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2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are unable to manufacture our product candidates in sufficient quantities, at sufficient yields, we may experience delays in product development, clinical trials, regulatory approval and commercial distribution.</w:t>
      </w:r>
    </w:p>
    <w:p>
      <w:pPr>
        <w:spacing w:after="0" w:line="6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Completion of our clinical trials and commercialization of our product candidates require access to, or development of, facilities to manufacture our product candidates at sufficient yields and at commercial scale. We have limited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reliance on contract manufacturers may adversely affect our operations or result in unforeseen delays or other problems beyond our control. Because of contractual restraints and the limited number of third-party manufacturers with the expertise and facilities to manufacture our bulk drug product on a commercial scale, replacement of a manufacturer may be expensive and time-consuming and may cause interruptions in the production of our drug product. A third-party manufacturer may also encounter difficulties in production. These problems may include:</w:t>
      </w:r>
    </w:p>
    <w:p>
      <w:pPr>
        <w:spacing w:after="0" w:line="63"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with production costs, scale-up and yields;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compliance with strictly enforced federal, state and foreign regulations that vary in each country where a product might be sold;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capital funding.</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delay or interruption in our supply of product candidates could have a material adverse effect on our business, financial condition, results of operations and cash flows.</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and maintaining strategic collaborations, which could adversely affect our ability to develop and commercialize our product candidates, negatively impacting our operating results.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approved, we plan to commercialize AKB-9778 ourselves in the United States and intend to seek one or more strategic collaborators to commercialize AKB-9778 in additional markets. In addition, we may further develop and, if approved, commercialize, AKB-4924 only if we secure sufficient additional funding, likely from a strategic and commercial partner for that candidate. With respect to ARP-1536, we may further develop and, if approved, commercialize ARP-1536 only if we secure sufficient additional funding, which may be from a strategic or commercial partner. There can be no assurance that we will be able to secure such additional funding or a strategic or commercial partner on commercially reasonable terms or at all. We face competition in seeking appropriate collaborators for our product candidates, and the negotiation process is time-consuming and complex. In order for us to successfully collaborate with a third party on our product candidates, potential collaborators must view these product candidates as economically valuable. Even if we are successful in our efforts to establish strategic collaborations, the terms that we agree upon may not be favorable to us, and we may not be able to maintain such strategic collaborations if, for example, development or approval of a product is delayed or sales of an approved product are disappointing. Any delay in entering into strategic collaboration agreements related to our product candidates could delay the development and commercialization of our product candidates and reduce their competitiveness even if they reach the market.</w:t>
      </w:r>
    </w:p>
    <w:p>
      <w:pPr>
        <w:spacing w:after="0" w:line="18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our strategic collaborators may terminate any agreements they enter into with us, and we may not be able to adequately protect our rights under these agreements. Furthermore, our strategic collaborators will likely negotiate for certain rights to control decisions regarding the development and commercialization of our product candidates, if approved, and may not conduct those activities in the same manner as we do.</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 w:name="page43"/>
    <w:bookmarkEnd w:id="42"/>
    <w:p>
      <w:pPr>
        <w:ind w:right="340"/>
        <w:spacing w:after="0" w:line="279" w:lineRule="auto"/>
        <w:rPr>
          <w:sz w:val="20"/>
          <w:szCs w:val="20"/>
          <w:color w:val="auto"/>
        </w:rPr>
      </w:pPr>
      <w:r>
        <w:rPr>
          <w:rFonts w:ascii="Arial" w:cs="Arial" w:eastAsia="Arial" w:hAnsi="Arial"/>
          <w:sz w:val="17"/>
          <w:szCs w:val="17"/>
          <w:color w:val="auto"/>
        </w:rPr>
        <w:t>If we fail to establish and maintain strategic collaborations related to our product candidates for the indications and in the geographies in which we do not intend develop and commercialize ourselves, we will bear all of the risk and costs related to the development and commercialization of any such product candidate, and we may need to seek additional financing, hire additional employees and otherwise develop expertise. This could negatively affect the development of any product candidate for which we do not locate a suitable strategic partner.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5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or prosecute.</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other foreign countries. Even if the patents do successfully issue, third parties may challenge the validity, enforceability, inventorship, or scope thereof, which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Furthermore, for applications in which all claims are entitled to a priority date before March 16, 2013, an interference proceeding can be provoked by a third-party or instituted by the United States Patent and Trademark Office or the USPTO, to determine who was the first to invent any of the subject matter covered by the patent claims of our applications. For applications containing a claim not entitled to priority before March 16, 2013, there is greater level of uncertainty in the patent law with the passage of the America Invents Act (2011), which brings into effect significant changes to the U.S. patent laws and which introduces new procedures for challenging pending patent applications and issued patents. A primary change under this reform is creating a “first to file” system in the United States. This will require us to be cognizant of the time from invention to filing of a patent application.</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ind w:right="100"/>
        <w:spacing w:after="0" w:line="268" w:lineRule="auto"/>
        <w:rPr>
          <w:sz w:val="20"/>
          <w:szCs w:val="20"/>
          <w:color w:val="auto"/>
        </w:rPr>
      </w:pPr>
      <w:r>
        <w:rPr>
          <w:rFonts w:ascii="Arial" w:cs="Arial" w:eastAsia="Arial" w:hAnsi="Arial"/>
          <w:sz w:val="17"/>
          <w:szCs w:val="17"/>
          <w:color w:val="auto"/>
        </w:rPr>
        <w:t>We currently have a non-exclusive license to one U.S. patent. We rely on the licensor to maintain this patent and otherwise protect the intellectual property covered by this non-exclusive license. We have limited control over these activities or over any other intellectual property that may be related to our in-licensed intellectual property. For example, we cannot be certain that activities by the licensor have been or will be conducted in compliance with applicable laws and regulations. We may have no control or input over whether, and in what manner, our licensor may enforce or defend the patent against a third-party. The licensor may enforce or defend the patent less vigorously than if we had enforced or defended the patent ourselves. Further, the licensor may not necessarily seek enforcement in scenarios in which we would feel that enforcement was in our best interests. For example, the licensor may not enforce the patent against a competitor of ours who is not a direct competitor of the licensor. If our in-licensed intellectual property is found to be invalid or unenforceable, then the licensor may not be able to enforce the patent against a competitor of ours. Our non-exclusive license does not prevent a third party from seeking and obtaining a non-exclusive license to the same patent that we license. If we fail to meet our obligations under the non-exclusive license agreement, then the licensor may terminate the license agreement. If the license agreement is terminated, the former licensor may seek to enforce the intellectual property against us. We may choose to terminate the license agreement, and doing so would allow a third party to seek and obtain an exclusive license to the patent. If a third party obtains an exclusive license to intellectual property formerly licensed to us, then the third party may seek to enforce the intellectual property against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we rely on third parties to research and develop and to manufacture our product candidates, we must, at times,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usually expect to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be costly and time consuming, and may delay or harm our drug discovery and development efforts.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 pharmaceutical and biotechnology industries are characterized by extensive litigation over patent and other intellectual property rights. We may become a party to, or threatened with, future adversarial litigation or other proceedings regarding intellectual property rights with respect to our drug candidates. As the pharmaceutical and biotechnology industries expand and more patents are issued, the risk increases that our drug candidates may give rise to claims of infringement of the patent rights of others.</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While our product candidates are in preclinical studies and clinical trials, we believe that the use of our product candidates in these preclinical studies and clinical trials in the United States falls within the scope of the exemptions provided by 35 U.S.C. Section 271(e), which provides that it shall not be an act of infringement to make, use, offer to sell, or sell within the United States or import into the United States a patented invention solely for uses reasonably related to the development and submission of information to the FDA. As our product candidates progress toward commercialization, the possibility of a patent infringement claim against us increases. We attempt to ensure that our product candidates and the methods we employ to manufacture them, as well as the methods for their use we intend to promote, do not infringe other parties’ patents and other proprietary rights. There can be no assurance they do not, however, and competitors or other parties may assert that we infringe their proprietary rights in any event.</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Third parties may hold or obtain patents or other intellectual property rights and allege in the future that the use of our product candidates infringes these patents or intellectual property rights, or that we are employing their proprietary technology without authorization. Under U.S. law, a party may be able to patent a discovery of a new way to use a previously known compound, even if such compound itself is patented, provided the newly discovered use is novel and nonobvious. Such a method-of-use patent, however, if valid, only protects the use of a claimed compound for the specified methods claimed in the patent. This type of patent does not prevent persons from using the compound for any previously known use of the compound. Further, this type of patent does not prevent persons from making and marketing the compound for an indication that is outside the scope of the patented method.</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There may be patents of third parties of which we are currently unaware with claims to materials, formulations, methods of manufacture or methods for treatment related to the use or manufacture of our drug candidates. Also, because patent applications can take many years to issue, there may be currently pending patent applications which may later result in issued patents that our product candidates may infringe. Notwithstanding the above, third parties may in the future claim that our product candidates and other technologies infringe upon these patents and may file suit against us.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and commercialize AKB-9778 or AKB-4924.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our intended methods of use, the holders of any such patent may be able to block or impair our ability to develop and commercialize the applicable product candidate unless we obtained a license or until such patent expires or is finally determined to be held invalid or unenforceable. We may also elect to enter into a license in order to settle litigation or in order to resolve disputes prior to litigation. Furthermore, even in the absence of litigation, we may need to obtain licenses from third parties to advance our research or allow commercialization of our product candidates. Should a license to a third-party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which could in turn significantly harm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ind w:right="180"/>
        <w:spacing w:after="0" w:line="259" w:lineRule="auto"/>
        <w:rPr>
          <w:sz w:val="20"/>
          <w:szCs w:val="20"/>
          <w:color w:val="auto"/>
        </w:rPr>
      </w:pPr>
      <w:r>
        <w:rPr>
          <w:rFonts w:ascii="Arial" w:cs="Arial" w:eastAsia="Arial" w:hAnsi="Arial"/>
          <w:sz w:val="18"/>
          <w:szCs w:val="18"/>
          <w:color w:val="auto"/>
        </w:rPr>
        <w:t>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which may be impossible or require substantial time and monetary expenditure.</w:t>
      </w:r>
    </w:p>
    <w:p>
      <w:pPr>
        <w:spacing w:after="0" w:line="29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86"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have received confidential and proprietary information from collaborators, prospective licensees and other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drug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these claims, litigation could result in substantial cost and be a distraction to our management and employees.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do not favor the enforcement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third-party payors and others in the medical community.</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Even if we obtain marketing approval for AKB-9778, AKB-4924 or any other product candidates that we may develop or acquire in the future, these product candidates may not gain market acceptance among physicians, third-party payors, patients and others in the medical community. In addition, market acceptance of any approved products depends on a number of other factors, including:</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of the product, as demonstrated in clinical trials;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 approved by regulatory authorities for use with the product, including any warnings that may be required on the label;</w:t>
      </w:r>
    </w:p>
    <w:p>
      <w:pPr>
        <w:spacing w:after="0" w:line="62"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safety and efficacy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example, the current established treatments for DME are anti-VEGF medications, including bevacizumab and ranibizumab, and the current established treatments for DR in the absence of DME include laser photocoagulation. We believe that that prescribers may be resistant to prescribing AKB-9778 with or instead of anti-VEGF medications, or instead of laser photocoagulation, which is currently the standard of care for DME and DR, respectively.</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Market acceptance is critical to our ability to generate significant revenue. In addition, any product candidate, if approved and commercialized, may be accepted in only limited capacities or not at all. If any approved products are not accepted by the market at all or to the extent that we expect, we may not be able to generate significant revenue and our business would suffer.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47" w:name="page48"/>
    <w:bookmarkEnd w:id="47"/>
    <w:p>
      <w:pPr>
        <w:ind w:right="2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to enter into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obtain marketing approval, we will need to establish a sales and marketing organization or make arrangements with third parties to perform these services.</w:t>
      </w:r>
    </w:p>
    <w:p>
      <w:pPr>
        <w:spacing w:after="0" w:line="18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There are risks involved with establishing our own sales, marketing and distribution capabilities. For example, recruiting and training a sales force are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we are unable to establish our own sales, marketing and distribution capabilities and have to enter into arrangements with third parties to perform these services, our profitability, if any, is likely to be materially diminished in relation to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any approved products, which could make it difficult for us to sell our products profitably.</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the availability of adequate coverage and reimbursement from third-party payors and may be affected by existing and future healthcare reform measures. Government authorities and third-party payors decide which drugs they will pay for and establish formularies and reimbursement levels. Coverage and reimbursement by a third-party payor may depend upon a number of factors, including the third-party payor’s determination that use of a product is:</w:t>
      </w:r>
    </w:p>
    <w:p>
      <w:pPr>
        <w:spacing w:after="0" w:line="79"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48" w:name="page49"/>
    <w:bookmarkEnd w:id="48"/>
    <w:p>
      <w:pPr>
        <w:spacing w:after="0" w:line="270"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Additionally, we may be required to enter into contracts with third-party payors to obtain favorable formulary status. We may not be able to provide data sufficient to gain acceptance with respect to coverage and reimbursement. We cannot be sure that coverage or adequate reimbursement will be available for any of our product candidates. Even if we obtain coverage for our product candidates, third-party payors may not establish adequate reimbursement amounts, which may reduce the demand for, or the price of, our products. If reimbursement is not available or is available only to limited levels, we may not be able to commercialize certain of our products. In addition, in the United States third-party payors are increasingly attempting to contain healthcare costs by limiting both coverage and the level of reimbursement of new drugs. As a result, significant uncertainty exists as to whether and how much third-party payors will reimburse patients for their use of newly approved drugs, which in turn will put pressure on the pricing of drugs.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 controls may be imposed, which may adversely affect our future profitability.</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could be adversely affected.</w:t>
      </w:r>
    </w:p>
    <w:p>
      <w:pPr>
        <w:spacing w:after="0" w:line="30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healthcare reform and other changes in the healthcare industry and in healthcare spending is currently unknown, and may adversely affect our business model.</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4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United States, the Medicare Prescription Drug, Improvement, and Modernization Act of 2003, also called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As a result of this legislation and the expansion of federal coverage of products, we expect that there will be additional pressure to reduce costs.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may be enacted in international markets which could similarly impact our business.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the Patient Protection and Affordable Care Act, as amended by the Health Care and Education Reconciliation Act of 2010, or collectively ACA, was enacted in 2010 with a goal of reducing the cost of healthcare and substantially changing the way healthcare is financed by both government and private insurers.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biologic products,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United States since the 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9" w:name="page50"/>
    <w:bookmarkEnd w:id="49"/>
    <w:p>
      <w:pPr>
        <w:ind w:right="20"/>
        <w:spacing w:after="0" w:line="287" w:lineRule="auto"/>
        <w:rPr>
          <w:sz w:val="20"/>
          <w:szCs w:val="20"/>
          <w:color w:val="auto"/>
        </w:rPr>
      </w:pPr>
      <w:r>
        <w:rPr>
          <w:rFonts w:ascii="Arial" w:cs="Arial" w:eastAsia="Arial" w:hAnsi="Arial"/>
          <w:sz w:val="16"/>
          <w:szCs w:val="16"/>
          <w:color w:val="auto"/>
        </w:rPr>
        <w:t>It is likely that federal and state legislatures within the United States and foreign governments will continue to consider changes to existing healthcare legislation. Some of the provisions of the 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ACA.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The U.S. House of Representatives passed legislation known as the American Health Care Act of 2017 in May 2017. More recently, the Senate Republicans introduced and then updated a bill to replace without companion legislation to replace it, and a “skinny” version of the Better Care Reconciliation Act of 2017. Each of these measures was rejected by the full U.S. Senate. Congress also could consider subsequent legislation to replace elements of the ACA Act that are repealed.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61"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development and commercialization of new products is highly competitive. Our future success depends on our ability to demonstrate and maintain a competitive advantage with respect to the development and commercialization of our product candidates. Our objective is to develop and commercialize new products with superior efficacy, convenience, tolerability and safety. In many cases, the products that we commercialize will compete with existing, market-leading products.</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AKB-9778 is approved and launched commercially, competing drugs may include current anti-VEGF drugs, including Lucentis, Eylea and Avastin in the treatment of DME, and current therapies including laser photocoagulation in the treatment of DR. We may face competition from potential DME and DR treatments.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Large and established companies such as Roche and Regeneron, among others, compete in the market for products to treat DR and DME. In particular, these companies have greater experience and expertise in securing government contracts and grants to support their research and development efforts, conducting testing and clinical trials, obtaining regulatory approvals to market products, manufacturing such products on a broad scale and marketing approved products. These companies also have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 that we develop obsolete. As a result of all of these factors, our competitors may succeed in obtaining patent protection and/or FDA approval or discovering, developing and commercializing products before, or more effectively than, we do.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right="620"/>
        <w:spacing w:after="0" w:line="277" w:lineRule="auto"/>
        <w:rPr>
          <w:sz w:val="20"/>
          <w:szCs w:val="20"/>
          <w:color w:val="auto"/>
        </w:rPr>
      </w:pPr>
      <w:r>
        <w:rPr>
          <w:rFonts w:ascii="Arial" w:cs="Arial" w:eastAsia="Arial" w:hAnsi="Arial"/>
          <w:sz w:val="18"/>
          <w:szCs w:val="18"/>
          <w:b w:val="1"/>
          <w:bCs w:val="1"/>
          <w:i w:val="1"/>
          <w:iCs w:val="1"/>
          <w:color w:val="auto"/>
        </w:rPr>
        <w:t>Our products may cause undesirable side effects or have other properties that delay or prevent their regulatory approval or limit their commercial potential.</w:t>
      </w:r>
    </w:p>
    <w:p>
      <w:pPr>
        <w:spacing w:after="0" w:line="6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Undesirable side effects caused by our products or even competing products in development that utilize a common mechanism of action could cause us or regulatory authorities to interrupt, delay or halt clinical trials and could result in the denial of regulatory approval by the FDA or other regulatory authorities and potential products liability claims. AKB-9778 is currently in Phase 2 clinical development. Serious adverse events deemed to be caused by our product candidates could have a material adverse effect on the development of our product candidates and our business as a whole. The most common drug-related adverse events to date in the clinical trial evaluating the safety and tolerability of AKB-9778 in DME have been dizziness and asymptomatic decreases in blood pressure. Our understanding of the relationship between AKB-9778 and these events, as well as our understanding of adverse events in future clinical trials of other product candidates, may change as we gather more information, and additional unexpected adverse events may be observed.</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clinical trials may be put on hold;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 recruitment could be slowed, or enrolled patients may not want to complete a clinical trial;</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unable to obtain regulatory approval for our product candidates or regulatory authorities may withdraw approvals of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medication guide outlining the risks of such side effects for distribution to patients may be required;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products and could substantially increase commercialization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products, conduct our clinical trials and commercialize our product candidates.</w:t>
      </w:r>
    </w:p>
    <w:p>
      <w:pPr>
        <w:spacing w:after="0" w:line="62"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are highly dependent on members of our senior management, including Joseph Gardner, our President and Founder and former Chief Executive Officer, Kevin G. Peters, our Chief Scientific Officer and Stephen Pakola, our Chief Medical Officer. Additionally, we announced on October 10, 2017 that Stephen Hoffman will be joining the Company to serve as our Chief Executive Officer effective December 1, 2017. The loss of the services of any of these persons could impede the achievement of our research, development and commercialization objectives.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We may be unable to hire, train, retain or motivate these key personnel on acceptable terms given the intense competition among numerous biopharmaceutical companies for similar personnel.</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right="12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contract research organizations, consultants and vendors may engage in misconduct or other improper activities, including noncompliance with regulatory standards and requirements and insider trading.</w:t>
      </w:r>
    </w:p>
    <w:p>
      <w:pPr>
        <w:spacing w:after="0" w:line="3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contract research organizations or CROs, consultants and vendors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federal and state healthcare fraud and abuse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us. As our operations expand, we expect that we will need to manage additional relationships with various strategic collaborators, suppliers and other third parties. Future growth will impose significant added responsibilities on members of management. Our future financial performance and our ability to commercialize AKB-9778, if approved, and any other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company.</w:t>
      </w:r>
    </w:p>
    <w:p>
      <w:pPr>
        <w:spacing w:after="0" w:line="3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a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2" w:name="page53"/>
    <w:bookmarkEnd w:id="52"/>
    <w:p>
      <w:pPr>
        <w:ind w:right="60"/>
        <w:spacing w:after="0" w:line="255" w:lineRule="auto"/>
        <w:rPr>
          <w:sz w:val="20"/>
          <w:szCs w:val="20"/>
          <w:color w:val="auto"/>
        </w:rPr>
      </w:pPr>
      <w:r>
        <w:rPr>
          <w:rFonts w:ascii="Arial" w:cs="Arial" w:eastAsia="Arial" w:hAnsi="Arial"/>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product liability insurance covering our clinical trials in the amount of $10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8"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Jumpstart Our Business Startups Act of 2012, and we cannot be certain if the reduced disclosure requirements applicable to emerging growth companies will make our common stock less attractive to investors.</w:t>
      </w:r>
    </w:p>
    <w:p>
      <w:pPr>
        <w:spacing w:after="0" w:line="1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These exemptions include:</w:t>
      </w:r>
    </w:p>
    <w:p>
      <w:pPr>
        <w:spacing w:after="0" w:line="73" w:lineRule="exact"/>
        <w:rPr>
          <w:sz w:val="20"/>
          <w:szCs w:val="20"/>
          <w:color w:val="auto"/>
        </w:rPr>
      </w:pPr>
    </w:p>
    <w:p>
      <w:pPr>
        <w:ind w:left="1040" w:right="260" w:hanging="519"/>
        <w:spacing w:after="0" w:line="34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taken advantage of these reduced reporting burdens. In particular, we have provided only two years of audited financial statements and have not included all of the executive compensation related information that would be required if we were not an emerging growth company. Investors may find our common stock less attractive if we continue to rely on these exemptions. If some investors find our common stock less attractive as a result, there may be a less active trading market for our common stock and our stock price may be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right="60"/>
        <w:spacing w:after="0" w:line="253" w:lineRule="auto"/>
        <w:rPr>
          <w:sz w:val="20"/>
          <w:szCs w:val="20"/>
          <w:color w:val="auto"/>
        </w:rPr>
      </w:pPr>
      <w:r>
        <w:rPr>
          <w:rFonts w:ascii="Arial" w:cs="Arial" w:eastAsia="Arial" w:hAnsi="Arial"/>
          <w:sz w:val="18"/>
          <w:szCs w:val="18"/>
          <w:color w:val="auto"/>
        </w:rPr>
        <w:t>We could be an emerging growth company for up to five years, although circumstances could cause us to lose that status earlier, including if the market value of our common stock held by non-affiliates exceeds $700 million as of any June 30 before that time or if we have total annual gross revenue of $1 billion (as may be inflation-adjusted by the SEC from time to time) or more during any fiscal year before that time, in which cases we would no longer be an emerging growth company as of the following December 31 or, if we issue more than $1 billion in non-convertible debt during any three-year period before that time, we would cease to be an emerging growth company immediately. Even after we no longer qualify as an emerging growth company, we may still qualify as a “smaller reporting company” if the market value of our common stock held by non-affiliates is below $75 million as of June 30 in any given year, which would allow us to take advantage of many of the same exemptions from disclosure requirements, including exemption from the auditor attestation requirements of Section 404 of the Sarbanes-Oxley Act and reduced disclosure obligations regarding executive compensation in our periodic reports and proxy statements.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Because we are quoted on the OTCQB instead of a national exchange or quotation system, our investors may experience significant volatility in the market price of our stock and have difficulty selling their shares.</w:t>
      </w:r>
    </w:p>
    <w:p>
      <w:pPr>
        <w:spacing w:after="0" w:line="3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common stock is currently quoted on the OTC Market Group’s OTCQB Market quotation system under the ticker symbol “ARPO.” The OTCQB are regulated quotation services that display real-time quotes, last sale prices and volume limitations in over-the-counter securities. Trading in shares quoted on the OTCQB is often thin and characterized by volatility in trading prices. This volatility may be caused by a variety of factors, including the lack of readily available price quotations, the absence of consistent administrative supervision of bid and ask quotations, lower trading volume and market conditions. As a result, there may be wide fluctuations in the market price of the shares of our common stock for reasons unrelated to operating performance, and this volatility, when it occurs, may have a negative effect on the market price for our securities. Moreover, the OTCQB is not a stock exchange, and trading of securities on them is often more sporadic than the trading of securities listed on a national quotation system or stock exchange. Accordingly, our stockholders may not be able to realize a fair price from their shares when they determine to sell them or may have to hold them for a substantial period of time until the market for our common stock improves.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designation of our common stock as a “penny stock” would limit the liquidity of our common stock.</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common stock may be deemed a “penny stock” (as that term is defined under Rule 3a51-1 of the Exchange Act) in any market that may develop in the future. Generally, a “penny stock” is a common stock that is not listed on a securities exchange and trades for less than $5.00 a share. Prices often are not available to buyers and sellers and the market may be very limited. Penny stocks in start-up companies are among the riskiest equity investments. Broker-dealers who sell penny stocks must provide purchasers of these stocks with a standardized risk-disclosure document prepared by the SEC. The document provides information about penny stocks and the nature and level of risks involved in investing in the penny stock market. A broker must also provide purchasers with bid and offer quotations and information regarding broker and salesperson compensation and make a written determination that the penny stock is a suitable investment for the purchaser and obtain the purchaser’s written agreement to the purchase. Many brokers choose not to participate in penny stock transactions. Because of the penny stock rules, there may be less trading activity in penny stocks in any market that develops for our common stock in the future and stockholders are likely to have difficulty selling their shares.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FINRA sales practice requirements may limit a stockholder’s ability to buy and sell our stock.</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Financial Industry Regulatory Authority, or FINRA, has adopted rules requiring that, in recommending an investment to a customer, a broker-dealer must have reasonable grounds for believing that the investment is suitable for that customer. Prior to recommending speculative or low-priced securities to their non-institutional customers, broker-dealers must make reasonable efforts to obtain information about the customer’s financial status, tax status, investment objectives and other information. Under interpretations of these rules, FINRA has indicated its belief that there is a high probability that speculative or low-priced securities will not be suitable for at least some customers. If these FINRA requirements are applicable to us or our securities, they may make it more difficult for broker-dealers to recommend that at least some of their customers buy our common stock, which may limit the ability of our stockholders to buy and sell our common stock and could have an adverse effect on the market for and price of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may be influenced by numerous factors, some of which are beyond our control.</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market for our common stock develops, its market price could fluctuate substantially due to a variety of factors, including market perception of our ability to meet our growth projections and expectations, quarterly operating results of other companies in the same industry, trading volume in our common stock, changes in general conditions in the economy and the financial markets or other developments affecting our business and the business of others in our industry. In addition, the stock market itself is subject to extreme price and volume fluctuations. This volatility has had a significant effect on the market price of securities issued by many companies for reasons related and unrelated to their operating performance and could have the same effect on our common stock. The market price of shares of our common stock could be subject to wide fluctuations in response to many risk factors listed in this section, and others beyond our control, including:</w:t>
      </w:r>
    </w:p>
    <w:p>
      <w:pPr>
        <w:spacing w:after="0" w:line="81"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release of results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safety issues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affecting us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As we operate in a single industry, we are especially vulnerable to these factors to the extent that they affect our industry or our products, or to a lesser extent our markets.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right="3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March 15, 2017, our executive officers, directors and principal stockholders, together with their respective affiliates, owned approximately 65.9% of our common stock, including shares subject to outstanding options that are exercisable within 60 days after such date. Accordingly, these stockholders will be able to exert a significant degree of influence over our management and affairs and over matters requiring stockholder approval, including the election of our board of directors and approval of significant corporate transactions.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Because we became a reporting company under the Exchange Act by means other than a traditional underwritten initial public offering, we may not be able to attract the attention of research analysts at major brokerage firms.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we did not become a reporting company by conducting an underwritten initial public offering of our common stock, and because we will not be listed on a national securities exchange, security analysts of brokerage firms may not provide coverage of our company. In addition, investment banks may be less likely to agree to underwrite secondary offerings on our behalf than they might if we became a public reporting company by means of an underwritten initial public offering, because they may be less familiar with our company as a result of more limited coverage by analysts and the media, and because we became public at an early stage in our development. The failure to receive research coverage or support in the market for our shares will have an adverse effect on our ability to develop a liquid market for our common stock.</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the Merger was a reverse merger, we may not be able to attract the attention of major brokerage firms.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Additional risks may exist as a result of our becoming a public reporting company through a “reverse merger.” Securities analysts of major brokerage firms may not provide coverage of our capital stock or business. Because we became a public reporting operating company through a reverse merger, there is no incentive to brokerage firms to recommend the purchase of our common stock. We cannot assure you that brokerage firms will want to provide analyst coverage of our capital stock or business in the future.</w:t>
      </w:r>
    </w:p>
    <w:p>
      <w:pPr>
        <w:spacing w:after="0" w:line="2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resale of shares covered by a registration statement could adversely affect the market price of our common stock in the public market, should one develop, which result would in turn negatively affect our ability to raise additional equity capital.</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sale, or availability for sale, of our common stock in the public market may adversely affect the prevailing market price of our common stock and may impair our ability to raise additional capital by selling equity or equity-linked securities. We filed and caused to become effective a registration statement with the SEC registering the resale of 27,367,117 shares of our common stock issued in connection with the Merger and the Offering. This registration statement permits the resale of these shares at any time. The resale of a substantial number of shares of our common stock in the public market could adversely affect the market price for our common stock and make it more difficult for you to sell shares of our Common Stock at times and prices that you feel are appropriate. Furthermore, we expect that, because there will be a large number of shares registered pursuant to a registration statement, selling stockholders will continue to offer shares covered by such registration statement for a significant period of time, the precise duration of which cannot be predicted. Accordingly, the adverse market and price pressures resulting from an offering pursuant to a registration statement may continue for an extended period of time and continued negative pressure on the market price of our common stock could have a material adverse effect on our ability to raise additional equity capital.</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stock to fund our operations may dilute your investment and reduce your equity interest.</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may need to raise capital in the future to fund the development of our drug candidates or for other purposes. Any equity financing may have significant dilutive effect to stockholders and a material decrease in our stockholders’ equity interest in us. Equity financing, if obtained, could result in substantial dilution to our existing stockholders. At its sole discretion, our board of directors may issue additional securities without seeking stockholder approval, and we do not know when we will need additional capital or, if we do, whether it will be available to us.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our cash and may not use them effectively.</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intend to use our cash resources for continuing clinical development of AKB-9778 in patients with diabetic retinopathy, including the continuation of our ongoing trials and the preparation for and initiation of the Phase 3 trials and for working capital and other general corporate purposes. Although we currently intend to use our cash resources in such a manner, we will have broad discretion in the application of such cash resources. Our failure to apply these funds effectively could affect our ability to continue to develop and commercialize our product candidates. Pending their use, we may invest our cash resources in a manner that does not produce income or loses value.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56" w:name="page57"/>
    <w:bookmarkEnd w:id="56"/>
    <w:p>
      <w:pPr>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being a public company and our management expects to devote substantial time to public company compliance programs.</w:t>
      </w:r>
    </w:p>
    <w:p>
      <w:pPr>
        <w:spacing w:after="0" w:line="6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As a public company, we will incur significant legal, insurance, accounting and other expenses that we did not incur as a private company. In addition, our administrative staff will be required to perform additional tasks. We intend to invest resources to comply with evolving laws, regulations and standards, and this investment will result in increased general and administrative expenses and may divert management’s time and attention from product development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the Merger, pursuant to which we acquired Aerpio, we are increasing our directors’ and officers’ insurance coverage, which will increase our insurance cost. In the future, it will be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in order to comply with the requirements of being a public company, we may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Securities Exchange Act of 1934 as amended, or the Exchange Act, is accumulated and communicated to our principal executive and financial officers. Any failure to develop or maintain effective controls could adversely affect the results of periodic management evaluations.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ordinary shares could decline. In addition, if we are unable to continue to meet these requirements, we may not be able to obtain listing on a national securities exchange.</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management team and board of directors will need to devote significant efforts to maintaining adequate and effective disclosure controls and procedures and internal control over financial reporting in order to comply with applicable regulations, which may include hiring additional legal, financial reporting and other finance and accounting staff and engaging consultants to assist in designing and implementing such procedures. Additionally, any of our efforts to improve our internal controls and design, implement and maintain an adequate system of disclosure controls may not be successful and will require that we expend significant cash and other resources. In addition, our management will be required to certify financial and other information in our quarterly and annual reports and provide an annual management report on the effectiveness of our internal control over financial reporting commencing with our second annual report. This assessment will need to include the disclosure of any material weaknesses in our internal control over financial reporting identified by our management or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w:t>
      </w:r>
    </w:p>
    <w:p>
      <w:pPr>
        <w:spacing w:after="0" w:line="1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We cannot assure you that there will not be material weaknesses or significant deficiencies in our internal controls in the future.</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independent registered public accounting firm has identified a material weakness in our internal control over financial reporting which will require remediation.</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independent registered public accounting firm issued a letter to our audit committee and management in which they identified certain matters that they consider to constitute material weaknesses in the design and operation of our internal control over financial reporting as of December 31, 2016. A deficiency in internal control over financial reporting exists when the design or operation of a control does not allow management or employees, in the normal course of performing their assigned functions, to prevent or detect misstatements on a timely basis. A significant deficiency is a deficiency, or a combination of deficiencies, in internal control over financial reporting that is less severe than a material weakness, yet important enough to merit attention by those responsible for the oversight of the company’s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right="120"/>
        <w:spacing w:after="0" w:line="259" w:lineRule="auto"/>
        <w:rPr>
          <w:sz w:val="20"/>
          <w:szCs w:val="20"/>
          <w:color w:val="auto"/>
        </w:rPr>
      </w:pPr>
      <w:r>
        <w:rPr>
          <w:rFonts w:ascii="Arial" w:cs="Arial" w:eastAsia="Arial" w:hAnsi="Arial"/>
          <w:sz w:val="18"/>
          <w:szCs w:val="18"/>
          <w:color w:val="auto"/>
        </w:rPr>
        <w:t>The material weaknesses identified by our auditors relate to deficiencies with our disclosure controls and procedures, including review and approval procedures with respect to financial information generated to prepare our consolidated financial statements, coupled with a lack of segregation of duties as a result of our size and overall lack of resources in the accounting department. This resulted in not ensuring appropriate segregation of duties between incompatible functions, and made it more difficult to ensure review of financial reporting issues.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taking steps to remediate this material weakness. If we fail to remediate the material weakness, we may fail to meet our future reporting obligations, our financial statements may contain material misstatements and our operational results may be harmed. Any such failure could also adversely affect the results of the periodic management evaluations and, to the extent we are no longer an emerging growth company, the annual auditor attestation reports regarding the effectiveness of our internal control over financial reporting that will be required under Section 404 of the Sarbanes-Oxley Act of 2002. Internal control deficiencies could also cause investors to lose confidence in our reported financial information.</w:t>
      </w:r>
    </w:p>
    <w:p>
      <w:pPr>
        <w:spacing w:after="0" w:line="281"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50" w:lineRule="exact"/>
        <w:rPr>
          <w:sz w:val="20"/>
          <w:szCs w:val="20"/>
          <w:color w:val="auto"/>
        </w:rPr>
      </w:pPr>
    </w:p>
    <w:p>
      <w:pPr>
        <w:ind w:left="1040" w:right="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directors then in office;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the consummation of a liquidation event unless approved by a supermajority (66 2/3% and majority of the minority, if applicable) vote of the holders of our voting stock;</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 the consummation of an affiliate transaction with a majority stockholder that holds more than 50% of the voting power of our capital stock unless approved by a supermajority (66 2/3%) vote of directors then in office;</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the number of directors on our board of directors may only be changed with a supermajority (66 2/3%) of directors then in office, even though less than a quorum;</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our directors may be removed only for cause and by a supermajority (66 2/3%) vote of the holders of our voting stock;</w:t>
      </w:r>
    </w:p>
    <w:p>
      <w:pPr>
        <w:spacing w:after="0" w:line="128" w:lineRule="exact"/>
        <w:rPr>
          <w:rFonts w:ascii="Arial" w:cs="Arial" w:eastAsia="Arial" w:hAnsi="Arial"/>
          <w:sz w:val="17"/>
          <w:szCs w:val="17"/>
          <w:color w:val="auto"/>
        </w:rPr>
      </w:pPr>
    </w:p>
    <w:p>
      <w:pPr>
        <w:ind w:left="1040" w:right="2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supermajority (66 2/3%) of directors then in office, even though less than a quorum;</w:t>
      </w:r>
    </w:p>
    <w:p>
      <w:pPr>
        <w:spacing w:after="0" w:line="62" w:lineRule="exact"/>
        <w:rPr>
          <w:rFonts w:ascii="Arial" w:cs="Arial" w:eastAsia="Arial" w:hAnsi="Arial"/>
          <w:sz w:val="18"/>
          <w:szCs w:val="18"/>
          <w:color w:val="auto"/>
        </w:rPr>
      </w:pPr>
    </w:p>
    <w:p>
      <w:pPr>
        <w:ind w:left="1040" w:right="240" w:hanging="519"/>
        <w:spacing w:after="0" w:line="308"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require a supermajority (66 2/3% and majority of the minority, if applicable) vote of the holders of our voting stock or the supermajority (66 2/3%) vote of the members of our board of directors then in office to amend our amended and restated by-laws; and</w:t>
      </w:r>
    </w:p>
    <w:p>
      <w:pPr>
        <w:spacing w:after="0" w:line="38" w:lineRule="exact"/>
        <w:rPr>
          <w:rFonts w:ascii="Arial" w:cs="Arial" w:eastAsia="Arial" w:hAnsi="Arial"/>
          <w:sz w:val="17"/>
          <w:szCs w:val="17"/>
          <w:color w:val="auto"/>
        </w:rPr>
      </w:pPr>
    </w:p>
    <w:p>
      <w:pPr>
        <w:jc w:val="both"/>
        <w:ind w:left="1040" w:right="280" w:hanging="519"/>
        <w:spacing w:after="0" w:line="264"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a supermajority (66 2/3% and majority of the minority, if applicable) vote of the holders of our voting stock and a supermajority (66 2/3%) vote of the holders of each class of our voting stock entitled to vote thereon to amend certain provisions of our amended and restated certificate of incorporation.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8" w:name="page59"/>
    <w:bookmarkEnd w:id="58"/>
    <w:p>
      <w:pPr>
        <w:ind w:right="60"/>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general, under Section 382 of the Internal Revenue Code of 1986, as amended, or the Code, a corporation that undergoes an “ownership change” is subject to limitations on its ability to utilize its pre-change net operating losses, or NOLs, to offset future taxable income. Our existing NOLs may be subject to substantial limitations arising from previous ownership changes, and if we undergo an ownership change in connection with our private placement offering, our ability to utilize NOLs could be further limited by Section 382 of the Code. In addition, future changes in our stock ownership, many of which are outside of our control, could result in an ownership change under Section 382 of the Code. Our NOLs may also be impaired under state law. Accordingly, we may not be able to utilize a material portion of our NOLs. Furthermore, our ability to utilize our NOLs is conditioned upon our attaining profitability and generating U.S. federal taxable income. As described above under “—Risks related to our financial position and need for additional capital,” we have incurred significant net losses since our inception and anticipate that we will continue to incur significant losses for the foreseeable future; thus, we do not know whether or when we will generate the U.S. federal taxable income necessary to utilize our NOLs. A full valuation allowance has been provided for the entire amount of our NOLs.</w:t>
      </w:r>
    </w:p>
    <w:p>
      <w:pPr>
        <w:spacing w:after="0" w:line="30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operations. In addition, any future debt financing arrangement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Exhibit</w:t>
            </w:r>
          </w:p>
        </w:tc>
        <w:tc>
          <w:tcPr>
            <w:tcW w:w="9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90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1160" w:type="dxa"/>
            <w:vAlign w:val="bottom"/>
          </w:tcPr>
          <w:p>
            <w:pPr>
              <w:jc w:val="center"/>
              <w:ind w:right="13"/>
              <w:spacing w:after="0" w:line="157" w:lineRule="exact"/>
              <w:rPr>
                <w:sz w:val="20"/>
                <w:szCs w:val="20"/>
                <w:color w:val="auto"/>
              </w:rPr>
            </w:pPr>
            <w:r>
              <w:rPr>
                <w:rFonts w:ascii="Arial" w:cs="Arial" w:eastAsia="Arial" w:hAnsi="Arial"/>
                <w:sz w:val="14"/>
                <w:szCs w:val="14"/>
                <w:b w:val="1"/>
                <w:bCs w:val="1"/>
                <w:color w:val="auto"/>
                <w:w w:val="94"/>
              </w:rPr>
              <w:t>Number</w:t>
            </w:r>
          </w:p>
        </w:tc>
        <w:tc>
          <w:tcPr>
            <w:tcW w:w="90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9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tcPr>
          <w:p>
            <w:pPr>
              <w:jc w:val="center"/>
              <w:ind w:right="473"/>
              <w:spacing w:after="0" w:line="190" w:lineRule="exact"/>
              <w:rPr>
                <w:sz w:val="20"/>
                <w:szCs w:val="20"/>
                <w:color w:val="auto"/>
              </w:rPr>
            </w:pPr>
            <w:r>
              <w:rPr>
                <w:rFonts w:ascii="Arial" w:cs="Arial" w:eastAsia="Arial" w:hAnsi="Arial"/>
                <w:sz w:val="18"/>
                <w:szCs w:val="18"/>
                <w:color w:val="auto"/>
                <w:w w:val="95"/>
              </w:rPr>
              <w:t>31.1*</w:t>
            </w:r>
          </w:p>
        </w:tc>
        <w:tc>
          <w:tcPr>
            <w:tcW w:w="9620" w:type="dxa"/>
            <w:vAlign w:val="bottom"/>
            <w:tcBorders>
              <w:bottom w:val="single" w:sz="8" w:color="0000EE"/>
            </w:tcBorders>
            <w:gridSpan w:val="4"/>
          </w:tcPr>
          <w:p>
            <w:pPr>
              <w:spacing w:after="0" w:line="190"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6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Adopted Pursuant to Section 302 of the Sarbanes-Oxley Act of 2002.</w:t>
              </w:r>
            </w:hyperlink>
          </w:p>
        </w:tc>
        <w:tc>
          <w:tcPr>
            <w:tcW w:w="5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right="473"/>
              <w:spacing w:after="0"/>
              <w:rPr>
                <w:sz w:val="20"/>
                <w:szCs w:val="20"/>
                <w:color w:val="auto"/>
              </w:rPr>
            </w:pPr>
            <w:r>
              <w:rPr>
                <w:rFonts w:ascii="Arial" w:cs="Arial" w:eastAsia="Arial" w:hAnsi="Arial"/>
                <w:sz w:val="18"/>
                <w:szCs w:val="18"/>
                <w:color w:val="auto"/>
                <w:w w:val="95"/>
              </w:rPr>
              <w:t>31.2*</w:t>
            </w:r>
          </w:p>
        </w:tc>
        <w:tc>
          <w:tcPr>
            <w:tcW w:w="10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3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Pursuant to Section 302 of the Sarbanes-Oxley Act of 2002.</w:t>
              </w:r>
            </w:hyperlink>
          </w:p>
        </w:tc>
        <w:tc>
          <w:tcPr>
            <w:tcW w:w="59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tcPr>
          <w:p>
            <w:pPr>
              <w:jc w:val="center"/>
              <w:ind w:right="373"/>
              <w:spacing w:after="0"/>
              <w:rPr>
                <w:sz w:val="20"/>
                <w:szCs w:val="20"/>
                <w:color w:val="auto"/>
              </w:rPr>
            </w:pPr>
            <w:r>
              <w:rPr>
                <w:rFonts w:ascii="Arial" w:cs="Arial" w:eastAsia="Arial" w:hAnsi="Arial"/>
                <w:sz w:val="18"/>
                <w:szCs w:val="18"/>
                <w:color w:val="auto"/>
              </w:rPr>
              <w:t>32.1**</w:t>
            </w:r>
          </w:p>
        </w:tc>
        <w:tc>
          <w:tcPr>
            <w:tcW w:w="10220" w:type="dxa"/>
            <w:vAlign w:val="bottom"/>
            <w:gridSpan w:val="7"/>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0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1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tcPr>
          <w:p>
            <w:pPr>
              <w:jc w:val="center"/>
              <w:ind w:right="373"/>
              <w:spacing w:after="0"/>
              <w:rPr>
                <w:sz w:val="20"/>
                <w:szCs w:val="20"/>
                <w:color w:val="auto"/>
              </w:rPr>
            </w:pPr>
            <w:r>
              <w:rPr>
                <w:rFonts w:ascii="Arial" w:cs="Arial" w:eastAsia="Arial" w:hAnsi="Arial"/>
                <w:sz w:val="18"/>
                <w:szCs w:val="18"/>
                <w:color w:val="auto"/>
              </w:rPr>
              <w:t>32.2**</w:t>
            </w:r>
          </w:p>
        </w:tc>
        <w:tc>
          <w:tcPr>
            <w:tcW w:w="100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Certification of Principal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0220" w:type="dxa"/>
            <w:vAlign w:val="bottom"/>
            <w:gridSpan w:val="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160" w:type="dxa"/>
            <w:vAlign w:val="bottom"/>
          </w:tcPr>
          <w:p>
            <w:pPr>
              <w:jc w:val="center"/>
              <w:ind w:right="453"/>
              <w:spacing w:after="0"/>
              <w:rPr>
                <w:sz w:val="20"/>
                <w:szCs w:val="20"/>
                <w:color w:val="auto"/>
              </w:rPr>
            </w:pPr>
            <w:r>
              <w:rPr>
                <w:rFonts w:ascii="Arial" w:cs="Arial" w:eastAsia="Arial" w:hAnsi="Arial"/>
                <w:sz w:val="18"/>
                <w:szCs w:val="18"/>
                <w:color w:val="auto"/>
                <w:w w:val="95"/>
              </w:rPr>
              <w:t>101.INS</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393"/>
              <w:spacing w:after="0"/>
              <w:rPr>
                <w:sz w:val="20"/>
                <w:szCs w:val="20"/>
                <w:color w:val="auto"/>
              </w:rPr>
            </w:pPr>
            <w:r>
              <w:rPr>
                <w:rFonts w:ascii="Arial" w:cs="Arial" w:eastAsia="Arial" w:hAnsi="Arial"/>
                <w:sz w:val="18"/>
                <w:szCs w:val="18"/>
                <w:color w:val="auto"/>
                <w:w w:val="93"/>
              </w:rPr>
              <w:t>101.SCH</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393"/>
              <w:spacing w:after="0"/>
              <w:rPr>
                <w:sz w:val="20"/>
                <w:szCs w:val="20"/>
                <w:color w:val="auto"/>
              </w:rPr>
            </w:pPr>
            <w:r>
              <w:rPr>
                <w:rFonts w:ascii="Arial" w:cs="Arial" w:eastAsia="Arial" w:hAnsi="Arial"/>
                <w:sz w:val="18"/>
                <w:szCs w:val="18"/>
                <w:color w:val="auto"/>
                <w:w w:val="97"/>
              </w:rPr>
              <w:t>101.CAL</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413"/>
              <w:spacing w:after="0"/>
              <w:rPr>
                <w:sz w:val="20"/>
                <w:szCs w:val="20"/>
                <w:color w:val="auto"/>
              </w:rPr>
            </w:pPr>
            <w:r>
              <w:rPr>
                <w:rFonts w:ascii="Arial" w:cs="Arial" w:eastAsia="Arial" w:hAnsi="Arial"/>
                <w:sz w:val="18"/>
                <w:szCs w:val="18"/>
                <w:color w:val="auto"/>
                <w:w w:val="92"/>
              </w:rPr>
              <w:t>101.DEF</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393"/>
              <w:spacing w:after="0"/>
              <w:rPr>
                <w:sz w:val="20"/>
                <w:szCs w:val="20"/>
                <w:color w:val="auto"/>
              </w:rPr>
            </w:pPr>
            <w:r>
              <w:rPr>
                <w:rFonts w:ascii="Arial" w:cs="Arial" w:eastAsia="Arial" w:hAnsi="Arial"/>
                <w:sz w:val="18"/>
                <w:szCs w:val="18"/>
                <w:color w:val="auto"/>
                <w:w w:val="98"/>
              </w:rPr>
              <w:t>101.LAB</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tcPr>
          <w:p>
            <w:pPr>
              <w:jc w:val="center"/>
              <w:ind w:right="413"/>
              <w:spacing w:after="0"/>
              <w:rPr>
                <w:sz w:val="20"/>
                <w:szCs w:val="20"/>
                <w:color w:val="auto"/>
              </w:rPr>
            </w:pPr>
            <w:r>
              <w:rPr>
                <w:rFonts w:ascii="Arial" w:cs="Arial" w:eastAsia="Arial" w:hAnsi="Arial"/>
                <w:sz w:val="18"/>
                <w:szCs w:val="18"/>
                <w:color w:val="auto"/>
                <w:w w:val="91"/>
              </w:rPr>
              <w:t>101.PRE</w:t>
            </w:r>
          </w:p>
        </w:tc>
        <w:tc>
          <w:tcPr>
            <w:tcW w:w="102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9690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76"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20" w:right="300" w:hanging="512"/>
        <w:spacing w:after="0" w:line="264"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6" w:lineRule="exact"/>
        <w:rPr>
          <w:sz w:val="20"/>
          <w:szCs w:val="20"/>
          <w:color w:val="auto"/>
        </w:rPr>
      </w:pPr>
    </w:p>
    <w:p>
      <w:pPr>
        <w:ind w:left="5620" w:right="4740" w:hanging="5612"/>
        <w:spacing w:after="0" w:line="906" w:lineRule="auto"/>
        <w:tabs>
          <w:tab w:leader="none" w:pos="51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3820" w:type="dxa"/>
            <w:vAlign w:val="bottom"/>
            <w:gridSpan w:val="2"/>
          </w:tcPr>
          <w:p>
            <w:pPr>
              <w:ind w:left="2460"/>
              <w:spacing w:after="0"/>
              <w:rPr>
                <w:sz w:val="20"/>
                <w:szCs w:val="20"/>
                <w:color w:val="auto"/>
              </w:rPr>
            </w:pPr>
            <w:r>
              <w:rPr>
                <w:rFonts w:ascii="Arial" w:cs="Arial" w:eastAsia="Arial" w:hAnsi="Arial"/>
                <w:sz w:val="18"/>
                <w:szCs w:val="18"/>
                <w:color w:val="auto"/>
              </w:rPr>
              <w:t>Company Name</w:t>
            </w:r>
          </w:p>
        </w:tc>
        <w:tc>
          <w:tcPr>
            <w:tcW w:w="3240" w:type="dxa"/>
            <w:vAlign w:val="bottom"/>
          </w:tcPr>
          <w:p>
            <w:pPr>
              <w:spacing w:after="0"/>
              <w:rPr>
                <w:sz w:val="20"/>
                <w:szCs w:val="20"/>
                <w:color w:val="auto"/>
              </w:rPr>
            </w:pP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rPr>
              <w:t>Date: November 13, 2017</w:t>
            </w:r>
          </w:p>
        </w:tc>
        <w:tc>
          <w:tcPr>
            <w:tcW w:w="3820" w:type="dxa"/>
            <w:vAlign w:val="bottom"/>
            <w:gridSpan w:val="2"/>
          </w:tcPr>
          <w:p>
            <w:pPr>
              <w:ind w:left="2460"/>
              <w:spacing w:after="0"/>
              <w:rPr>
                <w:sz w:val="20"/>
                <w:szCs w:val="20"/>
                <w:color w:val="auto"/>
              </w:rPr>
            </w:pPr>
            <w:r>
              <w:rPr>
                <w:rFonts w:ascii="Arial" w:cs="Arial" w:eastAsia="Arial" w:hAnsi="Arial"/>
                <w:sz w:val="18"/>
                <w:szCs w:val="18"/>
                <w:color w:val="auto"/>
              </w:rPr>
              <w:t>By:</w:t>
            </w:r>
          </w:p>
        </w:tc>
        <w:tc>
          <w:tcPr>
            <w:tcW w:w="3240" w:type="dxa"/>
            <w:vAlign w:val="bottom"/>
          </w:tcPr>
          <w:p>
            <w:pPr>
              <w:jc w:val="center"/>
              <w:ind w:right="990"/>
              <w:spacing w:after="0"/>
              <w:rPr>
                <w:sz w:val="20"/>
                <w:szCs w:val="20"/>
                <w:color w:val="auto"/>
              </w:rPr>
            </w:pPr>
            <w:r>
              <w:rPr>
                <w:rFonts w:ascii="Arial" w:cs="Arial" w:eastAsia="Arial" w:hAnsi="Arial"/>
                <w:sz w:val="18"/>
                <w:szCs w:val="18"/>
                <w:color w:val="auto"/>
                <w:w w:val="88"/>
              </w:rPr>
              <w:t>/s/ Joseph H. Gardner</w:t>
            </w:r>
          </w:p>
        </w:tc>
      </w:tr>
      <w:tr>
        <w:trPr>
          <w:trHeight w:val="218"/>
        </w:trPr>
        <w:tc>
          <w:tcPr>
            <w:tcW w:w="4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990"/>
              <w:spacing w:after="0"/>
              <w:rPr>
                <w:sz w:val="20"/>
                <w:szCs w:val="20"/>
                <w:color w:val="auto"/>
              </w:rPr>
            </w:pPr>
            <w:r>
              <w:rPr>
                <w:rFonts w:ascii="Arial" w:cs="Arial" w:eastAsia="Arial" w:hAnsi="Arial"/>
                <w:sz w:val="18"/>
                <w:szCs w:val="18"/>
                <w:b w:val="1"/>
                <w:bCs w:val="1"/>
                <w:color w:val="auto"/>
                <w:w w:val="91"/>
              </w:rPr>
              <w:t>Joseph H. Gardner</w:t>
            </w:r>
          </w:p>
        </w:tc>
      </w:tr>
      <w:tr>
        <w:trPr>
          <w:trHeight w:val="234"/>
        </w:trPr>
        <w:tc>
          <w:tcPr>
            <w:tcW w:w="4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0"/>
              </w:rPr>
              <w:t>President and Founder</w:t>
            </w:r>
          </w:p>
        </w:tc>
      </w:tr>
      <w:tr>
        <w:trPr>
          <w:trHeight w:val="459"/>
        </w:trPr>
        <w:tc>
          <w:tcPr>
            <w:tcW w:w="4360" w:type="dxa"/>
            <w:vAlign w:val="bottom"/>
          </w:tcPr>
          <w:p>
            <w:pPr>
              <w:spacing w:after="0"/>
              <w:rPr>
                <w:sz w:val="20"/>
                <w:szCs w:val="20"/>
                <w:color w:val="auto"/>
              </w:rPr>
            </w:pPr>
            <w:r>
              <w:rPr>
                <w:rFonts w:ascii="Arial" w:cs="Arial" w:eastAsia="Arial" w:hAnsi="Arial"/>
                <w:sz w:val="18"/>
                <w:szCs w:val="18"/>
                <w:color w:val="auto"/>
              </w:rPr>
              <w:t>Date: November 13, 2017</w:t>
            </w:r>
          </w:p>
        </w:tc>
        <w:tc>
          <w:tcPr>
            <w:tcW w:w="3820" w:type="dxa"/>
            <w:vAlign w:val="bottom"/>
            <w:gridSpan w:val="2"/>
          </w:tcPr>
          <w:p>
            <w:pPr>
              <w:ind w:left="2460"/>
              <w:spacing w:after="0"/>
              <w:rPr>
                <w:sz w:val="20"/>
                <w:szCs w:val="20"/>
                <w:color w:val="auto"/>
              </w:rPr>
            </w:pPr>
            <w:r>
              <w:rPr>
                <w:rFonts w:ascii="Arial" w:cs="Arial" w:eastAsia="Arial" w:hAnsi="Arial"/>
                <w:sz w:val="18"/>
                <w:szCs w:val="18"/>
                <w:color w:val="auto"/>
              </w:rPr>
              <w:t>By:</w:t>
            </w:r>
          </w:p>
        </w:tc>
        <w:tc>
          <w:tcPr>
            <w:tcW w:w="3240" w:type="dxa"/>
            <w:vAlign w:val="bottom"/>
          </w:tcPr>
          <w:p>
            <w:pPr>
              <w:jc w:val="center"/>
              <w:ind w:right="1010"/>
              <w:spacing w:after="0"/>
              <w:rPr>
                <w:sz w:val="20"/>
                <w:szCs w:val="20"/>
                <w:color w:val="auto"/>
              </w:rPr>
            </w:pPr>
            <w:r>
              <w:rPr>
                <w:rFonts w:ascii="Arial" w:cs="Arial" w:eastAsia="Arial" w:hAnsi="Arial"/>
                <w:sz w:val="18"/>
                <w:szCs w:val="18"/>
                <w:color w:val="auto"/>
                <w:w w:val="91"/>
              </w:rPr>
              <w:t>/s/ James B. Murphy</w:t>
            </w:r>
          </w:p>
        </w:tc>
      </w:tr>
      <w:tr>
        <w:trPr>
          <w:trHeight w:val="218"/>
        </w:trPr>
        <w:tc>
          <w:tcPr>
            <w:tcW w:w="4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tcPr>
          <w:p>
            <w:pPr>
              <w:jc w:val="center"/>
              <w:ind w:right="1010"/>
              <w:spacing w:after="0"/>
              <w:rPr>
                <w:sz w:val="20"/>
                <w:szCs w:val="20"/>
                <w:color w:val="auto"/>
              </w:rPr>
            </w:pPr>
            <w:r>
              <w:rPr>
                <w:rFonts w:ascii="Arial" w:cs="Arial" w:eastAsia="Arial" w:hAnsi="Arial"/>
                <w:sz w:val="18"/>
                <w:szCs w:val="18"/>
                <w:b w:val="1"/>
                <w:bCs w:val="1"/>
                <w:color w:val="auto"/>
                <w:w w:val="92"/>
              </w:rPr>
              <w:t>James B. Murphy</w:t>
            </w:r>
          </w:p>
        </w:tc>
      </w:tr>
      <w:tr>
        <w:trPr>
          <w:trHeight w:val="234"/>
        </w:trPr>
        <w:tc>
          <w:tcPr>
            <w:tcW w:w="4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40" w:type="dxa"/>
            <w:vAlign w:val="bottom"/>
          </w:tcPr>
          <w:p>
            <w:pPr>
              <w:jc w:val="center"/>
              <w:ind w:right="1010"/>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Joseph H. Gardner,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500" w:val="left"/>
        </w:tabs>
        <w:rPr>
          <w:sz w:val="20"/>
          <w:szCs w:val="20"/>
          <w:color w:val="auto"/>
        </w:rPr>
      </w:pPr>
      <w:r>
        <w:rPr>
          <w:rFonts w:ascii="Arial" w:cs="Arial" w:eastAsia="Arial" w:hAnsi="Arial"/>
          <w:sz w:val="18"/>
          <w:szCs w:val="18"/>
          <w:color w:val="auto"/>
        </w:rPr>
        <w:t>Date: November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Joseph H. Gardner</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Founder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B. Murphy, certify that:</w:t>
      </w:r>
    </w:p>
    <w:p>
      <w:pPr>
        <w:spacing w:after="0" w:line="225"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Aerpio Pharmaceuticals,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17"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6840" w:val="left"/>
          <w:tab w:leader="none" w:pos="8540" w:val="left"/>
        </w:tabs>
        <w:rPr>
          <w:sz w:val="20"/>
          <w:szCs w:val="20"/>
          <w:color w:val="auto"/>
        </w:rPr>
      </w:pPr>
      <w:r>
        <w:rPr>
          <w:rFonts w:ascii="Arial" w:cs="Arial" w:eastAsia="Arial" w:hAnsi="Arial"/>
          <w:sz w:val="18"/>
          <w:szCs w:val="18"/>
          <w:color w:val="auto"/>
        </w:rPr>
        <w:t>Date: November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James B. Murphy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September 30, 2017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500" w:val="left"/>
        </w:tabs>
        <w:rPr>
          <w:sz w:val="20"/>
          <w:szCs w:val="20"/>
          <w:color w:val="auto"/>
        </w:rPr>
      </w:pPr>
      <w:r>
        <w:rPr>
          <w:rFonts w:ascii="Arial" w:cs="Arial" w:eastAsia="Arial" w:hAnsi="Arial"/>
          <w:sz w:val="18"/>
          <w:szCs w:val="18"/>
          <w:color w:val="auto"/>
        </w:rPr>
        <w:t>Date: November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H. Gardner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Joseph H. Gardner</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President and Founder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In connection with the Quarterly Report of Aerpio Pharmaceuticals, Inc., (the “Company”) on Form 10-Q for the period ending September 30, 2017 as filed with the Securities and Exchange Commission on the date hereof (the “Report”), I certify, pursuant to 18 U.S.C. § 1350, as adopted pursuant to § 906 of the Sarbanes-Oxley Act of 2002, that to my knowledge:</w:t>
      </w:r>
    </w:p>
    <w:p>
      <w:pPr>
        <w:spacing w:after="0" w:line="73"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2" w:lineRule="exact"/>
        <w:rPr>
          <w:sz w:val="20"/>
          <w:szCs w:val="20"/>
          <w:color w:val="auto"/>
        </w:rPr>
      </w:pPr>
    </w:p>
    <w:p>
      <w:pPr>
        <w:spacing w:after="0"/>
        <w:tabs>
          <w:tab w:leader="none" w:pos="6840" w:val="left"/>
          <w:tab w:leader="none" w:pos="8540" w:val="left"/>
        </w:tabs>
        <w:rPr>
          <w:sz w:val="20"/>
          <w:szCs w:val="20"/>
          <w:color w:val="auto"/>
        </w:rPr>
      </w:pPr>
      <w:r>
        <w:rPr>
          <w:rFonts w:ascii="Arial" w:cs="Arial" w:eastAsia="Arial" w:hAnsi="Arial"/>
          <w:sz w:val="18"/>
          <w:szCs w:val="18"/>
          <w:color w:val="auto"/>
        </w:rPr>
        <w:t>Date: November 13,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James B.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675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2"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James B. Murphy</w:t>
      </w:r>
    </w:p>
    <w:p>
      <w:pPr>
        <w:spacing w:after="0" w:line="27"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Financial Officer and</w:t>
      </w:r>
    </w:p>
    <w:p>
      <w:pPr>
        <w:spacing w:after="0" w:line="23" w:lineRule="exact"/>
        <w:rPr>
          <w:sz w:val="20"/>
          <w:szCs w:val="20"/>
          <w:color w:val="auto"/>
        </w:rPr>
      </w:pPr>
    </w:p>
    <w:p>
      <w:pPr>
        <w:jc w:val="center"/>
        <w:ind w:left="720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decimal"/>
      <w:start w:val="2"/>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6"/>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2019-12-29T03:27:05Z</dcterms:created>
  <dcterms:modified xsi:type="dcterms:W3CDTF">2019-12-29T03:27:05Z</dcterms:modified>
</cp:coreProperties>
</file>