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47625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80645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4260" w:right="3640" w:hanging="4252"/>
        <w:spacing w:after="0" w:line="330" w:lineRule="auto"/>
        <w:tabs>
          <w:tab w:leader="none" w:pos="58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2019</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3" w:lineRule="exact"/>
        <w:rPr>
          <w:rFonts w:ascii="MS PGothic" w:cs="MS PGothic" w:eastAsia="MS PGothic" w:hAnsi="MS PGothic"/>
          <w:sz w:val="14"/>
          <w:szCs w:val="14"/>
          <w:color w:val="auto"/>
        </w:rPr>
      </w:pPr>
    </w:p>
    <w:p>
      <w:pPr>
        <w:ind w:left="5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FROMTO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66675</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Aerpio Pharmaceuticals, Inc.</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74930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0"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940" w:type="dxa"/>
            <w:vAlign w:val="bottom"/>
          </w:tcPr>
          <w:p>
            <w:pPr>
              <w:jc w:val="center"/>
              <w:ind w:left="1608"/>
              <w:spacing w:after="0"/>
              <w:rPr>
                <w:sz w:val="20"/>
                <w:szCs w:val="20"/>
                <w:color w:val="auto"/>
              </w:rPr>
            </w:pPr>
            <w:r>
              <w:rPr>
                <w:rFonts w:ascii="Arial" w:cs="Arial" w:eastAsia="Arial" w:hAnsi="Arial"/>
                <w:sz w:val="14"/>
                <w:szCs w:val="14"/>
                <w:b w:val="1"/>
                <w:bCs w:val="1"/>
                <w:color w:val="auto"/>
                <w:w w:val="94"/>
              </w:rPr>
              <w:t>Delaware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00" w:type="dxa"/>
            <w:vAlign w:val="bottom"/>
          </w:tcPr>
          <w:p>
            <w:pPr>
              <w:jc w:val="center"/>
              <w:ind w:right="2048"/>
              <w:spacing w:after="0"/>
              <w:rPr>
                <w:sz w:val="20"/>
                <w:szCs w:val="20"/>
                <w:color w:val="auto"/>
              </w:rPr>
            </w:pPr>
            <w:r>
              <w:rPr>
                <w:rFonts w:ascii="Arial" w:cs="Arial" w:eastAsia="Arial" w:hAnsi="Arial"/>
                <w:sz w:val="14"/>
                <w:szCs w:val="14"/>
                <w:b w:val="1"/>
                <w:bCs w:val="1"/>
                <w:color w:val="auto"/>
                <w:w w:val="96"/>
              </w:rPr>
              <w:t>EIN 61-1547850</w:t>
            </w:r>
          </w:p>
        </w:tc>
      </w:tr>
      <w:tr>
        <w:trPr>
          <w:trHeight w:val="192"/>
        </w:trPr>
        <w:tc>
          <w:tcPr>
            <w:tcW w:w="3940" w:type="dxa"/>
            <w:vAlign w:val="bottom"/>
          </w:tcPr>
          <w:p>
            <w:pPr>
              <w:jc w:val="center"/>
              <w:ind w:left="1628"/>
              <w:spacing w:after="0"/>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00" w:type="dxa"/>
            <w:vAlign w:val="bottom"/>
          </w:tcPr>
          <w:p>
            <w:pPr>
              <w:jc w:val="center"/>
              <w:ind w:right="2028"/>
              <w:spacing w:after="0"/>
              <w:rPr>
                <w:sz w:val="20"/>
                <w:szCs w:val="20"/>
                <w:color w:val="auto"/>
              </w:rPr>
            </w:pPr>
            <w:r>
              <w:rPr>
                <w:rFonts w:ascii="Arial" w:cs="Arial" w:eastAsia="Arial" w:hAnsi="Arial"/>
                <w:sz w:val="14"/>
                <w:szCs w:val="14"/>
                <w:b w:val="1"/>
                <w:bCs w:val="1"/>
                <w:color w:val="auto"/>
                <w:w w:val="96"/>
              </w:rPr>
              <w:t>(I.R.S. Employer</w:t>
            </w:r>
          </w:p>
        </w:tc>
      </w:tr>
      <w:tr>
        <w:trPr>
          <w:trHeight w:val="148"/>
        </w:trPr>
        <w:tc>
          <w:tcPr>
            <w:tcW w:w="3940" w:type="dxa"/>
            <w:vAlign w:val="bottom"/>
          </w:tcPr>
          <w:p>
            <w:pPr>
              <w:jc w:val="center"/>
              <w:ind w:left="1628"/>
              <w:spacing w:after="0" w:line="149" w:lineRule="exact"/>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00" w:type="dxa"/>
            <w:vAlign w:val="bottom"/>
          </w:tcPr>
          <w:p>
            <w:pPr>
              <w:jc w:val="center"/>
              <w:ind w:right="2048"/>
              <w:spacing w:after="0" w:line="149" w:lineRule="exact"/>
              <w:rPr>
                <w:sz w:val="20"/>
                <w:szCs w:val="20"/>
                <w:color w:val="auto"/>
              </w:rPr>
            </w:pPr>
            <w:r>
              <w:rPr>
                <w:rFonts w:ascii="Arial" w:cs="Arial" w:eastAsia="Arial" w:hAnsi="Arial"/>
                <w:sz w:val="14"/>
                <w:szCs w:val="14"/>
                <w:b w:val="1"/>
                <w:bCs w:val="1"/>
                <w:color w:val="auto"/>
                <w:w w:val="96"/>
              </w:rPr>
              <w:t>Identification No.)</w:t>
            </w:r>
          </w:p>
        </w:tc>
      </w:tr>
      <w:tr>
        <w:trPr>
          <w:trHeight w:val="149"/>
        </w:trPr>
        <w:tc>
          <w:tcPr>
            <w:tcW w:w="3940" w:type="dxa"/>
            <w:vAlign w:val="bottom"/>
          </w:tcPr>
          <w:p>
            <w:pPr>
              <w:jc w:val="center"/>
              <w:ind w:left="1608"/>
              <w:spacing w:after="0" w:line="149" w:lineRule="exact"/>
              <w:rPr>
                <w:sz w:val="20"/>
                <w:szCs w:val="20"/>
                <w:color w:val="auto"/>
              </w:rPr>
            </w:pPr>
            <w:r>
              <w:rPr>
                <w:rFonts w:ascii="Arial" w:cs="Arial" w:eastAsia="Arial" w:hAnsi="Arial"/>
                <w:sz w:val="14"/>
                <w:szCs w:val="14"/>
                <w:b w:val="1"/>
                <w:bCs w:val="1"/>
                <w:color w:val="auto"/>
                <w:w w:val="97"/>
              </w:rPr>
              <w:t>9987 Carver Road, Cincinnati, OH</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00" w:type="dxa"/>
            <w:vAlign w:val="bottom"/>
          </w:tcPr>
          <w:p>
            <w:pPr>
              <w:jc w:val="center"/>
              <w:ind w:right="2028"/>
              <w:spacing w:after="0" w:line="149" w:lineRule="exact"/>
              <w:rPr>
                <w:sz w:val="20"/>
                <w:szCs w:val="20"/>
                <w:color w:val="auto"/>
              </w:rPr>
            </w:pPr>
            <w:r>
              <w:rPr>
                <w:rFonts w:ascii="Arial" w:cs="Arial" w:eastAsia="Arial" w:hAnsi="Arial"/>
                <w:sz w:val="14"/>
                <w:szCs w:val="14"/>
                <w:b w:val="1"/>
                <w:bCs w:val="1"/>
                <w:color w:val="auto"/>
                <w:w w:val="92"/>
              </w:rPr>
              <w:t>45242</w:t>
            </w:r>
          </w:p>
        </w:tc>
      </w:tr>
      <w:tr>
        <w:trPr>
          <w:trHeight w:val="186"/>
        </w:trPr>
        <w:tc>
          <w:tcPr>
            <w:tcW w:w="7740" w:type="dxa"/>
            <w:vAlign w:val="bottom"/>
            <w:gridSpan w:val="5"/>
          </w:tcPr>
          <w:p>
            <w:pPr>
              <w:jc w:val="center"/>
              <w:ind w:right="2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2048"/>
              <w:spacing w:after="0"/>
              <w:rPr>
                <w:sz w:val="20"/>
                <w:szCs w:val="20"/>
                <w:color w:val="auto"/>
              </w:rPr>
            </w:pPr>
            <w:r>
              <w:rPr>
                <w:rFonts w:ascii="Arial" w:cs="Arial" w:eastAsia="Arial" w:hAnsi="Arial"/>
                <w:sz w:val="14"/>
                <w:szCs w:val="14"/>
                <w:b w:val="1"/>
                <w:bCs w:val="1"/>
                <w:color w:val="auto"/>
                <w:w w:val="95"/>
              </w:rPr>
              <w:t>(Zip Code)</w:t>
            </w:r>
          </w:p>
        </w:tc>
      </w:tr>
      <w:tr>
        <w:trPr>
          <w:trHeight w:val="216"/>
        </w:trPr>
        <w:tc>
          <w:tcPr>
            <w:tcW w:w="7740" w:type="dxa"/>
            <w:vAlign w:val="bottom"/>
            <w:gridSpan w:val="5"/>
          </w:tcPr>
          <w:p>
            <w:pPr>
              <w:jc w:val="center"/>
              <w:ind w:left="3448"/>
              <w:spacing w:after="0"/>
              <w:rPr>
                <w:sz w:val="20"/>
                <w:szCs w:val="20"/>
                <w:color w:val="auto"/>
              </w:rPr>
            </w:pPr>
            <w:r>
              <w:rPr>
                <w:rFonts w:ascii="Arial" w:cs="Arial" w:eastAsia="Arial" w:hAnsi="Arial"/>
                <w:sz w:val="14"/>
                <w:szCs w:val="14"/>
                <w:b w:val="1"/>
                <w:bCs w:val="1"/>
                <w:color w:val="auto"/>
                <w:w w:val="92"/>
              </w:rPr>
              <w:t>Registrant’s telephone number, including area code: (513) 985-1920</w:t>
            </w:r>
          </w:p>
        </w:tc>
        <w:tc>
          <w:tcPr>
            <w:tcW w:w="3500" w:type="dxa"/>
            <w:vAlign w:val="bottom"/>
          </w:tcPr>
          <w:p>
            <w:pPr>
              <w:spacing w:after="0"/>
              <w:rPr>
                <w:sz w:val="18"/>
                <w:szCs w:val="18"/>
                <w:color w:val="auto"/>
              </w:rPr>
            </w:pPr>
          </w:p>
        </w:tc>
      </w:tr>
      <w:tr>
        <w:trPr>
          <w:trHeight w:val="93"/>
        </w:trPr>
        <w:tc>
          <w:tcPr>
            <w:tcW w:w="3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500" w:type="dxa"/>
            <w:vAlign w:val="bottom"/>
          </w:tcPr>
          <w:p>
            <w:pPr>
              <w:spacing w:after="0"/>
              <w:rPr>
                <w:sz w:val="8"/>
                <w:szCs w:val="8"/>
                <w:color w:val="auto"/>
              </w:rPr>
            </w:pPr>
          </w:p>
        </w:tc>
      </w:tr>
      <w:tr>
        <w:trPr>
          <w:trHeight w:val="265"/>
        </w:trPr>
        <w:tc>
          <w:tcPr>
            <w:tcW w:w="3940" w:type="dxa"/>
            <w:vAlign w:val="bottom"/>
          </w:tcPr>
          <w:p>
            <w:pPr>
              <w:spacing w:after="0"/>
              <w:rPr>
                <w:sz w:val="23"/>
                <w:szCs w:val="23"/>
                <w:color w:val="auto"/>
              </w:rPr>
            </w:pPr>
          </w:p>
        </w:tc>
        <w:tc>
          <w:tcPr>
            <w:tcW w:w="3800" w:type="dxa"/>
            <w:vAlign w:val="bottom"/>
            <w:gridSpan w:val="4"/>
          </w:tcPr>
          <w:p>
            <w:pPr>
              <w:jc w:val="center"/>
              <w:ind w:right="44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500" w:type="dxa"/>
            <w:vAlign w:val="bottom"/>
          </w:tcPr>
          <w:p>
            <w:pPr>
              <w:spacing w:after="0"/>
              <w:rPr>
                <w:sz w:val="23"/>
                <w:szCs w:val="23"/>
                <w:color w:val="auto"/>
              </w:rPr>
            </w:pPr>
          </w:p>
        </w:tc>
      </w:tr>
      <w:tr>
        <w:trPr>
          <w:trHeight w:val="188"/>
        </w:trPr>
        <w:tc>
          <w:tcPr>
            <w:tcW w:w="3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r>
      <w:tr>
        <w:trPr>
          <w:trHeight w:val="142"/>
        </w:trPr>
        <w:tc>
          <w:tcPr>
            <w:tcW w:w="3940" w:type="dxa"/>
            <w:vAlign w:val="bottom"/>
            <w:tcBorders>
              <w:left w:val="single" w:sz="8" w:color="auto"/>
              <w:bottom w:val="single" w:sz="8" w:color="auto"/>
            </w:tcBorders>
          </w:tcPr>
          <w:p>
            <w:pPr>
              <w:jc w:val="center"/>
              <w:ind w:left="108"/>
              <w:spacing w:after="0" w:line="142" w:lineRule="exact"/>
              <w:rPr>
                <w:sz w:val="20"/>
                <w:szCs w:val="20"/>
                <w:color w:val="auto"/>
              </w:rPr>
            </w:pPr>
            <w:r>
              <w:rPr>
                <w:rFonts w:ascii="Arial" w:cs="Arial" w:eastAsia="Arial" w:hAnsi="Arial"/>
                <w:sz w:val="14"/>
                <w:szCs w:val="14"/>
                <w:color w:val="auto"/>
                <w:w w:val="92"/>
              </w:rPr>
              <w:t>Title of each class</w:t>
            </w:r>
          </w:p>
        </w:tc>
        <w:tc>
          <w:tcPr>
            <w:tcW w:w="20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jc w:val="center"/>
              <w:ind w:right="148"/>
              <w:spacing w:after="0" w:line="142" w:lineRule="exact"/>
              <w:rPr>
                <w:sz w:val="20"/>
                <w:szCs w:val="20"/>
                <w:color w:val="auto"/>
              </w:rPr>
            </w:pPr>
            <w:r>
              <w:rPr>
                <w:rFonts w:ascii="Arial" w:cs="Arial" w:eastAsia="Arial" w:hAnsi="Arial"/>
                <w:sz w:val="14"/>
                <w:szCs w:val="14"/>
                <w:color w:val="auto"/>
                <w:w w:val="94"/>
              </w:rPr>
              <w:t>Trading Symbol(s)</w:t>
            </w:r>
          </w:p>
        </w:tc>
        <w:tc>
          <w:tcPr>
            <w:tcW w:w="800" w:type="dxa"/>
            <w:vAlign w:val="bottom"/>
            <w:tcBorders>
              <w:bottom w:val="single" w:sz="8" w:color="auto"/>
            </w:tcBorders>
          </w:tcPr>
          <w:p>
            <w:pPr>
              <w:spacing w:after="0"/>
              <w:rPr>
                <w:sz w:val="12"/>
                <w:szCs w:val="12"/>
                <w:color w:val="auto"/>
              </w:rPr>
            </w:pPr>
          </w:p>
        </w:tc>
        <w:tc>
          <w:tcPr>
            <w:tcW w:w="3500" w:type="dxa"/>
            <w:vAlign w:val="bottom"/>
            <w:tcBorders>
              <w:bottom w:val="single" w:sz="8" w:color="auto"/>
              <w:right w:val="single" w:sz="8" w:color="auto"/>
            </w:tcBorders>
          </w:tcPr>
          <w:p>
            <w:pPr>
              <w:jc w:val="center"/>
              <w:ind w:right="748"/>
              <w:spacing w:after="0" w:line="142" w:lineRule="exact"/>
              <w:rPr>
                <w:sz w:val="20"/>
                <w:szCs w:val="20"/>
                <w:color w:val="auto"/>
              </w:rPr>
            </w:pPr>
            <w:r>
              <w:rPr>
                <w:rFonts w:ascii="Arial" w:cs="Arial" w:eastAsia="Arial" w:hAnsi="Arial"/>
                <w:sz w:val="14"/>
                <w:szCs w:val="14"/>
                <w:color w:val="auto"/>
                <w:w w:val="92"/>
              </w:rPr>
              <w:t>Name of each exchange on which registered</w:t>
            </w:r>
          </w:p>
        </w:tc>
      </w:tr>
      <w:tr>
        <w:trPr>
          <w:trHeight w:val="183"/>
        </w:trPr>
        <w:tc>
          <w:tcPr>
            <w:tcW w:w="3940" w:type="dxa"/>
            <w:vAlign w:val="bottom"/>
            <w:tcBorders>
              <w:left w:val="single" w:sz="8" w:color="auto"/>
              <w:bottom w:val="single" w:sz="8" w:color="auto"/>
            </w:tcBorders>
          </w:tcPr>
          <w:p>
            <w:pPr>
              <w:jc w:val="center"/>
              <w:ind w:left="128"/>
              <w:spacing w:after="0"/>
              <w:rPr>
                <w:sz w:val="20"/>
                <w:szCs w:val="20"/>
                <w:color w:val="auto"/>
              </w:rPr>
            </w:pPr>
            <w:r>
              <w:rPr>
                <w:rFonts w:ascii="Arial" w:cs="Arial" w:eastAsia="Arial" w:hAnsi="Arial"/>
                <w:sz w:val="14"/>
                <w:szCs w:val="14"/>
                <w:color w:val="auto"/>
                <w:w w:val="91"/>
              </w:rPr>
              <w:t>Common stock, $0.0001 par value per share</w:t>
            </w:r>
          </w:p>
        </w:tc>
        <w:tc>
          <w:tcPr>
            <w:tcW w:w="2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jc w:val="center"/>
              <w:ind w:right="128"/>
              <w:spacing w:after="0"/>
              <w:rPr>
                <w:sz w:val="20"/>
                <w:szCs w:val="20"/>
                <w:color w:val="auto"/>
              </w:rPr>
            </w:pPr>
            <w:r>
              <w:rPr>
                <w:rFonts w:ascii="Arial" w:cs="Arial" w:eastAsia="Arial" w:hAnsi="Arial"/>
                <w:sz w:val="14"/>
                <w:szCs w:val="14"/>
                <w:color w:val="auto"/>
                <w:w w:val="95"/>
              </w:rPr>
              <w:t>ARPO</w:t>
            </w:r>
          </w:p>
        </w:tc>
        <w:tc>
          <w:tcPr>
            <w:tcW w:w="800" w:type="dxa"/>
            <w:vAlign w:val="bottom"/>
            <w:tcBorders>
              <w:bottom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center"/>
              <w:ind w:right="748"/>
              <w:spacing w:after="0"/>
              <w:rPr>
                <w:sz w:val="20"/>
                <w:szCs w:val="20"/>
                <w:color w:val="auto"/>
              </w:rPr>
            </w:pPr>
            <w:r>
              <w:rPr>
                <w:rFonts w:ascii="Arial" w:cs="Arial" w:eastAsia="Arial" w:hAnsi="Arial"/>
                <w:sz w:val="14"/>
                <w:szCs w:val="14"/>
                <w:color w:val="auto"/>
                <w:w w:val="92"/>
              </w:rPr>
              <w:t>Nasdaq Capital Market</w:t>
            </w:r>
          </w:p>
        </w:tc>
      </w:tr>
    </w:tbl>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41" w:lineRule="exact"/>
        <w:rPr>
          <w:sz w:val="24"/>
          <w:szCs w:val="24"/>
          <w:color w:val="auto"/>
        </w:rPr>
      </w:pPr>
    </w:p>
    <w:p>
      <w:pPr>
        <w:ind w:right="3600"/>
        <w:spacing w:after="0" w:line="24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6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76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7"/>
        </w:trPr>
        <w:tc>
          <w:tcPr>
            <w:tcW w:w="2300" w:type="dxa"/>
            <w:vAlign w:val="bottom"/>
          </w:tcPr>
          <w:p>
            <w:pPr>
              <w:spacing w:after="0"/>
              <w:rPr>
                <w:sz w:val="20"/>
                <w:szCs w:val="20"/>
                <w:color w:val="auto"/>
              </w:rPr>
            </w:pPr>
            <w:r>
              <w:rPr>
                <w:rFonts w:ascii="Arial" w:cs="Arial" w:eastAsia="Arial" w:hAnsi="Arial"/>
                <w:sz w:val="14"/>
                <w:szCs w:val="14"/>
                <w:color w:val="auto"/>
              </w:rPr>
              <w:t>Non-accelerated filer</w:t>
            </w:r>
          </w:p>
        </w:tc>
        <w:tc>
          <w:tcPr>
            <w:tcW w:w="386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76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620" w:type="dxa"/>
            <w:vAlign w:val="bottom"/>
          </w:tcPr>
          <w:p>
            <w:pPr>
              <w:ind w:left="276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5"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As of June 28, 2019, the aggregate market value of the registrant’s voting and non-voting common stock held by non-affiliates (without admitting that any person whose shares are not included in such calculation is an affiliate) computed by reference to the price at which the common stock was last sold on June 28, 2019 was approximately $25,975,518.</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As of March 9, 2020, there were 40,588,004 shares of common stock, $0.0001 par value per share, outstanding.</w:t>
      </w:r>
    </w:p>
    <w:p>
      <w:pPr>
        <w:spacing w:after="0" w:line="136"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Portions of the registrant’s Definitive Proxy Statement relating to the Annual Meeting of Shareholders are incorporated by reference into Part III of this Report. Such Proxy Statement will be filed with the Securities and Exchange Commission within 120 days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649605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40" w:type="dxa"/>
            <w:vAlign w:val="bottom"/>
            <w:gridSpan w:val="10"/>
          </w:tcPr>
          <w:p>
            <w:pPr>
              <w:ind w:left="9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60" w:type="dxa"/>
            <w:vAlign w:val="bottom"/>
            <w:gridSpan w:val="1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Properties</w:t>
              </w:r>
            </w:hyperlink>
          </w:p>
        </w:tc>
        <w:tc>
          <w:tcPr>
            <w:tcW w:w="72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0" w:lineRule="exact"/>
              <w:rPr>
                <w:rFonts w:ascii="Arial" w:cs="Arial" w:eastAsia="Arial" w:hAnsi="Arial"/>
                <w:sz w:val="18"/>
                <w:szCs w:val="18"/>
                <w:color w:val="0000EE"/>
              </w:rPr>
            </w:pPr>
            <w:hyperlink w:anchor="page62">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Selected Financial Data</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Quantitative and Qualitative Disclosures About Market Risk</w:t>
              </w:r>
            </w:hyperlink>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4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Financial Statements and Supplementary Data</w:t>
              </w:r>
            </w:hyperlink>
          </w:p>
        </w:tc>
        <w:tc>
          <w:tcPr>
            <w:tcW w:w="498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Changes in and Disagreements with Accountants on Accounting and Financial Disclosure</w:t>
              </w:r>
            </w:hyperlink>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300" w:type="dxa"/>
            <w:vAlign w:val="bottom"/>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line="190" w:lineRule="exact"/>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2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300" w:type="dxa"/>
            <w:vAlign w:val="bottom"/>
            <w:gridSpan w:val="20"/>
          </w:tcPr>
          <w:p>
            <w:pPr>
              <w:spacing w:after="0" w:line="190" w:lineRule="exact"/>
              <w:rPr>
                <w:rFonts w:ascii="Arial" w:cs="Arial" w:eastAsia="Arial" w:hAnsi="Arial"/>
                <w:sz w:val="18"/>
                <w:szCs w:val="18"/>
                <w:color w:val="0000EE"/>
              </w:rPr>
            </w:pPr>
            <w:hyperlink w:anchor="page100">
              <w:r>
                <w:rPr>
                  <w:rFonts w:ascii="Arial" w:cs="Arial" w:eastAsia="Arial" w:hAnsi="Arial"/>
                  <w:sz w:val="18"/>
                  <w:szCs w:val="18"/>
                  <w:color w:val="0000EE"/>
                </w:rPr>
                <w:t>Exhibits, Consolidated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Form of 10-K Summary</w:t>
              </w:r>
            </w:hyperlink>
          </w:p>
        </w:tc>
        <w:tc>
          <w:tcPr>
            <w:tcW w:w="2140" w:type="dxa"/>
            <w:vAlign w:val="bottom"/>
            <w:tcBorders>
              <w:top w:val="single" w:sz="8" w:color="0000EE"/>
            </w:tcBorders>
            <w:gridSpan w:val="5"/>
          </w:tcPr>
          <w:p>
            <w:pPr>
              <w:spacing w:after="0"/>
              <w:rPr>
                <w:sz w:val="18"/>
                <w:szCs w:val="18"/>
                <w:color w:val="auto"/>
              </w:rPr>
            </w:pPr>
          </w:p>
        </w:tc>
        <w:tc>
          <w:tcPr>
            <w:tcW w:w="542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160" w:type="dxa"/>
            <w:vAlign w:val="bottom"/>
          </w:tcPr>
          <w:p>
            <w:pPr>
              <w:spacing w:after="0"/>
              <w:rPr>
                <w:sz w:val="24"/>
                <w:szCs w:val="24"/>
                <w:color w:val="auto"/>
              </w:rPr>
            </w:pPr>
          </w:p>
        </w:tc>
        <w:tc>
          <w:tcPr>
            <w:tcW w:w="5440" w:type="dxa"/>
            <w:vAlign w:val="bottom"/>
            <w:gridSpan w:val="15"/>
          </w:tcPr>
          <w:p>
            <w:pPr>
              <w:ind w:left="442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These forward-looking statements may be identified by forward-looking words such as “may,” “could,” “should,” “would,” “will,” “plans,” “intend,” “expect,” “anticipate,” “predicts,” “potential,” “believe,” “continue” or similar words, although not all forward-looking statements contain these identifying words. Forward-looking statements include, but are not limited to, statements regarding the progress and timing of our product development programs and related trials; our future opportunities; our strategy, future operations, anticipated financial position, future revenues and projected costs; our management’s prospects, plans and objectives; and any other statements about management’s future expectations, beliefs, goals, plans or prospects constitute forward-looking statements.</w:t>
      </w:r>
    </w:p>
    <w:p>
      <w:pPr>
        <w:spacing w:after="0" w:line="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Readers should not place undue reliance on these forward-looking statements. Our actual results may differ materially from such forward-looking statements as a result of numerous factors, some of which we may not be able to predict and may not be within our control. Factors that could cause such differences include, but are not limited to, the accuracy of our estimates regarding expense, future revenues, uses of cash, capital requirements and the need for additional financing; the initiation, cost, timing, progress and results of our development activities, preclinical studies and clinical trials; the timing of and our ability to obtain and maintain regulatory approval of our existing product candidates, any product candidates that we may develop, and any related restrictions, limitations, and/or warnings in the label of any approved product candidates; our plans to research, develop and commercialize our current and future product candidates; our ability to attract collaborators with development, regulatory and commercialization expertise; our ability to obtain and maintain intellectual property protection for our product candidates; our ability to successfully commercialize our product candidates; the size and growth of the markets for our product candidates and our ability to serve those markets; the success of competing drugs that are or become available; our ability to obtain additional financing; our ability to attract and retain key personnel, as well as those risks discussed elsewhere in this report, including under the heading “Risk Factors.” All forward-looking statements are made as of the date of this report and we do not undertake any obligation to update our forward-looking statements,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Aerpio Pharmaceuticals, Inc. is a biopharmaceutical company focused on developing compounds that activate Tie2 to treat ocular diseases and diabetic complications. In March 2019, we announced the top line results of the Phase 2b (“TIME-2b”) clinical trial which we initiated in June 2017 for the treatment of non-proliferative diabetic retinopathy (“NPDR”), a disease characterized by progressive compromise of blood vessels in the back of the eye. While we believed AKB-9778 had the potential to slow down or possibly reverse retinal vascular changes caused by diabetes, the subcutaneous administration of AKB-9778 twice daily did not meet the study’s primary endpoint of increasing the percentage of patients with an improvement of two or more steps in diabetic retinopathy severity score (“DRSS”), in the study eye, compared to placebo.</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However, the TIME-2b study further supported the reduction of intraocular pressure (“IOP”) seen with subcutaneous AKB-9778 in the previous TIME-2 study. Importantly, IOP is the only identified modifiable risk factor for prevention of vision loss in patients with open angle glaucoma (“OAG”) and ocular hypertension (“OHT”). Moreover, recently published mouse and human genetic data implicate the Angpt/Tie2 pathway in maintenance of Schlemm’s canal, a critical component of the conventional outflow tract. The conventional outflow tract is the main conduit for fluid drainage from the front of the eye and the principal regulator of IOP. Based on these findings, we developed a topical ocular formulation of AKB-9778 and observed in preclinical studies activation of Tie2 in Schlemm’s canal, IOP reduction via enhanced outflow facility and favorable tolerability.</w:t>
      </w:r>
    </w:p>
    <w:p>
      <w:pPr>
        <w:spacing w:after="0" w:line="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June 2019, we initiated a double-masked, multiple-ascending dose Phase 1b trial and enrolled four cohorts of 12 subjects each. Subjects received increasing daily doses of a topical ocular formulation of AKB-9778 or placebo for seven days. The primary endpoint of the trial was ocular safety and tolerability, with IOP lowering as the key pharmacodynamic endpoint. In October 2019, we announced interim results from our Phase 1b clinical trial. The unmasked interim analysis, limited to the first three cohorts, showed the topical ocular administration of AKB-9778 was well tolerated. Compared to placebo, there was a dose dependent increase in minimal to mild conjunctival hyperemia with AKB-9778, which was transient and generally considered non-adverse, and a time and dose dependent reduction in IOP that, in the highest once daily (“QD”) dose cohort peaked at 4 hours post-dose and was sustained through eight hours on day 7, returning to baseline levels at 24 hours post-dose. Based on these data, a cohort of 43 patients with OHT/OAG (hypertensive eyes) was added to the ongoing study to assess safety and pilot efficacy in the target patient population. In January 2020, we announced the results of the ongoing Phase 1b study which are presented below under “Business – AKB-9778 in Open Angle Glaucoma – Clinical Results in OAG”.</w:t>
      </w:r>
    </w:p>
    <w:p>
      <w:pPr>
        <w:spacing w:after="0" w:line="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two consecutive trials, TIME-2 and TIME-2b, subcutaneous AKB-9778 showed reduction in Urine Albumin-Creatinine Ratio (“UACR”), a measure of progression of diabetic kidney disease. In a post-hoc analysis of the earlier TIME-2 clinical trial, there was a 21% reduction (geometric mean) in UACR from baseline in the AKB-9778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 We believe that systemic treatment with AKB-9778 could have the potential to change the treatment paradigm for diabetics in the future and potentially address a major societal problem by lowering the cost of care associated generally with diabetes.</w:t>
      </w:r>
    </w:p>
    <w:p>
      <w:pPr>
        <w:spacing w:after="0" w:line="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ARP-1536, our humanized monoclonal antibody directed at the same target as subcutaneous AKB-9778, is in preclinical development. We are evaluating development options for ARP-1536, including subcutaneous injection for the treatment of diabetic vascular complications, e.g., diabetic nephropathy and intravitreal injection as an adjunctive therapy for diabetic macular edema.</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are also developing a bispecific antibody that binds both VEGF and VE-PTP which is designed to inhibit VEGF activation and activate Tie2. We believe this bispecific antibody has the potential to be an improved treatment for wet aged-related macular degeneration (“AMD”) and diabetic macular edema via intravitreal injection.</w:t>
      </w:r>
    </w:p>
    <w:p>
      <w:pPr>
        <w:spacing w:after="0" w:line="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June 2018, we licensed AKB-4924, a selective stabilizer of hypoxia-inducible factor-1 alpha (HIF-1 alpha) to Gossamer Bio, Inc. (“Gossamer”) AKB-4924 (now called GB004), is being developed for the treatment of inflammatory bowel disease (IBD). HIF-1 alpha is involved in mucosal wound healing and the reduction of inflammation in the gastrointestinal tract. Gossamer has completed the Phase 1 multiple ascending dose (“MAD”) clinical study and is currently running a Phase 1b clinical study in ulcerative colitis patients. Gossamer is expected to have results of the Phase 1b study in ulcerative colitis patients in the first half of 2020. Gossamer is responsible for all remaining development and commercial activities for GB004.</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objective is to develop and advance first-in-class compounds that activate Tie2 to treat ocular diseases and diabetic complications. We are taking the following critical steps to achieve this goal:</w:t>
      </w:r>
    </w:p>
    <w:p>
      <w:pPr>
        <w:spacing w:after="0" w:line="58" w:lineRule="exact"/>
        <w:rPr>
          <w:sz w:val="20"/>
          <w:szCs w:val="20"/>
          <w:color w:val="auto"/>
        </w:rPr>
      </w:pPr>
    </w:p>
    <w:p>
      <w:pPr>
        <w:ind w:left="1300" w:hanging="442"/>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Advance the development of AKB-9778 for open angle glaucoma</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Based on the preclinical proof of concept and the results of the Phase 1b trial showing a reduction in IOP in patients with OHT and OAG, we plan to further advance the glaucoma program into a Phase 2 clinical trial with results expected in the first quarter of 2021. The Phase 1b trial results were announced in January 2020.</w:t>
      </w:r>
    </w:p>
    <w:p>
      <w:pPr>
        <w:spacing w:after="0" w:line="72" w:lineRule="exact"/>
        <w:rPr>
          <w:sz w:val="20"/>
          <w:szCs w:val="20"/>
          <w:color w:val="auto"/>
        </w:rPr>
      </w:pPr>
    </w:p>
    <w:p>
      <w:pPr>
        <w:ind w:left="1300" w:hanging="442"/>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Investigate the potential of AKB-9778 in other indications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downregulation of Tie2 activity occurs in the vasculature of diabetics systemically, particularly in the kidney. In a post-hoc analysis of the earlier TIME-2 clinical trial, there was a 21% reduction (geometric mean) in UACR from baseline in the AKB-9778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 Based on the confirmation of decreased of UACR, a potential indicator of improved kidney function, in the completed TIME-2b trial, we are exploring strategic options for further development of AKB-9778 in diabetic nephropathy.</w:t>
      </w:r>
    </w:p>
    <w:p>
      <w:pPr>
        <w:spacing w:after="0" w:line="80" w:lineRule="exact"/>
        <w:rPr>
          <w:sz w:val="20"/>
          <w:szCs w:val="20"/>
          <w:color w:val="auto"/>
        </w:rPr>
      </w:pPr>
    </w:p>
    <w:p>
      <w:pPr>
        <w:ind w:left="1300" w:hanging="442"/>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Advance the development of ARP-1536 and the Bispecific antibody</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evaluating development options for ARP-1536, including subcutaneous injection for the treatment of diabetic vascular complications including nephropathy and intravitreal injection for the adjunctive treatment of diabetic macular edema. We are also exploring development options for the bispecific antibody.</w:t>
      </w:r>
    </w:p>
    <w:p>
      <w:pPr>
        <w:spacing w:after="0" w:line="72" w:lineRule="exact"/>
        <w:rPr>
          <w:sz w:val="20"/>
          <w:szCs w:val="20"/>
          <w:color w:val="auto"/>
        </w:rPr>
      </w:pPr>
    </w:p>
    <w:p>
      <w:pPr>
        <w:ind w:left="1300" w:right="320" w:hanging="442"/>
        <w:spacing w:after="0" w:line="282" w:lineRule="auto"/>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Explore strategic collaborations with leading organizations for the development and commercialization of promising product candidates in our pipeline</w:t>
      </w:r>
    </w:p>
    <w:p>
      <w:pPr>
        <w:spacing w:after="0" w:line="5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October 2019, we announced the engagement of Evercore, Ladenburg Thalmann &amp; Co. Inc. and Duane Nash, M.D., J.D., M.B.A. to explore a range of strategic alternatives focused on maximizing stockholder value from our clinical assets and cash resources. Such alternatives may include the potential for an acquisition, company sale, merger, business combination, asset sale, in-license, out-license or other strategic transaction. There can be no assurance that the exploration of strategic alternatives will result in any transaction or other alternative.</w:t>
      </w:r>
    </w:p>
    <w:p>
      <w:pPr>
        <w:spacing w:after="0" w:line="59" w:lineRule="exact"/>
        <w:rPr>
          <w:sz w:val="20"/>
          <w:szCs w:val="20"/>
          <w:color w:val="auto"/>
        </w:rPr>
      </w:pPr>
    </w:p>
    <w:p>
      <w:pPr>
        <w:ind w:left="1300" w:hanging="442"/>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Focus on cash management to preserve cash for ongoing clinical trials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April 2019, we adopted a realignment plan to reduce operating costs and better align our workforce with the needs of our ongoing business. The realignment plan reduced our workforce by 11 employees, representing approximately 41% of our workforce. On October 15, 2019, our Chief Executive Officer and our Chief Financial and Business Officer departed from their positions. Our Chief Executive Officer also resigned as a director. As a result of these actions, we recorded severance expense during the year ended December 31, 2019 for employee related costs, including severance benefits and payment of healthcare insurance premiums. Additionally, we recorded certain one-time stock-based compensation adjustments for the forfeitures of outstanding equity awards.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AKB-9778 in Open Angle Glaucoma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Unmet Medical Need:</w:t>
      </w:r>
    </w:p>
    <w:p>
      <w:pPr>
        <w:spacing w:after="0" w:line="11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OAG is a leading cause of blindness affecting approximately 64.3 million people worldwide in 2013 with an expected increase to 76.0 million in 2020 and 118.0 million by 2040. OAG is characterized by optic nerve and neuroretina anomalies and progressive visual field defects. Elevated intraocular pressure (“IOP”) is the primary modifiable risk factor and reducing IOP is the only clinical approach shown to slow or prevent vision loss. Despite the availability of effective IOP lowering drugs, many patients require multiple agents to control IOP that together often fail to achieve target IOP. The conventional outflow pathway, consisting of the trabecular meshwork and a specialized vessel called Schlemm’s canal, controls IOP and has been identified as the site of increased resistance to aqueous humor outflow in OAG. Importantly, most current OAG therapies do not target conventional outflow, and reduce IOP by either decreasing the formation of aqueous humor or facilitating non-conventional outflow pathways. The failure of most current therapies to modify conventional outflow has been hypothesized to contribute to continued deterioration of conventional outflow and progressive increases in IOP over time. We believe that developing agents that target conventional outflow pathology directly will likely have improved therapeutic potential alone or in combination with approved glaucoma agents and may prevent progression of OAG that often occurs despite current therapy.</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Emerging Role of the Tie2 Pathway in the Maintenance of Conventional Outflow:</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Recently, two independent groups have shown that Tie2 is expressed and activated in Schlemm’s canal endothelial cells during development and in the mature vessel. Disruption of the Tie2 pathway in mice by conditional knockout early in postnatal development results in failure of the formation of Schlemm’s canal, associated with increased IOP and with retinal and optic nerve pathology resembling human congenital glaucoma. Tie2 pathway disruption later in postnatal development results in degeneration of Schlemm’s canal with development of increased IOP and retinal and optic pathology reminiscent of OAG. Tie2 is most highly expressed in mature Schlemm’s canal inner wall endothelium and disruption of the Tie2 pathway results in increased cell death, or apoptosis, and reduced formation of giant vacuoles consistent with compromised conventional outflow. Supporting these preclinical findings, Tie2 loss of function variants were identified in 10 of 189 unrelated primary congenital glaucoma families, and SNPs in the Ang-1 promoter region were significantly associated with the risk of OAG. We believe that these preclinical findings along with human genetic evidence provides a sound scientific premise that activation of the Tie2 pathway in Schlemm’s canal could provide a novel conventional outflow-targeted OAG therapy.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VE-PTP in Signaling Pathways and Relevance to Glaucoma:</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Aerpio has developed first-in-class, potent and selective small molecule inhibitors of the catalytic domain of vascular endothelial protein tyrosine phosphatase (VE-PTP). In vascular endothelial cells, AKB-9778, Aerpio’s lead VE-PTP inhibitor, activates Tie2 and triggers signaling pathways downstream of Tie2 that have been implicated in modulation of conventional outflow facility. These include endothelial nitric oxide synthase (“eNOS”) activation and Rho pathway inhibition via Rac1.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127635</wp:posOffset>
            </wp:positionV>
            <wp:extent cx="2674620" cy="1946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462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1. VE-PTP inhibition as a novel conventional outflow targeted approach for glaucoma treatment</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Activation of Tie2, with AKB-9778, affects pathways commonly associated with reduction of intraocular pressure. Rhopressa and Vyzulta are recently approved glaucoma drugs which block the Rho pathway and stimulate the eNOS pathway, respectively. Inhibition of VE-PTP should provide both benefits, blocking Rho and stimulating eNOS.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Evidence Supporting VE-PTP Inhibition as a conventional outflow target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 Supporting Topical Ocular Delivery of AKB-9778:</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AKB-9778 topical formulation was well tolerated, and exposure was demonstrated in the aqueous humor following two days of three times a day 30 μL topical ocular administration to both eyes of New Zealand White rabbits. These data suggest that a topical ocular formulation of AKB-9778 may be sufficient to deliver AKB-9778 to target ocular tissues with acceptable tolerability.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 w:name="page7"/>
    <w:bookmarkEnd w:id="6"/>
    <w:p>
      <w:pPr>
        <w:ind w:right="20"/>
        <w:spacing w:after="0" w:line="279" w:lineRule="auto"/>
        <w:rPr>
          <w:sz w:val="20"/>
          <w:szCs w:val="20"/>
          <w:color w:val="auto"/>
        </w:rPr>
      </w:pPr>
      <w:r>
        <w:rPr>
          <w:rFonts w:ascii="Arial" w:cs="Arial" w:eastAsia="Arial" w:hAnsi="Arial"/>
          <w:sz w:val="17"/>
          <w:szCs w:val="17"/>
          <w:color w:val="auto"/>
        </w:rPr>
        <w:t>The AKB-9778 topical ocular formulation was also well tolerated following seven days of once daily (“QD”) and twice daily (“BID”), 30 μL topical ocular administration to both eyes in New Zealand White Rabbits with normal ocular pressure and demonstrated a dose-dependent and statistically significant reduction in IOP of both QD and BID topical ocular dosing at the highest dose level, as shown in the figure below. Reduction in IOP persisted for at least 24 hours following the last dosing period and the treatment was well-tolerated with no visible irritation or hyperemia seen.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186055</wp:posOffset>
            </wp:positionV>
            <wp:extent cx="3360420" cy="237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042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40" w:right="40"/>
        <w:spacing w:after="0" w:line="257" w:lineRule="auto"/>
        <w:rPr>
          <w:sz w:val="20"/>
          <w:szCs w:val="20"/>
          <w:color w:val="auto"/>
        </w:rPr>
      </w:pPr>
      <w:r>
        <w:rPr>
          <w:rFonts w:ascii="Arial" w:cs="Arial" w:eastAsia="Arial" w:hAnsi="Arial"/>
          <w:sz w:val="18"/>
          <w:szCs w:val="18"/>
          <w:b w:val="1"/>
          <w:bCs w:val="1"/>
          <w:color w:val="auto"/>
        </w:rPr>
        <w:t>Figure 2. IOP effects of topical ocular compared to subcutaneous AKB-9778 in male rabbits. High dose topical ocular (40 mg/ml) AKB-9778 administered either QD or BID reduced IOP more than low dose topical (15 mg/ml) or subcutaneous (10 mg/kg) administration BID (Day 7). IOP effects persisted 24 hours post dose (Day 8)</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explore the mechanism of AKB-9778-mediated IOP reduction, the effect of AKB-9778 on IOP in ocular normotensive eyes of wild type C57 mice was monitored for three days after once a day topical dosing. As shown in Figure 3A, AKB-9778 gradually decreased IOP over time, from -0.74 ± 0.43 and -1 ± 0.27 on Days 1 and 2, respectively, to -1.6 ± 0.3 mmHg on Day 3. Since IOP lowering was maximal and significant on Day 3 (</w:t>
      </w:r>
      <w:r>
        <w:rPr>
          <w:rFonts w:ascii="Arial" w:cs="Arial" w:eastAsia="Arial" w:hAnsi="Arial"/>
          <w:sz w:val="18"/>
          <w:szCs w:val="18"/>
          <w:i w:val="1"/>
          <w:iCs w:val="1"/>
          <w:color w:val="auto"/>
        </w:rPr>
        <w:t>p</w:t>
      </w:r>
      <w:r>
        <w:rPr>
          <w:rFonts w:ascii="Arial" w:cs="Arial" w:eastAsia="Arial" w:hAnsi="Arial"/>
          <w:sz w:val="18"/>
          <w:szCs w:val="18"/>
          <w:color w:val="auto"/>
        </w:rPr>
        <w:t xml:space="preserve"> = 0.017), IOP was assessed at two additional time points on Day 3, 2 and 4 hours after treatment. IOP lowering was more profound at these additional time points, with a significant decrease of ~30% (mean ± SE: -3.85 ±1.1 mmHg at 2h and -3.1±0.6 mmHg at 4h if compared to both Day 0 pretreatment and placebo treatment; -5.66 ± 1.0 mmHg at 2h and -4.87± 0.75 mmHg at 4h, if compared to only placebo treated eyes; </w:t>
      </w:r>
      <w:r>
        <w:rPr>
          <w:rFonts w:ascii="Arial" w:cs="Arial" w:eastAsia="Arial" w:hAnsi="Arial"/>
          <w:sz w:val="18"/>
          <w:szCs w:val="18"/>
          <w:i w:val="1"/>
          <w:iCs w:val="1"/>
          <w:color w:val="auto"/>
        </w:rPr>
        <w:t>p</w:t>
      </w:r>
      <w:r>
        <w:rPr>
          <w:rFonts w:ascii="Arial" w:cs="Arial" w:eastAsia="Arial" w:hAnsi="Arial"/>
          <w:sz w:val="18"/>
          <w:szCs w:val="18"/>
          <w:color w:val="auto"/>
        </w:rPr>
        <w:t xml:space="preserve"> &lt; 0.01 by paired student </w:t>
      </w:r>
      <w:r>
        <w:rPr>
          <w:rFonts w:ascii="Arial" w:cs="Arial" w:eastAsia="Arial" w:hAnsi="Arial"/>
          <w:sz w:val="18"/>
          <w:szCs w:val="18"/>
          <w:i w:val="1"/>
          <w:iCs w:val="1"/>
          <w:color w:val="auto"/>
        </w:rPr>
        <w:t>t</w:t>
      </w:r>
      <w:r>
        <w:rPr>
          <w:rFonts w:ascii="Arial" w:cs="Arial" w:eastAsia="Arial" w:hAnsi="Arial"/>
          <w:sz w:val="18"/>
          <w:szCs w:val="18"/>
          <w:color w:val="auto"/>
        </w:rPr>
        <w:t xml:space="preserve"> test), as shown in Figure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131445</wp:posOffset>
            </wp:positionV>
            <wp:extent cx="4826000" cy="1448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2600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right="240"/>
        <w:spacing w:after="0" w:line="282" w:lineRule="auto"/>
        <w:rPr>
          <w:sz w:val="20"/>
          <w:szCs w:val="20"/>
          <w:color w:val="auto"/>
        </w:rPr>
      </w:pPr>
      <w:r>
        <w:rPr>
          <w:rFonts w:ascii="Arial" w:cs="Arial" w:eastAsia="Arial" w:hAnsi="Arial"/>
          <w:sz w:val="18"/>
          <w:szCs w:val="18"/>
          <w:b w:val="1"/>
          <w:bCs w:val="1"/>
          <w:color w:val="auto"/>
        </w:rPr>
        <w:t>Figure 3: Effect of AKB-9778 on IOP and outflow facility in ocular normotensive mice A. Change in IOP, comparing pre-treatment (mean ± standard error, n = 14) with treatment (placebo or AKB-9778)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jc w:val="both"/>
        <w:ind w:right="40"/>
        <w:spacing w:after="0" w:line="259" w:lineRule="auto"/>
        <w:rPr>
          <w:sz w:val="20"/>
          <w:szCs w:val="20"/>
          <w:color w:val="auto"/>
        </w:rPr>
      </w:pPr>
      <w:r>
        <w:rPr>
          <w:rFonts w:ascii="Arial" w:cs="Arial" w:eastAsia="Arial" w:hAnsi="Arial"/>
          <w:sz w:val="18"/>
          <w:szCs w:val="18"/>
          <w:color w:val="auto"/>
        </w:rPr>
        <w:t xml:space="preserve">Considering the known role of the Tie2 pathway in Schlemm’s canal and the critical role of the conventional outflow pathway in regulating IOP, the effect of AKB-9778 on outflow facility was assessed. Outflow facility measurements were conducted in mouse eyes that had been dosed for three days QD with AKB-9778 and enucleated. As shown in Figure 3C, AKB-9778 significantly increased outflow facility compared to control by 33% (3.4 ± 0.4 vs. 2.5 ± 0.2 nl/min/mmHg, </w:t>
      </w:r>
      <w:r>
        <w:rPr>
          <w:rFonts w:ascii="Arial" w:cs="Arial" w:eastAsia="Arial" w:hAnsi="Arial"/>
          <w:sz w:val="18"/>
          <w:szCs w:val="18"/>
          <w:i w:val="1"/>
          <w:iCs w:val="1"/>
          <w:color w:val="auto"/>
        </w:rPr>
        <w:t>p</w:t>
      </w:r>
      <w:r>
        <w:rPr>
          <w:rFonts w:ascii="Arial" w:cs="Arial" w:eastAsia="Arial" w:hAnsi="Arial"/>
          <w:sz w:val="18"/>
          <w:szCs w:val="18"/>
          <w:color w:val="auto"/>
        </w:rPr>
        <w:t xml:space="preserve"> = 0.047).</w:t>
      </w:r>
    </w:p>
    <w:p>
      <w:pPr>
        <w:spacing w:after="0" w:line="7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To determine potential conventional outflow targets of AKB-9778, VE-PTP expression was assessed in anterior eye segments of mice. In these studies, VE-PTP was co-expressed with Tie2 in the endothelium of Schlemm’s canal by two independent approaches (VE-PTP knock-in reporter mice expressing a nuclear-localizing β-galactosidase from the endogenous VE-PTP promotor and immunohistochemistry with a monoclonal antibody against VE-</w:t>
      </w:r>
    </w:p>
    <w:p>
      <w:pPr>
        <w:spacing w:after="0" w:line="2"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PTP). Consistent with a functional effect of VE-PTP inhibition on Tie2 activation, tyrosine phosphorylation of Tie2 was increased following a single topical ocular dose of AKB-9778. Taken together, these data support a unique mechanism of IOP reduction where targeting VE-PTP with AKB-9778 activates Tie2 in Schlemm’s canal to enhance conventional outflow.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 in OAG</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results of our Phase 2b (“TIME-2b”) clinical trial showed encouraging data demonstrating the potential for AKB-9778 to reduce intraocular pressure in open angle glaucoma and ocular hypertension. In June 2019, we initiated a double-masked, multiple-ascending dose Phase 1b trial and enrolled four cohorts of 12 subjects each. Subjects received increasing daily doses of a topical ocular formulation of AKB-9778 or placebo for seven days. The primary endpoint of the trial was ocular safety and tolerability, with IOP lowering as the key pharmacodynamic endpoint. In October 2019, we announced interim results from our Phase 1b clinical trial. The unmasked interim analysis, limited to the first three cohorts, showed the topical ocular administration of AKB-9778 was well tolerated. Compared to placebo, there was a dose dependent increase in minimal to mild conjunctival hyperemia with AKB-9778, which was transient and generally considered non-adverse, and a time and dose dependent reduction in IOP that, in the highest QD dose cohort peaked at 4 hours post-dose and was sustained through eight hours on day 7, returning to baseline levels at 24 hours post-dose. Based on these data, a fifth cohort of 43 patients was recruited with OHT/POAG and baseline IOP measurements between 17 and 27 mmHg while treated with once-daily prostaglandin therapy. Patients were randomized 3:1 to receive either AKB-9778 (32 subjects) or placebo (11 subjects), administered in the morning for 7 days, while continuing their evening prostaglandin therapy. Conjunctival hyperemia, IOP, safety and pilot efficacy were assessed in the same manner as described for cohorts one to four.</w:t>
      </w:r>
    </w:p>
    <w:p>
      <w:pPr>
        <w:spacing w:after="0" w:line="7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 January 2020, we announced the results of the fifth cohort of subjects noting subjects in cohort five randomized to the active arm exhibited statistically significant decreases in IOP at all post-AKB-9778 administration time points on both days 1 and 7 compared with day -1 baseline values when they were being treated with prostaglandin alone (Figure 4: Diurnal = mean IOP of 2, 4 and 8 hour time points; ** p &lt; 0.05, *** p &lt;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103505</wp:posOffset>
            </wp:positionV>
            <wp:extent cx="4380230" cy="2100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8023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4. AKB 9778 significantly reduces IOP in patients on standard of care prostaglandin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line="263" w:lineRule="auto"/>
        <w:rPr>
          <w:sz w:val="20"/>
          <w:szCs w:val="20"/>
          <w:color w:val="auto"/>
        </w:rPr>
      </w:pPr>
      <w:r>
        <w:rPr>
          <w:rFonts w:ascii="Arial" w:cs="Arial" w:eastAsia="Arial" w:hAnsi="Arial"/>
          <w:sz w:val="18"/>
          <w:szCs w:val="18"/>
          <w:color w:val="auto"/>
        </w:rPr>
        <w:t>When the change is placebo-corrected, AKB-9778 plus prostaglandin versus prostaglandin alone produced a statistically significant decrease in IOP on Day 7 at 0, 4 and 8 hours post dose as compared to placebo (placebo-adjusted data at 0 hrs. -2.26 mmHg, p = 0.007; 2 hrs.-1.24, p = 0.138; 4 hrs. -1.47 mmHg; p = 0.048; 8 hrs. -1.80 mmHg; p = 0.041).</w:t>
      </w:r>
    </w:p>
    <w:p>
      <w:pPr>
        <w:spacing w:after="0" w:line="7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believe these results suggest a persistent IOP-lowering activity from adding AKB-9778 to standard-of-care prostaglandin therapy. Topical ocular administration of AKB-9778 was well tolerated over seven days in cohort five. In the active arm treated with AKB-9778 plus prostaglandin, 21.9% of subjects experienced hyperemia compared with 9.1% of subjects in the prostaglandin-alone arm. In all cases, this hyperemia was minimal-to-mild in severity, transient in duration and generally considered non-adverse. There were no reports of conjunctival hemorrhage or pain on instillation during the seven days of dosing and no systemic/non-ocular AEs were observed.</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the preclinical proof of concept and the results of the Phase 1b trial showing a reduction in IOP in patients with OHT and OAG, we plan to further advance the glaucoma program into a Phase 2 clinical trial with results expected in the first quarter of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Tie2 in Diabetic Vascular Complications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Tie2 is a receptor that is normally activated in healthy blood vessels. When active, Tie2 is a key regulator of vascular stability and function. In its active state, Tie2 maintains blood vessel stability by several mechanisms, including tightening the junctions between the cells that line blood vessels, maintaining support cell coverage of blood vessels, and resisting growth signaling from proliferative cytokines. In diabetic patients, an upregulation of VE-PTP an enzyme that inactivates Tie2, contributes to vascular destabilization.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127635</wp:posOffset>
            </wp:positionV>
            <wp:extent cx="3780155" cy="2211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8015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VE-PTP is upregulated in diabetic vasculature and leads to deactivation of the Tie2 receptor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Solution AKB-9778</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AKB-9778 works by inhibiting VE-PTP, an enzyme that is upregulated in diabetic eye disease and that is responsible for inactivating Tie2. AKB-9778 was developed using modern drug discovery techniques such as structure-based drug design to selectively target and inhibit VE-PTP at sub-nanomolar concentrations and has a high degree of selectivity. The potency and selectivity of AKB-9778 minimize the potential for off-target side effects. Inhibition of the inhibitor, VE-PTP, by AKB-9778 leads to activation of Tie2.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127635</wp:posOffset>
            </wp:positionV>
            <wp:extent cx="4037330" cy="2219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3733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6. AKB-9778 binds to and inhibits the active site of VE-PTP, resulting in Tie2 activation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AKB-9778 may hold a competitive advantage versus other product candidates that are currently in development that target other aspects of the Tie2 pathway. We are aware that Roche is developing agents that inhibit Angpt-2, a natural antagonist of Tie2. Angpt-2 can bind to Tie2 and prevent Angpt-1 dependent activation. However, simply reducing the levels of Ang-2 has no effect on the activity of VE-PTP, which inactivates Tie2 further downstream of Angpt 1/2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127635</wp:posOffset>
            </wp:positionV>
            <wp:extent cx="2751455" cy="1568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145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7. Inhibiting VE-PTP with AKB-9778 robustly activates Tie2 in human endothelial cells in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pre-clinical experiments (Shen et al. JCI 124:4564-76, 2014)</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Other Potential Systemic Indications – Diabetic Nephropathy</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Systemic therapy with AKB-9778 could also provide therapeutic benefits in other areas of the body affected by diabetes, including in the kidneys and other organ systems. Treatment that could affect vascular compromise in these tissues could potentially prevent or delay the need for more extreme interventions such as kidney dialysis or amputation. AKB-9778 showed encouraging data in a number of prespecified, key secondary endpoints, consistent with the observations in the prior Phase 2a (“TIME-2”) trial related to the changes in UACR, a measure of kidney function. In a post-hoc analysis of the earlier TIME-2 clinical trial, there was a 21% reduction (geometric mean) in UACR from baseline in the AKB-9778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ARP-1536</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ARP-1536 is a humanized monoclonal antibody currently in preclinical development that is directed at the same target as subcutaneous AKB-9778. ARP-1536 binds the extracellular domain of VE-PTP inhibiting its ability to interact with Tie2. Our preclinical development program has shown that inhibiting VE-PTP with an antibody results in an activity profile similar to AKB-9778. We are evaluating development options for ARP-1536, including subcutaneous injection for the treatment of diabetic vascular complications, e.g. diabetic nephropathy and intravitreal injection as an adjunctive therapy for diabetic macular edema.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Bi-specific Antibody</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also developing a bispecific antibody that binds both VEGF and VE-PTP which is designed to inhibit VEGF activation and activate Tie2. Our bispecific antibody is differentiated because it directly activates Tie2 and inhibits VEGF activation. The novel bimodal activity has been observed in a variety of cell-based models. The antibody has shown activity in animal models of retinal disease. We believe this bispecific antibody has the potential to be an improved treatment for wet AMD and diabetic macular edema via intravitreal injection.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AKB-4924 for Inflammatory Bowel Disease</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AKB-4924 (now called GB004), a selective stabilizer of HIF-1 alpha, works by inhibiting HIF prolyl-hydroxylase enzymes. Unlike other compounds currently in development that act broadly against all forms of HIF, GB004 selectively stabilizes a specific form of HIF, HIF-1 alpha. HIF-1 alpha has an effect on innate immunity and epithelial barrier function. However, HIF-1 alpha differs from HIF-2, in that it does not stimulate the formation of new red blood cells. Gossamer has completed the Phase 1 multiple ascending dose (“MAD”) clinical study and is currently running a Phase 1b clinical study in ulcerative colitis patients. Gossamer is expected to have results of the Phase 1b study in ulcerative colitis patients in the first half of 2020. Gossamer is responsible for all remaining development and commercial activities for GB004.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June 2018, we entered into a license agreement with a wholly-owned subsidiary of Gossamer under which we granted Gossamer an exclusive, sublicensable license to develop and commercialize AKB-4924 and other structurally related products worldwide, with initial development expected in the indications of induction and maintenance in ulcerative colitis and Crohn’s Disease (“Gossamer License”). Gossamer is responsible for the further development and commercialization of the licensed products, and a joint development committee has been formed to oversee the development and manufacturing activities related to the licensed products.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terms of the agreement, Gossamer paid an upfront payment to us of $20 million. We are also eligible to receive up to $55 million in development milestone payments, up to $85 million in commercial milestone payments, and up to $260 million in sales milestone payments, with such payments contingent on the achievement of specified milestones with respect to the first licensed product for each of the first two initial indications. We are also eligible to receive tiered royalties on sales of licensed products at percentages ranging from a high-single-digit to mid-teens, subject to certain customary reductions. In addition, under certain circumstances, in lieu of receiving the foregoing milestone payments and royalties, we may elect to receive a specified percentage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us from exercising this option if the parent company of Gossamer is the entity undergoing the change of control). Conversely, we could be required to accept such a specified percentage of those payments, if Gossamer agrees to pay us a certain minimum upon Gossamer and its stockholders being paid. Such amount may be reduced if the subject transaction includes pharmaceutical candidates or products or other named asset categories in addition to the licensed products.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ind w:right="160"/>
        <w:spacing w:after="0" w:line="296" w:lineRule="auto"/>
        <w:rPr>
          <w:sz w:val="20"/>
          <w:szCs w:val="20"/>
          <w:color w:val="auto"/>
        </w:rPr>
      </w:pPr>
      <w:r>
        <w:rPr>
          <w:rFonts w:ascii="Arial" w:cs="Arial" w:eastAsia="Arial" w:hAnsi="Arial"/>
          <w:sz w:val="16"/>
          <w:szCs w:val="16"/>
          <w:color w:val="auto"/>
        </w:rPr>
        <w:t>The agreement expires on a licensed product-by-licensed product and country-by-country basis on the later of fifteen years from the date of first commercial sale or when there is no longer a valid patent claim covering such licensed product in such country. Either party may terminate the agreement for an uncured material breach by the other party or upon the bankruptcy or insolvency of the other party. Gossamer may terminate the agreement in the event Gossamer determines there is a potential safety or efficacy issue with the licensed products. We may terminate the agreement if Gossamer institutes certain actions related to the licensed patents. Under certain termination circumstances, we would have worldwide rights to the terminated program.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December 31, 2019, we owned at least 32 U.S. patents, at least 26 pending U.S. provisional or non-provisional patent applications, at least 274 foreign patents and at least 103 pending foreign applications, with claims directed toward various aspects of our product candidates and research programs, not counting patents and patent applications that have been licensed to a third party. Specifically, the claims of these patents and patent applications include compositions of matter, methods of use, drug product formulations, and methods of manufacture. Such patents and patent applications, if issued, are expected to expire on various dates from 2027 to 2039, without taking into account any possible patent term adjustments or extensions. Within the foregoing patent portfolio, as of December 31, 2019, we owned at least 7 U.S. patents, at least 8 pending U.S. provisional or non-provisional patent applications, at least 44 foreign patents and at least 36 pending foreign applications that are directed toward ARP-1536 and formulations or uses thereof. As of December 31, 2019, within the foregoing patent portfolio, we owned at least 25 U.S. patents, at least 18 pending U.S. provisional or non-provisional patent applications, at least 230 foreign patents and at least 67 pending foreign applications that are directed toward AKB-9778 and formulations, medicinal chemistry variants or uses thereof. Such patents claiming compositions of matter directed toward ARP-1536 are set to expire in 2027, without taking into account any possible patent term adjustments or extensions. Such patents claiming compositions of matter directed toward AKB-9778 are set to expire in 2027, without taking into account any possible patent term adjustments or extensions.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6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There are a number of currently marketed products and product candidates in preclinical research and clinical development by third parties to treat the various diseases that we are targeting. If AKB-9778 and our other product candidates are approved for the indications that we are targeting, they will compete with the products and product candidates discussed below.</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AKB-9778 is the only Tie2 activators in clinical development for OHT or OAG. Other conventional outflow targeted therapies include the once-daily</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0.02% eye drop (Rhopressa (netarsudil) by Aerie Pharmaceuticals) and the once-daily netarsudil 0.02%/latanoprost 0.005% eye drop (Roclatan (netarsudil + latanoprost) by Aerie Pharmaceuticals).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hold worldwide commercialization rights to all of our product candidates. Subject to receiving marketing approval, we intend to independently pursue the commercialization of AKB-9778 in the United States for our product candidates by building a focused sales and marketing organization. We believe that such an organization will be able to address the community of physicians who are key specialists in treating the patient populations for which our product candidates are being developed.</w:t>
      </w:r>
    </w:p>
    <w:p>
      <w:pPr>
        <w:spacing w:after="0" w:line="7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Outside of the United States, we intend to pursue the approval and commercialization of our product candidates through strategic collaborations.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our product candidates. We have relied on and intend to continue to rely on qualified third-party contract manufacturers to produce our product candidates, including clinical supplies to support our clinical trials. We expect that commercial quantities of any compound and materials for our product candidates, if approved, will be manufactured in facilities and by processes that comply with FDA and other regulations. At the appropriate time in the product development process, we will determine whether to establish manufacturing facilities or continue to rely on third parties to manufacture commercial quantities of any products that we may successfully develop.</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(“FDCA”) and its implementing regulations, and biologics under the FDCA and the Public Health Service Act (“PHSA”) and its implementing regulations. FDA approval is required before any new unapproved drug or biologic or dosage form, including a new use of a previously approved drug, can be marketed in the United States. Drugs and biologics are also subject to other federal, state, and local statutes and regulations. If we fail to comply with applicable FDA or other requirements at any time during the product development process, clinical testing, the approval process or after approval, we may become subject to administrative or judicial sanctions. These sanctions could include the FDA’s refusal to approve pending applications, license suspension or revocation, withdrawal of an approval, untitled or warning letters, voluntary or mandatory product recalls, product seizures, total or partial suspension of production or distribution, injunctions, fines, civil penalties or criminal prosecution. Any FDA enforcement action could have a material adverse effect on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300" w:right="82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and nonclinical animal studies, all performed in accordance with the Good Laboratory Practices (“GLP”) regulations;</w:t>
      </w:r>
    </w:p>
    <w:p>
      <w:pPr>
        <w:spacing w:after="0" w:line="62" w:lineRule="exact"/>
        <w:rPr>
          <w:rFonts w:ascii="Arial" w:cs="Arial" w:eastAsia="Arial" w:hAnsi="Arial"/>
          <w:sz w:val="18"/>
          <w:szCs w:val="18"/>
          <w:color w:val="auto"/>
        </w:rPr>
      </w:pPr>
    </w:p>
    <w:p>
      <w:pPr>
        <w:ind w:left="1300" w:right="4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begin and must be updated annually;</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representing each clinical site before each clinical trial may be initiated;</w:t>
      </w:r>
    </w:p>
    <w:p>
      <w:pPr>
        <w:spacing w:after="0" w:line="62" w:lineRule="exact"/>
        <w:rPr>
          <w:rFonts w:ascii="Arial" w:cs="Arial" w:eastAsia="Arial" w:hAnsi="Arial"/>
          <w:sz w:val="18"/>
          <w:szCs w:val="18"/>
          <w:color w:val="auto"/>
        </w:rPr>
      </w:pPr>
    </w:p>
    <w:p>
      <w:pPr>
        <w:ind w:left="1300" w:right="18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(“GCPs”) to establish the safety and efficacy of the product candidate for each proposed indication;</w:t>
      </w:r>
    </w:p>
    <w:p>
      <w:pPr>
        <w:spacing w:after="0" w:line="62" w:lineRule="exact"/>
        <w:rPr>
          <w:rFonts w:ascii="Arial" w:cs="Arial" w:eastAsia="Arial" w:hAnsi="Arial"/>
          <w:sz w:val="18"/>
          <w:szCs w:val="18"/>
          <w:color w:val="auto"/>
        </w:rPr>
      </w:pPr>
    </w:p>
    <w:p>
      <w:pPr>
        <w:ind w:left="1300" w:right="86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(“BLA”) or a new drug application (“NDA”) after completion of all pivotal clinical trials;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the product application by an FDA advisory committee, where appropriate and if applicable;</w:t>
      </w:r>
    </w:p>
    <w:p>
      <w:pPr>
        <w:spacing w:after="0" w:line="117" w:lineRule="exact"/>
        <w:rPr>
          <w:rFonts w:ascii="Arial" w:cs="Arial" w:eastAsia="Arial" w:hAnsi="Arial"/>
          <w:sz w:val="18"/>
          <w:szCs w:val="18"/>
          <w:color w:val="auto"/>
        </w:rPr>
      </w:pPr>
    </w:p>
    <w:p>
      <w:pPr>
        <w:ind w:left="1300" w:right="38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product is produced to assess compliance with current Good Manufacturing Practices (“cGMP”);</w:t>
      </w:r>
    </w:p>
    <w:p>
      <w:pPr>
        <w:spacing w:after="0" w:line="62" w:lineRule="exact"/>
        <w:rPr>
          <w:rFonts w:ascii="Arial" w:cs="Arial" w:eastAsia="Arial" w:hAnsi="Arial"/>
          <w:sz w:val="18"/>
          <w:szCs w:val="18"/>
          <w:color w:val="auto"/>
        </w:rPr>
      </w:pPr>
    </w:p>
    <w:p>
      <w:pPr>
        <w:ind w:left="1300" w:right="10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BLA or NDA; and</w:t>
      </w:r>
    </w:p>
    <w:p>
      <w:pPr>
        <w:spacing w:after="0" w:line="62" w:lineRule="exact"/>
        <w:rPr>
          <w:rFonts w:ascii="Arial" w:cs="Arial" w:eastAsia="Arial" w:hAnsi="Arial"/>
          <w:sz w:val="18"/>
          <w:szCs w:val="18"/>
          <w:color w:val="auto"/>
        </w:rPr>
      </w:pPr>
    </w:p>
    <w:p>
      <w:pPr>
        <w:ind w:left="1300" w:right="8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a BLA for a biologic candidate that is safe, pure, and potent or an NDA for a drug candidate that is safe and effective prior to any commercial marketing or sale of the product in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640"/>
        <w:spacing w:after="0" w:line="277" w:lineRule="auto"/>
        <w:rPr>
          <w:sz w:val="20"/>
          <w:szCs w:val="20"/>
          <w:color w:val="auto"/>
        </w:rPr>
      </w:pPr>
      <w:r>
        <w:rPr>
          <w:rFonts w:ascii="Arial" w:cs="Arial" w:eastAsia="Arial" w:hAnsi="Arial"/>
          <w:sz w:val="18"/>
          <w:szCs w:val="18"/>
          <w:color w:val="auto"/>
        </w:rPr>
        <w:t>The nonclinical and clinical testing and approval process requires substantial time, effort and financial resources, and we cannot be certain that any approvals for our product candidates will be granted on a timely basis, if at all.</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 IND is a request for authorization from the FDA to administer an investigational new drug or biological product to humans in clinical trials. The central focus of an IND submission is on the general investigational plan, the protocol(s) for human trials and the safety of study participants.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clinical trials and may impose a partial clinical hold that would limit trials, for example, to certain doses or for a certain length of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Clinical trials involve the administration of the investigational new drug or biological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inclusion and exclusion criteria,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completed. There are also requirements governing the reporting of ongoing clinical trials and clinical trial results to public registries.</w:t>
      </w:r>
    </w:p>
    <w:p>
      <w:pPr>
        <w:spacing w:after="0" w:line="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clinical investigation of a drug or biological product is generally divided into three or four phases. Although the phases are usually conducted sequentially, they may overlap or be combined.</w:t>
      </w:r>
    </w:p>
    <w:p>
      <w:pPr>
        <w:spacing w:after="0" w:line="62" w:lineRule="exact"/>
        <w:rPr>
          <w:sz w:val="20"/>
          <w:szCs w:val="20"/>
          <w:color w:val="auto"/>
        </w:rPr>
      </w:pPr>
    </w:p>
    <w:p>
      <w:pPr>
        <w:ind w:left="1300" w:right="20" w:hanging="442"/>
        <w:spacing w:after="0" w:line="311"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The drug or biological product is initially introduced into healthy human subjects or patients with the target disease or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These studies are designed to evaluate the safety, dosage tolerance, metabolism and pharmacologic actions of the investigational product in humans, the side effects associated with increasing doses, and if possible, to gain early evidence on effectiveness.</w:t>
      </w:r>
    </w:p>
    <w:p>
      <w:pPr>
        <w:spacing w:after="0" w:line="40" w:lineRule="exact"/>
        <w:rPr>
          <w:rFonts w:ascii="Arial" w:cs="Arial" w:eastAsia="Arial" w:hAnsi="Arial"/>
          <w:sz w:val="16"/>
          <w:szCs w:val="16"/>
          <w:color w:val="auto"/>
        </w:rPr>
      </w:pPr>
    </w:p>
    <w:p>
      <w:pPr>
        <w:ind w:left="1300" w:right="380" w:hanging="44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investigational product is administered to a limited patient population to evaluate dosage tolerance and optimal dosage,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possible adverse side effects and safety risks, and preliminarily evaluate efficacy.</w:t>
      </w:r>
    </w:p>
    <w:p>
      <w:pPr>
        <w:spacing w:after="0" w:line="62" w:lineRule="exact"/>
        <w:rPr>
          <w:rFonts w:ascii="Arial" w:cs="Arial" w:eastAsia="Arial" w:hAnsi="Arial"/>
          <w:sz w:val="18"/>
          <w:szCs w:val="18"/>
          <w:color w:val="auto"/>
        </w:rPr>
      </w:pPr>
    </w:p>
    <w:p>
      <w:pPr>
        <w:ind w:left="1300" w:hanging="442"/>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investigational product is administered to an expanded patient population, generally at geographically dispersed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sites to generate enough data to statistically evaluate dosage, clinical effectiveness and safety (or safety, purity, and potency for biological products), to evaluate the overall benefit-risk profile of the investigational product, and to provide an adequate basis for physician labeling.</w:t>
      </w:r>
    </w:p>
    <w:p>
      <w:pPr>
        <w:spacing w:after="0" w:line="78" w:lineRule="exact"/>
        <w:rPr>
          <w:rFonts w:ascii="Arial" w:cs="Arial" w:eastAsia="Arial" w:hAnsi="Arial"/>
          <w:sz w:val="18"/>
          <w:szCs w:val="18"/>
          <w:color w:val="auto"/>
        </w:rPr>
      </w:pPr>
    </w:p>
    <w:p>
      <w:pPr>
        <w:ind w:left="1300" w:right="140" w:hanging="442"/>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Phase 4. </w:t>
      </w:r>
      <w:r>
        <w:rPr>
          <w:rFonts w:ascii="Arial" w:cs="Arial" w:eastAsia="Arial" w:hAnsi="Arial"/>
          <w:sz w:val="18"/>
          <w:szCs w:val="18"/>
          <w:color w:val="auto"/>
        </w:rPr>
        <w:t>In some cases, the FDA may condition approval of a BLA or NDA for a product candidate on the sponsor’s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additional clinical trials after approval. In other cases, a sponsor may voluntarily conduct additional clinical trials after approval to gain more information about the drug or biological product. Such post-approval studies are typically referred to as Phase 4 clinical trials.</w:t>
      </w:r>
    </w:p>
    <w:p>
      <w:pPr>
        <w:spacing w:after="0" w:line="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Sponsors must also report to the FDA, within certain timeframes, serious and unexpected adverse reactions, any clinically important increase in the rate of a serious suspected adverse reaction over that listed in the protocol or investigator’s brochure, or any findings from other studies or animal or in vitro testing that suggest a significant risk in humans exposed to the product candidate.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A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a BLA or NDA to the FDA</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investigational new drug product information is submitted to the FDA in the form of a BLA or NDA requesting approval to market the product for one or more indications. Under federal law, the submission of most BLAs and NDAs is subject to an application user fee. For fiscal year 2020, the application user fee is $2,942,965, and the sponsor of an approved BLA or NDA is also subject to an annual program fee of $325,424 for each approved prescription drug or biological product on the market. These fees are typically increased annually. Applications for orphan drug products are exempted from the BLA and NDA user fees and may be exempted from program fees, unless the application includes an indication for other than a rare disease or condition.</w:t>
      </w:r>
    </w:p>
    <w:p>
      <w:pPr>
        <w:spacing w:after="0" w:line="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 BLA or NDA must include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trials initiated by investigators. To support marketing approval, the data submitted must be sufficient in quality and quantity to establish the safety and effectiveness of the investigational new drug product to the satisfaction of the FDA.</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Once a BLA or NDA has been accepted for filing, the FDA’s goal for novel drug and biological products generally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by the FDA’s requests for additional information or clarification.</w:t>
      </w:r>
    </w:p>
    <w:p>
      <w:pPr>
        <w:spacing w:after="0" w:line="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Before approving a BLA or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or NDA, the FDA will typically inspect one or more clinical sites to assure compliance with GCP.</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FDA is required to refer an application for a novel drug or biological product to an advisory committee or explain why such referral was not made.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FDA’s Decision on a BLA or NDA</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After the FDA evaluates the BLA or NDA and conducts relevant inspections,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will identify the deficiencies that prevent the FDA from approving the application and may require additional clinical data or an additional Phase 3 clinical trial(s), or other significant, expensive and time-consuming requirements related to clinical trials, nonclinical studies or manufacturing. Even if such additional information is submitted, the FDA may ultimately decide that the BLA or NDA does not satisfy the criteria for approval and issue a denial.</w:t>
      </w:r>
    </w:p>
    <w:p>
      <w:pPr>
        <w:spacing w:after="0" w:line="7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FDA could also approve the BLA or NDA with a Risk Evaluation and Mitigation Strategy (“REMS”) program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w:t>
      </w:r>
    </w:p>
    <w:p>
      <w:pPr>
        <w:spacing w:after="0" w:line="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New government requirements, including those resulting from new legislation, may be established, or the FDA’s policies may change, which could delay or prevent regulatory approval of our products under development.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Expedited Review and Accelerated Approval Programs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BLAs and NDAs. For example, Fast Track Designation may be granted to a drug intended for treatment of a serious or life-threatening disease or condition that has potential to address unmet medical needs. The key benefits of fast track designation are more frequent interactions with the FDA during development and testing, the eligibility for priority review, and rolling review, which is submission of portions of an application before the complete marketing application is submitted.</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results of the Phase 3 clinical trial(s) submitted in a BLA or NDA, the FDA may grant the BLA or NDA a priority review designation, which sets the target date for FDA action on the application for a novel product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Under the accelerated approval program, the FDA may approve a BLA or NDA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trials or completion of ongoing trials after marketing approval are generally required to verify the drug’s clinical benefit in relationship to the surrogate endpoint or ultimate outcome in relationship to the clinical benefit.</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benefits of breakthrough therapy designation include the same benefits as a Fast Track designation, in addition to intensive guidance from FDA to ensure an efficient drug development program.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7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Drug manufacturers are subject to periodic unannounced inspections by the FDA and state agencies for compliance with cGMP requirements.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may require substantial resources to correct. In addition, discovery of previously unknown problems with a product or the failure to comply with applicable requirements may result in restrictions on a product, manufacturer or holder of an approved BLA or NDA, including withdrawal or recall of the product from the market or other voluntary, FDA-initiated or judicial action that could delay or prohibit further marketing.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280"/>
        <w:spacing w:after="0" w:line="254"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FDA has authority to require post-market studies, in certain circumstances, on reduced effectiveness of a drug and FDA may require labeling changes related to new reduced effectiveness information. Other potential consequences of a failure to maintain regulatory compliance include, among other things:</w:t>
      </w:r>
    </w:p>
    <w:p>
      <w:pPr>
        <w:spacing w:after="0" w:line="87" w:lineRule="exact"/>
        <w:rPr>
          <w:sz w:val="20"/>
          <w:szCs w:val="20"/>
          <w:color w:val="auto"/>
        </w:rPr>
      </w:pPr>
    </w:p>
    <w:p>
      <w:pPr>
        <w:ind w:left="1300" w:hanging="44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fines, untitled or warning letters or holds on post-approval clinical trials;</w:t>
      </w:r>
    </w:p>
    <w:p>
      <w:pPr>
        <w:spacing w:after="0" w:line="117" w:lineRule="exact"/>
        <w:rPr>
          <w:rFonts w:ascii="Arial" w:cs="Arial" w:eastAsia="Arial" w:hAnsi="Arial"/>
          <w:sz w:val="18"/>
          <w:szCs w:val="18"/>
          <w:color w:val="auto"/>
        </w:rPr>
      </w:pPr>
    </w:p>
    <w:p>
      <w:pPr>
        <w:ind w:left="1300" w:right="500" w:hanging="44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refusal of the FDA to approve pending BLAs or NDAs or supplements to approved BLAs or NDAs, or suspension or revocation of product license approvals;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Trials and Exclusivity</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sponsor who is planning to submit a marketing application for a drug that includes a new active ingredient, new indication, new dosage form, new dosing regimen or new route of administration must submit an initial Pediatric Study Plan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Generally, development program candidates designated as orphan drugs are exempt from the above requirements. FDA and the sponsor must reach agreement on the PSP. A sponsor can submit amendments to an agreed upon initial PSP at any time if changes to the pediatric plan need to be considered based on data collected from nonclinical studies, early phase clinical trials, and/or other clinical development programs.</w:t>
      </w:r>
    </w:p>
    <w:p>
      <w:pPr>
        <w:spacing w:after="0" w:line="5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Pediatric exclusivity is another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 BLA or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FDA-requested pediatric trials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accept or approve another application relying on the BLA or NDA sponsor’s data.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or NDA, plus the time between the submission date and the approval of that application. Only one patent applicable to an approved product is eligible for the extension and the application for the extension must be submitted prior to the expiration of the patent and within 60 days of the product’s approval.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 or NDA.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Patient Protection and Affordable Care Act (“Affordable Care Act”) signed into law on March 23, 2010, includes a subtitle called the Biologics Price Competition and Innovation Act of 2009 (“BPCI Act”) which created an abbreviated approval pathway for biological products shown to be similar to, or interchangeable with, an FDA-licensed reference biological product. This amendment to the PHSA attempts to minimize duplicative testing. Biosimilarity, which requires that there be no clinically meaningful differences between the proposed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A reference biologic is granted twelve years of exclusivity from the time of first licensure of the reference product.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New Drug Applications (“ANDA”) for Generic Drugs</w:t>
      </w:r>
    </w:p>
    <w:p>
      <w:pPr>
        <w:spacing w:after="0" w:line="117"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In 1984, with passage of the Hatch-Waxman Amendments,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nonclinical and clinical testing previously conducted for a drug product previously approved under an NDA, known as the reference listed drug (“RLD”).</w:t>
      </w:r>
    </w:p>
    <w:p>
      <w:pPr>
        <w:spacing w:after="0" w:line="6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Specifically, in order for an ANDA to be approved, the FDA must find that the generic version is the same as the RLD with respect to the active ingredient(s), the route of administration, the dosage form, the strength of the drug and the labeling (with certain exceptions). At the same time, the FDA must also determine that the generic drug is “bioequivalent” to the innovator drug. Under the statute, a generic drug is bioequivalent to an RLD if “the rate and extent of absorption of the [generic] drug do not show a significant difference from the rate and extent of absorption of the listed drug.”</w:t>
      </w:r>
    </w:p>
    <w:p>
      <w:pPr>
        <w:spacing w:after="0" w:line="4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Upon approval of an ANDA, the FDA assigns a therapeutic equivalence rating to the approved generic drug in its publication “Approved Drug Products with Therapeutic Equivalence Evaluations,” also referred to as the “Orange Book.” Physicians and pharmacists consider an “A” therapeutic equivalence rating to mean that a generic drug is fully substitutable for the RLD. In addition, by operation of certain state laws and numerous health insurance programs, the FDA’s designation of an “A” rating often results in substitution of the generic drug without the knowledge or consent of either the prescribing physician or patient.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8" w:name="page19"/>
    <w:bookmarkEnd w:id="18"/>
    <w:p>
      <w:pPr>
        <w:spacing w:after="0" w:line="271" w:lineRule="auto"/>
        <w:rPr>
          <w:sz w:val="20"/>
          <w:szCs w:val="20"/>
          <w:color w:val="auto"/>
        </w:rPr>
      </w:pPr>
      <w:r>
        <w:rPr>
          <w:rFonts w:ascii="Arial" w:cs="Arial" w:eastAsia="Arial" w:hAnsi="Arial"/>
          <w:sz w:val="17"/>
          <w:szCs w:val="17"/>
          <w:color w:val="auto"/>
        </w:rPr>
        <w:t>The FDCA provides a period of five years of non-patent exclusivity for a new drug containing a new chemical entity. In cases where such exclusivity has been granted, an ANDA (or a 505(b)(2) NDA, which is a marketing application in which sponsors may rely on investigations that were not conducted by or for the applicant and for which the applicant has not obtained a right of reference or use from the person by or for whom the investigations were conducted) may not be filed with the FDA until the expiration of five years unless the submission is accompanied by a Paragraph IV certification, discussed below,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Patent Certification and the 30-Month Stay</w:t>
      </w:r>
    </w:p>
    <w:p>
      <w:pPr>
        <w:spacing w:after="0" w:line="11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or 505(b)(2) applicant files its application with the FDA, the applicant is required to certify to the FDA concerning any patents listed for the reference product in the Orange Book, except for patents covering methods of use for which the ANDA or 505(b)(2) applicant is not seeking approval.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a listed patent, the ANDA or 505(b)(2) application will not be approved until the listed patent expires (unless the patent claims only a method-of-using the referenced product and the ANDA or 505(b)(2) applicant indicates that it is not seeking approval of the claimed method of use).</w:t>
      </w: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the applicant has provided a Paragraph IV certification to the FDA, the applicant must also send notice of the Paragraph IV certification to the NDA and patent holders once the ANDA or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application until the earlier of expiration of the patent, a decision in the infringement case that is favorable to the ANDA or 505(b)(2) applicant, or 30 months after the receipt of the Paragraph IV notice (which can be extended if the reference product has 5-year exclusivity and the ANDA or 505(b)(2) application is submitted between 4 and 5 years after approval of the reference product).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Union/Rest of World Government Regulation</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160"/>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authorization application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8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obtain regulatory approval of an investigational medicinal product under European Union regulatory systems, we must submit a marketing authorization application. The content of the BLA or NDA filed in the United States is similar to that required in the European Union, with the exception of, among other things, country-specific document requirements.</w:t>
      </w:r>
    </w:p>
    <w:p>
      <w:pPr>
        <w:spacing w:after="0" w:line="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product licensing, pricing, and reimbursement vary from country to country.</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Countries that are part of the European Union, as well as countries outside of the European Union, have their own governing bodies, requirements, and processes with respect to the approval of pharmaceutical and biologic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Procedures in the European Union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Medicines can be authorized in the European Union by using either the centralized authorization procedure or national authorization procedures.</w:t>
      </w:r>
    </w:p>
    <w:p>
      <w:pPr>
        <w:spacing w:after="0" w:line="129" w:lineRule="exact"/>
        <w:rPr>
          <w:sz w:val="20"/>
          <w:szCs w:val="20"/>
          <w:color w:val="auto"/>
        </w:rPr>
      </w:pPr>
    </w:p>
    <w:p>
      <w:pPr>
        <w:ind w:left="1300" w:right="60" w:hanging="442"/>
        <w:spacing w:after="0" w:line="272"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Centralized procedure. </w:t>
      </w:r>
      <w:r>
        <w:rPr>
          <w:rFonts w:ascii="Arial" w:cs="Arial" w:eastAsia="Arial" w:hAnsi="Arial"/>
          <w:sz w:val="17"/>
          <w:szCs w:val="17"/>
          <w:color w:val="auto"/>
        </w:rPr>
        <w:t>The European Medicines Agency (“EMA”), implemented the centralized procedure for the approval of human</w:t>
      </w:r>
      <w:r>
        <w:rPr>
          <w:rFonts w:ascii="Arial" w:cs="Arial" w:eastAsia="Arial" w:hAnsi="Arial"/>
          <w:sz w:val="17"/>
          <w:szCs w:val="17"/>
          <w:i w:val="1"/>
          <w:iCs w:val="1"/>
          <w:color w:val="auto"/>
        </w:rPr>
        <w:t xml:space="preserve"> </w:t>
      </w:r>
      <w:r>
        <w:rPr>
          <w:rFonts w:ascii="Arial" w:cs="Arial" w:eastAsia="Arial" w:hAnsi="Arial"/>
          <w:sz w:val="17"/>
          <w:szCs w:val="17"/>
          <w:color w:val="auto"/>
        </w:rPr>
        <w:t>medicines to facilitate marketing authorizations that are valid throughout the European Economic Area (“EEA”) which is comprised of the 28-member states of the European Union plus Norway, Iceland, and Lichtenstein.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w:t>
      </w:r>
    </w:p>
    <w:p>
      <w:pPr>
        <w:spacing w:after="0" w:line="69" w:lineRule="exact"/>
        <w:rPr>
          <w:rFonts w:ascii="Arial" w:cs="Arial" w:eastAsia="Arial" w:hAnsi="Arial"/>
          <w:sz w:val="17"/>
          <w:szCs w:val="17"/>
          <w:color w:val="auto"/>
        </w:rPr>
      </w:pPr>
    </w:p>
    <w:p>
      <w:pPr>
        <w:jc w:val="both"/>
        <w:ind w:left="1300" w:right="40" w:hanging="442"/>
        <w:spacing w:after="0" w:line="286"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medicines that do not fall within these categories, an applicant has the option of submitting an application for a centralized marketing authorization to the European Commission following a favorable opinion by the EMA, as long as the medicine concerned is a significant therapeutic, scientific or technical innovation, or if its authorization would be in the interest of public health.</w:t>
      </w:r>
    </w:p>
    <w:p>
      <w:pPr>
        <w:spacing w:after="0" w:line="57" w:lineRule="exact"/>
        <w:rPr>
          <w:rFonts w:ascii="Arial" w:cs="Arial" w:eastAsia="Arial" w:hAnsi="Arial"/>
          <w:sz w:val="17"/>
          <w:szCs w:val="17"/>
          <w:color w:val="auto"/>
        </w:rPr>
      </w:pPr>
    </w:p>
    <w:p>
      <w:pPr>
        <w:ind w:left="1300" w:right="200" w:hanging="442"/>
        <w:spacing w:after="0" w:line="34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National authorization procedures. </w:t>
      </w:r>
      <w:r>
        <w:rPr>
          <w:rFonts w:ascii="Arial" w:cs="Arial" w:eastAsia="Arial" w:hAnsi="Arial"/>
          <w:sz w:val="16"/>
          <w:szCs w:val="16"/>
          <w:color w:val="auto"/>
        </w:rPr>
        <w:t>There are also two other possible routes to authorize medicinal products in several European Union</w:t>
      </w:r>
      <w:r>
        <w:rPr>
          <w:rFonts w:ascii="Arial" w:cs="Arial" w:eastAsia="Arial" w:hAnsi="Arial"/>
          <w:sz w:val="16"/>
          <w:szCs w:val="16"/>
          <w:i w:val="1"/>
          <w:iCs w:val="1"/>
          <w:color w:val="auto"/>
        </w:rPr>
        <w:t xml:space="preserve"> </w:t>
      </w:r>
      <w:r>
        <w:rPr>
          <w:rFonts w:ascii="Arial" w:cs="Arial" w:eastAsia="Arial" w:hAnsi="Arial"/>
          <w:sz w:val="16"/>
          <w:szCs w:val="16"/>
          <w:color w:val="auto"/>
        </w:rPr>
        <w:t>countries, which are available for investigational medicinal products that fall outside the scope of the centralized procedure:</w:t>
      </w:r>
    </w:p>
    <w:p>
      <w:pPr>
        <w:spacing w:after="0" w:line="15" w:lineRule="exact"/>
        <w:rPr>
          <w:rFonts w:ascii="Arial" w:cs="Arial" w:eastAsia="Arial" w:hAnsi="Arial"/>
          <w:sz w:val="16"/>
          <w:szCs w:val="16"/>
          <w:color w:val="auto"/>
        </w:rPr>
      </w:pPr>
    </w:p>
    <w:p>
      <w:pPr>
        <w:jc w:val="both"/>
        <w:ind w:left="1300" w:right="320" w:hanging="442"/>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Using the decentralized procedure, an applicant may apply for simultaneous authorization in more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Union country of medicinal products that have not yet been authorized in any European Union country and that do not fall within the mandatory scope of the centralized procedure.</w:t>
      </w:r>
    </w:p>
    <w:p>
      <w:pPr>
        <w:spacing w:after="0" w:line="75" w:lineRule="exact"/>
        <w:rPr>
          <w:rFonts w:ascii="Arial" w:cs="Arial" w:eastAsia="Arial" w:hAnsi="Arial"/>
          <w:sz w:val="18"/>
          <w:szCs w:val="18"/>
          <w:color w:val="auto"/>
        </w:rPr>
      </w:pPr>
    </w:p>
    <w:p>
      <w:pPr>
        <w:ind w:left="1300" w:right="100" w:hanging="442"/>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Mutual recognition procedure. </w:t>
      </w:r>
      <w:r>
        <w:rPr>
          <w:rFonts w:ascii="Arial" w:cs="Arial" w:eastAsia="Arial" w:hAnsi="Arial"/>
          <w:sz w:val="18"/>
          <w:szCs w:val="18"/>
          <w:color w:val="auto"/>
        </w:rPr>
        <w:t>In the mutual recognition procedure, a medicine is first authorized in one European Union Member State,</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p>
      <w:pPr>
        <w:spacing w:after="0" w:line="7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In some cases, a Pediatric Investigation Plan (“PIP”) or a request for waiver or deferral, is required for submission prior to submitting a marketing authorization application. A PIP describes, among other things, proposed pediatric trials and their timing relative to clinical trials in adults.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New Chemical Entity Exclusivity</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the European Union, new chemical entities, sometimes referred to as new active substances, qualify for eight years of data exclusivity upon marketing authorization and an additional two years of market exclusivity. These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Review</w:t>
      </w:r>
    </w:p>
    <w:p>
      <w:pPr>
        <w:spacing w:after="0" w:line="117"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EMA’s Committee for Medicinal Products for Human Use (“CHMP”)).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clock stops.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obtain regulatory approval. In the United States and markets in other countries, sales of any products for which we receive regulatory approval for commercial sale will depend in part on the availability of coverage and reimbursement from third-party payors, including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 party reimbursement may not be available to enable us to maintain price levels sufficient to realize an appropriate return on our investment in product development.</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collectively, the Affordable Care Act (“ACA”)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Some of the provisions of the Affordable Care Act have yet to be fully implemented, while certain provisions have been subject to judicial and Congressional challenges. For example,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40"/>
        <w:spacing w:after="0" w:line="289" w:lineRule="auto"/>
        <w:rPr>
          <w:sz w:val="20"/>
          <w:szCs w:val="20"/>
          <w:color w:val="auto"/>
        </w:rPr>
      </w:pPr>
      <w:r>
        <w:rPr>
          <w:rFonts w:ascii="Arial" w:cs="Arial" w:eastAsia="Arial" w:hAnsi="Arial"/>
          <w:sz w:val="16"/>
          <w:szCs w:val="16"/>
          <w:color w:val="auto"/>
        </w:rPr>
        <w:t>Other legislative changes have been proposed and adopted since the ACA was enacted.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 judge in the Northern District of Texas ruled that the individual mandate portion of the ACA is an essential and inseverable feature of the ACA, and therefore because the mandate was no longer in effect, the remaining provisions of the ACA are invalid as well. On December 18, 2019, the Fifth Circuit U.S. Court of Appeals held the individual mandate is unconstitutional, but remanded the case to the lower court to reconsider its earlier invalidation of the full ACA. It is unclear how this decision and any subsequent appeals and other efforts to repeal and replace the ACA will impact the ACA and our business. Thus, the full impact of the Affordable Care Act, or any law replacing elements of it, on our business remains unclear. Adoption of government controls and measures and tightening of restrictive policies in jurisdictions with existing controls and measures, could limit payments for pharmaceuticals.</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Further, the Trump administration’s budget proposals for fiscal years 2019 and 2020 contain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 Although a number of these, and other proposed measures may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9" w:lineRule="exact"/>
        <w:rPr>
          <w:sz w:val="20"/>
          <w:szCs w:val="20"/>
          <w:color w:val="auto"/>
        </w:rPr>
      </w:pPr>
    </w:p>
    <w:p>
      <w:pPr>
        <w:ind w:left="1300" w:right="20" w:hanging="442"/>
        <w:spacing w:after="0" w:line="288"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overtly or covertly, in cash or in kind, to induce, or in return for, the purchase or recommendation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In addition, the government may assert that a claim including items or services resulting from a violation of the AKS constitutes a false or fraudulent claim for purposes of the federal False Claims Act or federal civil money penalties statute. Violations of the AKS carry potentially significant civil and criminal penalties, including imprisonment, fines, administrative civil monetary penalties, and exclusion from participation in federal healthcare programs.</w:t>
      </w:r>
    </w:p>
    <w:p>
      <w:pPr>
        <w:spacing w:after="0" w:line="60" w:lineRule="exact"/>
        <w:rPr>
          <w:rFonts w:ascii="Arial" w:cs="Arial" w:eastAsia="Arial" w:hAnsi="Arial"/>
          <w:sz w:val="16"/>
          <w:szCs w:val="16"/>
          <w:color w:val="auto"/>
        </w:rPr>
      </w:pPr>
    </w:p>
    <w:p>
      <w:pPr>
        <w:ind w:left="1300" w:right="20" w:hanging="442"/>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1300" w:right="120" w:hanging="442"/>
        <w:spacing w:after="0" w:line="28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(“FCA”) which prohibit, among other things, individuals or entities from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Companies that submit claims directly to payors may also be liable under the FCA for the direct submission of such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63" w:lineRule="exact"/>
        <w:rPr>
          <w:rFonts w:ascii="Arial" w:cs="Arial" w:eastAsia="Arial" w:hAnsi="Arial"/>
          <w:sz w:val="16"/>
          <w:szCs w:val="16"/>
          <w:color w:val="auto"/>
        </w:rPr>
      </w:pPr>
    </w:p>
    <w:p>
      <w:pPr>
        <w:ind w:left="1300" w:hanging="442"/>
        <w:spacing w:after="0" w:line="29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and its implementing regulations, which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left="1300" w:right="60" w:hanging="442"/>
        <w:spacing w:after="0" w:line="272"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(“HITECH”) and its implementing regulations, which imposes certain requirements on certain covered healthcare providers, health plans, and healthcare clearinghouses, otherwise known as covered entities, relating to the privacy, security and transmission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9" w:lineRule="exact"/>
        <w:rPr>
          <w:rFonts w:ascii="Arial" w:cs="Arial" w:eastAsia="Arial" w:hAnsi="Arial"/>
          <w:sz w:val="17"/>
          <w:szCs w:val="17"/>
          <w:color w:val="auto"/>
        </w:rPr>
      </w:pPr>
    </w:p>
    <w:p>
      <w:pPr>
        <w:ind w:left="1300" w:right="20" w:hanging="442"/>
        <w:spacing w:after="0" w:line="271"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transparency requirements under the Affordable Care Act, including the Physician Payment Sunshine Act, which require drug and biologics manufacturers eligible for payment under Medicare, Medicaid or the Children’s Health Insurance Program to report annually to HHS, information related to payments or other “transfers of value” made or distributed to physicians (defined to include doctors, dentists, optometrists, podiatrists and chiropractors) and teaching hospitals, as well as ownership and investment interests held by the physicians described above and their immediate family members. Failure to submit required information may result in civil monetary penalties for all payments, transfers of value or ownership or investment interests that are not timely, accurately, and completely reported in an annual submission. Effective January 1, 2022, these reporting obligations will extend to include transfers of value made to certain non-physician providers such as physician assistants and nurse practitioners.</w:t>
      </w:r>
    </w:p>
    <w:p>
      <w:pPr>
        <w:spacing w:after="0" w:line="70" w:lineRule="exact"/>
        <w:rPr>
          <w:rFonts w:ascii="Arial" w:cs="Arial" w:eastAsia="Arial" w:hAnsi="Arial"/>
          <w:sz w:val="17"/>
          <w:szCs w:val="17"/>
          <w:color w:val="auto"/>
        </w:rPr>
      </w:pPr>
    </w:p>
    <w:p>
      <w:pPr>
        <w:ind w:left="1300" w:right="340" w:hanging="44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1300" w:right="140" w:hanging="442"/>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7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also subject to the U.S. Foreign Corrupt Practices Act (“FCPA”) which prohibits improper payments or offers of payments to foreign governments and their officials for the purpose of obtaining or retaining business and requires companies to maintain accurate books and records and a system of internal accounting controls.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including environmental, health and safety laws and regulations, we may be subject to penalties, including administrative,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As of December 31, 2019, we had 12 full-time or part-time employees, including 5 employees with doctorate level degrees. Of these employees, 6 employees are engaged in research and development activities and 6 employees are engaged in general and administrative activities. None of our employees are represented by labor unions or covered by collective bargaining agreements. We consider the relationship with our employees to be good.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were originally incorporated in the State of Delaware in November 2007 under the name “Zeta Acquisition Corp. II.” Prior to our merger in March 2017, Zeta Acquisition Corp. II was a “shell” company registered under the Exchange Act with no specific business plan or purpose until it began operating the business of Aerpio through the merger on March 15, 2017 (“the Merger”). Aerpio was incorporated in the State of Delaware in November 2011 to focus primarily on advancing first-in-class treatments for ocular disease. Effective upon the Merger, a wholly-owned subsidiary of Zeta Acquisition Corp. II merged with and into Aerpio, and Aerpio continued as the operating subsidiary of Zeta Acquisition Corp. II. Immediately following the Merger, Aerpio converted into a Delaware limited liability company with the name Aerpio Therapeutics LLC.</w:t>
      </w:r>
    </w:p>
    <w:p>
      <w:pPr>
        <w:spacing w:after="0" w:line="7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corporate headquarters are located at 9987 Carver Road, Cincinnati, Ohio 45242, and our telephone number is (513) 985-1920. We maintain a website at www.aerpio.com, to which we regularly post copies of our press releases as well as additional information about us. Our filings with the Securities and Exchange Commission (“SEC”) will be available free of charge through the website as soon as reasonably practicable after being electronically filed with or furnished to the SEC. Information contained in our website does not constitute a part of this prospectus or our other filings with the SEC.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2 of this Annual Report on Form 10-K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incurred net losses each year since our inception, with the exception of the three months ended September 30, 2018 as a result of the upfront Gossamer payment discussed above. For the year ended December 31, 2019, we incurred net losses of $23.3 million, compared to net loss of $10.4 million for the year ended December 31, 2018. As of December 31, 2019, we had an accumulated deficit of $142.2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ability to obtain funding through equity or debt financings, strategic collaborations or grants. In June 2019 we initiated a Phase 1b clinical trial for our lead product candidate, AKB-9778, for a topical drop formulation to treat open angle glaucoma and ocular hypertension. Our other product candidates, including ARP-1536, are in preclinical development. As a result, we expect that it will be several years, if ever, before we have a product candidate ready for commercialization. Even if we obtain regulatory approval to market AKB-9778 or any of our other product candidates, our future revenues will depend upon the size of any markets in which AKB-9778 or any of our other product candidates has received approval, our ability to achieve sufficient market acceptance, reimbursement from third-party payors and other factors.</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likely increase significantly if and as we:</w:t>
      </w:r>
    </w:p>
    <w:p>
      <w:pPr>
        <w:spacing w:after="0" w:line="62" w:lineRule="exact"/>
        <w:rPr>
          <w:sz w:val="20"/>
          <w:szCs w:val="20"/>
          <w:color w:val="auto"/>
        </w:rPr>
      </w:pPr>
    </w:p>
    <w:p>
      <w:pPr>
        <w:ind w:left="1300" w:right="20" w:hanging="44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a topical drop formulation of AKB-9778 for the treatment of open angle glaucoma and ocular hypertension, including as we plan to advance into a Phase 2 clinical trial of this product candidate.</w:t>
      </w:r>
    </w:p>
    <w:p>
      <w:pPr>
        <w:spacing w:after="0" w:line="75"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30"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30"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1300" w:right="280" w:hanging="44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AKB-9778, ARP-1536 and other product candidates that we may develop or acquire;</w:t>
      </w:r>
    </w:p>
    <w:p>
      <w:pPr>
        <w:spacing w:after="0" w:line="75"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30"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or in-license other commercial products, product candidates and technologies;</w:t>
      </w:r>
    </w:p>
    <w:p>
      <w:pPr>
        <w:spacing w:after="0" w:line="130"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w:t>
      </w:r>
    </w:p>
    <w:p>
      <w:pPr>
        <w:spacing w:after="0" w:line="130"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130"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ind w:right="300"/>
        <w:spacing w:after="0" w:line="301"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(“FDA”) the European Medicines Agency (“EMA”) or other regulatory authorities to perform studies in addition to those currently expected, or if there are any delays in completing our clinical trials or the development of any of our product candidates, our expenses could increase.</w:t>
      </w:r>
    </w:p>
    <w:p>
      <w:pPr>
        <w:spacing w:after="0" w:line="49"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2019, our cash and cash equivalents were $38.5 million. We believe that we will continue to expend substantial resources for the foreseeable future developing AKB-9778 for the indications that we are pursuing, such as OAG and ocular hypertension. Additionally, we expect to expend substantial resources to further develop ARP-1536. We may also expend substantial resources to develop any other product candidates that we may develop or acquire.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300" w:right="160" w:hanging="44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progress, results and cost of continuing our Phase 1 program of AKB-9778 for open angle glaucoma and ocular hypertension and our operating costs incurred as we conduct these trials;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size, rate of progress, results and costs of initiating and completing additional development of AKB-9778;</w:t>
      </w:r>
    </w:p>
    <w:p>
      <w:pPr>
        <w:spacing w:after="0" w:line="117" w:lineRule="exact"/>
        <w:rPr>
          <w:rFonts w:ascii="Arial" w:cs="Arial" w:eastAsia="Arial" w:hAnsi="Arial"/>
          <w:sz w:val="18"/>
          <w:szCs w:val="18"/>
          <w:color w:val="auto"/>
        </w:rPr>
      </w:pPr>
    </w:p>
    <w:p>
      <w:pPr>
        <w:ind w:left="1300" w:right="60" w:hanging="442"/>
        <w:spacing w:after="0" w:line="263"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75" w:lineRule="exact"/>
        <w:rPr>
          <w:rFonts w:ascii="Arial" w:cs="Arial" w:eastAsia="Arial" w:hAnsi="Arial"/>
          <w:sz w:val="18"/>
          <w:szCs w:val="18"/>
          <w:color w:val="auto"/>
        </w:rPr>
      </w:pPr>
    </w:p>
    <w:p>
      <w:pPr>
        <w:ind w:left="1300" w:right="280" w:hanging="44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that we may undertake for ARP-1536 and any other product candidates that we may develop or acquire;</w:t>
      </w:r>
    </w:p>
    <w:p>
      <w:pPr>
        <w:spacing w:after="0" w:line="62" w:lineRule="exact"/>
        <w:rPr>
          <w:rFonts w:ascii="Arial" w:cs="Arial" w:eastAsia="Arial" w:hAnsi="Arial"/>
          <w:sz w:val="18"/>
          <w:szCs w:val="18"/>
          <w:color w:val="auto"/>
        </w:rPr>
      </w:pPr>
    </w:p>
    <w:p>
      <w:pPr>
        <w:ind w:left="1300" w:right="520" w:hanging="44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ARP-1536 if clinical trials of this product candidate are successful;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left="1300" w:right="160" w:hanging="44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300" w:right="320" w:hanging="44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having our product candidates manufactured for clinical trials in preparation for regulatory approval and in preparation for commercialization;</w:t>
      </w:r>
    </w:p>
    <w:p>
      <w:pPr>
        <w:spacing w:after="0" w:line="62" w:lineRule="exact"/>
        <w:rPr>
          <w:rFonts w:ascii="Arial" w:cs="Arial" w:eastAsia="Arial" w:hAnsi="Arial"/>
          <w:sz w:val="18"/>
          <w:szCs w:val="18"/>
          <w:color w:val="auto"/>
        </w:rPr>
      </w:pPr>
    </w:p>
    <w:p>
      <w:pPr>
        <w:ind w:left="1300" w:right="100" w:hanging="44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300" w:right="320" w:hanging="44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6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Based on our current operating plan, and absent any future financings or strategic partnerships, we believe that our existing cash and cash equivalents will be sufficient to fund our projected operating expenses and capital expenditure requirements at least through the second quarter of 2021.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on a timely basis, we may be required to delay, limit, reduce or terminate preclinical studies, clinical trials or other development activities for AKB-9778, ARP-1536 or any other product candidates that we develop or acquire, or delay, limit, reduce or terminate our establishment of sales and marketing capabilities or other activities that may be necessary to commercialize our product candidates.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April 2019, we adopted a realignment plan to reduce operating costs and better align our workforce with the needs of our ongoing business. The realignment plan reduced our workforce by 11 employees, representing approximately 41% of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56"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cannot assure you that our exploration of strategic alternatives will result in a transaction or that any such transaction would be successful, and the process of exploring strategic alternatives or its conclusion could adversely impact our business and our stock price.</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October 2019, we announced the engagement of Evercore, Ladenburg Thalmann &amp; Co. Inc. and Duane Nash, M.D., J.D., M.B.A. to assist us in identifying and evaluating a range of potential strategic alternatives, including an acquisition, company sale, merger, business combination, asset sale, in-license, out-license or other strategic transaction. This strategic alternative process is ongoing. There can be no assurances that the strategic alternatives process will result in the announcement or consummation of any strategic transaction, or that any resulting plans or transactions will yield additional value for shareholders. Any potential transaction would be dependent on a number of factors that may be beyond our control, including, among other things, market conditions, industry trends, the interest of third parties in a potential transaction with us and the availability of financing to potential buyers on reasonable terms.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t>The process of exploring strategic alternatives could adversely impact our business, financial condition and results of operations. We could incur substantial expenses associated with identifying and evaluating potential strategic alternatives, including those related to equity compensation, severance pay and legal, accounting and financial advisory fees. In addition, the process may be time consuming and disruptive to our business operations, could divert the attention of management and the Board of Directors from our business, could negatively impact our ability to attract, retain and motivate key employees, and could expose us to potential litigation in connection with this process or any resulting transaction. Further, speculation regarding any developments related to the review of strategic alternatives and perceived uncertainties related to the future of the Company could cause our stock price to fluctuate significantly.</w:t>
      </w:r>
    </w:p>
    <w:p>
      <w:pPr>
        <w:spacing w:after="0" w:line="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Gossamer for the development and commercialization of AKB-4924. If we are unable to raise additional funds through equity or debt financing when needed, we may be required to delay, limit, reduce or terminate our product development or commercialization efforts for AKB-9778, ARP-1536 or any other product candidates that we develop or acquire, or grant rights to develop and market product candidates that we would otherwise prefer to develop and market ourselves.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our lead product candidate, AKB-9778. Even if we obtain favorable clinical results, we may not be able to obtain regulatory approval for, or successfully commercialize, AKB-9778.</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rely on our lead product candidate, AKB-9778, and our business depends almost entirely on the successful clinical development, regulatory approval and commercialization of that product candidate, which may never occur. In March 2019, we announced top line results of the Phase 2b clinical trial for AKB-9778 in the treatment of non-proliferative diabetic retinopathy. While we believed AKB-9778 had the potential to slow down or possibly reverse retinal vascular changes caused by diabetes, the subcutaneous administration of AKB-9778 twice daily did not meet the study’s primary endpoint of the percentage of patients with an improvement of two or more steps in diabetic retinopathy severity score (DRSS) in the study eye, compared to placebo. In June 2019, we initiated a Phase 1b clinical trial for our lead product candidate, AKB-9778, for a topical drop formulation to treat open angle glaucoma and ocular hypertension. In October 2019, we announced interim results from its Phase 1b clinical trial. The unmasked interim analysis, limited to the first three cohorts, shows the topical ocular administration of AKB-9778 was well tolerated. Compared to placebo, there was a dose dependent increase in minimal to mild conjunctival hyperemia with AKB-9778, which was transient and generally considered non-adverse, and a time and dose dependent reduction IOP that, in the highest QD dose cohort peaked at 4 hours post-dose and was sustained through eight hours on day 7, returning to baseline levels at 24 hours post-dose. Based on these data, a cohort of up to 36 patients with OHT/OAG (hypertensive eyes) was added to the ongoing study to assess safety and pilot efficacy in the target patient population, and results were announced in January 2020. These results showed statistically significant decreases in IOP on Day 1 and Day 7 compared to prostaglandin alone. When compared to placebo, AKB-9778 plus prostaglandin produced a statistically significant decrease in IOP versus prostaglandin alone on Day 7. Topical ocular administration of AKB-9778 was well-tolerated over seven days, with 21.9% of subjects experiencing hyperemia compared with 9.1% of subjects in the prostaglandin alone arm. Based on the preclinical proof of concept and the results of the Phase 1b trial showing a reduction in IOP in patients with OHT and OAG, we plan to further advance the glaucoma program into a Phase 2 clinical trial with results expected in the first quarter of 2021.</w:t>
      </w:r>
    </w:p>
    <w:p>
      <w:pPr>
        <w:spacing w:after="0" w:line="2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currently have no products for sale, generate no revenues from sales of any drugs, and may never be able to develop marketable products. AKB-9778 will require substantial additional clinical development, testing, manufacturing process development, and regulatory approval before we are permitted to commence its commercialization. We are currently evaluating development options for ARP-1536, which is our other product candidate that we are developing internally. None of our product candidates has advanced into a pivotal trial, and it may be years before such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AKB-9778.</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we must complete our ongoing clinical trial, Phase 2 and 3 trials, and any additional nonclinical studies or clinical trials required by the FDA. To date, we have not completed any clinical trials of AKB-9778 for open angle glaucoma or ocular hypertension.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AKB-9778 will never obtain regulatory approval. The FDA may delay, limit or deny approval of AKB-9778 for many reasons, including, among others:</w:t>
      </w:r>
    </w:p>
    <w:p>
      <w:pPr>
        <w:spacing w:after="0" w:line="74" w:lineRule="exact"/>
        <w:rPr>
          <w:sz w:val="20"/>
          <w:szCs w:val="20"/>
          <w:color w:val="auto"/>
        </w:rPr>
      </w:pPr>
    </w:p>
    <w:p>
      <w:pPr>
        <w:ind w:left="1300" w:right="640" w:hanging="44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demonstrate that AKB-9778 is safe and effective in treating patients with open angle glaucoma and ocular hypertension to the satisfaction of the FDA;</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results of our clinical trials may not meet the level of statistical or clinical significance required by the FDA for marketing approval;</w:t>
      </w:r>
    </w:p>
    <w:p>
      <w:pPr>
        <w:spacing w:after="0" w:line="140" w:lineRule="exact"/>
        <w:rPr>
          <w:rFonts w:ascii="Arial" w:cs="Arial" w:eastAsia="Arial" w:hAnsi="Arial"/>
          <w:sz w:val="16"/>
          <w:szCs w:val="16"/>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AKB-9778;</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17" w:lineRule="exact"/>
        <w:rPr>
          <w:rFonts w:ascii="Arial" w:cs="Arial" w:eastAsia="Arial" w:hAnsi="Arial"/>
          <w:sz w:val="18"/>
          <w:szCs w:val="18"/>
          <w:color w:val="auto"/>
        </w:rPr>
      </w:pPr>
    </w:p>
    <w:p>
      <w:pPr>
        <w:ind w:left="1300" w:right="300" w:hanging="44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contract research organizations (“CROs”) or the clinical investigators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our CROs or clinical investigators may fail to perform in accordance with the FDA’s good clinical practice (“GCP”) requirements;</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128" w:lineRule="exact"/>
        <w:rPr>
          <w:rFonts w:ascii="Arial" w:cs="Arial" w:eastAsia="Arial" w:hAnsi="Arial"/>
          <w:sz w:val="17"/>
          <w:szCs w:val="17"/>
          <w:color w:val="auto"/>
        </w:rPr>
      </w:pPr>
    </w:p>
    <w:p>
      <w:pPr>
        <w:ind w:left="1300" w:hanging="44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 addition, similar reasons may cause the EMA or other regulatory authorities to delay, limit or deny approval of AKB-9778 outside the United States.</w:t>
      </w:r>
    </w:p>
    <w:p>
      <w:pPr>
        <w:spacing w:after="0" w:line="14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AKB-9778. Because our business is substantially dependent upon AKB-9778, any such setback in our pursuit of regulatory approval would have a material adverse effect on our business and prospects.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(“REMS”) for a product, which could impose restrictions on its distribution. Any of the foregoing scenarios could materially harm the commercial prospects for our product candidates.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have not obtained agreement with the FDA, EMA or other regulatory authorities on the design of our development programs.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not obtained agreement with the FDA on the design of our planned development programs for AKB-9778 or any other product candidate. As we progress this candidate through clinical trials, the FDA may determine that we would be required to conduct additional clinical trials. The FDA could also disagree with our proposed design of our planned development programs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our clinical trials meet their primary endpoints. The FDA also may require that we conduct additional clinical, nonclinical or manufacturing validation studies and submit that data before it will consider an NDA application.</w:t>
      </w:r>
    </w:p>
    <w:p>
      <w:pPr>
        <w:spacing w:after="0" w:line="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not yet sought guidance for the regulatory path for the topical formulation of AKB-9778 for open angle glaucoma and ocular hypertension with the FDA, EMA or other regulatory authorities. We cannot predict what additional requirements may be imposed by these regulatory authorities or how such requirements might delay or increase costs for our planned development programs. Because our business is almost entirely dependent upon the successful development, regulatory approval, and commercialization of AKB-9778, any such delay or increase in costs would have an adverse effect on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AKB-9778 or any other product candidate in relation to available therapies or other products under development;</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300"/>
        <w:spacing w:after="0" w:line="277" w:lineRule="auto"/>
        <w:rPr>
          <w:sz w:val="20"/>
          <w:szCs w:val="20"/>
          <w:color w:val="auto"/>
        </w:rPr>
      </w:pPr>
      <w:r>
        <w:rPr>
          <w:rFonts w:ascii="Arial" w:cs="Arial" w:eastAsia="Arial" w:hAnsi="Arial"/>
          <w:sz w:val="18"/>
          <w:szCs w:val="18"/>
          <w:b w:val="1"/>
          <w:bCs w:val="1"/>
          <w:i w:val="1"/>
          <w:iCs w:val="1"/>
          <w:color w:val="auto"/>
        </w:rPr>
        <w:t>Business interruptions resulting from the COVID-19 coronavirus or similar public health crises could cause a disruption of the development of our product candidates and adversely impact our business.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Public health crises such as pandemics or similar outbreaks could adversely impact our business. In December 2019, a novel strain of coronavirus, or COVID-19, was reported to have surfaced in Wuhan, China and has reached multiple other countries, resulting in government-imposed quarantines, travel restrictions and other public health safety measures in numerous countries. The extent to which the coronavirus impacts our operations will depend on future developments, which are highly uncertain and cannot be predicted with confidence, including the duration of the outbreak, new information that may emerge concerning the severity of the coronavirus and the actions to contain the coronavirus or treat its impact, among others.</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timely enrollment in our clinical trials is dependent upon clinical trial sites which may be adversely affected by global health matters, such as pandemics. For example, we are currently planning to conduct a Phase 2 clinical trial for AKB-9778, and our trial sites may be located in geographies that may be affected by the coronavirus. Some factors from the coronavirus outbreak that may adversely affect enrollment in the clinical trials of our product candidates include:</w:t>
      </w:r>
    </w:p>
    <w:p>
      <w:pPr>
        <w:spacing w:after="0" w:line="79" w:lineRule="exact"/>
        <w:rPr>
          <w:sz w:val="20"/>
          <w:szCs w:val="20"/>
          <w:color w:val="auto"/>
        </w:rPr>
      </w:pPr>
    </w:p>
    <w:p>
      <w:pPr>
        <w:ind w:left="1080" w:right="16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limitations on travel that could interrupt key trial activities, such as clinical trial site initiations and monitoring, domestic and international travel by employees, contractors or patients to clinical trial sites, and delay or inability to secure visas or entry permission, as applicable;</w:t>
      </w:r>
    </w:p>
    <w:p>
      <w:pPr>
        <w:spacing w:after="0" w:line="15"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 and</w:t>
      </w:r>
    </w:p>
    <w:p>
      <w:pPr>
        <w:spacing w:after="0" w:line="62"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disruptions caused by workplace closures, staffing shortages, travel limitations or mass transit disruptions, that could adversely impact our business operations or delay necessary interactions with local regulators, ethics committees and other important agencies and contractors.</w:t>
      </w:r>
    </w:p>
    <w:p>
      <w:pPr>
        <w:spacing w:after="0" w:line="18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These and other factors arising from the coronavirus could worsen in countries that are already afflicted with the virus or could continue to spread to additional countries, each of which could further adversely impact our ability to conduct clinical trials and our business generally.</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conduct our clinical trials for our product candidates in trial sites outside of the United States, including Japan and the European Union, and seek regulatory approval for our product candidates in major markets in addition to the United States, including the European Union and Japan. Our ability to successfully initiate, enroll and complete a clinical trial in any foreign country, should we attempt to do so, is subject to numerous risks unique to conducting business in international markets, including:</w:t>
      </w:r>
    </w:p>
    <w:p>
      <w:pPr>
        <w:spacing w:after="0" w:line="79" w:lineRule="exact"/>
        <w:rPr>
          <w:sz w:val="20"/>
          <w:szCs w:val="20"/>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1300" w:right="40" w:hanging="44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3" w:name="page34"/>
    <w:bookmarkEnd w:id="33"/>
    <w:p>
      <w:pPr>
        <w:ind w:right="20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of AKB-9778.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we observed encouraging preclinical and clinical results for AKB-9778 in non-proliferative diabetic retinopathy, but this product candidate did not meet the study endpoints in our TIME-2b clinical trial. There can be no assurance that the results of our planned and future clinical trials will produce positive results. In addition, later stage clinical trials are expected to enroll a larger number of subjects and will treat subjects for longer periods than earlier stage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planned clinical development program for AKB-9778, and we do not know whether planned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17" w:lineRule="exact"/>
        <w:rPr>
          <w:rFonts w:ascii="Arial" w:cs="Arial" w:eastAsia="Arial" w:hAnsi="Arial"/>
          <w:sz w:val="18"/>
          <w:szCs w:val="18"/>
          <w:color w:val="auto"/>
        </w:rPr>
      </w:pPr>
    </w:p>
    <w:p>
      <w:pPr>
        <w:ind w:left="1300" w:right="58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institutional review board (“IRB”) approval at each site;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120"/>
        <w:spacing w:after="0" w:line="271" w:lineRule="auto"/>
        <w:rPr>
          <w:sz w:val="20"/>
          <w:szCs w:val="20"/>
          <w:color w:val="auto"/>
        </w:rPr>
      </w:pPr>
      <w:r>
        <w:rPr>
          <w:rFonts w:ascii="Arial" w:cs="Arial" w:eastAsia="Arial" w:hAnsi="Arial"/>
          <w:sz w:val="17"/>
          <w:szCs w:val="17"/>
          <w:color w:val="auto"/>
        </w:rPr>
        <w:t>We could encounter delays if a clinical trial is suspended or terminated by us, by the relevant IRBs at the sites at which such trials are being conducted, by the Data Safety Monitoring Board (“DSMB”) for such trial or by the FDA or other regulatory authorities. Such authorities may impose such a suspension or termination, including a clinical hold,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including those experienced by other product candidates in the same class as our product candidates,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70"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4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(“cGMP”) requirements and GCP requirements for any clinical trials that we conduct post-approval.</w:t>
      </w:r>
    </w:p>
    <w:p>
      <w:pPr>
        <w:spacing w:after="0" w:line="8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3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rely on third party CROs and other third parties to assist in managing, monitoring and otherwise carrying out our clinical trials. We expect to continue to rely on third parties, such as CROs, clinical data management organizations, medical institutions and clinical investigators to conduct our clinical trials in the future, including our ongoing Phase 1b clinical trial for AKB-9778. We compete with many other companies for the resources of these third parties.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660"/>
        <w:spacing w:after="0" w:line="277" w:lineRule="auto"/>
        <w:rPr>
          <w:sz w:val="20"/>
          <w:szCs w:val="20"/>
          <w:color w:val="auto"/>
        </w:rPr>
      </w:pPr>
      <w:r>
        <w:rPr>
          <w:rFonts w:ascii="Arial" w:cs="Arial" w:eastAsia="Arial" w:hAnsi="Arial"/>
          <w:sz w:val="18"/>
          <w:szCs w:val="18"/>
          <w:color w:val="auto"/>
        </w:rPr>
        <w:t>third parties on whom we rely may terminate their engagements with us at any time, and having to enter into alternative arrangements would delay development and commercialization of our product candidates.</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5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intend to rely on third parties to conduct some or all aspects of our product manufacturing, and these third parties may not perform satisfactorily.</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6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Any of these third parties may terminate their engagement with us at any time. We currently have arrangements in place for the manufacturing of drug substance and drug product for our planned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Reliance on third party manufacturers entails risks to which we would not be subject if we manufactured the product candidates ourselves, including:</w:t>
      </w:r>
    </w:p>
    <w:p>
      <w:pPr>
        <w:spacing w:after="0" w:line="129" w:lineRule="exact"/>
        <w:rPr>
          <w:sz w:val="20"/>
          <w:szCs w:val="20"/>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1300" w:right="100" w:hanging="44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as a result of using third party manufacturers for all aspects of manufacturing activities, including regulatory compliance and quality assurance;</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300" w:right="40" w:hanging="442"/>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3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7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reliance on contract manufacturers may adversely affect our operations or result in unforeseen delays or other problems beyond our control. Because of contractual restraints and the limited number of third-party manufacturers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ind w:right="240"/>
        <w:spacing w:after="0" w:line="263" w:lineRule="auto"/>
        <w:rPr>
          <w:sz w:val="20"/>
          <w:szCs w:val="20"/>
          <w:color w:val="auto"/>
        </w:rPr>
      </w:pPr>
      <w:r>
        <w:rPr>
          <w:rFonts w:ascii="Arial" w:cs="Arial" w:eastAsia="Arial" w:hAnsi="Arial"/>
          <w:sz w:val="18"/>
          <w:szCs w:val="18"/>
          <w:color w:val="auto"/>
        </w:rPr>
        <w:t>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76" w:lineRule="exact"/>
        <w:rPr>
          <w:sz w:val="20"/>
          <w:szCs w:val="20"/>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compliance with strictly enforced federal, state and foreign regulations that vary in each country where a product might be sold; and</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delay or interruption in our supply of product candidates could have a material adverse effect on our business, financial condition, results of operations and cash flows.</w:t>
      </w:r>
    </w:p>
    <w:p>
      <w:pPr>
        <w:spacing w:after="0" w:line="62"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approved, we plan to commercialize AKB-9778 ourselves in the United States and intend to seek one or more strategic collaborators to commercialize AKB-9778 in additional markets.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5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June 24, 2018, we entered into a license agreement with Gossamer pursuant to which we granted to Gossamer an exclusive, sublicensable license to develop and commercialize AKB-4924 and other structurally related products worldwide. We received an upfront payment of $20.0 million in connection with this license and are eligible to receive additional development and milestone payments contingent upon the achievement of specified milestones.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license agreement for an uncured material breach by the other party or upon the bankruptcy or insolvency of the other party. In addition, Gossamer may terminate the license agreement in the event it determines that there is a potential safety or efficacy issue with the licensed products. Therefore, there can be no assurance that the license agreement will continue for its full duration or that we will realize the intended benefits of the license agreement.</w:t>
      </w:r>
    </w:p>
    <w:p>
      <w:pPr>
        <w:spacing w:after="0" w:line="6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60"/>
        <w:spacing w:after="0" w:line="277" w:lineRule="auto"/>
        <w:rPr>
          <w:sz w:val="20"/>
          <w:szCs w:val="20"/>
          <w:color w:val="auto"/>
        </w:rPr>
      </w:pPr>
      <w:r>
        <w:rPr>
          <w:rFonts w:ascii="Arial" w:cs="Arial" w:eastAsia="Arial" w:hAnsi="Arial"/>
          <w:sz w:val="18"/>
          <w:szCs w:val="18"/>
          <w:color w:val="auto"/>
        </w:rPr>
        <w:t>additional financing, hire additional employees and otherwise develop expertise. This could negatively affect the development of any product candidate for which we do not locate a suitable strategic partner.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5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7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w:t>
      </w:r>
    </w:p>
    <w:p>
      <w:pPr>
        <w:spacing w:after="0" w:line="8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Moreover, the inventors of our patents or patent applications or our scientific consultants may become involved with competitors, develop products or processes which design around our patents, or become hostile to us or the patents or patent applications on which they are named as inventors. Likewise, our collaborators may become hostile to us or develop products or processes that are adjacent to or compete with us, including products and processes outside the scope of our patents. For example, a hostile collaborator may use technology similar to ours to pursue treatment of an indication that we plan to pursue, and may obtain approval for a product before we do. A hostile collaborator may file patent applications based on information learned from us. Such patent applications may become prior art that will be detrimental to future patent applications by us on similar technology.</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(“USPTO”) to determine who was the first to invent any of the subject matter covered by the patent claims of our applications. For applications containing a claim not entitled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60"/>
        <w:spacing w:after="0" w:line="296" w:lineRule="auto"/>
        <w:rPr>
          <w:sz w:val="20"/>
          <w:szCs w:val="20"/>
          <w:color w:val="auto"/>
        </w:rPr>
      </w:pPr>
      <w:r>
        <w:rPr>
          <w:rFonts w:ascii="Arial" w:cs="Arial" w:eastAsia="Arial" w:hAnsi="Arial"/>
          <w:sz w:val="16"/>
          <w:szCs w:val="16"/>
          <w:color w:val="auto"/>
        </w:rPr>
        <w:t>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5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conducted our patent prosecution in accordance with the duty of candor and in good faith. The outcome following such a challenge is unpredictable.</w:t>
      </w:r>
    </w:p>
    <w:p>
      <w:pPr>
        <w:spacing w:after="0" w:line="1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5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6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our reliance on third parties may be exploited by a third party with knowledge of our company, including knowledge of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 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While our product candidates are in preclinical studies and clinical trials, we believe that the use of our product candidates in these preclinical studies and clinical trials in the United States falls within the scope of the exemptions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spacing w:after="0" w:line="255" w:lineRule="auto"/>
        <w:rPr>
          <w:sz w:val="20"/>
          <w:szCs w:val="20"/>
          <w:color w:val="auto"/>
        </w:rPr>
      </w:pPr>
      <w:r>
        <w:rPr>
          <w:rFonts w:ascii="Arial" w:cs="Arial" w:eastAsia="Arial" w:hAnsi="Arial"/>
          <w:sz w:val="18"/>
          <w:szCs w:val="18"/>
          <w:color w:val="auto"/>
        </w:rPr>
        <w:t>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AKB-9778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6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7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140"/>
        <w:spacing w:after="0" w:line="263" w:lineRule="auto"/>
        <w:rPr>
          <w:sz w:val="20"/>
          <w:szCs w:val="20"/>
          <w:color w:val="auto"/>
        </w:rPr>
      </w:pPr>
      <w:r>
        <w:rPr>
          <w:rFonts w:ascii="Arial" w:cs="Arial" w:eastAsia="Arial" w:hAnsi="Arial"/>
          <w:sz w:val="18"/>
          <w:szCs w:val="18"/>
          <w:color w:val="auto"/>
        </w:rPr>
        <w:t>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60"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obtain marketing approval for AKB-9778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76" w:lineRule="exact"/>
        <w:rPr>
          <w:sz w:val="20"/>
          <w:szCs w:val="20"/>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1300" w:right="540" w:hanging="44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1300" w:right="120" w:hanging="44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For example, the current established treatments for glaucoma are predominantly eye drop drugs such as prostaglandins (e.g., latanoprost), beta blockers (e.g., timolol), carbonic anhydrase inhibitors (e.g., dorozolamide) and alpha agonists (e.g., brimonidine), many of which are generic, and are used as single agent therapies or combinations of a prostaglandin along with another agent. Recently there have been new agents approved including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netarsidil (Rhopress TM, and in combination with latanoprost, Rhoclatan TM) and latanoprostene bunod (Vyzulta TM).</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Unless we demonstrate that AKB-9778 has single agent efficacy as effective as or more effective than current single-agent standard of care, or as effective or more effective in combination with a prostaglandin such as latanoprost as other combination products, prescribers may be resistant to prescribing it for glaucoma.</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7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300" w:right="620" w:hanging="44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products;</w:t>
      </w:r>
    </w:p>
    <w:p>
      <w:pPr>
        <w:spacing w:after="0" w:line="62" w:lineRule="exact"/>
        <w:rPr>
          <w:rFonts w:ascii="Arial" w:cs="Arial" w:eastAsia="Arial" w:hAnsi="Arial"/>
          <w:sz w:val="18"/>
          <w:szCs w:val="18"/>
          <w:color w:val="auto"/>
        </w:rPr>
      </w:pPr>
    </w:p>
    <w:p>
      <w:pPr>
        <w:ind w:left="1300" w:right="180" w:hanging="442"/>
        <w:spacing w:after="0" w:line="263"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75"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17" w:lineRule="exact"/>
        <w:rPr>
          <w:rFonts w:ascii="Arial" w:cs="Arial" w:eastAsia="Arial" w:hAnsi="Arial"/>
          <w:sz w:val="18"/>
          <w:szCs w:val="18"/>
          <w:color w:val="auto"/>
        </w:rPr>
      </w:pPr>
    </w:p>
    <w:p>
      <w:pPr>
        <w:ind w:left="1300" w:right="660" w:hanging="44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future revenues and profitability will be adversely affected if United States and foreign governmental, private third-party insurers and payors and other third-party payors, including Medicare and Medicaid, do not agree to defray or reimburse the cost of our products to the patients. If these entities fail to provide coverage and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6" w:name="page47"/>
    <w:bookmarkEnd w:id="46"/>
    <w:p>
      <w:pPr>
        <w:ind w:right="340"/>
        <w:spacing w:after="0" w:line="296" w:lineRule="auto"/>
        <w:rPr>
          <w:sz w:val="20"/>
          <w:szCs w:val="20"/>
          <w:color w:val="auto"/>
        </w:rPr>
      </w:pPr>
      <w:r>
        <w:rPr>
          <w:rFonts w:ascii="Arial" w:cs="Arial" w:eastAsia="Arial" w:hAnsi="Arial"/>
          <w:sz w:val="16"/>
          <w:szCs w:val="16"/>
          <w:color w:val="auto"/>
        </w:rPr>
        <w:t>reimbursement with respect to our products or provide an insufficient level of coverage and reimbursement, our products may be too costly for some patients to afford them and physicians may not prescribe them. 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53" w:lineRule="exact"/>
        <w:rPr>
          <w:sz w:val="20"/>
          <w:szCs w:val="20"/>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actions and proposals to control and reduce healthcare costs. There have been a number of legislative and regulatory changes and proposed changes regarding the healthcare system that could prevent or delay marketing approval for our product candidates, restrict or regulate post-approval activities and affect our ability to profitably sell any of our products or product candidates for which we obtain marketing approval.</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7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280"/>
        <w:spacing w:after="0" w:line="277" w:lineRule="auto"/>
        <w:rPr>
          <w:sz w:val="20"/>
          <w:szCs w:val="20"/>
          <w:color w:val="auto"/>
        </w:rPr>
      </w:pPr>
      <w:r>
        <w:rPr>
          <w:rFonts w:ascii="Arial" w:cs="Arial" w:eastAsia="Arial" w:hAnsi="Arial"/>
          <w:sz w:val="18"/>
          <w:szCs w:val="18"/>
          <w:color w:val="auto"/>
        </w:rPr>
        <w:t>interpretations of existing laws, regulations or decisions related to healthcare availability, the method of delivery or payment for healthcare products and services could negatively impact our business, operations and financial condition.</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the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70% (as of January 1, 2019 pursuant to subsequent legislation)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and will remain in effect through 2029 unless additional Congressional action is taken.</w:t>
      </w:r>
    </w:p>
    <w:p>
      <w:pPr>
        <w:spacing w:after="0" w:line="6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Since January 2017, President Trump has signed two Executive Orders designed to delay the implementation of certain provisions of the ACA or otherwise circumvent some of the requirements for health insurance mandated by the ACA. One such Executive Order directed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This was appealed to the U.S. Supreme Court, which heard arguments on December 10, 2019. We cannot predict how the U.S. Supreme Court will rule. The effects of this gap in reimbursement on third-party payors, the viability of the ACA marketplace, providers, and potentially our business, are not yet known.</w:t>
      </w:r>
    </w:p>
    <w:p>
      <w:pPr>
        <w:spacing w:after="0" w:line="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to Medicare payments to providers of 2% per fiscal year through 2029.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20"/>
        <w:spacing w:after="0" w:line="255" w:lineRule="auto"/>
        <w:rPr>
          <w:sz w:val="20"/>
          <w:szCs w:val="20"/>
          <w:color w:val="auto"/>
        </w:rPr>
      </w:pPr>
      <w:r>
        <w:rPr>
          <w:rFonts w:ascii="Arial" w:cs="Arial" w:eastAsia="Arial" w:hAnsi="Arial"/>
          <w:sz w:val="18"/>
          <w:szCs w:val="18"/>
          <w:color w:val="auto"/>
        </w:rPr>
        <w:t>judge in the Northern District of Texas ruled that the individual mandate portion of the ACA is an essential and inseverable feature of the ACA, and therefore because the mandate was repealed, the remaining provisions of the ACA are invalid as well. On December 18, 2019, the Fifth Circuit U.S. Court of Appeals held the individual mandate is unconstitutional, and remanded the case to the lower court to reconsider its earlier invalidation of the full ACA. Pending review, the ACA remains in effect, but it is unclear at this time what effect the latest ruling will have on the status of the ACA. Litigation and legislation related to the ACA are likely to continue, with unpredictable and uncertain results. We will continue to evaluate the effect that the ACA and its possible repeal and replacement has on our business.</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Further, the Trump administration’s budget for fiscal years 2019 and 2020 contain further drug price control measures that could be enacted during the budget process or in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 It is unclear what effect such changes will have on our business and our ability to receive adequate reimbursement for our future products.</w:t>
      </w:r>
    </w:p>
    <w:p>
      <w:pPr>
        <w:spacing w:after="0" w:line="6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6" w:lineRule="exact"/>
        <w:rPr>
          <w:sz w:val="20"/>
          <w:szCs w:val="20"/>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AKB-9778 is approved and launched commercially, competing drugs may include generic agents that comprise current standard of care (e.g., latanoprost, timolol, and others) as well as newly approved agents such as Rhopressa, Rhoclatan (Aerie Pharmaceuticals) and Vyzulta (Bausch + Lomb), and others that are in development for the treatment of glaucoma.</w:t>
      </w:r>
    </w:p>
    <w:p>
      <w:pPr>
        <w:spacing w:after="0" w:line="7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Aerie Pharmaceuticals, Baush + Lomb, Santen,</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t>Novartis, ONO, Takeda, Allergan and others compete in the market for products for the treatment of glaucoma.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trials evaluating the safety and tolerability of subcutaneous AKB-9778 have been dizziness and asymptomatic decreases in blood pressure, and these adverse events may occur in future development by this route of administration. The most common adverse event seen in the Phase 1b clinical trial evaluating the safety and tolerability of topical ocular AKB-9778 is mild conjunctival hyperemia.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7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1300" w:right="180" w:hanging="44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highly dependent on members of our senior management, including Joseph Gardner, our President and Founder and former Chief Executive Officer, Kevin G. Peters, our Chief Scientific Officer and acting Chief Medical Officer, and Regina Marek, our Vice President of Finance. The loss of the services of any of these persons could impede the achievement of our research, development and commercialization objectives.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 In addition, in April 2019, we adopted a realignment plan to reduce operating costs and better align our workforce with the needs of our ongoing business. The realignment plan reduced our workforce by 11 employees, representing approximately 41% of our workforce. As a result, while we have undertaken efforts to retain our current employees, we may experience challenges in doing so.</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conduct our business will be limited.</w:t>
      </w:r>
    </w:p>
    <w:p>
      <w:pPr>
        <w:spacing w:after="0" w:line="8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w:t>
      </w:r>
    </w:p>
    <w:p>
      <w:pPr>
        <w:ind w:right="20"/>
        <w:spacing w:after="0" w:line="253" w:lineRule="auto"/>
        <w:rPr>
          <w:sz w:val="20"/>
          <w:szCs w:val="20"/>
          <w:color w:val="auto"/>
        </w:rPr>
      </w:pPr>
      <w:r>
        <w:rPr>
          <w:rFonts w:ascii="Arial" w:cs="Arial" w:eastAsia="Arial" w:hAnsi="Arial"/>
          <w:sz w:val="18"/>
          <w:szCs w:val="18"/>
          <w:color w:val="auto"/>
        </w:rPr>
        <w:t>$10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production efforts. Our failure to comply with these laws and regulations also may result in substantial fines, penalties or other sanctions.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if we sustain cyber-attacks or other privacy or data security incidents that result in security breaches.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arising from the results of the public referendum held in United Kingdom and its membership in the European Union.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However, the terms of the withdrawal have yet to be fully negotiated. The implementation period began February 1, 2020 and will continue until December 31, 2020. During this 11-month period, the United Kingdom will continue to follow all of the European Union’s rules, the European Union’s pharmaceutical law remains applicable to the United Kingdom and the United Kingdom’s trading relationship will remain the same. However, regulations (including financial laws and regulations, tax and free trade agreements, intellectual property rights, data protection laws, supply chain logistics, environmental, health and safety laws and regulations medicine licensing and regulations, immigration laws and employment laws), have yet to be addressed. This lack of clarity on future United Kingdom laws and regulations and their interaction with the European Union laws and regulations may negatively impact foreign direct investment in the United Kingdom, increase costs, depress economic activity and restrict access to capital.</w:t>
      </w:r>
    </w:p>
    <w:p>
      <w:pPr>
        <w:spacing w:after="0" w:line="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5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United Kingdom financial and banking markets, as well as on the regulatory process in Europe. Asset valuations, currency exchange rates and credit ratings may also be subject to increased market volatility.</w:t>
      </w:r>
    </w:p>
    <w:p>
      <w:pPr>
        <w:spacing w:after="0" w:line="8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If the United Kingdom and the European Union are unable to negotiate acceptable agreements or if other European Union Member States pursue withdrawal, barrier-free access between the United Kingdom and other European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jc w:val="both"/>
        <w:ind w:right="240"/>
        <w:spacing w:after="0" w:line="286" w:lineRule="auto"/>
        <w:rPr>
          <w:sz w:val="20"/>
          <w:szCs w:val="20"/>
          <w:color w:val="auto"/>
        </w:rPr>
      </w:pPr>
      <w:r>
        <w:rPr>
          <w:rFonts w:ascii="Arial" w:cs="Arial" w:eastAsia="Arial" w:hAnsi="Arial"/>
          <w:sz w:val="17"/>
          <w:szCs w:val="17"/>
          <w:color w:val="auto"/>
        </w:rPr>
        <w:t>Union Member States or among the European Economic Area overall could be diminished or eliminated. The long-term effects of Brexit will depend on any agreements (or lack thereof) between the United Kingdom and the European Union and, in particular, any arrangements for the United Kingdom to retain access to European Union markets either during a transitional period or more permanently.</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Such a withdrawal from the European Union is unprecedented, and it is unclear how the United Kingdom’s access to the European single market for goods, capital, services and labor within the European Union, or single market, and the wider commercial, legal and regulatory environment, will impact our current and future operations, including our relationships with existing and potential suppliers, manufacturers and other third parties.</w:t>
      </w:r>
    </w:p>
    <w:p>
      <w:pPr>
        <w:spacing w:after="0" w:line="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Depending on the terms of the United Kingdom’s withdrawal from the European Union, the United Kingdom could lose the benefits of global trade agreements negotiated by the European Union on behalf of its members, which may result in increased trade barriers that could make our doing business in the European Union or European Economic Area more difficult. In addition, the measures could potentially have corporate structural consequences, adversely change tax benefits or liabilities in these or other jurisdictions and could disrupt some of the markets and jurisdictions in which we operate. Any of these effects of Brexit, among others, could materially adversely affect the business, business opportunities, and financial condition of our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jc w:val="both"/>
        <w:ind w:right="460"/>
        <w:spacing w:after="0" w:line="375"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6" w:lineRule="exact"/>
        <w:rPr>
          <w:sz w:val="20"/>
          <w:szCs w:val="20"/>
          <w:color w:val="auto"/>
        </w:rPr>
      </w:pPr>
    </w:p>
    <w:p>
      <w:pPr>
        <w:ind w:left="1300" w:right="260" w:hanging="442"/>
        <w:spacing w:after="0" w:line="263"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300" w:right="380" w:hanging="44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regarding the assessment of our internal control over financial reporting;</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300" w:right="300" w:hanging="44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could be an emerging growth company for up to five years,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$250 million as of</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jc w:val="both"/>
        <w:ind w:right="320"/>
        <w:spacing w:after="0" w:line="286" w:lineRule="auto"/>
        <w:rPr>
          <w:sz w:val="20"/>
          <w:szCs w:val="20"/>
          <w:color w:val="auto"/>
        </w:rPr>
      </w:pPr>
      <w:r>
        <w:rPr>
          <w:rFonts w:ascii="Arial" w:cs="Arial" w:eastAsia="Arial" w:hAnsi="Arial"/>
          <w:sz w:val="17"/>
          <w:szCs w:val="17"/>
          <w:color w:val="auto"/>
        </w:rPr>
        <w:t>June 30 in any given year (or $700 million if we had less than $100 million in revenues),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market price of our common stock is likely to be volatile. Since our common stock became listed on Nasdaq Capital Market on June 26, 2018, the trading price of our common stock has ranged from $0.45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57" w:lineRule="exact"/>
        <w:rPr>
          <w:sz w:val="20"/>
          <w:szCs w:val="20"/>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40" w:lineRule="exact"/>
        <w:rPr>
          <w:rFonts w:ascii="Arial" w:cs="Arial" w:eastAsia="Arial" w:hAnsi="Arial"/>
          <w:sz w:val="16"/>
          <w:szCs w:val="16"/>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300" w:right="140" w:hanging="44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There can be no assurances that we will be able to maintain our Nasdaq Capital Market listing in the future. On July 24, 2019, we were notified by Nasdaq Stock Market, LLC (“Nasdaq”)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January 20, 2020, to regain compliance</w:t>
      </w:r>
    </w:p>
    <w:p>
      <w:pPr>
        <w:spacing w:after="0" w:line="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with Nasdaq Listing Rule 5550(a)(2), and allowed us to apply for an extension for an additional 180 calendar days, or until July 18, 2020, if we meet the Nasdaq Capital Market continued listing requirements (except for the bid price requirement) and notify Nasdaq in writing of our intention to cure the deficiency during the second compliance period. To regain compliance, the bid price of our common stock must have a closing bid price of at least $1.00 per share for a minimum of 10 consecutive business days. If we fail to regain compliance during this second 180-day period, then Nasdaq will notify us of its determination to delist our common stock, at which point we will have an opportunity to appeal the delisting determination to a hearings panel.</w:t>
      </w:r>
    </w:p>
    <w:p>
      <w:pPr>
        <w:spacing w:after="0" w:line="6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in the future, or prevent future non-compliance with Nasdaq’s listing requirements. If we cannot restore our compliance with Nasdaq’s listing requirements, we would pursue eligibility for 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8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 registered in that state. If we fail to maintain our Nasdaq Capital Market listing, then we may not be considered to be on a national exchange and do not know whether our securities will be registered or exempt from registration under the laws of any state. A determination regarding registration will be made by those broker-dealers, if any, who agree to serve as market makers for our common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40"/>
        <w:spacing w:after="0" w:line="263" w:lineRule="auto"/>
        <w:rPr>
          <w:sz w:val="20"/>
          <w:szCs w:val="20"/>
          <w:color w:val="auto"/>
        </w:rPr>
      </w:pPr>
      <w:r>
        <w:rPr>
          <w:rFonts w:ascii="Arial" w:cs="Arial" w:eastAsia="Arial" w:hAnsi="Arial"/>
          <w:sz w:val="18"/>
          <w:szCs w:val="18"/>
          <w:color w:val="auto"/>
        </w:rPr>
        <w:t>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December 31, 2019, our executive officers, directors and principal stockholders, together with their respective affiliates, owned approximately 39.6%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2,973,682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currently intend to use our cash and cash equivalents for continuing clinical development of AKB-9778 in patients with open angle glaucoma and ocular hypertension, including our ongoing Phase 1b clinical trial, early research on antibody therapies that inhibit VE-PTP, and for working capital and other general corporate purposes.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jc w:val="both"/>
        <w:ind w:right="40"/>
        <w:spacing w:after="0" w:line="286" w:lineRule="auto"/>
        <w:rPr>
          <w:sz w:val="20"/>
          <w:szCs w:val="20"/>
          <w:color w:val="auto"/>
        </w:rPr>
      </w:pPr>
      <w:r>
        <w:rPr>
          <w:rFonts w:ascii="Arial" w:cs="Arial" w:eastAsia="Arial" w:hAnsi="Arial"/>
          <w:sz w:val="17"/>
          <w:szCs w:val="17"/>
          <w:color w:val="auto"/>
        </w:rPr>
        <w:t>Although we currently intend to use our cash and cash equivalents in such a manner, we will have broad discretion in the application of such cash and cash equivalents. Our failure to apply these funds effectively could affect our ability to continue to develop and commercialize our product candidates. Pending their use, we may invest our cash and cash equivalents in a manner that does not produce income or loses value.</w:t>
      </w:r>
    </w:p>
    <w:p>
      <w:pPr>
        <w:spacing w:after="0" w:line="5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As a result of becoming a public company, we are incurring increased costs and our management devotes substantial time to public company compliance programs.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5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Securities Exchange Act of 1934 as amended (“Exchange Act”),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6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8" w:name="page59"/>
    <w:bookmarkEnd w:id="58"/>
    <w:p>
      <w:pPr>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79"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53" w:lineRule="exact"/>
        <w:rPr>
          <w:sz w:val="20"/>
          <w:szCs w:val="20"/>
          <w:color w:val="auto"/>
        </w:rPr>
      </w:pPr>
    </w:p>
    <w:p>
      <w:pPr>
        <w:jc w:val="both"/>
        <w:ind w:left="1300" w:right="180" w:hanging="442"/>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 create a classified board of directors whose members serve staggered three-year terms;</w:t>
      </w:r>
    </w:p>
    <w:p>
      <w:pPr>
        <w:spacing w:after="0" w:line="75" w:lineRule="exact"/>
        <w:rPr>
          <w:rFonts w:ascii="Arial" w:cs="Arial" w:eastAsia="Arial" w:hAnsi="Arial"/>
          <w:sz w:val="18"/>
          <w:szCs w:val="18"/>
          <w:color w:val="auto"/>
        </w:rPr>
      </w:pPr>
    </w:p>
    <w:p>
      <w:pPr>
        <w:ind w:left="1300" w:right="560" w:hanging="44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300" w:right="260" w:hanging="44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1300" w:right="300" w:hanging="44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1300" w:right="240" w:hanging="44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128" w:lineRule="exact"/>
        <w:rPr>
          <w:rFonts w:ascii="Arial" w:cs="Arial" w:eastAsia="Arial" w:hAnsi="Arial"/>
          <w:sz w:val="17"/>
          <w:szCs w:val="17"/>
          <w:color w:val="auto"/>
        </w:rPr>
      </w:pPr>
    </w:p>
    <w:p>
      <w:pPr>
        <w:ind w:left="1300" w:right="140" w:hanging="44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1300" w:right="140" w:hanging="442"/>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15" w:lineRule="exact"/>
        <w:rPr>
          <w:rFonts w:ascii="Arial" w:cs="Arial" w:eastAsia="Arial" w:hAnsi="Arial"/>
          <w:sz w:val="16"/>
          <w:szCs w:val="16"/>
          <w:color w:val="auto"/>
        </w:rPr>
      </w:pPr>
    </w:p>
    <w:p>
      <w:pPr>
        <w:ind w:left="1300" w:right="180" w:hanging="442"/>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person acquired in excess of 15% of our outstanding voting stock, unless the merger or combination is approved in a prescribed manner.</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net operating losses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6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common stock has been listed on The Nasdaq Capital Market since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consist of 7,580 square feet of leased office space in Cincinnati, Ohio. Our lease expires on July 31, 2021.</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believe our existing facility is adequate to meet our current needs, and that suitable additional alternative spaces will be available in the future on commercially reasonable terms for our future growth.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date of this Annual Report on Form 10-K, we are not currently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1" w:name="page62"/>
    <w:bookmarkEnd w:id="61"/>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00"/>
        <w:spacing w:after="0" w:line="378"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jc w:val="both"/>
        <w:spacing w:after="0" w:line="263" w:lineRule="auto"/>
        <w:rPr>
          <w:sz w:val="20"/>
          <w:szCs w:val="20"/>
          <w:color w:val="auto"/>
        </w:rPr>
      </w:pPr>
      <w:r>
        <w:rPr>
          <w:rFonts w:ascii="Arial" w:cs="Arial" w:eastAsia="Arial" w:hAnsi="Arial"/>
          <w:sz w:val="18"/>
          <w:szCs w:val="18"/>
          <w:color w:val="auto"/>
        </w:rPr>
        <w:t>Our common stock began trading on the OTC Markets – OTCQB Tier on August 8, 2017 and subsequently uplisted to the Nasdaq Capital Market on June 26, 2018 under the symbol “ARPO.” The following table sets forth, for the periods indicated, the high and low intraday sales prices of our common stock as reported by the Nasdaq Capital Market and OTC Markets – OTCQB Tier.</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3"/>
                <w:szCs w:val="13"/>
                <w:color w:val="auto"/>
              </w:rPr>
            </w:pPr>
          </w:p>
        </w:tc>
        <w:tc>
          <w:tcPr>
            <w:tcW w:w="1360" w:type="dxa"/>
            <w:vAlign w:val="bottom"/>
          </w:tcPr>
          <w:p>
            <w:pPr>
              <w:jc w:val="right"/>
              <w:ind w:right="734"/>
              <w:spacing w:after="0" w:line="155"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3"/>
                <w:szCs w:val="13"/>
                <w:color w:val="auto"/>
              </w:rPr>
            </w:pPr>
          </w:p>
        </w:tc>
      </w:tr>
      <w:tr>
        <w:trPr>
          <w:trHeight w:val="22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First Quarter</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4.25</w:t>
            </w:r>
          </w:p>
        </w:tc>
        <w:tc>
          <w:tcPr>
            <w:tcW w:w="42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19"/>
                <w:szCs w:val="19"/>
                <w:color w:val="auto"/>
              </w:rPr>
            </w:pPr>
          </w:p>
        </w:tc>
      </w:tr>
      <w:tr>
        <w:trPr>
          <w:trHeight w:val="229"/>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FF0FC"/>
          </w:tcPr>
          <w:p>
            <w:pPr>
              <w:spacing w:after="0"/>
              <w:rPr>
                <w:sz w:val="19"/>
                <w:szCs w:val="19"/>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Third Quarter</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0.90</w:t>
            </w:r>
          </w:p>
        </w:tc>
        <w:tc>
          <w:tcPr>
            <w:tcW w:w="42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9"/>
                <w:szCs w:val="19"/>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FF0FC"/>
          </w:tcPr>
          <w:p>
            <w:pPr>
              <w:spacing w:after="0"/>
              <w:rPr>
                <w:sz w:val="19"/>
                <w:szCs w:val="19"/>
                <w:color w:val="auto"/>
              </w:rPr>
            </w:pPr>
          </w:p>
        </w:tc>
      </w:tr>
      <w:tr>
        <w:trPr>
          <w:trHeight w:val="459"/>
        </w:trPr>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gridSpan w:val="2"/>
          </w:tcPr>
          <w:p>
            <w:pPr>
              <w:ind w:left="36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4"/>
                <w:szCs w:val="24"/>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Low</w:t>
            </w:r>
          </w:p>
        </w:tc>
      </w:tr>
      <w:tr>
        <w:trPr>
          <w:trHeight w:val="22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First Quarter</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5.25</w:t>
            </w:r>
          </w:p>
        </w:tc>
        <w:tc>
          <w:tcPr>
            <w:tcW w:w="42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FF0FC"/>
          </w:tcPr>
          <w:p>
            <w:pPr>
              <w:spacing w:after="0"/>
              <w:rPr>
                <w:sz w:val="19"/>
                <w:szCs w:val="19"/>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Third Quarter</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9, 2020, there were 125 stockholders of record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have never declared nor paid any cash dividends to stockholders. We do not intend to pay cash dividends on our common stock for the foreseeable future, and currently intend to retain any future earnings to fund our operations and the development and growth of our business. The declaration of any future cash dividends, if any, would be at the discretion of our Board of Directors (subject to limitations imposed under applicable Delaware law) and would depend on our earnings, if any, our capital requirements and financial position, our general economic conditions and other pertinent conditions.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shares of common stock made during the year ended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The following discussion of the financial condition and results of operations of Aerpio Pharmaceuticals, Inc. should be read in conjunction with the consolidated financial statements and the notes to those statements included in this Annual Report on Form 10-K for the year ending December 31, 2019. Some of the information contained in this discussion and analysis, including information with respect to our plans and strategy for our business, includes forward-looking statements that involve risk, uncertainties and assumptions.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Please also refer to the section under the heading “Note Regarding Forward-Looking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Aerpio Pharmaceuticals, Inc. is a biopharmaceutical company focused on developing compounds that activate Tie2 to treat ocular diseases and diabetic complications. In March 2019, we announced the top line results of the Phase 2b (“TIME-2b”) clinical trial which we initiated in June 2017 for the treatment of non-proliferative diabetic retinopathy (“NPDR”) a disease characterized by progressive compromise of blood vessels in the back of the eye. While we believed AKB-9778 had the potential to slow down or possibly reverse retinal vascular changes caused by diabetes, the subcutaneous administration of AKB-9778 twice daily did not meet the study’s primary endpoint of increasing the percentage of patients with an improvement of two or more steps in diabetic retinopathy severity score (“DRSS”) in the study eye, compared to placebo.</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However, the TIME-2b study further supported the reduction of intraocular pressure (“IOP”) seen with subcutaneous AKB-9778 in the previous TIME-2 study. Importantly, IOP is the only identified modifiable risk factor for prevention of vision loss in patients with open angle glaucoma (“OAG”) and ocular hypertension (“OHT”). Moreover, recently published mouse and human genetic data implicate the Angpt/Tie2 pathway in maintenance of Schlemm’s canal, a critical component of the conventional outflow tract. The conventional outflow tract is the main conduit for fluid drainage from the front of the eye and the principle regulator of IOP. Based on these findings, we developed a topical ocular formulation of AKB-9778 and observed in preclinical studies activation of Tie2 in Schlemm’s canal, IOP reduction via enhanced outflow facility and favorable tolerability.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OAG Clinical Trial</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June 2019, we initiated a double-masked, multiple-ascending dose Phase 1b trial and enrolled four cohorts of 12 subjects each. Subjects received increasing daily doses of a topical ocular formulation of AKB-9778 or placebo for seven days. The primary endpoint of the trial was ocular safety and tolerability, with IOP lowering as the key pharmacodynamic endpoint. In October 2019, we announced interim results from our Phase 1b clinical trial. The unmasked interim analysis, limited to the first three cohorts, showed the topical ocular administration of AKB-9778 was well tolerated. Compared to placebo, there was a dose dependent increase in minimal to mild conjunctival hyperemia with AKB-9778, which was transient and generally considered non-adverse, and a time and dose dependent reduction in IOP that, in the highest once daily (“QD”) dose cohort peaked at 4 hours post-dose and was sustained through eight hours on day 7, returning to baseline levels at 24 hours post-dose. Based on these data, a cohort of 43 patients with OHT/OAG (hypertensive eyes) was added to the ongoing study to assess safety and pilot efficacy in the target patient population.</w:t>
      </w:r>
    </w:p>
    <w:p>
      <w:pPr>
        <w:spacing w:after="0" w:line="5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January 2020, we announced the results of the fifth cohort of subjects noting subjects in cohort five randomized to the active arm exhibited statistically significant decreases in IOP at all post-AKB-9778 administration time points on both days 1 and 7 compared with day -1 baseline values when they were being treated with prostaglandin alone. When the change is placebo-corrected, AKB-9778 plus prostaglandin versus prostaglandin alone produced a statistically significant decrease in IOP on Day 7 at 0, 4 and 8 hours post dose as compared to placebo. We believe these results suggest a persistent IOP-lowering activity from adding AKB-9778 to standard-of-care prostaglandin therapy. Topical ocular administration of AKB-9778 was well tolerated over seven days in cohort 5. There were no reports of conjunctival hemorrhage or pain on instillation during the seven days of dosing and no systemic/non-ocular AEs were observed. Based on the preclinical proof of concept and the results of the Phase 1b trial showing a reduction in IOP in patients with OHT and OAG, we plan to further advance the glaucoma program into a Phase 2 clinical trial with results expected in the first quarter of 2021.</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Diabetic Kidney Disease</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two consecutive trials, TIME-2 and TIME-2b, subcutaneous AKB-9778 showed reduction in Urine Albumin-Creatinine Ratio (“UACR”), a measure of progression of diabetic kidney disease. In a post-hoc analysis of the earlier TIME-2 clinical trial, there was a 21% reduction (geometric mean) in UACR from baseline in the AKB-9778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 We believe that systemic treatment with AKB-9778 could have the potential to change the treatment paradigm for diabetics in the future and potentially address a major societal problem by lowering the cost of care associated generally with diabetes.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ARP-1536</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ARP-1536, our humanized monoclonal antibody directed at the same target as subcutaneous AKB-9778, is in preclinical development. We are evaluating development options for ARP-1536, including subcutaneous injection for the treatment of diabetic vascular complications, e.g., diabetic nephropathy and intravitreal injection as an adjunctive therapy for diabetic macular edema.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Bi-specific Antibody</w:t>
      </w:r>
    </w:p>
    <w:p>
      <w:pPr>
        <w:spacing w:after="0" w:line="11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also developing a bispecific antibody that binds both VEGF and VE-PTP which is designed to inhibit VEGF activation and activate Tie2. We believe this bispecific antibody has the potential to be an improved treatment for wet AMD and diabetic macular edema via intravitreal injection.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Gossamer License Agreement</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June 2018, we licensed AKB-4924, a selective stabilizer of hypoxia-inducible factor-1 alpha (“HIF-1 alpha”) to Gossamer Bio, Inc. (“Gossamer”) AKB-4924, (now called GB004), is being developed for the treatment of inflammatory bowel disease (“IBD”). HIF-1 alpha is involved in mucosal wound healing and the reduction of inflammation in the gastrointestinal tract. Gossamer has completed the Phase 1 multiple ascending dose (“MAD”) clinical study and is currently running a Phase 1b clinical study in ulcerative colitis patients. Gossamer has progressed GB004 during 2019 by completing the Phase 1 study in healthy volunteers and initiating a Phase 1b study in ulcerative colitis patients of 28 day duration. Gossamer expects to have results from the Phase 1b study in the first half of 2020. Gossamer is responsible for all remaining development and commercial activities for GB004.</w:t>
      </w:r>
    </w:p>
    <w:p>
      <w:pPr>
        <w:spacing w:after="0" w:line="5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April 2019, we adopted a realignment plan to reduce operating costs and better align our workforce with the needs of our ongoing business. The realignment plan reduced our workforce by 11 employees, representing approximately 41% of our workforce. On October 15, 2019, our Chief Executive Officer and our Chief Financial and Business Officer departed from their positions. Our Chief Executive Officer also resigned as a director. As a result of these actions, we recorded severance expense of $1.9 million during the year ended December 31, 2019 for employee related costs, including severance benefits and payment of healthcare insurance premiums. Additionally, we recorded a one-time stock-based compensation cumulative reversal of $1.1 million during the year ended December 31, 2019 for the forfeitures of outstanding equity awards. We anticipate that such employee related costs will be paid by the fourth quarter of 2020. The total remaining liability under these severance-related actions was $0.8 million as of December 31, 2019.</w:t>
      </w:r>
    </w:p>
    <w:p>
      <w:pPr>
        <w:spacing w:after="0" w:line="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primary source of liquidity to date has been through public and private sales of our common stock, redeemable convertible preferred stock, convertible debt and the proceeds from the License Agreement entered into with Gossamer (“Gossamer License Agreement”).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right="120"/>
        <w:spacing w:after="0" w:line="30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as a result of our ongoing activities.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Except for the Gossamer License Agreement that we entered into with Gossamer in June 2018, our operations to date have been limited to organizing and staffing our Company, business planning, raising capital, acquiring and developing our technology, identifying potential product candidates and undertaking preclinical and clinical studies. For the year ended December 31, 2018, we generated $20.2 million in revenue related to the Gossamer License Agreement and transition services provided to Gossamer. However, there can be no assurance of future revenues either from future payments related to the Gossamer License Agreement, transition services or from our product candidates. Our product candidates are subject to long development cycles, and there is no assurance we will be able to successfully develop, obtain regulatory approval for, or market our product candidates. As of December 31, 2019, we had an accumulated deficit of $142.2 million and anticipate incurring additional losses for the next several years.</w:t>
      </w:r>
    </w:p>
    <w:p>
      <w:pPr>
        <w:spacing w:after="0" w:line="5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$38.5 million at December 31, 2019 and financial condition as of this Annual Report on Form 10-K, we believe our existing cash and cash equivalent will be sufficient to fund currently planned operations at least through the second quarter of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discussion highlights our results of operations and the principal factors that have affected our financial condition as well as our liquidity and capital resources for the periods described and provides information management believes is relevant for an assessment and understanding of the consolidated balance sheets and the consolidated statements of operations and comprehensive loss presented herein. The following discussion and analysis are based on our consolidated financial statements contained in this Annual Report on Form 10-K, which we have prepared in accordance with U.S. generally accepted accounting principles or GAAP. You should read the discussion and analysis together with such consolidated financial statements and the related notes thereto.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 and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relates to the Gossamer License Agreement.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foreseeable future, we expect substantially all of our revenue will be generated from the Gossamer License Agreement and any other collaborations into which we may enter.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(“CRO’s”), and consultants, (iii) the cost of acquiring, developing and manufacturing clinical study materials, and (iv) costs associated with preclinical, clinical and regulatory activities.</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Costs for certain development activities are recognized based on an evaluation of the progress to completion of specific tasks using information and data provided to us by our vendors and clinical sites.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we continue to invest in basic research and clinical development of our product candidates, we expect research and development expenses to increase in absolute dollars.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General and administrative expenses consist primarily of compensation and related costs for finance, human resources and other administrative personnel, including stock-based compensation, employee benefits and travel. In addition, general and administrative expenses include third-party consulting, legal, patent, audit, accounting services and facilities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 consists primarily of severance related expenses of employees terminated as a result of the Company’s restructuring</w:t>
      </w:r>
    </w:p>
    <w:p>
      <w:pPr>
        <w:spacing w:after="0" w:line="2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efforts. Expenses include continued payroll, benefits and outplacement services (collectively “severance”) as defined and agreed upon by the respective employees’ severance agreement. Severance was recognized as restructuring expense on the dates when employees were notified of the restructuring event. A corresponding restructuring accrual was also recorded and will be reduced as payments are made to the former employees.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received on cash and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Consolidated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Years Ended December 31,</w:t>
            </w:r>
          </w:p>
        </w:tc>
      </w:tr>
      <w:tr>
        <w:trPr>
          <w:trHeight w:val="171"/>
        </w:trPr>
        <w:tc>
          <w:tcPr>
            <w:tcW w:w="43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 and other</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20,157,430</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12,824,402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17,852,756</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9,756,185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13,485,918</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expense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1,863,495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24,444,082</w:t>
            </w:r>
          </w:p>
        </w:tc>
        <w:tc>
          <w:tcPr>
            <w:tcW w:w="2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31,338,674</w:t>
            </w:r>
          </w:p>
        </w:tc>
        <w:tc>
          <w:tcPr>
            <w:tcW w:w="8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(24,444,082)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(11,181,244)</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Grant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142,729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6,394</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1,030,839</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778,215</w:t>
            </w:r>
          </w:p>
        </w:tc>
        <w:tc>
          <w:tcPr>
            <w:tcW w:w="80" w:type="dxa"/>
            <w:vAlign w:val="bottom"/>
            <w:shd w:val="clear" w:color="auto" w:fill="CFF0FC"/>
          </w:tcPr>
          <w:p>
            <w:pPr>
              <w:spacing w:after="0"/>
              <w:rPr>
                <w:sz w:val="19"/>
                <w:szCs w:val="19"/>
                <w:color w:val="auto"/>
              </w:rPr>
            </w:pPr>
          </w:p>
        </w:tc>
      </w:tr>
      <w:tr>
        <w:trPr>
          <w:trHeight w:val="223"/>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1,173,568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784,609</w:t>
            </w:r>
          </w:p>
        </w:tc>
        <w:tc>
          <w:tcPr>
            <w:tcW w:w="8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(23,270,514)</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(10,396,635)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2019 and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 and Other</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License revenue, and other for the year ended December 31, 2018 consists of the $20.0 million upfront payment received upon execution of the Gossamer License Agreement during the second quarter of 2018 and certain transition services provided to Gossamer as part of the Gossamer License Agreement. No such license agreement was executed in 2019, nor were any milestones of the Gossamer License Agreement achieved in 2019.</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expenses: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r>
      <w:tr>
        <w:trPr>
          <w:trHeight w:val="171"/>
        </w:trPr>
        <w:tc>
          <w:tcPr>
            <w:tcW w:w="316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12,824,402</w:t>
            </w:r>
          </w:p>
        </w:tc>
        <w:tc>
          <w:tcPr>
            <w:tcW w:w="2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17,852,756</w:t>
            </w:r>
          </w:p>
        </w:tc>
        <w:tc>
          <w:tcPr>
            <w:tcW w:w="80" w:type="dxa"/>
            <w:vAlign w:val="bottom"/>
          </w:tcPr>
          <w:p>
            <w:pPr>
              <w:spacing w:after="0"/>
              <w:rPr>
                <w:sz w:val="19"/>
                <w:szCs w:val="19"/>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9,756,185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13,485,918</w:t>
            </w:r>
          </w:p>
        </w:tc>
        <w:tc>
          <w:tcPr>
            <w:tcW w:w="80" w:type="dxa"/>
            <w:vAlign w:val="bottom"/>
            <w:shd w:val="clear" w:color="auto" w:fill="CFF0FC"/>
          </w:tcPr>
          <w:p>
            <w:pPr>
              <w:spacing w:after="0"/>
              <w:rPr>
                <w:sz w:val="19"/>
                <w:szCs w:val="19"/>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Restructuring expense</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1,863,495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24,444,082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31,338,674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Research and development expenses for the year ended December 31, 2019, decreased $5.0 million, or 28.2%, compared to the year ended December 31, 2018. This was the result of decreased spending on clinical trials (TIME-2b vs Phase 1 Glaucoma) and a reduction in expenses related to Research and Development personnel during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General and administrative expenses for the year ended December 31, 2019, decreased $3.7 million, or 27.7%, compared to the year ended December 31, 2018. This decrease was primarily attributable to a decrease in stock-based compensation of $2.5 million, employee related expenses of $0.8 million and general office expenses of $0.7 million related to the Company’s restructuring efforts in 2019, offset by an increase in legal expenses of $0.3 million.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Restructuring expenses for the year ended December 31, 2019 were $1.9 million and result of a reduction of headcount during 2019. No such actions were taken during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other income:</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r>
      <w:tr>
        <w:trPr>
          <w:trHeight w:val="171"/>
        </w:trPr>
        <w:tc>
          <w:tcPr>
            <w:tcW w:w="43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Grant income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142,729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6,394</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1,030,839</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778,215</w:t>
            </w:r>
          </w:p>
        </w:tc>
        <w:tc>
          <w:tcPr>
            <w:tcW w:w="8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1,173,568</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work performed. Grant income increased in year ended December 31, 2019 compared to year ended December 31, 2018 primarily due to a new grant awarded during 2019 for development of ARP-1536.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income for the years ended December 31, 2019 and 2018, reflects interest earned on short term money market instruments (cash equivalents). The net proceeds from our underwritten public offering in June 2018 and upfront payment received in conjunction with the execution of the Gossamer License Agreement in June 2018, less cash used in operations, were available for investment and generated more interest income in the year ended December 31, 2019, compared to year ended December 31,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Since inception, we have incurred significant net losses and negative cash flows from operations. For the years ended December 31, 2019 and 2018, we had net losses of $23.3 million and $10.4 million, respectively. At December 31, 2019 and 2018, we had an accumulated deficit of $142.2 million and $119.0 million, respectively.</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67" w:name="page68"/>
    <w:bookmarkEnd w:id="67"/>
    <w:p>
      <w:pPr>
        <w:ind w:right="60"/>
        <w:spacing w:after="0" w:line="279" w:lineRule="auto"/>
        <w:rPr>
          <w:sz w:val="20"/>
          <w:szCs w:val="20"/>
          <w:color w:val="auto"/>
        </w:rPr>
      </w:pPr>
      <w:r>
        <w:rPr>
          <w:rFonts w:ascii="Arial" w:cs="Arial" w:eastAsia="Arial" w:hAnsi="Arial"/>
          <w:sz w:val="17"/>
          <w:szCs w:val="17"/>
          <w:color w:val="auto"/>
        </w:rPr>
        <w:t>At December 31, 2019, we had cash and cash equivalents of $38.5 million. To date, we have financed our operations principally through private and public offerings of our equity securities, private placements of our redeemable convertible preferred stock, common stock, issuances of secured convertible promissory notes and proceeds from the Gossamer License Agreement. Based on our current plans</w:t>
      </w:r>
      <w:r>
        <w:rPr>
          <w:rFonts w:ascii="Arial" w:cs="Arial" w:eastAsia="Arial" w:hAnsi="Arial"/>
          <w:sz w:val="17"/>
          <w:szCs w:val="17"/>
          <w:b w:val="1"/>
          <w:bCs w:val="1"/>
          <w:color w:val="auto"/>
        </w:rPr>
        <w:t>,</w:t>
      </w:r>
      <w:r>
        <w:rPr>
          <w:rFonts w:ascii="Arial" w:cs="Arial" w:eastAsia="Arial" w:hAnsi="Arial"/>
          <w:sz w:val="17"/>
          <w:szCs w:val="17"/>
          <w:color w:val="auto"/>
        </w:rPr>
        <w:t xml:space="preserve"> we expect that our existing cash and cash equivalents, will enable us to conduct our planned operations at least through the second quarter of 2021.</w:t>
      </w:r>
    </w:p>
    <w:p>
      <w:pPr>
        <w:spacing w:after="0" w:line="6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June 28, 2018, we closed an underwritten public offering, pursuant to the S-3 filed in February 2018, for the sale of 11,688,000 shares of our common stock and subsequently, on July 2, 2018, we closed on the sale of an additional 1,720,200 shares of our common stock, pursuant to the underwriters’ partial exercise of their option to purchase additional shares of common stock (collectively, the “2018 Offering”). In the aggregate, we received net proceeds of approximately $48.1 million from the 2018 Offering after deducting underwriting discounts and commissions and offering expenses. Also in June 2018, we received $20.0 million of cash in connection with the Gossamer License Agreement.</w:t>
      </w:r>
    </w:p>
    <w:p>
      <w:pPr>
        <w:spacing w:after="0" w:line="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2018, we filed a shelf registration statement on Form S-3 with the Securities and Exchange Commission (“SEC”) which was declared effective by the SEC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of common stock under the Sales Agreement. As of December 31, 2019, no shares of common stock had been sold under this Sales Agreement.</w:t>
      </w:r>
    </w:p>
    <w:p>
      <w:pPr>
        <w:spacing w:after="0" w:line="88"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In October 2019, we announced the engagement of Evercore, Ladenburg Thalmann &amp; Co. Inc. and Duane Nash, M.D., J.D., M.B.A. to explore a range of strategic alternatives focused on maximizing stockholder value from our clinical assets and cash resources. Such alternatives may include the potential for an acquisition, company sale, merger, business combination, asset sale, in-license, out-license or other strategic transaction. There can be no assurance that the exploration of strategic alternatives will result in any transaction or other alternative.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presented: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92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4"/>
        </w:trPr>
        <w:tc>
          <w:tcPr>
            <w:tcW w:w="43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(23,852,522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(5,808,046</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(236,952)</w:t>
            </w:r>
          </w:p>
        </w:tc>
        <w:tc>
          <w:tcPr>
            <w:tcW w:w="3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(37,912)</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48,195,859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Net (decrease) increase in cash and</w:t>
            </w:r>
          </w:p>
        </w:tc>
        <w:tc>
          <w:tcPr>
            <w:tcW w:w="360" w:type="dxa"/>
            <w:vAlign w:val="bottom"/>
            <w:vMerge w:val="restart"/>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vMerge w:val="restart"/>
          </w:tcPr>
          <w:p>
            <w:pPr>
              <w:jc w:val="right"/>
              <w:ind w:right="121"/>
              <w:spacing w:after="0"/>
              <w:rPr>
                <w:sz w:val="20"/>
                <w:szCs w:val="20"/>
                <w:color w:val="auto"/>
              </w:rPr>
            </w:pPr>
            <w:r>
              <w:rPr>
                <w:rFonts w:ascii="Arial" w:cs="Arial" w:eastAsia="Arial" w:hAnsi="Arial"/>
                <w:sz w:val="18"/>
                <w:szCs w:val="18"/>
                <w:b w:val="1"/>
                <w:bCs w:val="1"/>
                <w:color w:val="auto"/>
              </w:rPr>
              <w:t>(24,089,474)</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360" w:type="dxa"/>
            <w:vAlign w:val="bottom"/>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42,349,901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historically experienced negative cash flows as we developed AKB-9778, ARP-1536 and AKB-4924. Our net cash used in operating activities primarily resulted from our net loss adjusted for non-cash expenses and changes in working capital components, amounts due to research organizations to conduct our clinical programs and employee-related expenditures for research and development and general and administrative activities. Our cash flows from operating activities will continue to be affected by increased spending to advance and support our product candidates in the clinic and other operating and general administrative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400"/>
        <w:spacing w:after="0" w:line="308" w:lineRule="auto"/>
        <w:rPr>
          <w:sz w:val="20"/>
          <w:szCs w:val="20"/>
          <w:color w:val="auto"/>
        </w:rPr>
      </w:pPr>
      <w:r>
        <w:rPr>
          <w:rFonts w:ascii="Arial" w:cs="Arial" w:eastAsia="Arial" w:hAnsi="Arial"/>
          <w:sz w:val="17"/>
          <w:szCs w:val="17"/>
          <w:color w:val="auto"/>
        </w:rPr>
        <w:t>For the year ended December 31, 2019, operating activities used $23.9 million in cash primarily as a result of a net loss of $23.3 million offset by $1.9 million in working capital and $1.3 million in non-cash expenses related to stock-based compensation and depreciation expense.</w:t>
      </w:r>
    </w:p>
    <w:p>
      <w:pPr>
        <w:spacing w:after="0" w:line="38"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For the year ended December 31, 2018, net cash used in operating activities includes $20.0 million of revenue earned from the Gossamer License Agreement. We do not expect revenue will reoccur until milestones outlined in the Gossamer License Agreement are achieved.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years ended December 31, 2019 and 2018 was related to capital expenditures to support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year ended December 31, 2018, we received $48.1 million net proceeds from the 2018 Offering and $0.08 million from the exercise of stock options. No such activity occurred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2019, the Company leased 7,580 square feet of office space in Cincinnati, Ohio, 4,000 square feet of office space in Lexington, Massachusetts and 687 square feet of office space in Dexter Michigan. During the fourth quarter of 2019, the Company terminated the Lexington and Dexter leases, without penalty. The Cincinnati property lease includes one month of free rent, escalating rent payments and expires in July 2021. Total rent expense for all operating leases was $0.3 million and $0.2 million for the years ended December 31, 2019 and 2018, respectively.</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have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we did not have any off-balance sheet arrangements as defined by applicable SEC regulations.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management’s discussion and analysis of financial position and results of consolidated operations are based on consolidated financial statements prepared in accordance with GAAP. The preparation of these consolidated financial statements requires us to make estimates and assumptions that affect the reported amounts of assets, liabilities, expenses and related disclosures. On an ongoing basis, we evaluate our estimates and judgments, including those related to prepaid and accrued research and development expenses, revenue recognition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120"/>
        <w:spacing w:after="0" w:line="255" w:lineRule="auto"/>
        <w:rPr>
          <w:sz w:val="20"/>
          <w:szCs w:val="20"/>
          <w:color w:val="auto"/>
        </w:rPr>
      </w:pPr>
      <w:r>
        <w:rPr>
          <w:rFonts w:ascii="Arial" w:cs="Arial" w:eastAsia="Arial" w:hAnsi="Arial"/>
          <w:sz w:val="18"/>
          <w:szCs w:val="18"/>
          <w:color w:val="auto"/>
        </w:rPr>
        <w:t>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Upfront License Fees: </w:t>
      </w:r>
      <w:r>
        <w:rPr>
          <w:rFonts w:ascii="Arial" w:cs="Arial" w:eastAsia="Arial" w:hAnsi="Arial"/>
          <w:sz w:val="17"/>
          <w:szCs w:val="17"/>
          <w:color w:val="auto"/>
        </w:rPr>
        <w:t>If a license to the Company’s intellectual property is determined to be distinct from the other performance obligations identified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spacing w:after="0" w:line="269" w:lineRule="auto"/>
        <w:rPr>
          <w:sz w:val="20"/>
          <w:szCs w:val="20"/>
          <w:color w:val="auto"/>
        </w:rPr>
      </w:pPr>
      <w:r>
        <w:rPr>
          <w:rFonts w:ascii="Arial" w:cs="Arial" w:eastAsia="Arial" w:hAnsi="Arial"/>
          <w:sz w:val="17"/>
          <w:szCs w:val="17"/>
          <w:i w:val="1"/>
          <w:iCs w:val="1"/>
          <w:color w:val="auto"/>
        </w:rPr>
        <w:t xml:space="preserve">Development Milestone Payments: </w:t>
      </w:r>
      <w:r>
        <w:rPr>
          <w:rFonts w:ascii="Arial" w:cs="Arial" w:eastAsia="Arial" w:hAnsi="Arial"/>
          <w:sz w:val="17"/>
          <w:szCs w:val="17"/>
          <w:color w:val="auto"/>
        </w:rPr>
        <w:t>Depending on facts and circumstances, the Company may conclude it is appropriate to include the milestone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Sales-based Milestone and Royalty Payments: </w:t>
      </w:r>
      <w:r>
        <w:rPr>
          <w:rFonts w:ascii="Arial" w:cs="Arial" w:eastAsia="Arial" w:hAnsi="Arial"/>
          <w:sz w:val="18"/>
          <w:szCs w:val="18"/>
          <w:color w:val="auto"/>
        </w:rPr>
        <w:t>The Company’s collaborators may be required to pay the Company sales-based milestone payments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and Accrued Research and Development Expenses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prepaid and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We make estimates of our prepaid and accrued research and development expenses as of each consolidated balance sheet date in our consolidated financial statements based on facts and circumstances known to us at the time. We confirm the accuracy of estimates with the service providers and make adjustments if necessary. Examples of estimated prepaid and accrued research and development expenses include expenses for:</w:t>
      </w:r>
    </w:p>
    <w:p>
      <w:pPr>
        <w:spacing w:after="0" w:line="58" w:lineRule="exact"/>
        <w:rPr>
          <w:sz w:val="20"/>
          <w:szCs w:val="20"/>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CROs in connection with clinical studies;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materials.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 scope of services under these contracts can be modified and some of the agreements may be cancelled by either party upon written notice. There may be instances in which payments made to our vendors will exceed the level of services provided and result in a prepayment of the clinical expense. Payments under some of these contracts depend on factors such as the successful enrollment of subjects and the completion of clinical study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there have been no material differences between our estimates and amounts actually incurred.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We issue stock-based awards generally in the form of stock options and restricted stock. We account for our stock-based compensation awards in accordance with Financial Accounting Standards Board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(“ASC 718”). ASC 718 requires all stock-based payments to employees, including grants of employee stock options and restricted stock and modifications to existing stock awards to be recognized in the consolidated statements of operations and comprehensive loss based on their fair values. Described below is the methodology we have utilized in measuring stock-based compensation expense.</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estimate the fair value of our options to purchase shares of common stock to employees using the Black-Scholes option pricing model, which requires the input of highly subjective assumptions, including (a) the expected stock price volatility, (b) the calculation of the expected term of the award, (c) the risk-free interest rate and (d) expected dividends. Due to the lack of a public market for the trading of our common stock and a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our company, including stage of product development and life science industry focus. We are a development stage company in an early stage of product development with no revenues and the representative group of companies has certain similar characteristics. We believe the group selected has sufficient similar economic and industry characteristics and includes companies that are most representative of our company. We use the simplified method as prescribed by the SEC Staff Accounting Bulletin No. 107, Share-Based Payment, to calculate the expected term for options granted to employees and non-employees as we do not have sufficient historical exercise data to provide a reasonable basis upon which to estimate the expected term. The expected term is applied to the stock option grant group as a whole, as we do not expect substantially different exercise or post-vesting termination behavior among our employee population. The risk-free interest rate is based on a treasury instrument whose term is consistent with the expected life of the stock options. The expected dividend yield is assumed to be zero as we have never paid dividends and have no current plans to pay any dividends on our common stock, similar to our peer group. The grant date fair value of restricted stock award grants is based on the estimated value of our common stock at the date of grant.</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stock-based awards are subject to service-based vesting conditions. Compensation expense related to awards to employees with service-based vesting conditions is recognized on a straight-line basis based on the grant date fair value over the associated service period of the award. Awards to non-employees are adjusted through share-based compensation expense as the award vests to reflect the current fair value of such awards and are expensed using an accelerated attribution model.</w:t>
      </w:r>
    </w:p>
    <w:p>
      <w:pPr>
        <w:spacing w:after="0" w:line="7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For the years ended December 31, 2019 and 2018, stock-based compensation expense was $1.1 million and $3.4 million, respectively. As of December 31, 2019, we had $2.3 million of total unrecognized stock-based compensation costs for stock options, which we expect to recognize over a weighted-average period of 2.31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 for a discussion of recent accounting pronouncements.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Company’s cash and cash equivalents at December 31, 2019 consist of all cash on hand, deposits and funds invested in short-term investments with original maturities of three months or less at the time of purchase and earn interest income. Therefore, there was minimal or no interest rate risk.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on page 73 are the consolidated financial statements with applicable notes and the related Report of Independent Registered Public Accounting Firm.</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73" w:name="page74"/>
    <w:bookmarkEnd w:id="73"/>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Aerpio Pharmaceuticals,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Aerpio Pharmaceuticals, Inc. (the “Company”) as of December 31, 2019 and 2018, and the related consolidated statements of operations and comprehensive loss, stockholders’ equity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two years in the period ended December 31, 2019, in conformity with U.S. generally accepted accounting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520" w:type="dxa"/>
            <w:vAlign w:val="bottom"/>
            <w:gridSpan w:val="6"/>
          </w:tcPr>
          <w:p>
            <w:pPr>
              <w:ind w:left="120"/>
              <w:spacing w:after="0"/>
              <w:rPr>
                <w:sz w:val="20"/>
                <w:szCs w:val="20"/>
                <w:color w:val="auto"/>
              </w:rPr>
            </w:pPr>
            <w:r>
              <w:rPr>
                <w:rFonts w:ascii="Arial" w:cs="Arial" w:eastAsia="Arial" w:hAnsi="Arial"/>
                <w:sz w:val="18"/>
                <w:szCs w:val="18"/>
                <w:b w:val="1"/>
                <w:bCs w:val="1"/>
                <w:color w:val="auto"/>
              </w:rPr>
              <w:t>INDEX TO CONSOLIDATED FINANCIAL STATEMENTS</w:t>
            </w:r>
          </w:p>
        </w:tc>
        <w:tc>
          <w:tcPr>
            <w:tcW w:w="1540" w:type="dxa"/>
            <w:vAlign w:val="bottom"/>
          </w:tcPr>
          <w:p>
            <w:pPr>
              <w:spacing w:after="0"/>
              <w:rPr>
                <w:sz w:val="20"/>
                <w:szCs w:val="20"/>
                <w:color w:val="auto"/>
              </w:rPr>
            </w:pPr>
          </w:p>
        </w:tc>
      </w:tr>
      <w:tr>
        <w:trPr>
          <w:trHeight w:val="445"/>
        </w:trPr>
        <w:tc>
          <w:tcPr>
            <w:tcW w:w="9680" w:type="dxa"/>
            <w:vAlign w:val="bottom"/>
            <w:gridSpan w:val="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45"/>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Consolidated Balance Sheets as of December 31, 2019 and 2018</w:t>
              </w:r>
            </w:hyperlink>
          </w:p>
        </w:tc>
        <w:tc>
          <w:tcPr>
            <w:tcW w:w="5020" w:type="dxa"/>
            <w:vAlign w:val="bottom"/>
            <w:gridSpan w:val="4"/>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44"/>
        </w:trPr>
        <w:tc>
          <w:tcPr>
            <w:tcW w:w="83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Operations and Comprehensive Loss for the Years ended December 31, 2019 and 2018</w:t>
              </w:r>
            </w:hyperlink>
          </w:p>
        </w:tc>
        <w:tc>
          <w:tcPr>
            <w:tcW w:w="13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44"/>
        </w:trPr>
        <w:tc>
          <w:tcPr>
            <w:tcW w:w="9680" w:type="dxa"/>
            <w:vAlign w:val="bottom"/>
            <w:gridSpan w:val="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Stockholders’ Equity for the Years ended December 31, 2019 and 2018</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44"/>
        </w:trPr>
        <w:tc>
          <w:tcPr>
            <w:tcW w:w="7160" w:type="dxa"/>
            <w:vAlign w:val="bottom"/>
            <w:tcBorders>
              <w:top w:val="single" w:sz="8" w:color="0000EE"/>
            </w:tcBorders>
            <w:gridSpan w:val="5"/>
          </w:tcPr>
          <w:p>
            <w:pPr>
              <w:spacing w:after="0"/>
              <w:rPr>
                <w:rFonts w:ascii="Arial" w:cs="Arial" w:eastAsia="Arial" w:hAnsi="Arial"/>
                <w:sz w:val="18"/>
                <w:szCs w:val="18"/>
                <w:color w:val="0000EE"/>
                <w:w w:val="98"/>
              </w:rPr>
            </w:pPr>
            <w:hyperlink w:anchor="page79">
              <w:r>
                <w:rPr>
                  <w:rFonts w:ascii="Arial" w:cs="Arial" w:eastAsia="Arial" w:hAnsi="Arial"/>
                  <w:sz w:val="18"/>
                  <w:szCs w:val="18"/>
                  <w:color w:val="0000EE"/>
                  <w:w w:val="98"/>
                </w:rPr>
                <w:t>Consolidated Statements of Cash Flows for the Years ended December 31, 2019 and 2018</w:t>
              </w:r>
            </w:hyperlink>
          </w:p>
        </w:tc>
        <w:tc>
          <w:tcPr>
            <w:tcW w:w="2520" w:type="dxa"/>
            <w:vAlign w:val="bottom"/>
            <w:gridSpan w:val="2"/>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45"/>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Notes to Consolidated Financial Statements</w:t>
              </w:r>
            </w:hyperlink>
          </w:p>
        </w:tc>
        <w:tc>
          <w:tcPr>
            <w:tcW w:w="3320" w:type="dxa"/>
            <w:vAlign w:val="bottom"/>
            <w:tcBorders>
              <w:top w:val="single" w:sz="8" w:color="0000EE"/>
            </w:tcBorders>
            <w:gridSpan w:val="3"/>
          </w:tcPr>
          <w:p>
            <w:pPr>
              <w:spacing w:after="0"/>
              <w:rPr>
                <w:sz w:val="24"/>
                <w:szCs w:val="24"/>
                <w:color w:val="auto"/>
              </w:rPr>
            </w:pPr>
          </w:p>
        </w:tc>
        <w:tc>
          <w:tcPr>
            <w:tcW w:w="3200" w:type="dxa"/>
            <w:vAlign w:val="bottom"/>
            <w:gridSpan w:val="3"/>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658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38,524,536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62,614,010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Prepaid research and development contracts</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311,154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754,392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734,785</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39,570,475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63,984,083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 net</w:t>
            </w: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164,187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162,124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Deposits</w:t>
            </w:r>
          </w:p>
        </w:tc>
        <w:tc>
          <w:tcPr>
            <w:tcW w:w="1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40,000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39,936,786</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64,123,492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48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3,231,450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102,555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3,334,005</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67,438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3,401,443</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300,000,000 shares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80"/>
              <w:spacing w:after="0"/>
              <w:rPr>
                <w:sz w:val="20"/>
                <w:szCs w:val="20"/>
                <w:color w:val="auto"/>
              </w:rPr>
            </w:pPr>
            <w:r>
              <w:rPr>
                <w:rFonts w:ascii="Arial" w:cs="Arial" w:eastAsia="Arial" w:hAnsi="Arial"/>
                <w:sz w:val="18"/>
                <w:szCs w:val="18"/>
                <w:color w:val="auto"/>
              </w:rPr>
              <w:t>authorized and 40,588,004 shares issued and outstanding at December</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4,059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Arial" w:cs="Arial" w:eastAsia="Arial" w:hAnsi="Arial"/>
                <w:sz w:val="18"/>
                <w:szCs w:val="18"/>
                <w:color w:val="auto"/>
              </w:rPr>
              <w:t>31, 2019 and 2018.</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178,766,806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177,621,807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(142,235,522)</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(118,959,291)</w:t>
            </w: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1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36,535,343</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58,666,575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1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39,936,786</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64,123,492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594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 and other</w:t>
            </w:r>
          </w:p>
        </w:tc>
        <w:tc>
          <w:tcPr>
            <w:tcW w:w="17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20,157,430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12,824,402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17,852,756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9,756,185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13,485,918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expense</w:t>
            </w:r>
          </w:p>
        </w:tc>
        <w:tc>
          <w:tcPr>
            <w:tcW w:w="1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1,863,495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7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24,444,082</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31,338,674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(24,444,082)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(11,181,244)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Grant income</w:t>
            </w: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142,729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1,030,839</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17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1,173,568</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17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(23,270,514)</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(10,396,635)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per share</w:t>
            </w:r>
          </w:p>
        </w:tc>
        <w:tc>
          <w:tcPr>
            <w:tcW w:w="1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94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2140" w:type="dxa"/>
            <w:vAlign w:val="bottom"/>
            <w:gridSpan w:val="2"/>
          </w:tcPr>
          <w:p>
            <w:pPr>
              <w:jc w:val="right"/>
              <w:ind w:right="207"/>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(0.57)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96"/>
        </w:trPr>
        <w:tc>
          <w:tcPr>
            <w:tcW w:w="5940" w:type="dxa"/>
            <w:vAlign w:val="bottom"/>
            <w:tcBorders>
              <w:top w:val="single" w:sz="8" w:color="CFF0FC"/>
            </w:tcBorders>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 average number of common shares used in</w:t>
            </w:r>
          </w:p>
        </w:tc>
        <w:tc>
          <w:tcPr>
            <w:tcW w:w="17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loss per share attributable to common</w:t>
            </w:r>
          </w:p>
        </w:tc>
        <w:tc>
          <w:tcPr>
            <w:tcW w:w="1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40,588,004</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stockholders, basic and diluted</w:t>
            </w:r>
          </w:p>
        </w:tc>
        <w:tc>
          <w:tcPr>
            <w:tcW w:w="17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33,930,846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Stockholders’ Equity</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540"/>
              <w:spacing w:after="0" w:line="143"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784"/>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Par Value</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6"/>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December 31, 2017</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27,070,038</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2,707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125,995,438</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(108,562,656)</w:t>
            </w:r>
          </w:p>
        </w:tc>
        <w:tc>
          <w:tcPr>
            <w:tcW w:w="360" w:type="dxa"/>
            <w:vAlign w:val="bottom"/>
            <w:gridSpan w:val="2"/>
            <w:shd w:val="clear" w:color="auto" w:fill="CFF0FC"/>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17,435,489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40"/>
              <w:spacing w:after="0"/>
              <w:rPr>
                <w:sz w:val="20"/>
                <w:szCs w:val="20"/>
                <w:color w:val="auto"/>
              </w:rPr>
            </w:pPr>
            <w:r>
              <w:rPr>
                <w:rFonts w:ascii="Arial" w:cs="Arial" w:eastAsia="Arial" w:hAnsi="Arial"/>
                <w:sz w:val="15"/>
                <w:szCs w:val="15"/>
                <w:color w:val="auto"/>
              </w:rPr>
              <w:t>Issuance of restricted stock</w:t>
            </w:r>
          </w:p>
        </w:tc>
        <w:tc>
          <w:tcPr>
            <w:tcW w:w="1180" w:type="dxa"/>
            <w:vAlign w:val="bottom"/>
          </w:tcPr>
          <w:p>
            <w:pPr>
              <w:jc w:val="right"/>
              <w:spacing w:after="0"/>
              <w:rPr>
                <w:sz w:val="20"/>
                <w:szCs w:val="20"/>
                <w:color w:val="auto"/>
              </w:rPr>
            </w:pPr>
            <w:r>
              <w:rPr>
                <w:rFonts w:ascii="Arial" w:cs="Arial" w:eastAsia="Arial" w:hAnsi="Arial"/>
                <w:sz w:val="15"/>
                <w:szCs w:val="15"/>
                <w:color w:val="auto"/>
              </w:rPr>
              <w:t>60,000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520" w:type="dxa"/>
            <w:vAlign w:val="bottom"/>
            <w:shd w:val="clear" w:color="auto" w:fill="CFF0FC"/>
          </w:tcPr>
          <w:p>
            <w:pPr>
              <w:ind w:left="240"/>
              <w:spacing w:after="0" w:line="162" w:lineRule="exact"/>
              <w:rPr>
                <w:sz w:val="20"/>
                <w:szCs w:val="20"/>
                <w:color w:val="auto"/>
              </w:rPr>
            </w:pPr>
            <w:r>
              <w:rPr>
                <w:rFonts w:ascii="Arial" w:cs="Arial" w:eastAsia="Arial" w:hAnsi="Arial"/>
                <w:sz w:val="15"/>
                <w:szCs w:val="15"/>
                <w:color w:val="auto"/>
              </w:rPr>
              <w:t>Issuance of common stock,</w:t>
            </w: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net of issuance costs of</w:t>
            </w: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5"/>
                <w:szCs w:val="15"/>
                <w:color w:val="auto"/>
              </w:rPr>
              <w:t>$3,502,543</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13,408,200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1,341</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48,117,686</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48,119,027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240"/>
              <w:spacing w:after="0" w:line="162" w:lineRule="exact"/>
              <w:rPr>
                <w:sz w:val="20"/>
                <w:szCs w:val="20"/>
                <w:color w:val="auto"/>
              </w:rPr>
            </w:pPr>
            <w:r>
              <w:rPr>
                <w:rFonts w:ascii="Arial" w:cs="Arial" w:eastAsia="Arial" w:hAnsi="Arial"/>
                <w:sz w:val="15"/>
                <w:szCs w:val="15"/>
                <w:color w:val="auto"/>
              </w:rPr>
              <w:t>Issuance of common</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360"/>
              <w:spacing w:after="0" w:line="162" w:lineRule="exact"/>
              <w:rPr>
                <w:sz w:val="20"/>
                <w:szCs w:val="20"/>
                <w:color w:val="auto"/>
              </w:rPr>
            </w:pPr>
            <w:r>
              <w:rPr>
                <w:rFonts w:ascii="Arial" w:cs="Arial" w:eastAsia="Arial" w:hAnsi="Arial"/>
                <w:sz w:val="15"/>
                <w:szCs w:val="15"/>
                <w:color w:val="auto"/>
              </w:rPr>
              <w:t>stock upon exercise of</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20" w:type="dxa"/>
            <w:vAlign w:val="bottom"/>
          </w:tcPr>
          <w:p>
            <w:pPr>
              <w:ind w:left="360"/>
              <w:spacing w:after="0"/>
              <w:rPr>
                <w:sz w:val="20"/>
                <w:szCs w:val="20"/>
                <w:color w:val="auto"/>
              </w:rPr>
            </w:pPr>
            <w:r>
              <w:rPr>
                <w:rFonts w:ascii="Arial" w:cs="Arial" w:eastAsia="Arial" w:hAnsi="Arial"/>
                <w:sz w:val="15"/>
                <w:szCs w:val="15"/>
                <w:color w:val="auto"/>
              </w:rPr>
              <w:t>stock options</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52,099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76,827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76,832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Forfeiture of restricted stock</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(2,333)</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520" w:type="dxa"/>
            <w:vAlign w:val="bottom"/>
          </w:tcPr>
          <w:p>
            <w:pPr>
              <w:ind w:left="240"/>
              <w:spacing w:after="0" w:line="162" w:lineRule="exact"/>
              <w:rPr>
                <w:sz w:val="20"/>
                <w:szCs w:val="20"/>
                <w:color w:val="auto"/>
              </w:rPr>
            </w:pPr>
            <w:r>
              <w:rPr>
                <w:rFonts w:ascii="Arial" w:cs="Arial" w:eastAsia="Arial" w:hAnsi="Arial"/>
                <w:sz w:val="15"/>
                <w:szCs w:val="15"/>
                <w:color w:val="auto"/>
              </w:rPr>
              <w:t>Share-based compensation</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360"/>
              <w:spacing w:after="0"/>
              <w:rPr>
                <w:sz w:val="20"/>
                <w:szCs w:val="20"/>
                <w:color w:val="auto"/>
              </w:rPr>
            </w:pPr>
            <w:r>
              <w:rPr>
                <w:rFonts w:ascii="Arial" w:cs="Arial" w:eastAsia="Arial" w:hAnsi="Arial"/>
                <w:sz w:val="15"/>
                <w:szCs w:val="15"/>
                <w:color w:val="auto"/>
              </w:rPr>
              <w:t>expense</w:t>
            </w: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3,431,862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3,431,862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Net and comprehensive loss</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(10,396,635)</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(10,396,635)</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5"/>
                <w:szCs w:val="15"/>
                <w:color w:val="auto"/>
              </w:rPr>
              <w:t>Balance at December 31, 2018</w:t>
            </w: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40,588,004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4,059</w:t>
            </w:r>
          </w:p>
        </w:tc>
        <w:tc>
          <w:tcPr>
            <w:tcW w:w="380" w:type="dxa"/>
            <w:vAlign w:val="bottom"/>
            <w:gridSpan w:val="2"/>
          </w:tcPr>
          <w:p>
            <w:pPr>
              <w:jc w:val="right"/>
              <w:ind w:right="4"/>
              <w:spacing w:after="0" w:line="169" w:lineRule="exact"/>
              <w:rPr>
                <w:sz w:val="20"/>
                <w:szCs w:val="20"/>
                <w:color w:val="auto"/>
              </w:rPr>
            </w:pPr>
            <w:r>
              <w:rPr>
                <w:rFonts w:ascii="Arial" w:cs="Arial" w:eastAsia="Arial" w:hAnsi="Arial"/>
                <w:sz w:val="15"/>
                <w:szCs w:val="15"/>
                <w:color w:val="auto"/>
              </w:rPr>
              <w:t>$</w:t>
            </w:r>
          </w:p>
        </w:tc>
        <w:tc>
          <w:tcPr>
            <w:tcW w:w="1240" w:type="dxa"/>
            <w:vAlign w:val="bottom"/>
          </w:tcPr>
          <w:p>
            <w:pPr>
              <w:jc w:val="right"/>
              <w:spacing w:after="0" w:line="169" w:lineRule="exact"/>
              <w:rPr>
                <w:sz w:val="20"/>
                <w:szCs w:val="20"/>
                <w:color w:val="auto"/>
              </w:rPr>
            </w:pPr>
            <w:r>
              <w:rPr>
                <w:rFonts w:ascii="Arial" w:cs="Arial" w:eastAsia="Arial" w:hAnsi="Arial"/>
                <w:sz w:val="15"/>
                <w:szCs w:val="15"/>
                <w:color w:val="auto"/>
              </w:rPr>
              <w:t>177,621,807</w:t>
            </w:r>
          </w:p>
        </w:tc>
        <w:tc>
          <w:tcPr>
            <w:tcW w:w="140" w:type="dxa"/>
            <w:vAlign w:val="bottom"/>
          </w:tcPr>
          <w:p>
            <w:pPr>
              <w:spacing w:after="0"/>
              <w:rPr>
                <w:sz w:val="18"/>
                <w:szCs w:val="18"/>
                <w:color w:val="auto"/>
              </w:rPr>
            </w:pPr>
          </w:p>
        </w:tc>
        <w:tc>
          <w:tcPr>
            <w:tcW w:w="280" w:type="dxa"/>
            <w:vAlign w:val="bottom"/>
            <w:gridSpan w:val="2"/>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(118,959,291)</w:t>
            </w:r>
          </w:p>
        </w:tc>
        <w:tc>
          <w:tcPr>
            <w:tcW w:w="360" w:type="dxa"/>
            <w:vAlign w:val="bottom"/>
            <w:gridSpan w:val="2"/>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58,666,575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shd w:val="clear" w:color="auto" w:fill="CFF0FC"/>
          </w:tcPr>
          <w:p>
            <w:pPr>
              <w:ind w:left="240"/>
              <w:spacing w:after="0" w:line="156" w:lineRule="exact"/>
              <w:rPr>
                <w:sz w:val="20"/>
                <w:szCs w:val="20"/>
                <w:color w:val="auto"/>
              </w:rPr>
            </w:pPr>
            <w:r>
              <w:rPr>
                <w:rFonts w:ascii="Arial" w:cs="Arial" w:eastAsia="Arial" w:hAnsi="Arial"/>
                <w:sz w:val="15"/>
                <w:szCs w:val="15"/>
                <w:color w:val="auto"/>
              </w:rPr>
              <w:t>Issuance of warrants</w:t>
            </w:r>
          </w:p>
        </w:tc>
        <w:tc>
          <w:tcPr>
            <w:tcW w:w="11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53,440</w:t>
            </w: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53,440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240"/>
              <w:spacing w:after="0" w:line="162" w:lineRule="exact"/>
              <w:rPr>
                <w:sz w:val="20"/>
                <w:szCs w:val="20"/>
                <w:color w:val="auto"/>
              </w:rPr>
            </w:pPr>
            <w:r>
              <w:rPr>
                <w:rFonts w:ascii="Arial" w:cs="Arial" w:eastAsia="Arial" w:hAnsi="Arial"/>
                <w:sz w:val="15"/>
                <w:szCs w:val="15"/>
                <w:color w:val="auto"/>
              </w:rPr>
              <w:t>Cumulative effect of change</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360"/>
              <w:spacing w:after="0"/>
              <w:rPr>
                <w:sz w:val="20"/>
                <w:szCs w:val="20"/>
                <w:color w:val="auto"/>
              </w:rPr>
            </w:pPr>
            <w:r>
              <w:rPr>
                <w:rFonts w:ascii="Arial" w:cs="Arial" w:eastAsia="Arial" w:hAnsi="Arial"/>
                <w:sz w:val="15"/>
                <w:szCs w:val="15"/>
                <w:color w:val="auto"/>
              </w:rPr>
              <w:t>in accounting principle</w:t>
            </w:r>
          </w:p>
        </w:tc>
        <w:tc>
          <w:tcPr>
            <w:tcW w:w="13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5,717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(5,717)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2"/>
        </w:trPr>
        <w:tc>
          <w:tcPr>
            <w:tcW w:w="3520" w:type="dxa"/>
            <w:vAlign w:val="bottom"/>
            <w:shd w:val="clear" w:color="auto" w:fill="CFF0FC"/>
          </w:tcPr>
          <w:p>
            <w:pPr>
              <w:ind w:left="240"/>
              <w:spacing w:after="0" w:line="162" w:lineRule="exact"/>
              <w:rPr>
                <w:sz w:val="20"/>
                <w:szCs w:val="20"/>
                <w:color w:val="auto"/>
              </w:rPr>
            </w:pPr>
            <w:r>
              <w:rPr>
                <w:rFonts w:ascii="Arial" w:cs="Arial" w:eastAsia="Arial" w:hAnsi="Arial"/>
                <w:sz w:val="15"/>
                <w:szCs w:val="15"/>
                <w:color w:val="auto"/>
              </w:rPr>
              <w:t>Share-based compensation</w:t>
            </w: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expense</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1,085,842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1,085,842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40"/>
              <w:spacing w:after="0"/>
              <w:rPr>
                <w:sz w:val="20"/>
                <w:szCs w:val="20"/>
                <w:color w:val="auto"/>
              </w:rPr>
            </w:pPr>
            <w:r>
              <w:rPr>
                <w:rFonts w:ascii="Arial" w:cs="Arial" w:eastAsia="Arial" w:hAnsi="Arial"/>
                <w:sz w:val="15"/>
                <w:szCs w:val="15"/>
                <w:color w:val="auto"/>
              </w:rPr>
              <w:t>Net and comprehensive loss</w:t>
            </w:r>
          </w:p>
        </w:tc>
        <w:tc>
          <w:tcPr>
            <w:tcW w:w="13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(23,270,514)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(23,270,514)</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Balance at December 31, 2019</w:t>
            </w: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40,588,004</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24"/>
              <w:spacing w:after="0" w:line="169"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4,059</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178,766,806</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(142,235,522)</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right"/>
              <w:ind w:right="124"/>
              <w:spacing w:after="0" w:line="169"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36,535,343</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r>
      <w:tr>
        <w:trPr>
          <w:trHeight w:val="174"/>
        </w:trPr>
        <w:tc>
          <w:tcPr>
            <w:tcW w:w="76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7620" w:type="dxa"/>
            <w:vAlign w:val="bottom"/>
          </w:tcPr>
          <w:p>
            <w:pPr>
              <w:ind w:left="240"/>
              <w:spacing w:after="0"/>
              <w:rPr>
                <w:sz w:val="20"/>
                <w:szCs w:val="20"/>
                <w:color w:val="auto"/>
              </w:rPr>
            </w:pPr>
            <w:r>
              <w:rPr>
                <w:rFonts w:ascii="Arial" w:cs="Arial" w:eastAsia="Arial" w:hAnsi="Arial"/>
                <w:sz w:val="18"/>
                <w:szCs w:val="18"/>
                <w:color w:val="auto"/>
              </w:rPr>
              <w:t>Net and comprehensive loss</w:t>
            </w:r>
          </w:p>
        </w:tc>
        <w:tc>
          <w:tcPr>
            <w:tcW w:w="360" w:type="dxa"/>
            <w:vAlign w:val="bottom"/>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(23,270,514)</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(10,396,635)</w:t>
            </w:r>
          </w:p>
        </w:tc>
      </w:tr>
      <w:tr>
        <w:trPr>
          <w:trHeight w:val="215"/>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and comprehensive loss to net cash used in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4"/>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76,501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46,686</w:t>
            </w:r>
          </w:p>
        </w:tc>
        <w:tc>
          <w:tcPr>
            <w:tcW w:w="80" w:type="dxa"/>
            <w:vAlign w:val="bottom"/>
          </w:tcPr>
          <w:p>
            <w:pPr>
              <w:spacing w:after="0"/>
              <w:rPr>
                <w:sz w:val="19"/>
                <w:szCs w:val="19"/>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disposal of assets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94,713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Consulting expenses related to warrants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53,440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1,085,842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3,431,862</w:t>
            </w:r>
          </w:p>
        </w:tc>
        <w:tc>
          <w:tcPr>
            <w:tcW w:w="80" w:type="dxa"/>
            <w:vAlign w:val="bottom"/>
            <w:shd w:val="clear" w:color="auto" w:fill="CFF0FC"/>
          </w:tcPr>
          <w:p>
            <w:pPr>
              <w:spacing w:after="0"/>
              <w:rPr>
                <w:sz w:val="19"/>
                <w:szCs w:val="19"/>
                <w:color w:val="auto"/>
              </w:rPr>
            </w:pPr>
          </w:p>
        </w:tc>
      </w:tr>
      <w:tr>
        <w:trPr>
          <w:trHeight w:val="229"/>
        </w:trPr>
        <w:tc>
          <w:tcPr>
            <w:tcW w:w="76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research and development contracts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443,238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(441,252)</w:t>
            </w:r>
          </w:p>
        </w:tc>
      </w:tr>
      <w:tr>
        <w:trPr>
          <w:trHeight w:val="229"/>
        </w:trPr>
        <w:tc>
          <w:tcPr>
            <w:tcW w:w="762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(119,104)</w:t>
            </w:r>
          </w:p>
        </w:tc>
        <w:tc>
          <w:tcPr>
            <w:tcW w:w="3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(293,460)</w:t>
            </w: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(20,000)</w:t>
            </w: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(2,217,598)</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1,864,753</w:t>
            </w:r>
          </w:p>
        </w:tc>
        <w:tc>
          <w:tcPr>
            <w:tcW w:w="80" w:type="dxa"/>
            <w:vAlign w:val="bottom"/>
          </w:tcPr>
          <w:p>
            <w:pPr>
              <w:spacing w:after="0"/>
              <w:rPr>
                <w:sz w:val="19"/>
                <w:szCs w:val="19"/>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(23,852,522)</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(5,808,046)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(236,952)</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(37,912)</w:t>
            </w: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(236,952)</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(37,912)</w:t>
            </w:r>
          </w:p>
        </w:tc>
        <w:tc>
          <w:tcPr>
            <w:tcW w:w="8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76,832</w:t>
            </w:r>
          </w:p>
        </w:tc>
        <w:tc>
          <w:tcPr>
            <w:tcW w:w="80" w:type="dxa"/>
            <w:vAlign w:val="bottom"/>
          </w:tcPr>
          <w:p>
            <w:pPr>
              <w:spacing w:after="0"/>
              <w:rPr>
                <w:sz w:val="19"/>
                <w:szCs w:val="19"/>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sale of common stock</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51,621,570</w:t>
            </w:r>
          </w:p>
        </w:tc>
        <w:tc>
          <w:tcPr>
            <w:tcW w:w="80" w:type="dxa"/>
            <w:vAlign w:val="bottom"/>
            <w:shd w:val="clear" w:color="auto" w:fill="CFF0FC"/>
          </w:tcPr>
          <w:p>
            <w:pPr>
              <w:spacing w:after="0"/>
              <w:rPr>
                <w:sz w:val="19"/>
                <w:szCs w:val="19"/>
                <w:color w:val="auto"/>
              </w:rPr>
            </w:pPr>
          </w:p>
        </w:tc>
      </w:tr>
      <w:tr>
        <w:trPr>
          <w:trHeight w:val="229"/>
        </w:trPr>
        <w:tc>
          <w:tcPr>
            <w:tcW w:w="7620" w:type="dxa"/>
            <w:vAlign w:val="bottom"/>
          </w:tcPr>
          <w:p>
            <w:pPr>
              <w:ind w:left="500"/>
              <w:spacing w:after="0"/>
              <w:rPr>
                <w:sz w:val="20"/>
                <w:szCs w:val="20"/>
                <w:color w:val="auto"/>
              </w:rPr>
            </w:pPr>
            <w:r>
              <w:rPr>
                <w:rFonts w:ascii="Arial" w:cs="Arial" w:eastAsia="Arial" w:hAnsi="Arial"/>
                <w:sz w:val="18"/>
                <w:szCs w:val="18"/>
                <w:color w:val="auto"/>
              </w:rPr>
              <w:t>Cash paid in connection with the sale of common stock</w:t>
            </w: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(3,502,543)</w:t>
            </w: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48,195,859</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(24,089,474)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42,349,901</w:t>
            </w:r>
          </w:p>
        </w:tc>
        <w:tc>
          <w:tcPr>
            <w:tcW w:w="8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62,614,010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20,264,109</w:t>
            </w:r>
          </w:p>
        </w:tc>
        <w:tc>
          <w:tcPr>
            <w:tcW w:w="8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38,524,536</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62,614,010</w:t>
            </w:r>
          </w:p>
        </w:tc>
        <w:tc>
          <w:tcPr>
            <w:tcW w:w="8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80" w:top="337" w:right="39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Organization and Operations</w:t>
      </w:r>
    </w:p>
    <w:p>
      <w:pPr>
        <w:spacing w:after="0" w:line="12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Aerpio Pharmaceuticals, Inc. (the “Company”) is a biopharmaceutical company focused on developing compounds that activate Tie2 to treat ocular diseases and diabetic complications. The Company was incorporated as Zeta Acquisition Corp. II (“Zeta”) in the State of Delaware on November 16, 2007. Zeta was a “shell company” (as defined in Rule 12b-2 of the Securities Exchange Act of 1934, as amended).</w:t>
      </w:r>
    </w:p>
    <w:p>
      <w:pPr>
        <w:spacing w:after="0" w:line="5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pipeline includes the humanized monoclonal antibody, ARP-1536, directed at the same target as subcutaneous AKB-9778, is in preclinical development. The Company is evaluating development options for ARP-1536, including subcutaneous injection for the treatment of diabetic vascular complications, e.g., diabetic nephropathy and intravitreal injection as an adjunctive therapy for diabetic macular edema.</w:t>
      </w:r>
    </w:p>
    <w:p>
      <w:pPr>
        <w:spacing w:after="0" w:line="5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is also developing a bispecific antibody that binds both VEGF and VE-PTP which is designed to inhibit VEGF activation and activate Tie2. The Company believes this bispecific antibody has the potential to be an improved treatment for wet aged-related macular degeneration (“AMD”) and diabetic macular edema via intravitreal injection.</w:t>
      </w:r>
    </w:p>
    <w:p>
      <w:pPr>
        <w:spacing w:after="0" w:line="7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two consecutive trials, TIME-2 and TIME-2b, subcutaneous AKB-9778 showed reduction in Urine Albumin-Creatinine Ratio (“UACR”), a measure of progression of diabetic kidney disease. The Company believes that systemic treatment with AKB-9778 could have the potential to change the treatment paradigm for diabetics in the future and potentially address a major societal problem by lowering the cost of care associated generally with diabetes.</w:t>
      </w:r>
    </w:p>
    <w:p>
      <w:pPr>
        <w:spacing w:after="0" w:line="4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Based on the preclinical proof of concept and the results of the Phase 1b trial showing a reduction in intraocular pressure (“IOP”) in patients with ocular hypertension (“OHT”) and open angle glaucoma (“OAG”), the Company plans to further advance the glaucoma program into a Phase 2 clinical trial with results expected in the first quarter of 2021.</w:t>
      </w:r>
    </w:p>
    <w:p>
      <w:pPr>
        <w:spacing w:after="0" w:line="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June 2018, the Company licensed AKB-4924, a selective stabilizer of hypoxia-inducible factor-1 alpha (“HIF-1 alpha”) to Gossamer Bio, Inc. (“Gossamer”) AKB-4924, (now called GB004), is being developed for the treatment of inflammatory bowel disease (“IBD”). HIF-1 alpha is involved in mucosal wound healing and the reduction of inflammation in the gastrointestinal tract. Gossamer has completed the Phase 1 multiple ascending dose (“MAD”) clinical study and is currently running a Phase 1b clinical study in ulcerative colitis patients. Gossamer is expected to have results of the Phase 1b study in ulcerative colitis patients in the first half of 2020. Gossamer is responsible for all remaining development and commercial activities for GB004.</w:t>
      </w:r>
    </w:p>
    <w:p>
      <w:pPr>
        <w:spacing w:after="0" w:line="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28, 2018, the Company closed an underwritten public offering for the sale of 11,688,000 shares of its common stock, and subsequently on July 2, 2018, the Company closed on the sale of an additional 1,720,200 shares of its common stock, pursuant to the underwriters’ partial exercise of their option to purchase additional shares of common stock (the “2018 Offering”). In the aggregate, the Company received net proceeds of $48.1 million from the 2018 Offering after a deduction of $3.5 million related to underwriting discounts and commissions and offering expenses paid in conjunction with the 2018 Offering.</w:t>
      </w:r>
    </w:p>
    <w:p>
      <w:pPr>
        <w:spacing w:after="0" w:line="8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has been primarily limited to license revenue from Gossamer Bio. Inc., GB004, Inc. (collectively “Gossamer”). Future revenue is dependent on the terms of the license agreement with Gossamer Bio., Inc. as further described in Note 15. The Company’s product candidates are subject to long development cycles and there is no assurance the Company will be able to successfully develop, obtain regulatory approval for, or market its product candidates.</w:t>
      </w:r>
    </w:p>
    <w:p>
      <w:pPr>
        <w:spacing w:after="0" w:line="6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right="20"/>
        <w:spacing w:after="0" w:line="293" w:lineRule="auto"/>
        <w:rPr>
          <w:sz w:val="20"/>
          <w:szCs w:val="20"/>
          <w:color w:val="auto"/>
        </w:rPr>
      </w:pPr>
      <w:r>
        <w:rPr>
          <w:rFonts w:ascii="Arial" w:cs="Arial" w:eastAsia="Arial" w:hAnsi="Arial"/>
          <w:sz w:val="16"/>
          <w:szCs w:val="16"/>
          <w:color w:val="auto"/>
        </w:rPr>
        <w:t>The Company incurred losses from operations and had a negative cash flows from operating activities for the years ended December 31, 2019 and 2018 (and since inception). The Company’s current operating plan indicates that it will continue to incur losses from operations and generate negative cash flows from operating activities given ongoing expenditures related to the completion of its ongoing clinical trials and the Company’s lack of product revenue generating activities. However, the Company believes it has the ability to control its current operating plan and that existing cash and cash equivalents of approximately $38.5 million at December 31, 2019 will be sufficient to allow the Company to fund its current operating plan into at least the second quarter of 2021, and as a result, through at least twelve months from the filing of the Company’s 2019 Annual Report on Form 10-K.</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can be no assurance, however, that the current operating plan will be achieved in the time frame anticipated by the Company, or that its cash resources will fund the Company’s operating plan for the period anticipated by the Company or that additional funding will be available on terms acceptable to the Company, or at all. The Company will need to raise additional funds in order to further advance its clinical research programs, commence additional clinical trials, and operate its business and meet its obligations as they come due. The Company is pursuing financing alternatives, which include permanent equity financing, business development arrangements, and licensing arrangements. However, financing may not be available to the Company in the necessary time frame, in amounts that the Company requires, on terms that are acceptable to the Company, or at all. If the Company raises additional funds through collaboration, licensing or other similar arrangements, it may be necessary to relinquish valuable rights to its potential products or proprietary technologies or grant licenses on terms that are not favorable to the Company. If the Company is unable to raise the necessary funds when needed or reduce spending on currently planned activities, it may not be able to continue the development of its product candidates or the Company could be required to delay, scale back, or eliminate some or all of its development programs and other operations and will materially harm its business, financial position and results of operations.</w:t>
      </w:r>
    </w:p>
    <w:p>
      <w:pPr>
        <w:spacing w:after="0" w:line="178" w:lineRule="exact"/>
        <w:rPr>
          <w:sz w:val="20"/>
          <w:szCs w:val="20"/>
          <w:color w:val="auto"/>
        </w:rPr>
      </w:pPr>
    </w:p>
    <w:p>
      <w:pPr>
        <w:ind w:right="7660" w:firstLine="8"/>
        <w:spacing w:after="0" w:line="378" w:lineRule="auto"/>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40"/>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U.S. Securities and Exchange Commission (“SEC”) regulations and include all of the information and disclosures required by U.S. generally accepted accounting principles ("U.S. GAAP" or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are stated in U.S. dollars.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 are located in the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prepaid and accrued research and development expense, stock-based compensation expense, revenue recognition and income taxes.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Cash and cash equivalents consist of all cash on hand and $100,000 invested in short-term certificates of deposits with original maturities of three months or less at the time of purchase. At December 31, 2019 and 2018, the Company’s cash equivalents are primarily in money market funds. The Company maintains balances with its banks in excess of federally insured limits.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Upfront License Fees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If a license to the Company’s intellectual property is determined to be distinct from the other performance obligations identified in 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Milestone Payments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Depending on facts and circumstances, the Company may conclude it is appropriate to include the milestone in the 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 and Royalty Payments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Company’s collaborators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clinical, preclinical and regulatory activities.</w:t>
      </w:r>
    </w:p>
    <w:p>
      <w:pPr>
        <w:spacing w:after="0" w:line="7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2019 and 2018, the Company does not have any uncertain tax positions. The Company recognizes interest and penalties related to uncertain tax positions, if any exist, in income tax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Comprehensive Loss per Share Attributable to Common Stockholders</w:t>
      </w:r>
    </w:p>
    <w:p>
      <w:pPr>
        <w:spacing w:after="0" w:line="12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Company’s basic net and comprehensive loss per share attributable to common stockholders is calculated by dividing the net and comprehensive loss by the weighted average number of shares of common stock outstanding for the period. The diluted net and comprehensive loss per share attributable to common stockholders is computed by adjusting the weighted average shares outstanding for the dilutive effect of common stock equivalents outstanding for the period, determined using the treasury stock method.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Company accounts for its stock-based compensation awards in accordance with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ASC 718 requires all stock-based payments to employees, including grants of employee stock options and restricted stock, to be recognized in the consolidated statements of operations and comprehensive loss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 (d) expected dividends. The fair value of restricted stock awards is determined based on the Company’s estimated common stock value.</w:t>
      </w:r>
    </w:p>
    <w:p>
      <w:pPr>
        <w:spacing w:after="0" w:line="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Due to the historical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4" w:name="page85"/>
    <w:bookmarkEnd w:id="84"/>
    <w:p>
      <w:pPr>
        <w:ind w:right="180"/>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1440" w:right="340" w:hanging="582"/>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440" w:right="340" w:hanging="582"/>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1440" w:right="780" w:hanging="582"/>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in the years ended December 31, 2019 and 2018. The assets of the Company measured at fair value on a recurring basis as of December 31, 2019 and 2018 are summarized below:</w:t>
      </w: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Fair Value Measurements Using</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6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38,524,536</w:t>
            </w:r>
          </w:p>
        </w:tc>
        <w:tc>
          <w:tcPr>
            <w:tcW w:w="5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FF0FC"/>
          </w:tcPr>
          <w:p>
            <w:pPr>
              <w:ind w:left="84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w w:val="88"/>
              </w:rPr>
              <w:t>38,524,536</w:t>
            </w:r>
          </w:p>
        </w:tc>
        <w:tc>
          <w:tcPr>
            <w:tcW w:w="100" w:type="dxa"/>
            <w:vAlign w:val="bottom"/>
            <w:shd w:val="clear" w:color="auto" w:fill="CFF0FC"/>
          </w:tcPr>
          <w:p>
            <w:pPr>
              <w:spacing w:after="0"/>
              <w:rPr>
                <w:sz w:val="19"/>
                <w:szCs w:val="19"/>
                <w:color w:val="auto"/>
              </w:rPr>
            </w:pPr>
          </w:p>
        </w:tc>
      </w:tr>
      <w:tr>
        <w:trPr>
          <w:trHeight w:val="263"/>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38,524,536</w:t>
            </w:r>
          </w:p>
        </w:tc>
        <w:tc>
          <w:tcPr>
            <w:tcW w:w="2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8"/>
              </w:rPr>
              <w:t>38,524,536</w:t>
            </w:r>
          </w:p>
        </w:tc>
        <w:tc>
          <w:tcPr>
            <w:tcW w:w="100" w:type="dxa"/>
            <w:vAlign w:val="bottom"/>
            <w:tcBorders>
              <w:bottom w:val="single" w:sz="8" w:color="CFF0FC"/>
            </w:tcBorders>
          </w:tcPr>
          <w:p>
            <w:pPr>
              <w:spacing w:after="0"/>
              <w:rPr>
                <w:sz w:val="22"/>
                <w:szCs w:val="22"/>
                <w:color w:val="auto"/>
              </w:rPr>
            </w:pPr>
          </w:p>
        </w:tc>
      </w:tr>
      <w:tr>
        <w:trPr>
          <w:trHeight w:val="21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62,614,010</w:t>
            </w:r>
          </w:p>
        </w:tc>
        <w:tc>
          <w:tcPr>
            <w:tcW w:w="5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8"/>
              </w:rPr>
              <w:t>62,614,010</w:t>
            </w:r>
          </w:p>
        </w:tc>
        <w:tc>
          <w:tcPr>
            <w:tcW w:w="100" w:type="dxa"/>
            <w:vAlign w:val="bottom"/>
            <w:shd w:val="clear" w:color="auto" w:fill="CFF0FC"/>
          </w:tcPr>
          <w:p>
            <w:pPr>
              <w:spacing w:after="0"/>
              <w:rPr>
                <w:sz w:val="19"/>
                <w:szCs w:val="19"/>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62,614,010</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62,614,010</w:t>
            </w:r>
          </w:p>
        </w:tc>
        <w:tc>
          <w:tcPr>
            <w:tcW w:w="10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At December 31, 2019 and 2018,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circumstances present. All leases with a term greater than one year are recognized on the consolidated balance sheet as right-of-use assets, lease liabilities and, if applicable, long-term lease liabilities. The Company has elected not to recognize on the consolidated balance sheet leases with terms of one-year or less.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financial position or results of operations upon adoption.</w:t>
      </w:r>
    </w:p>
    <w:p>
      <w:pPr>
        <w:spacing w:after="0" w:line="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to enhance the transparency and comparability of financial reporting related to leasing arrangements. Under this new lease standard, leases are required to be recognized on the balance sheet as right-of-use assets and operating lease liabilities. Disclosure requirements have been enhanced with the objective of enabling financial statement users to assess the amount, timing, and uncertainty of cash flows arising from leases. The Company adopted the new guidance on January 1, 2019. See additional discussion in Note 11.</w:t>
      </w:r>
    </w:p>
    <w:p>
      <w:pPr>
        <w:spacing w:after="0" w:line="4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 xml:space="preserve">In July 2018, the FASB issued ASU 2018-11, </w:t>
      </w:r>
      <w:r>
        <w:rPr>
          <w:rFonts w:ascii="Arial" w:cs="Arial" w:eastAsia="Arial" w:hAnsi="Arial"/>
          <w:sz w:val="16"/>
          <w:szCs w:val="16"/>
          <w:i w:val="1"/>
          <w:iCs w:val="1"/>
          <w:color w:val="auto"/>
        </w:rPr>
        <w:t>Leases, Targeted Improvements</w:t>
      </w:r>
      <w:r>
        <w:rPr>
          <w:rFonts w:ascii="Arial" w:cs="Arial" w:eastAsia="Arial" w:hAnsi="Arial"/>
          <w:sz w:val="16"/>
          <w:szCs w:val="16"/>
          <w:color w:val="auto"/>
        </w:rPr>
        <w:t xml:space="preserve">, (“ASU 2018-11”), which contains certain amendments to ASU 2016-02 intended to provide relief in implementing the new standard. ASU 2018-11 provides registrants with an option to not restate comparative periods presented in the financial statements. The Company adopted this new standard on January 1, 2019 (the “adoption date”) using a cumulative-effect adjustment on the effective date of the standard, for which comparative periods are presented in accordance with the previous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adopting the new standard, the Company elected to utilize the available package of practical expedients permitted under the transition guidance within the new standard The expedients used by the Company are as follows: (1) allowing an entity to not reassess the lease classification for any expired or existing leases, (2) allowing an entity to not reassess the treatment of initial direct costs as they related to existing leases, and (3) allowing an entity to not reassess whether expired or existing contracts are or contain leases. The Company adopted the new guidance on January 1, 2019. See additional discussion in Note 11.</w:t>
      </w:r>
    </w:p>
    <w:p>
      <w:pPr>
        <w:spacing w:after="0" w:line="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Improvements to Nonemployee Share-Based Payment Accounting (</w:t>
      </w:r>
      <w:r>
        <w:rPr>
          <w:rFonts w:ascii="Arial" w:cs="Arial" w:eastAsia="Arial" w:hAnsi="Arial"/>
          <w:sz w:val="18"/>
          <w:szCs w:val="18"/>
          <w:color w:val="auto"/>
        </w:rPr>
        <w:t>“ASU 2018-07”</w:t>
      </w:r>
      <w:r>
        <w:rPr>
          <w:rFonts w:ascii="Arial" w:cs="Arial" w:eastAsia="Arial" w:hAnsi="Arial"/>
          <w:sz w:val="18"/>
          <w:szCs w:val="18"/>
          <w:i w:val="1"/>
          <w:iCs w:val="1"/>
          <w:color w:val="auto"/>
        </w:rPr>
        <w:t>).</w:t>
      </w:r>
      <w:r>
        <w:rPr>
          <w:rFonts w:ascii="Arial" w:cs="Arial" w:eastAsia="Arial" w:hAnsi="Arial"/>
          <w:sz w:val="18"/>
          <w:szCs w:val="18"/>
          <w:color w:val="auto"/>
        </w:rPr>
        <w:t xml:space="preserve"> ASU 2018-07 improves financial reporting for share-based payments issued to nonemployees under ASC 718 by expanding the scope of the employee share-based payments guidance to include share-based payments issued to nonemployees. The amendments in ASU 2018-07 are effective for public companies for fiscal years beginning after December 31, 2018, including interim periods within that fiscal year. The Company adopted ASU 2018-07 as of January 1, 2019 and recorded a one-time cumulative adjustment of $5,717 upon adoption.</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 other new accounting pronouncement recently issued or newly effective had or is expected to have a material impact on the Company’s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 as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5"/>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439,785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Restructuring accrual (see Note 16)</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793,913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346,999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487,923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Accrued bonus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689,830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1,877,455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Accrued retention bonus</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521,859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Accrued vacation</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43,470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382,131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2,232,014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13,463</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173,182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7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3,231,450</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Furniture and Equipment</w:t>
            </w: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color w:val="auto"/>
              </w:rPr>
              <w:t>Furniture and equipment consist of the following as of:</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5"/>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Furniture</w:t>
            </w:r>
          </w:p>
        </w:tc>
        <w:tc>
          <w:tcPr>
            <w:tcW w:w="7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154,669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Computers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56,443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246,056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35,869</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furniture and equipment</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493,037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(328,850)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(311,131)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Furniture and equipment, net</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164,187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and 2018, the Company had 300,000,000 shares of authorized common stock with par value of $0.0001 per share.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December 31, 2019 and 2018, the Company had warrants outstanding for the purchase of 917,562 and 317,562 shares, respectively, of the Company’s common stock. In October 2019, the Company issued warrants for the purchase of 600,000 shares of the Company’s common stock at an exercise price of $0.486 per share in connection with the hiring of a strategic advisor consultant for a six-month period. These warrants vest in equal monthly installments over a six-month period beginning October 14, 2019 and expire on October 24, 2024. At the date of grant the fair value of these awards was determined using a Black-Scholes Merton pricing model. Included at</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87" w:name="page88"/>
    <w:bookmarkEnd w:id="87"/>
    <w:p>
      <w:pPr>
        <w:ind w:right="80"/>
        <w:spacing w:after="0" w:line="276" w:lineRule="auto"/>
        <w:rPr>
          <w:sz w:val="20"/>
          <w:szCs w:val="20"/>
          <w:color w:val="auto"/>
        </w:rPr>
      </w:pPr>
      <w:r>
        <w:rPr>
          <w:rFonts w:ascii="Arial" w:cs="Arial" w:eastAsia="Arial" w:hAnsi="Arial"/>
          <w:sz w:val="17"/>
          <w:szCs w:val="17"/>
          <w:color w:val="auto"/>
        </w:rPr>
        <w:t>December 31, 2019 and 2018 are warrants for the purchase of 317,562 shares of the Company’s common stock at an exercise price of $5.00 per share that were issued in connection with the 2017 Offering and have a three-year term expiring on March 15, 2020. At the expiration date of the warrants,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ant-dilution events such as stock splits, combinations, reorganizations, or issue shares as part of a common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Preferred Stock</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December 31, 2019 and 2018, the Company had 10,000,000 shares of preferred stock, par value $0.0001 per share, in authorized capital. No preferred stock was issued and outstanding at December 31,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Company’s 2011 Equity Incentive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As a result of the evergreen increase, a total of 1,623,520 shares were added to the 2017 Plan on January 1, 2019 and a total of 1,623,520 shares were added to the 2017 Plan on January 1,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options granted generally vest over 48 months. Under the 2017 Plan, options vest in installments of 25% at the one-year anniversary and thereafter in 36 equal monthly installments beginning on the 1</w:t>
      </w:r>
      <w:r>
        <w:rPr>
          <w:rFonts w:ascii="Arial" w:cs="Arial" w:eastAsia="Arial" w:hAnsi="Arial"/>
          <w:sz w:val="13"/>
          <w:szCs w:val="13"/>
          <w:color w:val="auto"/>
        </w:rPr>
        <w:t>st</w:t>
      </w:r>
      <w:r>
        <w:rPr>
          <w:rFonts w:ascii="Arial" w:cs="Arial" w:eastAsia="Arial" w:hAnsi="Arial"/>
          <w:sz w:val="16"/>
          <w:szCs w:val="16"/>
          <w:color w:val="auto"/>
        </w:rPr>
        <w:t xml:space="preserve"> of the month after the one-year anniversary date, subject to the employee’s continuous service with the Company. In May 2019, the Company issued a special retention grant of options to purchase an aggregate of 2,419,050 shares of common stock which vest in installments of 50% at June 30, 2020 and 50% at June 30, 2021, subject to the employee’s continuous service with the Company. The options generally expire ten years after the date of grant. The fair value of the options at the date of grant is recognized as an expense over the requisite service period.</w:t>
      </w:r>
    </w:p>
    <w:p>
      <w:pPr>
        <w:spacing w:after="0" w:line="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years ended December 31, 2019 and 2018, 4,666,728 and 1,615,200 option awards were granted, respectively. All option awards granted during 2019 and 2018 were under the 2017 Equity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1,983,093 and 2,959,562 shares were reserved for issuance under the 2017 Plan, respectively.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The following table summarizes the stock option activity during the years ended December 31, 2019 and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1,912,980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2,738,704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1,615,200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(52,099)</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(124,949)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3,351,132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Expected to vest, December 31, 2018</w:t>
            </w: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2,197,619</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December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1,153,513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Outstanding, January 1, 2019</w:t>
            </w:r>
          </w:p>
        </w:tc>
        <w:tc>
          <w:tcPr>
            <w:tcW w:w="1020" w:type="dxa"/>
            <w:vAlign w:val="bottom"/>
          </w:tcPr>
          <w:p>
            <w:pPr>
              <w:jc w:val="right"/>
              <w:spacing w:after="0"/>
              <w:rPr>
                <w:sz w:val="20"/>
                <w:szCs w:val="20"/>
                <w:color w:val="auto"/>
              </w:rPr>
            </w:pPr>
            <w:r>
              <w:rPr>
                <w:rFonts w:ascii="Arial" w:cs="Arial" w:eastAsia="Arial" w:hAnsi="Arial"/>
                <w:sz w:val="18"/>
                <w:szCs w:val="18"/>
                <w:color w:val="auto"/>
              </w:rPr>
              <w:t>3,351,132</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4,666,728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Expired/cancelled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(2,682,010)</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5,335,850</w:t>
            </w: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Expected to vest, December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2,395,265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Options exercisable, December 31, 2019</w:t>
            </w:r>
          </w:p>
        </w:tc>
        <w:tc>
          <w:tcPr>
            <w:tcW w:w="1020" w:type="dxa"/>
            <w:vAlign w:val="bottom"/>
          </w:tcPr>
          <w:p>
            <w:pPr>
              <w:jc w:val="right"/>
              <w:spacing w:after="0"/>
              <w:rPr>
                <w:sz w:val="20"/>
                <w:szCs w:val="20"/>
                <w:color w:val="auto"/>
              </w:rPr>
            </w:pPr>
            <w:r>
              <w:rPr>
                <w:rFonts w:ascii="Arial" w:cs="Arial" w:eastAsia="Arial" w:hAnsi="Arial"/>
                <w:sz w:val="18"/>
                <w:szCs w:val="18"/>
                <w:color w:val="auto"/>
              </w:rPr>
              <w:t>2,940,585</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Aggregate intrinsic value represents the estimated fair value of the Company’s common stock at the end of the period in excess of the weighted average exercise price multiplied by the number of options outstanding or exercisable. The aggregate intrinsic value of the options at December 31, 2019 and 2018 was $2,866 and $142,788,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exercised during 2019. Stock options exercised during 2018 had an intrinsic value of $139,108.</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For the years ended December 31, 2019 and 2018, the Company recognized compensation expense for stock options of $1,085,842 and $2,982,173, respectively. During the fourth quarter of 2019, the Company recorded a one-time stock-based compensation cumulative reversal of $1,051,735 for the forfeitures of outstanding equity awards related to the Chief Executive Officer and Chief Financial and Business Officer who departed the Company on October 15, 2019. As of December 31, 2019, there was $2,309,337 of unrecognized compensation cost related to stock options, which is expected to be recognized over a weighted average period of 2.31 years.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89" w:name="page90"/>
    <w:bookmarkEnd w:id="89"/>
    <w:p>
      <w:pPr>
        <w:ind w:right="20"/>
        <w:spacing w:after="0" w:line="269" w:lineRule="auto"/>
        <w:rPr>
          <w:sz w:val="20"/>
          <w:szCs w:val="20"/>
          <w:color w:val="auto"/>
        </w:rPr>
      </w:pPr>
      <w:r>
        <w:rPr>
          <w:rFonts w:ascii="Arial" w:cs="Arial" w:eastAsia="Arial" w:hAnsi="Arial"/>
          <w:sz w:val="17"/>
          <w:szCs w:val="17"/>
          <w:color w:val="auto"/>
        </w:rPr>
        <w:t>The Company uses the Black-Scholes option pricing model to determine the estimated fair value for stock-based awards. For the years ended December 31, 2019 and 2018, there were 4,666,728 and 1,615,200 options granted out of the 2017 Plan, respectively. Option pricing models require the input of various assumptions, including the option’s expected life, expected dividend yield, price volatility and risk-free interest rate of the underlying stock. As there has not been significant public market activity of the Company’s Common Stock, the Company has determined the volatility assumption for options granted based on data from a peer group of companies that issued options with substantially similar terms. The expected volatility of options granted has been determined using the average of the historical volatility measures of this peer group of companies for a period equal to the expected life of the option. The risk-free interest rate is based on the rate applicable to U.S. Treasury zero-coupon issues, with remaining maturities commensurate with the expected term of the options granted in effect on the date of grant. The Company has not paid, and does not anticipate paying, cash dividends on shares of Common Stock; therefore, the expected dividend yield is assumed to be zero in the option valuation model. Accordingly, the weighted-average fair value of the options granted during the years ended December 31, 2019 and 2018, was $1.11 and $2.22, respectively. The calculation was based on the following assumptions.</w:t>
      </w:r>
    </w:p>
    <w:p>
      <w:pPr>
        <w:spacing w:after="0" w:line="25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6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5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5.36</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64.88%</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65.99%</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Shares of restricted stock generally had similar vesting terms as stock options. A summary of the Company’s restricted stock activity and related information for the years ended December 31, 2019 and 2018 is as follows: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January 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(149,243)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Nonvested, January 1, 2019</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auto"/>
        </w:rPr>
        <w:t>For the years ended December 31, 2019 and 2018, the Company recognized compensation expense for restricted stock of $0 and $449,689, respectively. As of December 31, 2019, all restricted stock had vested.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 Summary</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recognized the following compensation cost related to employee and non-employee stock-based compensation activity for the periods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880" w:type="dxa"/>
            <w:vAlign w:val="bottom"/>
            <w:tcBorders>
              <w:bottom w:val="single" w:sz="8" w:color="CFF0FC"/>
            </w:tcBorders>
          </w:tcPr>
          <w:p>
            <w:pPr>
              <w:spacing w:after="0"/>
              <w:rPr>
                <w:sz w:val="14"/>
                <w:szCs w:val="14"/>
                <w:color w:val="auto"/>
              </w:rPr>
            </w:pPr>
          </w:p>
        </w:tc>
        <w:tc>
          <w:tcPr>
            <w:tcW w:w="24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510,923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392,470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574,919</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3,039,392</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1,085,842</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3,431,862</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80" w:type="dxa"/>
            <w:vAlign w:val="bottom"/>
            <w:vMerge w:val="restart"/>
          </w:tcPr>
          <w:p>
            <w:pPr>
              <w:jc w:val="right"/>
              <w:ind w:right="1250"/>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90" w:name="page91"/>
    <w:bookmarkEnd w:id="90"/>
    <w:p>
      <w:pPr>
        <w:ind w:right="100"/>
        <w:spacing w:after="0" w:line="263" w:lineRule="auto"/>
        <w:rPr>
          <w:sz w:val="20"/>
          <w:szCs w:val="20"/>
          <w:color w:val="auto"/>
        </w:rPr>
      </w:pPr>
      <w:r>
        <w:rPr>
          <w:rFonts w:ascii="Arial" w:cs="Arial" w:eastAsia="Arial" w:hAnsi="Arial"/>
          <w:sz w:val="18"/>
          <w:szCs w:val="18"/>
          <w:color w:val="auto"/>
        </w:rPr>
        <w:t>The decrease in compensation expense during the year ended December 31, 2019, is primarily due to the cumulative reversal for the forfeitures of outstanding equity awards related to the Chief Executive Officer, Chief Financial and Business Officer and other employees who left the Company during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did not record a current or deferred income tax expense or benefit for the years ended December 31, 2019 and 2018, due to the Company’s net and comprehensive losses and increases in its deferred tax asset valuation allowance. A reconciliation of the statutory federal income tax with the provision for income taxes are as follows:</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4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10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40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Federal tax at statutory rate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(21.00%)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120"/>
              <w:spacing w:after="0"/>
              <w:rPr>
                <w:sz w:val="20"/>
                <w:szCs w:val="20"/>
                <w:color w:val="auto"/>
              </w:rPr>
            </w:pPr>
            <w:r>
              <w:rPr>
                <w:rFonts w:ascii="Arial" w:cs="Arial" w:eastAsia="Arial" w:hAnsi="Arial"/>
                <w:sz w:val="18"/>
                <w:szCs w:val="18"/>
                <w:color w:val="auto"/>
              </w:rPr>
              <w:t>State and local tax at statutory rates, net of</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(0.82)</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federal income tax</w:t>
            </w:r>
          </w:p>
        </w:tc>
        <w:tc>
          <w:tcPr>
            <w:tcW w:w="1300" w:type="dxa"/>
            <w:vAlign w:val="bottom"/>
            <w:gridSpan w:val="2"/>
            <w:vMerge w:val="continue"/>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 credits</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(3.39)</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Other</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0.56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valuation allowance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24.65</w:t>
            </w:r>
          </w:p>
        </w:tc>
        <w:tc>
          <w:tcPr>
            <w:tcW w:w="2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Arial" w:cs="Arial" w:eastAsia="Arial" w:hAnsi="Arial"/>
                <w:sz w:val="18"/>
                <w:szCs w:val="18"/>
                <w:color w:val="auto"/>
              </w:rPr>
              <w:t>Effective tax rate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Company’s income tax provision was computed based on the federal statutory rate and the average state statutory rates, net of the related federal benefit.</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the assets and liabilities for financial reporting purposes and the amounts used for income and for tax carryforwards, recorded at the enacted federal statutory income tax rate. Significant components of the Company’s deferred tax assets and liabilities are as follows:</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0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24,966,019</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19,946,123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413,048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738,768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603,408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4,640,960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3,852,714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Operating lease right-of-use assets, net</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37,793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30,799,011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25,010,730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Furniture and equipment</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24,967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liability</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36,044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61,011</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deferred tax assets before valuation</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30,738,000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allowance</w:t>
            </w: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25,002,340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Less valuation allowance</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(30,738,000)</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(25,002,340)</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deferred tax asset</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realization of the deferred tax asset is more likely than not to occur, the benefit related to the deductible temporary differences attributable to operation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net deferred tax assets. The valuation allowance increased $5,735,658 and $2,832,878 in 2019 and 2018, respectively, as a result of an increase in the net operating loss (“NOL”) and an increase of research and development credits carryforwards. The Company continues to monitor the need for a valuation allowance based on the profitability of its future operations.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At December 31, 2019, the Company has $84,173,000 of federal NOL carryforwards with expirations between 2032 and 2038. The Company has</w:t>
      </w:r>
    </w:p>
    <w:p>
      <w:pPr>
        <w:spacing w:after="0" w:line="35"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$28,763,332 of federal NOL carryforwards with no expiration as a result of the 2017 Tax Act. Additionally, the Company has $70,789,456 of state and local NOL carryforwards with expiration between 2020 and 2040. Finally, at December 31, 2019, the Company has $4,640,960 of federal research and development credit carryforwards that expire at various dates through 2040.</w:t>
      </w:r>
    </w:p>
    <w:p>
      <w:pPr>
        <w:spacing w:after="0" w:line="8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the provisions of the Internal Revenue Code, NOL and tax credit carryforwards are subject to review and possible adjustment by the Internal Revenue Service and state tax authorities until fully utilized. NOL and tax credit carryforwards may be subject to an annual limitation in the event of certain cumulative changes in the ownership interest of significant stockholders by more than 50% over a three-year period, as defined in Sections 382 and 383 of the Internal Revenue Code and similar state provisions. The amount of the annual limitation is determined based on the value of the Company immediately before the ownership change. Subsequent ownership changes may further affect the limitation in future years. The Company has not completed a study to assess whether a change of control has occurred or whether there have been multiple changes of control since the date of the Company’s formation due to the significant complexity and cost associated with such study and that there could be additional changes in control in the future. As a result, the Company is unable to estimate the effect of these limitations, if any, on the Company’s ability to utilize NOL and tax credit carryforwards in the future. A full valuation allowance has been provided against the Company’s NOL and tax credit carryforwards and, if an adjustment is required, this adjustment would be offset by an adjustment to the deferred tax asset established for the NOL and tax credit carryforwards and the valuation allowance.</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not yet conducted a study to document whether its research activities may qualify for the research and development tax credit. Such a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 and, if an adjustment is required, this adjustment would be offset by an adjustment to the deferred tax asset established for the research and development credit carryforwards and the valuation allowance.</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December 31, 2019 and 2018, the Company had no accrued uncertain tax positions or associated interest or penalties and no amounts have been recognized in the Company’s consolidated statements of operations and comprehensive loss.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files income tax returns in the U.S. federal jurisdiction and various state jurisdictions. All years remain open and are subject to examination by federal and state taxing authorities.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and Comprehensive Loss per Share Attributable to Common Stockholders</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and comprehensive loss per share attributable to common stockholders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4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attributable to</w:t>
            </w:r>
          </w:p>
        </w:tc>
        <w:tc>
          <w:tcPr>
            <w:tcW w:w="19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7"/>
              </w:rPr>
              <w:t>(23,270,514)</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1940" w:type="dxa"/>
            <w:vAlign w:val="bottom"/>
            <w:gridSpan w:val="2"/>
            <w:vMerge w:val="continue"/>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(10,396,635)</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Weighted average common shares used in</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computing net and comprehensive loss per</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share attributable to common stockholders,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40,588,004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33,930,846</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per share</w:t>
            </w: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w:t>
            </w:r>
          </w:p>
        </w:tc>
        <w:tc>
          <w:tcPr>
            <w:tcW w:w="19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(0.57)</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940" w:type="dxa"/>
            <w:vAlign w:val="bottom"/>
            <w:gridSpan w:val="2"/>
            <w:vMerge w:val="continue"/>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(0.31)</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bottom w:val="single" w:sz="8" w:color="CFF0FC"/>
            </w:tcBorders>
            <w:vMerge w:val="restart"/>
          </w:tcPr>
          <w:p>
            <w:pPr>
              <w:jc w:val="right"/>
              <w:ind w:right="1210"/>
              <w:spacing w:after="0"/>
              <w:rPr>
                <w:sz w:val="20"/>
                <w:szCs w:val="20"/>
                <w:color w:val="auto"/>
              </w:rPr>
            </w:pPr>
            <w:r>
              <w:rPr>
                <w:rFonts w:ascii="Arial" w:cs="Arial" w:eastAsia="Arial" w:hAnsi="Arial"/>
                <w:sz w:val="18"/>
                <w:szCs w:val="18"/>
                <w:color w:val="auto"/>
              </w:rPr>
              <w:t>91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76" w:right="319" w:bottom="1440" w:gutter="0" w:footer="0" w:header="0"/>
        </w:sectPr>
      </w:pPr>
    </w:p>
    <w:bookmarkStart w:id="92" w:name="page93"/>
    <w:bookmarkEnd w:id="92"/>
    <w:p>
      <w:pPr>
        <w:ind w:right="600"/>
        <w:spacing w:after="0" w:line="277" w:lineRule="auto"/>
        <w:rPr>
          <w:sz w:val="20"/>
          <w:szCs w:val="20"/>
          <w:color w:val="auto"/>
        </w:rPr>
      </w:pPr>
      <w:r>
        <w:rPr>
          <w:rFonts w:ascii="Arial" w:cs="Arial" w:eastAsia="Arial" w:hAnsi="Arial"/>
          <w:sz w:val="18"/>
          <w:szCs w:val="18"/>
          <w:color w:val="auto"/>
        </w:rPr>
        <w:t>The following weighted average common stock equivalents were excluded from the calculation of diluted net loss per share attributable to common stockholders for the periods presented because including them would have had an anti-dilutive effect:</w:t>
      </w:r>
    </w:p>
    <w:p>
      <w:pPr>
        <w:spacing w:after="0" w:line="175"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 Ended December 31,</w:t>
      </w:r>
    </w:p>
    <w:p>
      <w:pPr>
        <w:spacing w:after="0" w:line="11" w:lineRule="exact"/>
        <w:rPr>
          <w:sz w:val="20"/>
          <w:szCs w:val="20"/>
          <w:color w:val="auto"/>
        </w:rPr>
      </w:pPr>
    </w:p>
    <w:p>
      <w:pPr>
        <w:ind w:left="7500"/>
        <w:spacing w:after="0"/>
        <w:tabs>
          <w:tab w:leader="none" w:pos="87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tbl>
      <w:tblPr>
        <w:tblLayout w:type="fixed"/>
        <w:tblInd w:w="1700" w:type="dxa"/>
        <w:tblCellMar>
          <w:top w:w="0" w:type="dxa"/>
          <w:left w:w="0" w:type="dxa"/>
          <w:bottom w:w="0" w:type="dxa"/>
          <w:right w:w="0" w:type="dxa"/>
        </w:tblCellMar>
      </w:tblP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5,335,850</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3,351,132</w:t>
            </w:r>
          </w:p>
        </w:tc>
        <w:tc>
          <w:tcPr>
            <w:tcW w:w="80" w:type="dxa"/>
            <w:vAlign w:val="bottom"/>
            <w:tcBorders>
              <w:top w:val="single" w:sz="8" w:color="CFF0FC"/>
            </w:tcBorders>
            <w:shd w:val="clear" w:color="auto" w:fill="CFF0FC"/>
          </w:tcPr>
          <w:p>
            <w:pPr>
              <w:spacing w:after="0"/>
              <w:rPr>
                <w:sz w:val="19"/>
                <w:szCs w:val="19"/>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917,562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317,562</w:t>
            </w:r>
          </w:p>
        </w:tc>
        <w:tc>
          <w:tcPr>
            <w:tcW w:w="80" w:type="dxa"/>
            <w:vAlign w:val="bottom"/>
          </w:tcPr>
          <w:p>
            <w:pPr>
              <w:spacing w:after="0"/>
              <w:rPr>
                <w:sz w:val="20"/>
                <w:szCs w:val="20"/>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Quarterly Results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unaudited quarterly results for the years ended December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6"/>
              </w:rPr>
              <w:t>Quarter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1"/>
                <w:szCs w:val="11"/>
                <w:color w:val="auto"/>
              </w:rPr>
            </w:pPr>
          </w:p>
        </w:tc>
        <w:tc>
          <w:tcPr>
            <w:tcW w:w="152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180" w:type="dxa"/>
            <w:vAlign w:val="bottom"/>
          </w:tcPr>
          <w:p>
            <w:pPr>
              <w:jc w:val="center"/>
              <w:ind w:right="101"/>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5"/>
          </w:tcPr>
          <w:p>
            <w:pPr>
              <w:jc w:val="center"/>
              <w:ind w:right="420"/>
              <w:spacing w:after="0"/>
              <w:rPr>
                <w:sz w:val="20"/>
                <w:szCs w:val="20"/>
                <w:color w:val="auto"/>
              </w:rPr>
            </w:pPr>
            <w:r>
              <w:rPr>
                <w:rFonts w:ascii="Arial" w:cs="Arial" w:eastAsia="Arial" w:hAnsi="Arial"/>
                <w:sz w:val="14"/>
                <w:szCs w:val="14"/>
                <w:i w:val="1"/>
                <w:iCs w:val="1"/>
                <w:color w:val="auto"/>
                <w:w w:val="93"/>
              </w:rPr>
              <w:t>(unaudited)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8,841,293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5,978,919</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4,966,638</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4,657,232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60" w:type="dxa"/>
            <w:vAlign w:val="bottom"/>
          </w:tcPr>
          <w:p>
            <w:pPr>
              <w:spacing w:after="0"/>
              <w:rPr>
                <w:sz w:val="20"/>
                <w:szCs w:val="20"/>
                <w:color w:val="auto"/>
              </w:rPr>
            </w:pPr>
            <w:r>
              <w:rPr>
                <w:rFonts w:ascii="Arial" w:cs="Arial" w:eastAsia="Arial" w:hAnsi="Arial"/>
                <w:sz w:val="16"/>
                <w:szCs w:val="16"/>
                <w:color w:val="auto"/>
              </w:rPr>
              <w:t>Loss from operations</w:t>
            </w:r>
          </w:p>
        </w:tc>
        <w:tc>
          <w:tcPr>
            <w:tcW w:w="1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(8,841,293)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(5,978,919)</w:t>
            </w:r>
          </w:p>
        </w:tc>
        <w:tc>
          <w:tcPr>
            <w:tcW w:w="18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(4,966,638)</w:t>
            </w:r>
          </w:p>
        </w:tc>
        <w:tc>
          <w:tcPr>
            <w:tcW w:w="1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(4,657,232)</w:t>
            </w:r>
          </w:p>
        </w:tc>
        <w:tc>
          <w:tcPr>
            <w:tcW w:w="0" w:type="dxa"/>
            <w:vAlign w:val="bottom"/>
          </w:tcPr>
          <w:p>
            <w:pPr>
              <w:spacing w:after="0"/>
              <w:rPr>
                <w:sz w:val="1"/>
                <w:szCs w:val="1"/>
                <w:color w:val="auto"/>
              </w:rPr>
            </w:pPr>
          </w:p>
        </w:tc>
      </w:tr>
      <w:tr>
        <w:trPr>
          <w:trHeight w:val="219"/>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348,468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295,303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318,708</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060" w:type="dxa"/>
            <w:vAlign w:val="bottom"/>
          </w:tcPr>
          <w:p>
            <w:pPr>
              <w:spacing w:after="0"/>
              <w:rPr>
                <w:sz w:val="20"/>
                <w:szCs w:val="20"/>
                <w:color w:val="auto"/>
              </w:rPr>
            </w:pPr>
            <w:r>
              <w:rPr>
                <w:rFonts w:ascii="Arial" w:cs="Arial" w:eastAsia="Arial" w:hAnsi="Arial"/>
                <w:sz w:val="16"/>
                <w:szCs w:val="16"/>
                <w:color w:val="auto"/>
              </w:rPr>
              <w:t>Net and comprehensive loss attributable</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60" w:type="dxa"/>
            <w:vAlign w:val="bottom"/>
          </w:tcPr>
          <w:p>
            <w:pPr>
              <w:ind w:left="120"/>
              <w:spacing w:after="0"/>
              <w:rPr>
                <w:sz w:val="20"/>
                <w:szCs w:val="20"/>
                <w:color w:val="auto"/>
              </w:rPr>
            </w:pPr>
            <w:r>
              <w:rPr>
                <w:rFonts w:ascii="Arial" w:cs="Arial" w:eastAsia="Arial" w:hAnsi="Arial"/>
                <w:sz w:val="16"/>
                <w:szCs w:val="16"/>
                <w:color w:val="auto"/>
              </w:rPr>
              <w:t>to common stockholders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(8,492,825)</w:t>
            </w: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(5,683,616)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(4,647,930)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(4,446,143)</w:t>
            </w:r>
          </w:p>
        </w:tc>
        <w:tc>
          <w:tcPr>
            <w:tcW w:w="0" w:type="dxa"/>
            <w:vAlign w:val="bottom"/>
          </w:tcPr>
          <w:p>
            <w:pPr>
              <w:spacing w:after="0"/>
              <w:rPr>
                <w:sz w:val="1"/>
                <w:szCs w:val="1"/>
                <w:color w:val="auto"/>
              </w:rPr>
            </w:pPr>
          </w:p>
        </w:tc>
      </w:tr>
      <w:tr>
        <w:trPr>
          <w:trHeight w:val="190"/>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and comprehensive loss per share</w:t>
            </w:r>
          </w:p>
        </w:tc>
        <w:tc>
          <w:tcPr>
            <w:tcW w:w="1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attributable to common stockholders,</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basic and diluted</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(0.21)</w:t>
            </w:r>
          </w:p>
        </w:tc>
        <w:tc>
          <w:tcPr>
            <w:tcW w:w="3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(0.14)</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(0.11)</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6"/>
        </w:trPr>
        <w:tc>
          <w:tcPr>
            <w:tcW w:w="5060" w:type="dxa"/>
            <w:vAlign w:val="bottom"/>
          </w:tcPr>
          <w:p>
            <w:pPr>
              <w:spacing w:after="0"/>
              <w:rPr>
                <w:sz w:val="20"/>
                <w:szCs w:val="20"/>
                <w:color w:val="auto"/>
              </w:rPr>
            </w:pPr>
            <w:r>
              <w:rPr>
                <w:rFonts w:ascii="Arial" w:cs="Arial" w:eastAsia="Arial" w:hAnsi="Arial"/>
                <w:sz w:val="16"/>
                <w:szCs w:val="16"/>
                <w:color w:val="auto"/>
              </w:rPr>
              <w:t>Weighted average number of common shares used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120"/>
              <w:spacing w:after="0"/>
              <w:rPr>
                <w:sz w:val="20"/>
                <w:szCs w:val="20"/>
                <w:color w:val="auto"/>
              </w:rPr>
            </w:pPr>
            <w:r>
              <w:rPr>
                <w:rFonts w:ascii="Arial" w:cs="Arial" w:eastAsia="Arial" w:hAnsi="Arial"/>
                <w:sz w:val="16"/>
                <w:szCs w:val="16"/>
                <w:color w:val="auto"/>
              </w:rPr>
              <w:t>in computing net and comprehensive loss per share: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Basic and diluted</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40,588,004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40,588,004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40,588,004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40,588,004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6"/>
              </w:rPr>
              <w:t>Quarter Ended</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1"/>
                <w:szCs w:val="11"/>
                <w:color w:val="auto"/>
              </w:rPr>
            </w:pPr>
          </w:p>
        </w:tc>
        <w:tc>
          <w:tcPr>
            <w:tcW w:w="152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180" w:type="dxa"/>
            <w:vAlign w:val="bottom"/>
          </w:tcPr>
          <w:p>
            <w:pPr>
              <w:jc w:val="center"/>
              <w:ind w:right="101"/>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gridSpan w:val="5"/>
          </w:tcPr>
          <w:p>
            <w:pPr>
              <w:jc w:val="center"/>
              <w:ind w:right="440"/>
              <w:spacing w:after="0"/>
              <w:rPr>
                <w:sz w:val="20"/>
                <w:szCs w:val="20"/>
                <w:color w:val="auto"/>
              </w:rPr>
            </w:pPr>
            <w:r>
              <w:rPr>
                <w:rFonts w:ascii="Arial" w:cs="Arial" w:eastAsia="Arial" w:hAnsi="Arial"/>
                <w:sz w:val="16"/>
                <w:szCs w:val="16"/>
                <w:i w:val="1"/>
                <w:iCs w:val="1"/>
                <w:color w:val="auto"/>
                <w:w w:val="93"/>
              </w:rPr>
              <w:t>(unaudited)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License revenue, and other</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1,333,333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18,821,953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7,476,648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7,369,788</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7,623,916</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8,868,322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(Loss) income from operations</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(7,476,648)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(6,036,455)</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11,198,037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(8,866,178)</w:t>
            </w:r>
          </w:p>
        </w:tc>
        <w:tc>
          <w:tcPr>
            <w:tcW w:w="0" w:type="dxa"/>
            <w:vAlign w:val="bottom"/>
          </w:tcPr>
          <w:p>
            <w:pPr>
              <w:spacing w:after="0"/>
              <w:rPr>
                <w:sz w:val="1"/>
                <w:szCs w:val="1"/>
                <w:color w:val="auto"/>
              </w:rPr>
            </w:pPr>
          </w:p>
        </w:tc>
      </w:tr>
      <w:tr>
        <w:trPr>
          <w:trHeight w:val="213"/>
        </w:trPr>
        <w:tc>
          <w:tcPr>
            <w:tcW w:w="5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51,116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46,464</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339,441</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347,588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Net and comprehensive (loss) income attributable</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 common stockholders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(7,425,532)</w:t>
            </w:r>
          </w:p>
        </w:tc>
        <w:tc>
          <w:tcPr>
            <w:tcW w:w="3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(5,989,991)</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11,537,478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(8,518,590)</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and comprehensive (loss)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6"/>
                <w:szCs w:val="16"/>
                <w:color w:val="auto"/>
              </w:rPr>
              <w:t>attributable to common stockholders,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120"/>
              <w:spacing w:after="0"/>
              <w:rPr>
                <w:sz w:val="20"/>
                <w:szCs w:val="20"/>
                <w:color w:val="auto"/>
              </w:rPr>
            </w:pPr>
            <w:r>
              <w:rPr>
                <w:rFonts w:ascii="Arial" w:cs="Arial" w:eastAsia="Arial" w:hAnsi="Arial"/>
                <w:sz w:val="16"/>
                <w:szCs w:val="16"/>
                <w:color w:val="auto"/>
              </w:rPr>
              <w:t>basic and diluted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(0.27)</w:t>
            </w: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(0.22)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0.28</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number of common shares used</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 computing net and comprehensive (loss) income</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per share:</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38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27,045,509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27,340,914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40,527,722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40,587,928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27,045,509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27,340,914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40,961,620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40,587,928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sum of the quarterly net loss per share attributable to common stockholders may not equal the annual amounts reported because per share amounts are computed independently for each quarter and for full year based on respective weighted-average common shares outstanding and other dilutive potential common stockholders.</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diluted earnings per share (“EPS”) calculation for the three months ended September 30, 2018 includes the dilutive common share impact of 426,860 options to purchase common stock and 7,038 unvested restricted stock. Furthermore, the diluted EPS calculation for the three months ended September 30, 2018 excludes 2.4 million options to purchase common stock that was outstanding but unvested and the effect of weighted average common stock share equivalents of 0.1 million for options to purchase common stock and 0.3 million for warrants to purchase common stock as their effect is anti-</w:t>
      </w:r>
    </w:p>
    <w:p>
      <w:pPr>
        <w:spacing w:after="0" w:line="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dilutive. Holders of non-vested stock-based compensation awards do not have voting rights. Diluted and Basic weighted average number of common shares were the exact same in every other period presented within the table above.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At December 31, 2019, the Company is a party to one property lease in Cincinnati, Ohio under an arrangement which provides the right to use the underlying asset and require lease payments for the lease term. During the fourth quarter of 2019, the Company terminated its leases in Lexington, Massachusetts and Dexter, Michigan; no penalties were incurred related to these terminations. The Cincinnati, Ohio lease agreement obligates the Company to pay real estate taxes, insurance and certain maintenance costs (hereinafter referred to as non-lease components). The Company’s lease arrangement contains a renewal provision of 5 years, exercisable at the Company's option. The Company’s lease agreement does not contain any material residual value guarantees or material restrictive covenants.</w:t>
      </w:r>
    </w:p>
    <w:p>
      <w:pPr>
        <w:spacing w:after="0" w:line="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determines if an arrangement is an operating lease at inception. Leases with an initial term of 12 months or less are not recorded on the consolidated balance sheet. All other leases are recorded on the consolidated balance sheet with a corresponding operating lease asset, net, representing the right to use the underlying asset for the lease term and the operating lease liabilities representing the obligation to make lease payments arising from the lease.</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Operating lease assets and operating lease liabilities are recognized at commencement date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at lease commencement date. Lease agreements with lease and non-lease components are generally accounted for as a single lease component. The Company’s operating lease expense is recognized on a straight-line basis over the lease term and are recorded in general and administrative expenses on the consolidated statements of operations and comprehensive loss.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 cost and information related to the right-of-use assets and operating lease liabilities: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Average rent expense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2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242,690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rPr>
              <w:t>Cash paid for amounts included in</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the measurement of operating lease liabilities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2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242,581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tcPr>
          <w:p>
            <w:pPr>
              <w:spacing w:after="0"/>
              <w:rPr>
                <w:sz w:val="20"/>
                <w:szCs w:val="20"/>
                <w:color w:val="auto"/>
              </w:rPr>
            </w:pPr>
            <w:r>
              <w:rPr>
                <w:rFonts w:ascii="Arial" w:cs="Arial" w:eastAsia="Arial" w:hAnsi="Arial"/>
                <w:sz w:val="18"/>
                <w:szCs w:val="18"/>
                <w:b w:val="1"/>
                <w:bCs w:val="1"/>
                <w:color w:val="auto"/>
              </w:rPr>
              <w:t>The weighted average remaining lease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140"/>
              <w:spacing w:after="0"/>
              <w:rPr>
                <w:sz w:val="20"/>
                <w:szCs w:val="20"/>
                <w:color w:val="auto"/>
              </w:rPr>
            </w:pPr>
            <w:r>
              <w:rPr>
                <w:rFonts w:ascii="Arial" w:cs="Arial" w:eastAsia="Arial" w:hAnsi="Arial"/>
                <w:sz w:val="18"/>
                <w:szCs w:val="18"/>
                <w:b w:val="1"/>
                <w:bCs w:val="1"/>
                <w:color w:val="auto"/>
              </w:rPr>
              <w:t>term and discount rate at December 31, 2019</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458"/>
        </w:trPr>
        <w:tc>
          <w:tcPr>
            <w:tcW w:w="8620" w:type="dxa"/>
            <w:vAlign w:val="bottom"/>
            <w:gridSpan w:val="8"/>
          </w:tcPr>
          <w:p>
            <w:pPr>
              <w:spacing w:after="0"/>
              <w:rPr>
                <w:sz w:val="20"/>
                <w:szCs w:val="20"/>
                <w:color w:val="auto"/>
              </w:rPr>
            </w:pPr>
            <w:r>
              <w:rPr>
                <w:rFonts w:ascii="Arial" w:cs="Arial" w:eastAsia="Arial" w:hAnsi="Arial"/>
                <w:sz w:val="18"/>
                <w:szCs w:val="18"/>
                <w:color w:val="auto"/>
                <w:w w:val="95"/>
              </w:rPr>
              <w:t>As of December 31, 2019, future payments related to operating leases activities are presented in the table below:</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jc w:val="right"/>
              <w:ind w:right="727"/>
              <w:spacing w:after="0"/>
              <w:rPr>
                <w:sz w:val="20"/>
                <w:szCs w:val="20"/>
                <w:color w:val="auto"/>
              </w:rPr>
            </w:pPr>
            <w:r>
              <w:rPr>
                <w:rFonts w:ascii="Arial" w:cs="Arial" w:eastAsia="Arial" w:hAnsi="Arial"/>
                <w:sz w:val="14"/>
                <w:szCs w:val="14"/>
                <w:b w:val="1"/>
                <w:bCs w:val="1"/>
                <w:color w:val="auto"/>
              </w:rPr>
              <w:t>2022 and</w:t>
            </w:r>
          </w:p>
        </w:tc>
        <w:tc>
          <w:tcPr>
            <w:tcW w:w="9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jc w:val="right"/>
              <w:ind w:right="667"/>
              <w:spacing w:after="0"/>
              <w:rPr>
                <w:sz w:val="20"/>
                <w:szCs w:val="20"/>
                <w:color w:val="auto"/>
              </w:rPr>
            </w:pPr>
            <w:r>
              <w:rPr>
                <w:rFonts w:ascii="Arial" w:cs="Arial" w:eastAsia="Arial" w:hAnsi="Arial"/>
                <w:sz w:val="14"/>
                <w:szCs w:val="14"/>
                <w:b w:val="1"/>
                <w:bCs w:val="1"/>
                <w:color w:val="auto"/>
              </w:rPr>
              <w:t>Thereafter</w:t>
            </w: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117,781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69,685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187,466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Less interest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(17,473)</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169,993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Retirement Plan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maintains a 401(k) plan (the “401k Plan”) in 2015 for the benefit of its employees. All employees who have attained the age of 21 are eligible to participate in the 401k Plan as of the first Entry Date, as defined by the 401k Plan document, following the employment date. Each employee can contribute a percentage of compensation up to a maximum of the statutory limits per year. Company contributions are discretionary. No contributions were made during 2019 or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13. Employee Bonus Plan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maintains a bonus plan for certain employees based on the achievement of certain goals and milestones. At December 31, 2019 and 2018, the Company accrued $689,830 and $1,877,455, respectively, for bonuses.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Stock Purchase Plan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March 2017, the Board of Directors adopted and the stockholders approved the Employee Stock Purchase Plan that became effective in April 2017. On June 20, 2018, the Company’s shareholders approved the Amended and Restated 2017 Employee Stock Purchase Plan (as amended, the “ESPP”) at the Annual Meeting of Shareholders. Pursuant to the terms of the ESPP, the Company will reserve for issuance 300,000 shares of the Company’s common stock in the aggregate. Additionally, on January 1, 2019 and each January 1 thereafter through January 1, 2028, the number of shares of the Company’s common stock reserved and available for issuance under the ESPP will be cumulatively increased by the least of: (i) one percent (1%)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No shares under the ESPP are outstanding at December 31, 2019 and 2018 for the purchases made under the ESPP.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License Agreement</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June 24, 2018, the Company entered into a License Agreement (the “Gossamer License”) with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 Prior to the execution of the Gossamer License, AKB-4924 was a pipeline program for the Company that recently completed a Phase 1a clinical trial in healthy volunteers.</w:t>
      </w:r>
    </w:p>
    <w:p>
      <w:pPr>
        <w:spacing w:after="0" w:line="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Gossamer License, Gossamer is obligated to use its commercially reasonable efforts to develop and commercialize licensed products in the United States, two major European countries and Japan for at least one of the initial indications. The Gossamer License includes an exclusivity provision that prohibits the Company from developing, manufacturing or commercializing, and prohibits Gossamer from clinically developing or commercializing certain HIF stabilizing compounds other than as permitted in the Gossamer License. Pursuant to the terms of the Gossamer License, Gossamer made an upfront payment to the Company of $20.0 million on June 28, 2018. The $20.0 million of license revenue is recorded within the consolidated statement of operations and comprehensive loss for the year ended December 31, 2019.</w:t>
      </w:r>
    </w:p>
    <w:p>
      <w:pPr>
        <w:spacing w:after="0" w:line="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is also eligible to receive development, commercial and sales milestone payments, with such payments contingent on the achievement of specified milestones with respect to the first licensed product for each of the first two initial indications. The Company is also eligible to receive tiered royalties on sales of licensed products at percentages ranging from a high-single-digit to mid-teens, subject to certain customary reductions. In addition, under certain circumstances, in lieu of receiving the foregoing milestone payments and royalties, the Company may elect to receive a specified percentage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Conversely, the Company could be required to accept such a specified percentage of those payments if Gossamer agrees to pay the Company a certain minimum upon Gossamer and its stockholders being paid. Such amount may be reduced if the subject transaction includes pharmaceutical candidates or products or other named asset categories in addition to the licensed products.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Gossamer License expires on a licensed-product-by-licensed-product and country-by-country basis on the later of fifteen years from the date of first commercial sale or when there is no longer a valid patent claim covering such licensed product in such country. Either party may terminate the Gossamer License for an uncured material breach by the other party or upon the bankruptcy or insolvency of the other party. Gossamer may terminate the Gossamer License in the event Gossamer determines there is a potential safety or efficacy issue with the licensed products. The Company may terminate the Gossamer License if Gossamer institutes certain actions related to the licensed patents. Under certain termination circumstances, the Company would have worldwide rights to the terminated program.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5" w:name="page96"/>
    <w:bookmarkEnd w:id="95"/>
    <w:p>
      <w:pPr>
        <w:ind w:right="260"/>
        <w:spacing w:after="0" w:line="277" w:lineRule="auto"/>
        <w:rPr>
          <w:sz w:val="20"/>
          <w:szCs w:val="20"/>
          <w:color w:val="auto"/>
        </w:rPr>
      </w:pPr>
      <w:r>
        <w:rPr>
          <w:rFonts w:ascii="Arial" w:cs="Arial" w:eastAsia="Arial" w:hAnsi="Arial"/>
          <w:sz w:val="18"/>
          <w:szCs w:val="18"/>
          <w:color w:val="auto"/>
        </w:rPr>
        <w:t>As of December 31, 2019, all development milestones, sales-based milestones and royalty payments within the Gossamer License are constrained to the point where no transaction price has been allocated to the future milestones or 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April 2019, the Company executed a realignment plan to reduce operating costs and better align its workforce with the needs of its ongoing business. The realignment plan reduced the Company’s workforce by 11 employees, representing approximately 41% of its workforce. As a result of this realignment plan, the Company recorded employee severance expense of $0.9 million during the year ended December 31, 2019. On October 15, 2019, the Company’s Chief Executive Officer and Chief Financial and Business Officer departed from their positions. The Chief Executive Officer also resigned as a director. In connection with these departures, the Company recorded severance expenses of $1.0 million during the year ended December 31, 2019 for employee related costs, including severance benefits and payment of healthcare insurance premiums. These amounts are included within restructuring expense in the consolidated statements of operations and comprehensive loss and are expected to be substantially paid in cash by October 31, 2020. Additionally, the Company recorded a one-time stock-based compensation cumulative reversal of $1.1 million during the year ended December 31, 2019 for the forfeitures of outstanding equity awards. Total cash payments against the severance liability was approximately $1.1 million in 2019. The remaining liability as of December 31, 2019 was approximately $0.8 million and is included in accounts payable and accrued expenses in the consolidated balance sheet.</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provide reasonable assurance that information required to be disclosed in the Company’s reports under the Exchange Act, is recorded, processed, summarized and reported within the time periods specified in the SEC’s rules and forms, and that such information is accumulated and communicated to management, including the Company’s Principal Executive Officer and the Company’s Principal Financial and Accounting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Management necessarily was required to apply its judgment in evaluating the cost-benefit relationship of possible controls and procedures.</w:t>
      </w:r>
    </w:p>
    <w:p>
      <w:pPr>
        <w:spacing w:after="0" w:line="6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connection with the preparation of this Annual Report on Form 10-K, an evaluation is performed under the supervision and with the participation of the Company’s management, including the Company’s Principal Executive Officer and the Company’s Principal Financial and Accounting Officer, of the effectiveness of the design and operation of the Company’s disclosure controls and procedures (as defined in Rule 13a-15(e) under the Exchange Act) as of December 31, 2019. Based on that evaluation, the Company’s Principal Executive Officer and the Company’s Principal Financial and Accounting Officer conclude whether the Company’s disclosure controls and procedures are effective as of December 31, 2019, at the reasonable assurance level.</w:t>
      </w:r>
    </w:p>
    <w:p>
      <w:pPr>
        <w:spacing w:after="0" w:line="5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connection with this Annual Report on Form 10-K for the year ended December 31, 2019, an evaluation was performed of the effectiveness of the design and operation of the Company’s disclosure controls and procedures as of December 31, 2019. Based on that evaluation, the Company’s Principal Executive Officer and the Company’s Principal Financial and Accounting Officer have concluded based upon the evaluation described above that, as of December 31, 2019, our disclosure controls and procedures were effective at the reasonable assurance level.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us. Internal control over financial reporting (as defined in Rule 13a-15(f) of the Exchange Act) is a process to provide reasonable assurance regarding the reliability of our financial reporting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Management conducted an evaluation of the effectiveness, as of December 31, 2019, of our internal control over financial reporting based on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in 2013. Based on this evaluation, management concluded that our internal control over financial reporting was effective as of December 31,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during the three months ended December 31, 2019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Joseph Gardner, Ph.D</w:t>
      </w: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Gardner,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Principal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Regina Marek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Regina Marek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Principal Financial and Accounting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8" w:name="page99"/>
    <w:bookmarkEnd w:id="98"/>
    <w:p>
      <w:pPr>
        <w:jc w:val="center"/>
        <w:ind w:right="-3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10 is omitted from this Annual Report on Form 10-K and is incorporated herein by reference from our definitive proxy statement relating to our 2020 Annual Meeting of Stockholders (the “Definitive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will be contained in the Definitive Proxy Statement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will be contained in the Definitive Proxy Statement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will be contained in the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will be contained in the Definitive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320" w:top="337" w:right="699" w:bottom="1440" w:gutter="0" w:footer="0" w:header="0"/>
        </w:sectPr>
      </w:pPr>
    </w:p>
    <w:bookmarkStart w:id="99" w:name="page100"/>
    <w:bookmarkEnd w:id="99"/>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consolidated financial statements required by this item are submitted in a separate section beginning on page 73 of this report.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(a)(2) Exhibits.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40" w:type="dxa"/>
            <w:vAlign w:val="bottom"/>
            <w:gridSpan w:val="27"/>
          </w:tcPr>
          <w:p>
            <w:pPr>
              <w:jc w:val="center"/>
              <w:ind w:right="482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26"/>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56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3.1</w:t>
            </w:r>
          </w:p>
        </w:tc>
        <w:tc>
          <w:tcPr>
            <w:tcW w:w="10040" w:type="dxa"/>
            <w:vAlign w:val="bottom"/>
            <w:tcBorders>
              <w:bottom w:val="single" w:sz="8" w:color="0000EE"/>
            </w:tcBorders>
            <w:gridSpan w:val="30"/>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Amended and Restated Certificate of Incorporation of the Registrant (incorporated by reference to Exhibit 3.2 to the Registrant’s Form 8-K</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filed with the Securities and Exchange Commission on March 17, 2017,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3.2</w:t>
            </w:r>
          </w:p>
        </w:tc>
        <w:tc>
          <w:tcPr>
            <w:tcW w:w="9900" w:type="dxa"/>
            <w:vAlign w:val="bottom"/>
            <w:tcBorders>
              <w:bottom w:val="single" w:sz="8" w:color="0000EE"/>
            </w:tcBorders>
            <w:gridSpan w:val="25"/>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Amended and Restated By-laws of the Registrant, as currently in effect (incorporated by reference to Exhibit 3.3 to the Registrant’s Form</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8-K filed with the Securities and Exchange Commission on March 17, 2017,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4.1</w:t>
            </w:r>
          </w:p>
        </w:tc>
        <w:tc>
          <w:tcPr>
            <w:tcW w:w="10100" w:type="dxa"/>
            <w:vAlign w:val="bottom"/>
            <w:gridSpan w:val="32"/>
          </w:tcPr>
          <w:p>
            <w:pPr>
              <w:spacing w:after="0"/>
              <w:rPr>
                <w:rFonts w:ascii="Arial" w:cs="Arial" w:eastAsia="Arial" w:hAnsi="Arial"/>
                <w:sz w:val="18"/>
                <w:szCs w:val="18"/>
                <w:color w:val="0000EE"/>
                <w:w w:val="93"/>
              </w:rPr>
            </w:pPr>
            <w:hyperlink r:id="rId128">
              <w:r>
                <w:rPr>
                  <w:rFonts w:ascii="Arial" w:cs="Arial" w:eastAsia="Arial" w:hAnsi="Arial"/>
                  <w:sz w:val="18"/>
                  <w:szCs w:val="18"/>
                  <w:color w:val="0000EE"/>
                  <w:w w:val="93"/>
                </w:rPr>
                <w:t>Specimen Stock Certificate evidencing shares of common stock (incorporated by reference to Exhibit 4.2 to the Registrant’s Registration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Statement on Form S-1 (File No. 333-217320) filed April 14, 2017)</w:t>
              </w:r>
            </w:hyperlink>
          </w:p>
        </w:tc>
        <w:tc>
          <w:tcPr>
            <w:tcW w:w="4960" w:type="dxa"/>
            <w:vAlign w:val="bottom"/>
            <w:tcBorders>
              <w:top w:val="single" w:sz="8" w:color="0000EE"/>
            </w:tcBorders>
            <w:gridSpan w:val="15"/>
          </w:tcPr>
          <w:p>
            <w:pPr>
              <w:spacing w:after="0"/>
              <w:rPr>
                <w:sz w:val="17"/>
                <w:szCs w:val="17"/>
                <w:color w:val="auto"/>
              </w:rPr>
            </w:pPr>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4.2</w:t>
            </w:r>
          </w:p>
        </w:tc>
        <w:tc>
          <w:tcPr>
            <w:tcW w:w="10040" w:type="dxa"/>
            <w:vAlign w:val="bottom"/>
            <w:tcBorders>
              <w:bottom w:val="single" w:sz="8" w:color="0000EE"/>
            </w:tcBorders>
            <w:gridSpan w:val="30"/>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Form of Warrant Agreements (incorporated by reference to Exhibit 4.1 to the Registrant’s Form 8-K filed with the Securities and Exchange</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Commission March 17, 2017, File No. 000-53057)</w:t>
              </w:r>
            </w:hyperlink>
          </w:p>
        </w:tc>
        <w:tc>
          <w:tcPr>
            <w:tcW w:w="64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60" w:type="dxa"/>
            <w:vAlign w:val="bottom"/>
          </w:tcPr>
          <w:p>
            <w:pPr>
              <w:jc w:val="right"/>
              <w:ind w:right="572"/>
              <w:spacing w:after="0"/>
              <w:rPr>
                <w:sz w:val="20"/>
                <w:szCs w:val="20"/>
                <w:color w:val="auto"/>
              </w:rPr>
            </w:pPr>
            <w:r>
              <w:rPr>
                <w:rFonts w:ascii="Arial" w:cs="Arial" w:eastAsia="Arial" w:hAnsi="Arial"/>
                <w:sz w:val="18"/>
                <w:szCs w:val="18"/>
                <w:color w:val="auto"/>
              </w:rPr>
              <w:t>4.3*</w:t>
            </w:r>
          </w:p>
        </w:tc>
        <w:tc>
          <w:tcPr>
            <w:tcW w:w="10100" w:type="dxa"/>
            <w:vAlign w:val="bottom"/>
            <w:gridSpan w:val="32"/>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Description of Registrant’s Securities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w:t>
            </w:r>
          </w:p>
        </w:tc>
        <w:tc>
          <w:tcPr>
            <w:tcW w:w="10020" w:type="dxa"/>
            <w:vAlign w:val="bottom"/>
            <w:tcBorders>
              <w:bottom w:val="single" w:sz="8" w:color="0000EE"/>
            </w:tcBorders>
            <w:gridSpan w:val="29"/>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2011 Equity Incentive Plan and forms of award agreements thereunder, assumed in the Merger (incorporated herein by reference to Exhibit</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8-K filed with the Securities and Exchange Commission on March 17, 2017,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10.2#</w:t>
            </w:r>
          </w:p>
        </w:tc>
        <w:tc>
          <w:tcPr>
            <w:tcW w:w="10100" w:type="dxa"/>
            <w:vAlign w:val="bottom"/>
            <w:gridSpan w:val="32"/>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2017 Stock Option and Incentive Plan and forms of award agreements thereunder (incorporated herein by reference to Exhibit 10.2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Company’s 8-K filed with the Securities and Exchange Commission on March 17, 2017, File No. 000-53057)</w:t>
              </w:r>
            </w:hyperlink>
          </w:p>
        </w:tc>
        <w:tc>
          <w:tcPr>
            <w:tcW w:w="1980" w:type="dxa"/>
            <w:vAlign w:val="bottom"/>
            <w:tcBorders>
              <w:top w:val="single" w:sz="8" w:color="0000EE"/>
            </w:tcBorders>
            <w:gridSpan w:val="12"/>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10.3#</w:t>
            </w:r>
          </w:p>
        </w:tc>
        <w:tc>
          <w:tcPr>
            <w:tcW w:w="10100" w:type="dxa"/>
            <w:vAlign w:val="bottom"/>
            <w:gridSpan w:val="32"/>
          </w:tcPr>
          <w:p>
            <w:pPr>
              <w:spacing w:after="0"/>
              <w:rPr>
                <w:rFonts w:ascii="Arial" w:cs="Arial" w:eastAsia="Arial" w:hAnsi="Arial"/>
                <w:sz w:val="18"/>
                <w:szCs w:val="18"/>
                <w:color w:val="0000EE"/>
                <w:w w:val="88"/>
              </w:rPr>
            </w:pPr>
            <w:hyperlink r:id="rId132">
              <w:r>
                <w:rPr>
                  <w:rFonts w:ascii="Arial" w:cs="Arial" w:eastAsia="Arial" w:hAnsi="Arial"/>
                  <w:sz w:val="18"/>
                  <w:szCs w:val="18"/>
                  <w:color w:val="0000EE"/>
                  <w:w w:val="88"/>
                </w:rPr>
                <w:t>Amended and Restated 2017 Employee Stock Purchase Plan (incorporated herein by reference to Exhibit 10.1 to the Company’s 8-K filed with</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the Securities and Exchange Commission on December 18, 2017, File No. 000-53057)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10.4#</w:t>
            </w:r>
          </w:p>
        </w:tc>
        <w:tc>
          <w:tcPr>
            <w:tcW w:w="10100" w:type="dxa"/>
            <w:vAlign w:val="bottom"/>
            <w:gridSpan w:val="32"/>
          </w:tcPr>
          <w:p>
            <w:pPr>
              <w:spacing w:after="0"/>
              <w:rPr>
                <w:rFonts w:ascii="Arial" w:cs="Arial" w:eastAsia="Arial" w:hAnsi="Arial"/>
                <w:sz w:val="18"/>
                <w:szCs w:val="18"/>
                <w:color w:val="0000EE"/>
                <w:w w:val="93"/>
              </w:rPr>
            </w:pPr>
            <w:hyperlink r:id="rId133">
              <w:r>
                <w:rPr>
                  <w:rFonts w:ascii="Arial" w:cs="Arial" w:eastAsia="Arial" w:hAnsi="Arial"/>
                  <w:sz w:val="18"/>
                  <w:szCs w:val="18"/>
                  <w:color w:val="0000EE"/>
                  <w:w w:val="93"/>
                </w:rPr>
                <w:t>Form of Indemnification Agreement (incorporated herein by reference to Exhibit 10.4 to the Company’s 8-K filed with the Securities and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Exchange Commission on March 17, 2017, File No. 000-53057)</w:t>
              </w:r>
            </w:hyperlink>
          </w:p>
        </w:tc>
        <w:tc>
          <w:tcPr>
            <w:tcW w:w="5100" w:type="dxa"/>
            <w:vAlign w:val="bottom"/>
            <w:tcBorders>
              <w:top w:val="single" w:sz="8" w:color="0000EE"/>
            </w:tcBorders>
            <w:gridSpan w:val="11"/>
          </w:tcPr>
          <w:p>
            <w:pPr>
              <w:spacing w:after="0"/>
              <w:rPr>
                <w:sz w:val="17"/>
                <w:szCs w:val="17"/>
                <w:color w:val="auto"/>
              </w:rPr>
            </w:pPr>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10.5</w:t>
            </w:r>
          </w:p>
        </w:tc>
        <w:tc>
          <w:tcPr>
            <w:tcW w:w="9780" w:type="dxa"/>
            <w:vAlign w:val="bottom"/>
            <w:tcBorders>
              <w:bottom w:val="single" w:sz="8" w:color="0000EE"/>
            </w:tcBorders>
            <w:gridSpan w:val="20"/>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Registration Rights Agreement, dated March 15, 2017, by and among the Company and the persons listed on Exhibit A attached thereto</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(incorporated herein by reference to Exhibit 10.5 to the Company’s 8-K filed with the Securities and Exchange Commission on March 17,</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2017, File No. 000-53057)</w:t>
              </w:r>
            </w:hyperlink>
          </w:p>
        </w:tc>
        <w:tc>
          <w:tcPr>
            <w:tcW w:w="81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10.6</w:t>
            </w:r>
          </w:p>
        </w:tc>
        <w:tc>
          <w:tcPr>
            <w:tcW w:w="10100" w:type="dxa"/>
            <w:vAlign w:val="bottom"/>
            <w:gridSpan w:val="32"/>
          </w:tcPr>
          <w:p>
            <w:pPr>
              <w:spacing w:after="0"/>
              <w:rPr>
                <w:rFonts w:ascii="Arial" w:cs="Arial" w:eastAsia="Arial" w:hAnsi="Arial"/>
                <w:sz w:val="18"/>
                <w:szCs w:val="18"/>
                <w:color w:val="0000EE"/>
                <w:w w:val="94"/>
              </w:rPr>
            </w:pPr>
            <w:hyperlink r:id="rId135">
              <w:r>
                <w:rPr>
                  <w:rFonts w:ascii="Arial" w:cs="Arial" w:eastAsia="Arial" w:hAnsi="Arial"/>
                  <w:sz w:val="18"/>
                  <w:szCs w:val="18"/>
                  <w:color w:val="0000EE"/>
                  <w:w w:val="94"/>
                </w:rPr>
                <w:t>Subscription Agreement, dated March 15, 2017, by and between the Company and the investors party thereto (incorporated herein by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900" w:type="dxa"/>
            <w:vAlign w:val="bottom"/>
            <w:gridSpan w:val="5"/>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reference to Exhibit 10.6 to the Company’s 8-K filed with the Securities and Exchange Commission on March 17, 2017, File No. 000-</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35">
              <w:r>
                <w:rPr>
                  <w:rFonts w:ascii="Arial" w:cs="Arial" w:eastAsia="Arial" w:hAnsi="Arial"/>
                  <w:sz w:val="18"/>
                  <w:szCs w:val="18"/>
                  <w:color w:val="0000EE"/>
                  <w:w w:val="85"/>
                </w:rPr>
                <w:t>53057)</w:t>
              </w:r>
            </w:hyperlink>
          </w:p>
        </w:tc>
        <w:tc>
          <w:tcPr>
            <w:tcW w:w="4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10.7</w:t>
            </w:r>
          </w:p>
        </w:tc>
        <w:tc>
          <w:tcPr>
            <w:tcW w:w="10040" w:type="dxa"/>
            <w:vAlign w:val="bottom"/>
            <w:tcBorders>
              <w:bottom w:val="single" w:sz="8" w:color="0000EE"/>
            </w:tcBorders>
            <w:gridSpan w:val="30"/>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Office Lease at 10300 Alliance Road, Cincinnati, OH dated as of September 29, 2009, by and between Akebia Therapeutics, Inc. and Duke</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Realty Ohio, as amended by the First Lease Amendment dated as of April 23, 2010 by and between Akebia Therapeutics, Inc. and Duke</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Realty Ohio, as amended by the Second Lease Amendment and Assignment and Assumption of Lease dated as of April 25, 2012 by and</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6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between DP Landings Building II, LLC, Akebia Therapeutics, Inc., and Aerpio, as amended by the Third Amendment to Office Lease</w:t>
              </w:r>
            </w:hyperlink>
          </w:p>
        </w:tc>
        <w:tc>
          <w:tcPr>
            <w:tcW w:w="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dated as of February 27, 2015 by and between RT Landings Building II, LLC and Aerpio (incorporated herein by reference to Exhibit 10.7</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to the Company’s 8-K filed with the Securities and Exchange Commission on March 17, 2017, File No. 000-53057)</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900" w:type="dxa"/>
            <w:vAlign w:val="bottom"/>
            <w:gridSpan w:val="5"/>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10.8</w:t>
            </w:r>
          </w:p>
        </w:tc>
        <w:tc>
          <w:tcPr>
            <w:tcW w:w="9600" w:type="dxa"/>
            <w:vAlign w:val="bottom"/>
            <w:tcBorders>
              <w:bottom w:val="single" w:sz="8" w:color="0000EE"/>
            </w:tcBorders>
            <w:gridSpan w:val="16"/>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Fourth Amendment to Office Lease and Assignment and Assumption of Lease dated as of March 29, 2018 by and between Blue Ash</w:t>
              </w:r>
            </w:hyperlink>
          </w:p>
        </w:tc>
        <w:tc>
          <w:tcPr>
            <w:tcW w:w="5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Landings Acquisition, LLC and Aerpio (incorporated herein by reference to Exhibit 10.1 to the Company’s 8-K filed with the Securities</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and Exchange Commission on April 2, 2018,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900" w:type="dxa"/>
            <w:vAlign w:val="bottom"/>
            <w:gridSpan w:val="5"/>
            <w:shd w:val="clear" w:color="auto" w:fill="0000EE"/>
          </w:tcPr>
          <w:p>
            <w:pPr>
              <w:spacing w:after="0" w:line="20" w:lineRule="exact"/>
              <w:rPr>
                <w:sz w:val="1"/>
                <w:szCs w:val="1"/>
                <w:color w:val="auto"/>
              </w:rPr>
            </w:pPr>
          </w:p>
        </w:tc>
        <w:tc>
          <w:tcPr>
            <w:tcW w:w="3900" w:type="dxa"/>
            <w:vAlign w:val="bottom"/>
            <w:gridSpan w:val="8"/>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10.9</w:t>
            </w:r>
          </w:p>
        </w:tc>
        <w:tc>
          <w:tcPr>
            <w:tcW w:w="9960" w:type="dxa"/>
            <w:vAlign w:val="bottom"/>
            <w:tcBorders>
              <w:bottom w:val="single" w:sz="8" w:color="0000EE"/>
            </w:tcBorders>
            <w:gridSpan w:val="27"/>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License Agreement dated June 24, 2018, by and between Aerpio and Gossamer Bio, Inc. (incorporated herein by reference to Exhibit 10.1</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7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to the Company’s Form 8-K filed with the Securities and Exchange Commission on June 25, 2018 (File No. 000-53057))</w:t>
              </w:r>
            </w:hyperlink>
          </w:p>
        </w:tc>
        <w:tc>
          <w:tcPr>
            <w:tcW w:w="13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160" w:type="dxa"/>
            <w:vAlign w:val="bottom"/>
          </w:tcPr>
          <w:p>
            <w:pPr>
              <w:ind w:left="100"/>
              <w:spacing w:after="0"/>
              <w:rPr>
                <w:sz w:val="20"/>
                <w:szCs w:val="20"/>
                <w:color w:val="auto"/>
              </w:rPr>
            </w:pPr>
            <w:r>
              <w:rPr>
                <w:rFonts w:ascii="Arial" w:cs="Arial" w:eastAsia="Arial" w:hAnsi="Arial"/>
                <w:sz w:val="18"/>
                <w:szCs w:val="18"/>
                <w:color w:val="auto"/>
              </w:rPr>
              <w:t>10.10#</w:t>
            </w:r>
          </w:p>
        </w:tc>
        <w:tc>
          <w:tcPr>
            <w:tcW w:w="10040" w:type="dxa"/>
            <w:vAlign w:val="bottom"/>
            <w:tcBorders>
              <w:bottom w:val="single" w:sz="8" w:color="0000EE"/>
            </w:tcBorders>
            <w:gridSpan w:val="30"/>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Employment Agreement, dated March 15, 2017, between the Company and Joseph H. Gardner (incorporated herein by reference to Exhibit</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r>
                <w:rPr>
                  <w:rFonts w:ascii="Arial" w:cs="Arial" w:eastAsia="Arial" w:hAnsi="Arial"/>
                  <w:sz w:val="18"/>
                  <w:szCs w:val="18"/>
                  <w:color w:val="0000EE"/>
                  <w:w w:val="91"/>
                </w:rPr>
                <w:t xml:space="preserve"> to the Company’s Registration Statement on Form S-1 filed with the Securities and Exchange Commission on April 14, 2017, File No.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9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333-217320)</w:t>
              </w:r>
            </w:hyperlink>
          </w:p>
        </w:tc>
        <w:tc>
          <w:tcPr>
            <w:tcW w:w="7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160" w:type="dxa"/>
            <w:vAlign w:val="bottom"/>
          </w:tcPr>
          <w:p>
            <w:pPr>
              <w:spacing w:after="0"/>
              <w:rPr>
                <w:sz w:val="24"/>
                <w:szCs w:val="24"/>
                <w:color w:val="auto"/>
              </w:rPr>
            </w:pPr>
          </w:p>
        </w:tc>
        <w:tc>
          <w:tcPr>
            <w:tcW w:w="920" w:type="dxa"/>
            <w:vAlign w:val="bottom"/>
            <w:tcBorders>
              <w:top w:val="single" w:sz="8" w:color="0000EE"/>
            </w:tcBorders>
            <w:gridSpan w:val="2"/>
          </w:tcPr>
          <w:p>
            <w:pPr>
              <w:spacing w:after="0"/>
              <w:rPr>
                <w:sz w:val="24"/>
                <w:szCs w:val="24"/>
                <w:color w:val="auto"/>
              </w:rPr>
            </w:pPr>
          </w:p>
        </w:tc>
        <w:tc>
          <w:tcPr>
            <w:tcW w:w="3900" w:type="dxa"/>
            <w:vAlign w:val="bottom"/>
            <w:gridSpan w:val="5"/>
          </w:tcPr>
          <w:p>
            <w:pPr>
              <w:jc w:val="right"/>
              <w:ind w:right="148"/>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Arial" w:cs="Arial" w:eastAsia="Arial" w:hAnsi="Arial"/>
                <w:sz w:val="18"/>
                <w:szCs w:val="18"/>
                <w:color w:val="auto"/>
              </w:rPr>
              <w:t>10.11#</w:t>
            </w:r>
          </w:p>
        </w:tc>
        <w:tc>
          <w:tcPr>
            <w:tcW w:w="9660" w:type="dxa"/>
            <w:vAlign w:val="bottom"/>
            <w:tcBorders>
              <w:bottom w:val="single" w:sz="8" w:color="0000EE"/>
            </w:tcBorders>
            <w:gridSpan w:val="16"/>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Employment Agreement, dated as of March 15, 2017, between the Company and Kevin G. Peters (</w:t>
              </w:r>
              <w:r>
                <w:rPr>
                  <w:rFonts w:ascii="Arial" w:cs="Arial" w:eastAsia="Arial" w:hAnsi="Arial"/>
                  <w:sz w:val="18"/>
                  <w:szCs w:val="18"/>
                  <w:color w:val="0000EE"/>
                  <w:highlight w:val="white"/>
                  <w:w w:val="90"/>
                </w:rPr>
                <w:t>incorporated herein by reference to</w:t>
              </w:r>
            </w:hyperlink>
          </w:p>
        </w:tc>
        <w:tc>
          <w:tcPr>
            <w:tcW w:w="420" w:type="dxa"/>
            <w:vAlign w:val="bottom"/>
            <w:gridSpan w:val="11"/>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Exhibit 10.9 to the Company’s Registration Statement on Form S-1 filed with the Securities and Exchange Commission on April 14, 2017,</w:t>
              </w:r>
            </w:hyperlink>
          </w:p>
        </w:tc>
        <w:tc>
          <w:tcPr>
            <w:tcW w:w="8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File No. 333-217320)</w:t>
              </w:r>
            </w:hyperlink>
          </w:p>
        </w:tc>
        <w:tc>
          <w:tcPr>
            <w:tcW w:w="8520" w:type="dxa"/>
            <w:vAlign w:val="bottom"/>
            <w:gridSpan w:val="23"/>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10.12#</w:t>
            </w:r>
          </w:p>
        </w:tc>
        <w:tc>
          <w:tcPr>
            <w:tcW w:w="9640" w:type="dxa"/>
            <w:vAlign w:val="bottom"/>
            <w:tcBorders>
              <w:bottom w:val="single" w:sz="8" w:color="0000EE"/>
            </w:tcBorders>
            <w:gridSpan w:val="15"/>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Employment Agreement, dated as of March 15, 2017, between the Company and Stephen Pakola (incorporated herein by reference to</w:t>
              </w:r>
            </w:hyperlink>
          </w:p>
        </w:tc>
        <w:tc>
          <w:tcPr>
            <w:tcW w:w="44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Exhibit 10.10 to the Company’s Registration Statement on Form S-1 filed with the Securities and Exchange Commission on April 14, 2017,</w:t>
              </w:r>
            </w:hyperlink>
          </w:p>
        </w:tc>
      </w:tr>
      <w:tr>
        <w:trPr>
          <w:trHeight w:val="196"/>
        </w:trPr>
        <w:tc>
          <w:tcPr>
            <w:tcW w:w="116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File No. 333-217320)</w:t>
              </w:r>
            </w:hyperlink>
          </w:p>
        </w:tc>
        <w:tc>
          <w:tcPr>
            <w:tcW w:w="8520" w:type="dxa"/>
            <w:vAlign w:val="bottom"/>
            <w:gridSpan w:val="23"/>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10.13</w:t>
            </w:r>
          </w:p>
        </w:tc>
        <w:tc>
          <w:tcPr>
            <w:tcW w:w="9740" w:type="dxa"/>
            <w:vAlign w:val="bottom"/>
            <w:tcBorders>
              <w:bottom w:val="single" w:sz="8" w:color="0000EE"/>
            </w:tcBorders>
            <w:gridSpan w:val="17"/>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Employment Agreement, entered into on October 8, 2017, by and between the Company and Stephen Hoffman (incorporated herein by</w:t>
              </w:r>
            </w:hyperlink>
          </w:p>
        </w:tc>
        <w:tc>
          <w:tcPr>
            <w:tcW w:w="34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reference to Exhibit 10.1 to the Company’s 8-K filed with the Securities and Exchange Commission on October 10, 2017, File No. 000-</w:t>
              </w:r>
            </w:hyperlink>
          </w:p>
        </w:tc>
      </w:tr>
      <w:tr>
        <w:trPr>
          <w:trHeight w:val="196"/>
        </w:trPr>
        <w:tc>
          <w:tcPr>
            <w:tcW w:w="116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44">
              <w:r>
                <w:rPr>
                  <w:rFonts w:ascii="Arial" w:cs="Arial" w:eastAsia="Arial" w:hAnsi="Arial"/>
                  <w:sz w:val="18"/>
                  <w:szCs w:val="18"/>
                  <w:color w:val="0000EE"/>
                  <w:w w:val="85"/>
                </w:rPr>
                <w:t>53057)</w:t>
              </w:r>
            </w:hyperlink>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10.14</w:t>
            </w:r>
          </w:p>
        </w:tc>
        <w:tc>
          <w:tcPr>
            <w:tcW w:w="10080" w:type="dxa"/>
            <w:vAlign w:val="bottom"/>
            <w:gridSpan w:val="27"/>
          </w:tcPr>
          <w:p>
            <w:pPr>
              <w:spacing w:after="0"/>
              <w:rPr>
                <w:rFonts w:ascii="Arial" w:cs="Arial" w:eastAsia="Arial" w:hAnsi="Arial"/>
                <w:sz w:val="18"/>
                <w:szCs w:val="18"/>
                <w:color w:val="0000EE"/>
                <w:w w:val="93"/>
              </w:rPr>
            </w:pPr>
            <w:hyperlink r:id="rId144">
              <w:r>
                <w:rPr>
                  <w:rFonts w:ascii="Arial" w:cs="Arial" w:eastAsia="Arial" w:hAnsi="Arial"/>
                  <w:sz w:val="18"/>
                  <w:szCs w:val="18"/>
                  <w:color w:val="0000EE"/>
                  <w:w w:val="93"/>
                </w:rPr>
                <w:t>First Amendment to Employment Agreement, dated October 8, 2017, by and between the Company and Joseph Gardner (incorporated</w:t>
              </w:r>
            </w:hyperlink>
          </w:p>
        </w:tc>
      </w:tr>
      <w:tr>
        <w:trPr>
          <w:trHeight w:val="20"/>
        </w:trPr>
        <w:tc>
          <w:tcPr>
            <w:tcW w:w="1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herein by reference to Exhibit 10.1 to the Company’s 8-K filed with the Securities and Exchange Commission on October 10, 2017, File</w:t>
              </w:r>
            </w:hyperlink>
          </w:p>
        </w:tc>
      </w:tr>
      <w:tr>
        <w:trPr>
          <w:trHeight w:val="196"/>
        </w:trPr>
        <w:tc>
          <w:tcPr>
            <w:tcW w:w="1160" w:type="dxa"/>
            <w:vAlign w:val="bottom"/>
          </w:tcPr>
          <w:p>
            <w:pPr>
              <w:spacing w:after="0"/>
              <w:rPr>
                <w:sz w:val="17"/>
                <w:szCs w:val="17"/>
                <w:color w:val="auto"/>
              </w:rPr>
            </w:pPr>
          </w:p>
        </w:tc>
        <w:tc>
          <w:tcPr>
            <w:tcW w:w="9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No. 000-53057)</w:t>
              </w:r>
            </w:hyperlink>
          </w:p>
        </w:tc>
        <w:tc>
          <w:tcPr>
            <w:tcW w:w="280" w:type="dxa"/>
            <w:vAlign w:val="bottom"/>
            <w:gridSpan w:val="8"/>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10.15</w:t>
            </w:r>
          </w:p>
        </w:tc>
        <w:tc>
          <w:tcPr>
            <w:tcW w:w="9820" w:type="dxa"/>
            <w:vAlign w:val="bottom"/>
            <w:tcBorders>
              <w:bottom w:val="single" w:sz="8" w:color="0000EE"/>
            </w:tcBorders>
            <w:gridSpan w:val="20"/>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Employment Agreement, effective as of November 15, 2017, by and between the Company and Michael Rogers (incorporated herein by</w:t>
              </w:r>
            </w:hyperlink>
          </w:p>
        </w:tc>
        <w:tc>
          <w:tcPr>
            <w:tcW w:w="26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reference to Exhibit 10.1 to the Company’s 8-K filed with the Securities and Exchange Commission on November 14, 2017, File No. 000-</w:t>
              </w:r>
            </w:hyperlink>
          </w:p>
        </w:tc>
      </w:tr>
      <w:tr>
        <w:trPr>
          <w:trHeight w:val="196"/>
        </w:trPr>
        <w:tc>
          <w:tcPr>
            <w:tcW w:w="116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45">
              <w:r>
                <w:rPr>
                  <w:rFonts w:ascii="Arial" w:cs="Arial" w:eastAsia="Arial" w:hAnsi="Arial"/>
                  <w:sz w:val="18"/>
                  <w:szCs w:val="18"/>
                  <w:color w:val="0000EE"/>
                  <w:w w:val="85"/>
                </w:rPr>
                <w:t>53057)</w:t>
              </w:r>
            </w:hyperlink>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10.16</w:t>
            </w:r>
          </w:p>
        </w:tc>
        <w:tc>
          <w:tcPr>
            <w:tcW w:w="10020" w:type="dxa"/>
            <w:vAlign w:val="bottom"/>
            <w:tcBorders>
              <w:bottom w:val="single" w:sz="8" w:color="0000EE"/>
            </w:tcBorders>
            <w:gridSpan w:val="25"/>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Registration Rights Agreement by and among the Company and certain former stockholders of Aerpio (incorporated herein by reference to</w:t>
              </w:r>
            </w:hyperlink>
          </w:p>
        </w:tc>
        <w:tc>
          <w:tcPr>
            <w:tcW w:w="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9"/>
              </w:rPr>
            </w:pPr>
            <w:hyperlink r:id="rId146">
              <w:r>
                <w:rPr>
                  <w:rFonts w:ascii="Arial" w:cs="Arial" w:eastAsia="Arial" w:hAnsi="Arial"/>
                  <w:sz w:val="18"/>
                  <w:szCs w:val="18"/>
                  <w:color w:val="0000EE"/>
                  <w:w w:val="99"/>
                </w:rPr>
                <w:t>Exhibit 10.9 to the Company’s 8-K filed with the Securities and Exchange Commission on March 17, 2017, File No. 000-53057).</w:t>
              </w:r>
            </w:hyperlink>
          </w:p>
        </w:tc>
      </w:tr>
      <w:tr>
        <w:trPr>
          <w:trHeight w:val="20"/>
        </w:trPr>
        <w:tc>
          <w:tcPr>
            <w:tcW w:w="1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10.17</w:t>
            </w:r>
          </w:p>
        </w:tc>
        <w:tc>
          <w:tcPr>
            <w:tcW w:w="10080" w:type="dxa"/>
            <w:vAlign w:val="bottom"/>
            <w:gridSpan w:val="27"/>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Senior Cash Incentive Bonus Plan of the Company (incorporated herein by reference to Exhibit 10.15 to the Company’s Annual Report on</w:t>
              </w:r>
            </w:hyperlink>
          </w:p>
        </w:tc>
      </w:tr>
      <w:tr>
        <w:trPr>
          <w:trHeight w:val="196"/>
        </w:trPr>
        <w:tc>
          <w:tcPr>
            <w:tcW w:w="116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Form 10-K filed with Securities and Exchange Commission on March 15, 2018, File No. 000-53057).</w:t>
              </w:r>
            </w:hyperlink>
          </w:p>
        </w:tc>
        <w:tc>
          <w:tcPr>
            <w:tcW w:w="2620" w:type="dxa"/>
            <w:vAlign w:val="bottom"/>
            <w:tcBorders>
              <w:top w:val="single" w:sz="8" w:color="0000EE"/>
            </w:tcBorders>
            <w:gridSpan w:val="12"/>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10.18#</w:t>
            </w:r>
          </w:p>
        </w:tc>
        <w:tc>
          <w:tcPr>
            <w:tcW w:w="9620" w:type="dxa"/>
            <w:vAlign w:val="bottom"/>
            <w:tcBorders>
              <w:bottom w:val="single" w:sz="8" w:color="0000EE"/>
            </w:tcBorders>
            <w:gridSpan w:val="14"/>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Form of Inducement Stock Option Award (incorporated herein by reference to Exhibit 99.1 to the Company’s Form S-8 filed with the</w:t>
              </w:r>
            </w:hyperlink>
          </w:p>
        </w:tc>
        <w:tc>
          <w:tcPr>
            <w:tcW w:w="46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0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Securities and Exchange Commission on December 28, 2018 (File No. 333-229089)</w:t>
              </w:r>
            </w:hyperlink>
          </w:p>
        </w:tc>
        <w:tc>
          <w:tcPr>
            <w:tcW w:w="4000" w:type="dxa"/>
            <w:vAlign w:val="bottom"/>
            <w:gridSpan w:val="18"/>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10.19#</w:t>
            </w:r>
          </w:p>
        </w:tc>
        <w:tc>
          <w:tcPr>
            <w:tcW w:w="10080" w:type="dxa"/>
            <w:vAlign w:val="bottom"/>
            <w:gridSpan w:val="27"/>
          </w:tcPr>
          <w:p>
            <w:pPr>
              <w:spacing w:after="0"/>
              <w:rPr>
                <w:rFonts w:ascii="Arial" w:cs="Arial" w:eastAsia="Arial" w:hAnsi="Arial"/>
                <w:sz w:val="18"/>
                <w:szCs w:val="18"/>
                <w:color w:val="0000EE"/>
                <w:w w:val="95"/>
              </w:rPr>
            </w:pPr>
            <w:hyperlink r:id="rId149">
              <w:r>
                <w:rPr>
                  <w:rFonts w:ascii="Arial" w:cs="Arial" w:eastAsia="Arial" w:hAnsi="Arial"/>
                  <w:sz w:val="18"/>
                  <w:szCs w:val="18"/>
                  <w:color w:val="0000EE"/>
                  <w:w w:val="95"/>
                </w:rPr>
                <w:t>Employment Agreement, effective as of November 6, 2019, by and between the Company and Regina Marek (incorporated herein by</w:t>
              </w:r>
            </w:hyperlink>
          </w:p>
        </w:tc>
      </w:tr>
      <w:tr>
        <w:trPr>
          <w:trHeight w:val="20"/>
        </w:trPr>
        <w:tc>
          <w:tcPr>
            <w:tcW w:w="1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reference to Exhibit 10.1 to the Company’s 8-K filed with the Securities and Exchange Commission on November 7, 2019, File No. 001-</w:t>
              </w:r>
            </w:hyperlink>
          </w:p>
        </w:tc>
      </w:tr>
      <w:tr>
        <w:trPr>
          <w:trHeight w:val="196"/>
        </w:trPr>
        <w:tc>
          <w:tcPr>
            <w:tcW w:w="116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49">
              <w:r>
                <w:rPr>
                  <w:rFonts w:ascii="Arial" w:cs="Arial" w:eastAsia="Arial" w:hAnsi="Arial"/>
                  <w:sz w:val="18"/>
                  <w:szCs w:val="18"/>
                  <w:color w:val="0000EE"/>
                  <w:w w:val="85"/>
                </w:rPr>
                <w:t>38560)</w:t>
              </w:r>
            </w:hyperlink>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21.1</w:t>
            </w:r>
          </w:p>
        </w:tc>
        <w:tc>
          <w:tcPr>
            <w:tcW w:w="10080" w:type="dxa"/>
            <w:vAlign w:val="bottom"/>
            <w:gridSpan w:val="27"/>
          </w:tcPr>
          <w:p>
            <w:pPr>
              <w:spacing w:after="0"/>
              <w:rPr>
                <w:rFonts w:ascii="Arial" w:cs="Arial" w:eastAsia="Arial" w:hAnsi="Arial"/>
                <w:sz w:val="18"/>
                <w:szCs w:val="18"/>
                <w:color w:val="0000EE"/>
                <w:w w:val="97"/>
              </w:rPr>
            </w:pPr>
            <w:hyperlink r:id="rId150">
              <w:r>
                <w:rPr>
                  <w:rFonts w:ascii="Arial" w:cs="Arial" w:eastAsia="Arial" w:hAnsi="Arial"/>
                  <w:sz w:val="18"/>
                  <w:szCs w:val="18"/>
                  <w:color w:val="0000EE"/>
                  <w:w w:val="97"/>
                </w:rPr>
                <w:t>Subsidiaries of the Registrant (incorporated herein by reference to Exhibit 21.1 to the Company’s 8-K filed with the Securities and</w:t>
              </w:r>
            </w:hyperlink>
          </w:p>
        </w:tc>
      </w:tr>
      <w:tr>
        <w:trPr>
          <w:trHeight w:val="196"/>
        </w:trPr>
        <w:tc>
          <w:tcPr>
            <w:tcW w:w="1160" w:type="dxa"/>
            <w:vAlign w:val="bottom"/>
          </w:tcPr>
          <w:p>
            <w:pPr>
              <w:spacing w:after="0"/>
              <w:rPr>
                <w:sz w:val="17"/>
                <w:szCs w:val="17"/>
                <w:color w:val="auto"/>
              </w:rPr>
            </w:pPr>
          </w:p>
        </w:tc>
        <w:tc>
          <w:tcPr>
            <w:tcW w:w="9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Exchange Commission on March 17, 2017, File No. 000-53057).</w:t>
              </w:r>
            </w:hyperlink>
          </w:p>
        </w:tc>
        <w:tc>
          <w:tcPr>
            <w:tcW w:w="700" w:type="dxa"/>
            <w:vAlign w:val="bottom"/>
            <w:gridSpan w:val="15"/>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23.1*</w:t>
            </w:r>
          </w:p>
        </w:tc>
        <w:tc>
          <w:tcPr>
            <w:tcW w:w="2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09">
              <w:r>
                <w:rPr>
                  <w:rFonts w:ascii="Arial" w:cs="Arial" w:eastAsia="Arial" w:hAnsi="Arial"/>
                  <w:sz w:val="18"/>
                  <w:szCs w:val="18"/>
                  <w:color w:val="0000EE"/>
                  <w:w w:val="92"/>
                </w:rPr>
                <w:t>Consent of Ernst &amp; Young LLP</w:t>
              </w:r>
            </w:hyperlink>
          </w:p>
        </w:tc>
        <w:tc>
          <w:tcPr>
            <w:tcW w:w="2400" w:type="dxa"/>
            <w:vAlign w:val="bottom"/>
            <w:tcBorders>
              <w:top w:val="single" w:sz="8" w:color="0000EE"/>
            </w:tcBorders>
            <w:gridSpan w:val="3"/>
          </w:tcPr>
          <w:p>
            <w:pPr>
              <w:spacing w:after="0"/>
              <w:rPr>
                <w:sz w:val="24"/>
                <w:szCs w:val="24"/>
                <w:color w:val="auto"/>
              </w:rPr>
            </w:pPr>
          </w:p>
        </w:tc>
        <w:tc>
          <w:tcPr>
            <w:tcW w:w="5400" w:type="dxa"/>
            <w:vAlign w:val="bottom"/>
            <w:gridSpan w:val="19"/>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10080" w:type="dxa"/>
            <w:vAlign w:val="bottom"/>
            <w:gridSpan w:val="27"/>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Certification of Principal Executive Officer Pursuant to Rules 13a-14(a) and 15d-14(a) under the Securities Exchange Act of 1934, as Adopted</w:t>
              </w:r>
            </w:hyperlink>
          </w:p>
        </w:tc>
      </w:tr>
      <w:tr>
        <w:trPr>
          <w:trHeight w:val="196"/>
        </w:trPr>
        <w:tc>
          <w:tcPr>
            <w:tcW w:w="116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10">
              <w:r>
                <w:rPr>
                  <w:rFonts w:ascii="Arial" w:cs="Arial" w:eastAsia="Arial" w:hAnsi="Arial"/>
                  <w:sz w:val="18"/>
                  <w:szCs w:val="18"/>
                  <w:color w:val="0000EE"/>
                  <w:w w:val="87"/>
                </w:rPr>
                <w:t>Pursuant to Section 302 of the Sarbanes-Oxley Act of 2002.</w:t>
              </w:r>
            </w:hyperlink>
          </w:p>
        </w:tc>
        <w:tc>
          <w:tcPr>
            <w:tcW w:w="5800" w:type="dxa"/>
            <w:vAlign w:val="bottom"/>
            <w:tcBorders>
              <w:top w:val="single" w:sz="8" w:color="0000EE"/>
            </w:tcBorders>
            <w:gridSpan w:val="1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998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Certification of Principal Financial Officer Pursuant to Rules 13a-14(a) and 15d-14(a) under the Securities Exchange Act of 1934, as Adopted</w:t>
              </w:r>
            </w:hyperlink>
          </w:p>
        </w:tc>
        <w:tc>
          <w:tcPr>
            <w:tcW w:w="10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Pursuant to Section 302 of the Sarbanes-Oxley Act of 2002.</w:t>
              </w:r>
            </w:hyperlink>
          </w:p>
        </w:tc>
      </w:tr>
      <w:tr>
        <w:trPr>
          <w:trHeight w:val="20"/>
        </w:trPr>
        <w:tc>
          <w:tcPr>
            <w:tcW w:w="1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580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10080" w:type="dxa"/>
            <w:vAlign w:val="bottom"/>
            <w:gridSpan w:val="27"/>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12">
              <w:r>
                <w:rPr>
                  <w:rFonts w:ascii="Arial" w:cs="Arial" w:eastAsia="Arial" w:hAnsi="Arial"/>
                  <w:sz w:val="18"/>
                  <w:szCs w:val="18"/>
                  <w:color w:val="0000EE"/>
                  <w:w w:val="91"/>
                </w:rPr>
                <w:t>Act of 2002.</w:t>
              </w:r>
            </w:hyperlink>
          </w:p>
        </w:tc>
        <w:tc>
          <w:tcPr>
            <w:tcW w:w="9140" w:type="dxa"/>
            <w:vAlign w:val="bottom"/>
            <w:tcBorders>
              <w:top w:val="single" w:sz="8" w:color="0000EE"/>
            </w:tcBorders>
            <w:gridSpan w:val="24"/>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8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13">
              <w:r>
                <w:rPr>
                  <w:rFonts w:ascii="Arial" w:cs="Arial" w:eastAsia="Arial" w:hAnsi="Arial"/>
                  <w:sz w:val="18"/>
                  <w:szCs w:val="18"/>
                  <w:color w:val="0000EE"/>
                  <w:w w:val="91"/>
                </w:rPr>
                <w:t>Act of 2002.</w:t>
              </w:r>
            </w:hyperlink>
          </w:p>
        </w:tc>
        <w:tc>
          <w:tcPr>
            <w:tcW w:w="9180" w:type="dxa"/>
            <w:vAlign w:val="bottom"/>
            <w:gridSpan w:val="25"/>
          </w:tcPr>
          <w:p>
            <w:pPr>
              <w:spacing w:after="0"/>
              <w:rPr>
                <w:sz w:val="17"/>
                <w:szCs w:val="17"/>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4"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972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the exhibit is being furnished, not filed, with this report</w:t>
      </w:r>
    </w:p>
    <w:p>
      <w:pPr>
        <w:spacing w:after="0" w:line="9" w:lineRule="exact"/>
        <w:rPr>
          <w:sz w:val="20"/>
          <w:szCs w:val="20"/>
          <w:color w:val="auto"/>
        </w:rPr>
      </w:pPr>
    </w:p>
    <w:p>
      <w:pPr>
        <w:ind w:left="5480" w:right="4520" w:hanging="5472"/>
        <w:spacing w:after="0" w:line="605" w:lineRule="auto"/>
        <w:tabs>
          <w:tab w:leader="none" w:pos="579"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Item 16. Form of 10-K Summary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38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00"/>
          </w:cols>
          <w:pgMar w:left="320" w:top="445" w:right="117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AERPIO PHARMACEUTICALS, INC.</w:t>
      </w:r>
    </w:p>
    <w:p>
      <w:pPr>
        <w:spacing w:after="0" w:line="266" w:lineRule="exact"/>
        <w:rPr>
          <w:sz w:val="20"/>
          <w:szCs w:val="20"/>
          <w:color w:val="auto"/>
        </w:rPr>
      </w:pPr>
    </w:p>
    <w:p>
      <w:pPr>
        <w:spacing w:after="0"/>
        <w:tabs>
          <w:tab w:leader="none" w:pos="6680" w:val="left"/>
          <w:tab w:leader="none" w:pos="82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 and Principal Executive Officer</w:t>
      </w:r>
    </w:p>
    <w:p>
      <w:pPr>
        <w:spacing w:after="0" w:line="2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72"/>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Joseph Gardner, Ph.D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President, Founder and 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16, 2020</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Joseph Gardner, Ph.D.</w:t>
            </w:r>
          </w:p>
        </w:tc>
        <w:tc>
          <w:tcPr>
            <w:tcW w:w="120" w:type="dxa"/>
            <w:vAlign w:val="bottom"/>
          </w:tcPr>
          <w:p>
            <w:pPr>
              <w:spacing w:after="0"/>
              <w:rPr>
                <w:sz w:val="19"/>
                <w:szCs w:val="19"/>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Regina Marek</w:t>
            </w:r>
          </w:p>
        </w:tc>
        <w:tc>
          <w:tcPr>
            <w:tcW w:w="120" w:type="dxa"/>
            <w:vAlign w:val="bottom"/>
          </w:tcPr>
          <w:p>
            <w:pPr>
              <w:spacing w:after="0"/>
              <w:rPr>
                <w:sz w:val="24"/>
                <w:szCs w:val="24"/>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Vice President Finance and Principal</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16, 2020</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5"/>
              </w:rPr>
              <w:t>Regina Marek</w:t>
            </w:r>
          </w:p>
        </w:tc>
        <w:tc>
          <w:tcPr>
            <w:tcW w:w="120" w:type="dxa"/>
            <w:vAlign w:val="bottom"/>
          </w:tcPr>
          <w:p>
            <w:pPr>
              <w:spacing w:after="0"/>
              <w:rPr>
                <w:sz w:val="19"/>
                <w:szCs w:val="19"/>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Financial and Accounting Officer</w:t>
            </w:r>
          </w:p>
        </w:tc>
        <w:tc>
          <w:tcPr>
            <w:tcW w:w="3140" w:type="dxa"/>
            <w:vAlign w:val="bottom"/>
          </w:tcPr>
          <w:p>
            <w:pPr>
              <w:spacing w:after="0"/>
              <w:rPr>
                <w:sz w:val="19"/>
                <w:szCs w:val="19"/>
                <w:color w:val="auto"/>
              </w:rPr>
            </w:pPr>
          </w:p>
        </w:tc>
      </w:tr>
      <w:tr>
        <w:trPr>
          <w:trHeight w:val="37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Muneer A. Satter</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16, 2020</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5"/>
              </w:rPr>
              <w:t>Muneer A. Satter</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Chau Khuong</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16, 2020</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1"/>
              </w:rPr>
              <w:t>Chau Khuong</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Steven Prelack</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16, 2020</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Steven Prelack</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Cheryl Cohen</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16, 2020</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2"/>
              </w:rPr>
              <w:t>Cheryl Cohen</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Caley Castelein, M.D.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16, 2020</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Caley Castelein</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Anupam Dalal, M.D.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16, 2020</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3"/>
              </w:rPr>
              <w:t>Anupam Dalal</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38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Pravin Dugel, M.D.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16, 2020</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Pravin Dugel</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643"/>
        </w:trPr>
        <w:tc>
          <w:tcPr>
            <w:tcW w:w="4120" w:type="dxa"/>
            <w:vAlign w:val="bottom"/>
          </w:tcPr>
          <w:p>
            <w:pPr>
              <w:spacing w:after="0"/>
              <w:rPr>
                <w:sz w:val="24"/>
                <w:szCs w:val="24"/>
                <w:color w:val="auto"/>
              </w:rPr>
            </w:pPr>
          </w:p>
        </w:tc>
        <w:tc>
          <w:tcPr>
            <w:tcW w:w="3900" w:type="dxa"/>
            <w:vAlign w:val="bottom"/>
            <w:gridSpan w:val="2"/>
          </w:tcPr>
          <w:p>
            <w:pPr>
              <w:jc w:val="right"/>
              <w:ind w:right="2172"/>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ACT OF 1934, AS AMENDED</w:t>
      </w:r>
    </w:p>
    <w:p>
      <w:pPr>
        <w:spacing w:after="0" w:line="21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The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Aerpio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or “</w:t>
      </w:r>
      <w:r>
        <w:rPr>
          <w:rFonts w:ascii="Arial" w:cs="Arial" w:eastAsia="Arial" w:hAnsi="Arial"/>
          <w:sz w:val="18"/>
          <w:szCs w:val="18"/>
          <w:u w:val="single" w:color="auto"/>
          <w:color w:val="auto"/>
        </w:rPr>
        <w:t>our</w:t>
      </w:r>
      <w:r>
        <w:rPr>
          <w:rFonts w:ascii="Arial" w:cs="Arial" w:eastAsia="Arial" w:hAnsi="Arial"/>
          <w:sz w:val="18"/>
          <w:szCs w:val="18"/>
          <w:color w:val="auto"/>
        </w:rPr>
        <w:t>”), is registered under Section 12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following description sets forth certain general terms and provisions of our Common Stock. These descriptions are in all respects subject to and qualified in their entirety by, and should be read in conjunction with, the applicable provisions of, our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and our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(each of which is incorporated herein by reference and copies of which are incorporated by reference as exhibits to our most recent Annual Report on Form 10-K filed with the Securities and Exchange Commission) and the applicable provisions of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authorized capital stock consists of 300,000,000 shares of Common Stock and 10,000,000 shares of undesignated preferred stock, par value $0.0001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outstanding shares of Common Stock are entitled to receive dividends out of assets or funds legally available for the payment of dividends of such times and in such amounts as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from time to time may determine.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Holders of Common Stock are entitled to one vote for each share held on all matters submitted to a vote of stockholders. There is no cumulative voting of the election of directors then standing for election.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Liquidation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liquidation, dissolution or winding up of the Company, the assets legally available for distribution to stockholders are distributable ratably among the holders of our Common Stock after payment of liquidation preferences, if any, on any outstanding payment of other claims of creditors. Each outstanding share of Common Stock is duly and validly issued, fully paid and non-assessable.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or 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to Preferred Stock</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Shares of Preferred Stock may be issued from time to time in one or more series, each of which will have such distinctive designation or title as shall be determined by our board of directors prior to the issuance of any shares thereof. Preferred Stock will have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the board of directors prior to the issuance of any shares thereof. Subject to the terms of any Preferred Stock designation that we may adopt from time to time, the number of authorized shares of Preferred Stock may be decreased (but not below the number of shares thereof then outstanding) by the affirmative vote of the holders of a supermajority (66 2/3%) of the voting power of all the then outstanding shares of our capital stock entitled to vote generally in the election of the directors, voting together as a single class, plus a supermajority (66 2/3%) of the voting power of the outstanding shares of each class entitled to vote thereon as a class.</w:t>
      </w:r>
    </w:p>
    <w:p>
      <w:pPr>
        <w:spacing w:after="0" w:line="7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While we do not currently have any plans for the issuance of additional Preferred Stock, the issuance of such Preferred Stock could adversely affect the rights of the holders of common stock and, therefore, reduce the value of the common stock. It is not possible to state the actual effect of the issuance of any shares of Preferred Stock on the rights of holders of the common stock until the board of directors determines the specific rights of the holders of the Preferred Stock; however, these effects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left="880" w:hanging="31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17" w:lineRule="exact"/>
        <w:rPr>
          <w:rFonts w:ascii="Arial" w:cs="Arial" w:eastAsia="Arial" w:hAnsi="Arial"/>
          <w:sz w:val="18"/>
          <w:szCs w:val="18"/>
          <w:color w:val="auto"/>
        </w:rPr>
      </w:pPr>
    </w:p>
    <w:p>
      <w:pPr>
        <w:ind w:left="880" w:hanging="31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17" w:lineRule="exact"/>
        <w:rPr>
          <w:rFonts w:ascii="Arial" w:cs="Arial" w:eastAsia="Arial" w:hAnsi="Arial"/>
          <w:sz w:val="18"/>
          <w:szCs w:val="18"/>
          <w:color w:val="auto"/>
        </w:rPr>
      </w:pPr>
    </w:p>
    <w:p>
      <w:pPr>
        <w:ind w:left="880" w:hanging="31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117" w:lineRule="exact"/>
        <w:rPr>
          <w:rFonts w:ascii="Arial" w:cs="Arial" w:eastAsia="Arial" w:hAnsi="Arial"/>
          <w:sz w:val="18"/>
          <w:szCs w:val="18"/>
          <w:color w:val="auto"/>
        </w:rPr>
      </w:pPr>
    </w:p>
    <w:p>
      <w:pPr>
        <w:ind w:left="880" w:hanging="31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Delaying or preventing a change in control of our company without further action by the stockholders.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in connection with shares of Preferred Stock (as explained above), which Preferred Stock is not currently designated nor contemplated by us, we do not believe that any provision of our Charter or Bylaws would delay, defer or prevent a change in control.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No shares of Preferred Stock are issued and outstanding as of the date of our Annual Report on Form 10-K with which this Exhibit 4.3 is filed as an exhibit.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merger and private placement offering in March 2017 (the “</w:t>
      </w:r>
      <w:r>
        <w:rPr>
          <w:rFonts w:ascii="Arial" w:cs="Arial" w:eastAsia="Arial" w:hAnsi="Arial"/>
          <w:sz w:val="16"/>
          <w:szCs w:val="16"/>
          <w:u w:val="single" w:color="auto"/>
          <w:color w:val="auto"/>
        </w:rPr>
        <w:t>Offering</w:t>
      </w:r>
      <w:r>
        <w:rPr>
          <w:rFonts w:ascii="Arial" w:cs="Arial" w:eastAsia="Arial" w:hAnsi="Arial"/>
          <w:sz w:val="16"/>
          <w:szCs w:val="16"/>
          <w:color w:val="auto"/>
        </w:rPr>
        <w:t>”), we entered into a registration rights agreement pursuant to which we filed a registration statement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or the Registration Statement, covering (a) the shares of Common Stock issued in the Offering, (b) the shares of common stock issuable upon exercise of certain warrants, (c) the shares of common stock issued in exchange for the equity securities of Aerpio outstanding prior to the merger and (d) 1,000,000 shares of common stock, or collectively, the Registrable Shares. If we fail to maintain the Registration Statement continuously effective as to all Registrable Shares included in such Registration Statement or the holders of Registrable Shares cannot use the Registration Statement to resell the Registrable Shares for a period of more than 15 trading days (other than suspension of the Registration Statement in connection with its post-effective amendment in connection with filing our Annual Report on Form 10-K for the time reasonably required to respond to any comments from the SEC or during a permitted blackout period as described in the Registration Rights Agreement), we will make payments to each holder of Registrable Shares as monetary penalties at a rate equal to 12% of the Offering Price per annum for each share affected during the period; provided, however, that in no event will the aggregate of any such penalties exceed 5% of the Offering Price per share. No monetary penalties will accrue after the Registrable Shares may be resold without volume or other limitations under Rule 144 or another exemption from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keep the Registration Statement effective for five years from the date it is declared effective by the SEC or until (i) the Registrable Shares have been sold in accordance with such effective Registration Statement or (ii) the Registrable Shares have been previously sold in accordance with Rule 144. We must comply with the informational requirements of Rule 144 so long as any shares of common stock issued in the Offering are subject to Rule 144, regardless of whether we are subject to filing requirements under the Exchange Act.</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will pay all expenses in connection with any registration obligation provided in the Registration Rights Agreement, including, without limitation, all registration, filing, stock exchange fees, printing expenses, all fees and expenses of complying with applicable securities laws, and the fees and disbursements of our counsel and of our independent accountants and reasonable fees and disbursements of counsel to the investors. Each investor will be responsible for its own sales commissions, if any, transfer taxes and the expenses of any attorney or other advisor such investor decides to employ.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Aerpio Registration Rights Agreement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we entered into a separate registration rights agreement with certain of the pre-merger stockholders of Aerpio and their affiliates, which we refer to as the Aerpio Registration Rights Agreement. The rights granted to such stockholders under the Aerpio Registration Rights Agreement take effect following such time as the Registration Statement described above no longer remains effective. Such stockholders are entitled to rights with respect to the registration of these securities under the Securities Act. The Aerpio Registration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jc w:val="both"/>
        <w:spacing w:after="0" w:line="286" w:lineRule="auto"/>
        <w:rPr>
          <w:sz w:val="20"/>
          <w:szCs w:val="20"/>
          <w:color w:val="auto"/>
        </w:rPr>
      </w:pPr>
      <w:r>
        <w:rPr>
          <w:rFonts w:ascii="Arial" w:cs="Arial" w:eastAsia="Arial" w:hAnsi="Arial"/>
          <w:sz w:val="16"/>
          <w:szCs w:val="16"/>
          <w:color w:val="auto"/>
        </w:rPr>
        <w:t>Following the date on which the Aerpio Registration Rights Agreement takes effect, we will be required, upon the written request of the holders of 30% of the registrable securities under the Aerpio Registration Rights Agreement, to file a registration statement on Form S-1 (if Form S-3 is not then available to us to use) and use commercially reasonable efforts to effect the registration of all or a portion of these shares for public resale. We are required to effect only two registrations pursuant to this provision of the Aerpio Registration Rights Agreement. In addition, if we are eligible to file a registration statement on Form S-3, upon the written request of the holders of at least 20% of the registrable securities, we will be required to use commercially reasonable efforts to effect a registration of such shares. We are required to effect only two registrations in any twelve month period pursuant to this provision of the Aerpio Registration Rights Agreement. The right to have such shares registered on Form S-3 is further subject to other specified conditions and limitations. If we register any of our securities either for our own account or for the account of other security holders, the holders of these shares are entitled to include their shares in the registration. Subject to certain exceptions contained in the Aerpio Registration Rights Agreement, we and the underwriters may limit the number of shares included in the underwritten offering to the number of shares which we and the underwriters determine in our sole discretion will not jeopardize the success of the offering. The Aerpio Registration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Charter and Bylaws and Delaware Law</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provisions of Delaware law and our Charter and Bylaws may have the effect of making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price of our Common Stock.</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Section 203 of the DGCL, which prohibits a person deemed an “interested stockholder” from engaging in a “business combination” with a publicly held Delaware corporation for three years following the date such person becomes an interested stockholder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such as discouraging takeover attempts that might result in a premium over the price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Undesignated Preferred Stock</w:t>
      </w:r>
    </w:p>
    <w:p>
      <w:pPr>
        <w:spacing w:after="0" w:line="11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our company. These and other provisions may have the effect of deterring hostile takeovers or delaying changes in control or management of our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Stockholder Meetings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Bylaws provide that a special meeting of stockholders may be called only by a majority of our Board then in office.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both"/>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the nomination of candidates for election as directors, other than nominations made by or at the direction of the Board or a committee of the Board.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Charter eliminates the right of stockholders to act by written consent without a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Election and Removal of Directors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will be able to elect all of our directors. In addition, our directors may not be removed without cause, and removal of our directors for cause will require a supermajority (66 2/3%) stockholder vote.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of Forum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Charter provides that, unless we consent in writing to the selection of an alternative forum, the Court of Chancery of the State of Delaware (or, if the Court of Chancery does not have jurisdiction, then the United States District Court for the District of Delaware) will be the exclusive forum for any derivative action or proceeding brought on our behalf; any action asserting a breach of fiduciary duty; any action asserting a claim against us arising pursuant to the DGCL or our Charter or Bylaws; or any action asserting a claim against us that is governed by the internal affairs doctrine (the “</w:t>
      </w: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Forum Provision</w:t>
      </w:r>
      <w:r>
        <w:rPr>
          <w:rFonts w:ascii="Arial" w:cs="Arial" w:eastAsia="Arial" w:hAnsi="Arial"/>
          <w:sz w:val="18"/>
          <w:szCs w:val="18"/>
          <w:color w:val="auto"/>
        </w:rPr>
        <w:t>”). The Delaware Forum Provision will not apply to any causes of action arising under the Securities Act or the Securities Exchange Act of 1934.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Charter and Bylaw Provisions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 of any of the above provisions in our Charter and Bylaws, except for the provision making it possible for our Board to issue convertible Preferred Stock, would require a supermajority (66 2/3% and majority of the minority, if applicable) stockholder vote.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or Liquidation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Charter includes provisions that require the approval of a supermajority (66 2/3% and majority of the minority, if applicable) vote of the outstanding shares of our capital stock in order to consummate a liquidation event.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w:t>
      </w:r>
      <w:r>
        <w:rPr>
          <w:rFonts w:ascii="Arial" w:cs="Arial" w:eastAsia="Arial" w:hAnsi="Arial"/>
          <w:sz w:val="15"/>
          <w:szCs w:val="15"/>
          <w:color w:val="auto"/>
        </w:rPr>
        <w:t>th</w:t>
      </w:r>
      <w:r>
        <w:rPr>
          <w:rFonts w:ascii="Arial" w:cs="Arial" w:eastAsia="Arial" w:hAnsi="Arial"/>
          <w:sz w:val="18"/>
          <w:szCs w:val="18"/>
          <w:color w:val="auto"/>
        </w:rPr>
        <w:t xml:space="preserve"> Avenue, Brooklyn, NY 11219, and its telephone number is (718) 921-8260.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“ARPO.”</w:t>
      </w:r>
    </w:p>
    <w:p>
      <w:pPr>
        <w:sectPr>
          <w:pgSz w:w="11900" w:h="16838" w:orient="portrait"/>
          <w:cols w:equalWidth="0" w:num="1">
            <w:col w:w="11240"/>
          </w:cols>
          <w:pgMar w:left="320" w:top="233"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jc w:val="both"/>
        <w:ind w:left="800" w:right="320" w:hanging="401"/>
        <w:spacing w:after="0" w:line="255"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333-220057) of Aerpio Pharmaceuticals, Inc., pertaining to the Aerpio Therapeutics, Inc. 2011 Equity Incentive Plan, Aerpio Pharmaceuticals, Inc. 2017 Stock Option and Incentive Plan, and Aerpio Pharmaceuticals, Inc. 2017 Employee Stock Purchase Plan,</w:t>
      </w:r>
    </w:p>
    <w:p>
      <w:pPr>
        <w:spacing w:after="0" w:line="2" w:lineRule="exact"/>
        <w:rPr>
          <w:rFonts w:ascii="Arial" w:cs="Arial" w:eastAsia="Arial" w:hAnsi="Arial"/>
          <w:sz w:val="18"/>
          <w:szCs w:val="18"/>
          <w:color w:val="auto"/>
        </w:rPr>
      </w:pPr>
    </w:p>
    <w:p>
      <w:pPr>
        <w:ind w:left="800" w:right="120" w:hanging="401"/>
        <w:spacing w:after="0" w:line="250"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S-3 No. 333-223113) of Aerpio Pharmaceuticals, Inc., for the registration of common stock, preferred stock, debt securities, warrants, and/or units,</w:t>
      </w:r>
    </w:p>
    <w:p>
      <w:pPr>
        <w:ind w:left="800" w:right="240" w:hanging="401"/>
        <w:spacing w:after="0" w:line="310" w:lineRule="auto"/>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Registration Statement (Form S-8 No. 333-224189) of Aerpio Pharmaceuticals, Inc., pertaining to the </w:t>
      </w:r>
      <w:r>
        <w:rPr>
          <w:rFonts w:ascii="Arial" w:cs="Arial" w:eastAsia="Arial" w:hAnsi="Arial"/>
          <w:sz w:val="14"/>
          <w:szCs w:val="14"/>
          <w:color w:val="auto"/>
        </w:rPr>
        <w:t>Aerpio Therapeutics, Inc. 2011 Equity Incentive</w:t>
      </w:r>
      <w:r>
        <w:rPr>
          <w:rFonts w:ascii="Arial" w:cs="Arial" w:eastAsia="Arial" w:hAnsi="Arial"/>
          <w:sz w:val="15"/>
          <w:szCs w:val="15"/>
          <w:color w:val="auto"/>
        </w:rPr>
        <w:t xml:space="preserve"> </w:t>
      </w:r>
      <w:r>
        <w:rPr>
          <w:rFonts w:ascii="Arial" w:cs="Arial" w:eastAsia="Arial" w:hAnsi="Arial"/>
          <w:sz w:val="14"/>
          <w:szCs w:val="14"/>
          <w:color w:val="auto"/>
        </w:rPr>
        <w:t>Plan, Aerpio Pharmaceuticals, Inc. 2017 Stock Option and Incentive Plan, and Aerpio Pharmaceuticals, Inc. 2017 Employee Stock Purchase Plan,</w:t>
      </w:r>
    </w:p>
    <w:p>
      <w:pPr>
        <w:spacing w:after="0" w:line="1" w:lineRule="exact"/>
        <w:rPr>
          <w:rFonts w:ascii="Arial" w:cs="Arial" w:eastAsia="Arial" w:hAnsi="Arial"/>
          <w:sz w:val="15"/>
          <w:szCs w:val="15"/>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S-3 No. 333-217320) of Aerpio Pharmaceuticals, Inc., for the registration of common stock,</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S-3 No. 333-229087) of Aerpio Pharmaceuticals Inc., for the registration of common stock,</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Registration Statement (Form S-8 No. 333-229089) of Aerpio Pharmaceuticals, Inc., pertaining to the Inducement Stock Option Agreements,</w:t>
      </w:r>
    </w:p>
    <w:p>
      <w:pPr>
        <w:spacing w:after="0" w:line="28" w:lineRule="exact"/>
        <w:rPr>
          <w:rFonts w:ascii="Arial" w:cs="Arial" w:eastAsia="Arial" w:hAnsi="Arial"/>
          <w:sz w:val="16"/>
          <w:szCs w:val="16"/>
          <w:color w:val="auto"/>
        </w:rPr>
      </w:pPr>
    </w:p>
    <w:p>
      <w:pPr>
        <w:ind w:left="800" w:right="140" w:hanging="401"/>
        <w:spacing w:after="0" w:line="242"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7"/>
          <w:szCs w:val="17"/>
          <w:color w:val="auto"/>
        </w:rPr>
        <w:t>Registration Statement (Form S-8 No. 333-230114) of Aerpio Pharmaceuticals, Inc., pertaining to the Aerpio Pharmaceuticals, Inc. 2017 Stock Option and Incentive Plan and Aerpio Pharmaceuticals, Inc. Amended and Restated 2017 Employee Stock Purchase Plan, and</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our report dated March 16, 2020, with respect to the consolidated financial statements of Aerpio Pharmaceuticals, Inc., included in this Annual Report (Form 10-K) of Aerpio Pharmaceuticals, Inc.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ectPr>
          <w:pgSz w:w="11900" w:h="16838" w:orient="portrait"/>
          <w:cols w:equalWidth="0" w:num="1">
            <w:col w:w="11240"/>
          </w:cols>
          <w:pgMar w:left="320" w:top="33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Gardner, certify that:</w:t>
      </w:r>
    </w:p>
    <w:p>
      <w:pPr>
        <w:spacing w:after="0" w:line="225"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Aerpio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officer(s) and I are responsible for establishing and maintaining disclosure controls and procedures (as defined in Exchange Act Rules 13a-15(e) </w:t>
      </w:r>
      <w:r>
        <w:rPr>
          <w:rFonts w:ascii="Arial" w:cs="Arial" w:eastAsia="Arial" w:hAnsi="Arial"/>
          <w:sz w:val="18"/>
          <w:szCs w:val="18"/>
          <w:color w:val="2D2D2D"/>
        </w:rPr>
        <w:t xml:space="preserve">and 15d-15(e)) and internal control over financial reporting (as defined in Exchange Act Rules 13a-15(f) and 15d-15(f)) </w:t>
      </w:r>
      <w:r>
        <w:rPr>
          <w:rFonts w:ascii="Arial" w:cs="Arial" w:eastAsia="Arial" w:hAnsi="Arial"/>
          <w:sz w:val="18"/>
          <w:szCs w:val="18"/>
          <w:color w:val="000000"/>
        </w:rPr>
        <w:t>for the registrant and have:</w:t>
      </w:r>
    </w:p>
    <w:p>
      <w:pPr>
        <w:spacing w:after="0" w:line="14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2D2D2D"/>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Arial" w:cs="Arial" w:eastAsia="Arial" w:hAnsi="Arial"/>
          <w:sz w:val="18"/>
          <w:szCs w:val="18"/>
          <w:color w:val="000000"/>
        </w:rPr>
        <w:t>;</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20" w:val="left"/>
          <w:tab w:leader="none" w:pos="83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Joseph Gardner, Ph.D.</w:t>
      </w:r>
    </w:p>
    <w:p>
      <w:pPr>
        <w:spacing w:after="0" w:line="144"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President and Principal Executive Officer</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Regina Marek, certify that:</w:t>
      </w:r>
    </w:p>
    <w:p>
      <w:pPr>
        <w:spacing w:after="0" w:line="225"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Aerpio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63"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officer(s) and I are responsible for establishing and maintaining disclosure controls and procedures (as defined in Exchange Act Rules 13a-15(e) </w:t>
      </w:r>
      <w:r>
        <w:rPr>
          <w:rFonts w:ascii="Arial" w:cs="Arial" w:eastAsia="Arial" w:hAnsi="Arial"/>
          <w:sz w:val="18"/>
          <w:szCs w:val="18"/>
          <w:color w:val="2D2D2D"/>
        </w:rPr>
        <w:t xml:space="preserve">and 15d-15(e)) and internal control over financial reporting (as defined in Exchange Act Rules 13a-15(f) and 15d-15(f)) </w:t>
      </w:r>
      <w:r>
        <w:rPr>
          <w:rFonts w:ascii="Arial" w:cs="Arial" w:eastAsia="Arial" w:hAnsi="Arial"/>
          <w:sz w:val="18"/>
          <w:szCs w:val="18"/>
          <w:color w:val="000000"/>
        </w:rPr>
        <w:t>for the registrant and have:</w:t>
      </w:r>
    </w:p>
    <w:p>
      <w:pPr>
        <w:spacing w:after="0" w:line="14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2D2D2D"/>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Arial" w:cs="Arial" w:eastAsia="Arial" w:hAnsi="Arial"/>
          <w:sz w:val="18"/>
          <w:szCs w:val="18"/>
          <w:color w:val="000000"/>
        </w:rPr>
        <w:t>;</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20" w:val="left"/>
          <w:tab w:leader="none" w:pos="86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2"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ind w:left="7420"/>
        <w:spacing w:after="0"/>
        <w:rPr>
          <w:sz w:val="20"/>
          <w:szCs w:val="20"/>
          <w:color w:val="auto"/>
        </w:rPr>
      </w:pPr>
      <w:r>
        <w:rPr>
          <w:rFonts w:ascii="Arial" w:cs="Arial" w:eastAsia="Arial" w:hAnsi="Arial"/>
          <w:sz w:val="17"/>
          <w:szCs w:val="17"/>
          <w:b w:val="1"/>
          <w:bCs w:val="1"/>
          <w:color w:val="auto"/>
        </w:rPr>
        <w:t>Vice President, Finance and Principal Financial</w:t>
      </w:r>
    </w:p>
    <w:p>
      <w:pPr>
        <w:spacing w:after="0" w:line="34"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and Accounting Officer</w:t>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connection with the Annual Report of Aerpio Pharmaceuticals,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280" w:val="left"/>
          <w:tab w:leader="none" w:pos="748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President and Principal Executive Officer</w:t>
      </w:r>
    </w:p>
    <w:p>
      <w:pPr>
        <w:sectPr>
          <w:pgSz w:w="11900" w:h="16838" w:orient="portrait"/>
          <w:cols w:equalWidth="0" w:num="1">
            <w:col w:w="11240"/>
          </w:cols>
          <w:pgMar w:left="320" w:top="33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connection with the Annual Report of Aerpio Pharmaceuticals,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280" w:val="left"/>
          <w:tab w:leader="none" w:pos="778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Vice President, Finance and 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26" Type="http://schemas.openxmlformats.org/officeDocument/2006/relationships/hyperlink" Target="http://www.sec.gov/Archives/edgar/data/0001422142/000119312517085855/d350384dex32.htm" TargetMode="External"/><Relationship Id="rId127" Type="http://schemas.openxmlformats.org/officeDocument/2006/relationships/hyperlink" Target="http://www.sec.gov/Archives/edgar/data/0001422142/000119312517085855/d350384dex33.htm" TargetMode="External"/><Relationship Id="rId128" Type="http://schemas.openxmlformats.org/officeDocument/2006/relationships/hyperlink" Target="http://www.sec.gov/Archives/edgar/data/1422142/000119312517124762/d374211dex42.htm" TargetMode="External"/><Relationship Id="rId129" Type="http://schemas.openxmlformats.org/officeDocument/2006/relationships/hyperlink" Target="http://www.sec.gov/Archives/edgar/data/1422142/000119312517085855/d350384dex41.htm" TargetMode="External"/><Relationship Id="rId130" Type="http://schemas.openxmlformats.org/officeDocument/2006/relationships/hyperlink" Target="http://www.sec.gov/Archives/edgar/data/0001422142/000119312517085855/d350384dex101.htm" TargetMode="External"/><Relationship Id="rId131" Type="http://schemas.openxmlformats.org/officeDocument/2006/relationships/hyperlink" Target="http://www.sec.gov/Archives/edgar/data/0001422142/000119312517085855/d350384dex102.htm" TargetMode="External"/><Relationship Id="rId132" Type="http://schemas.openxmlformats.org/officeDocument/2006/relationships/hyperlink" Target="http://www.sec.gov/Archives/edgar/data/1422142/000119312517372228/d490988dex101.htm" TargetMode="External"/><Relationship Id="rId133" Type="http://schemas.openxmlformats.org/officeDocument/2006/relationships/hyperlink" Target="http://www.sec.gov/Archives/edgar/data/0001422142/000119312517085855/d350384dex104.htm" TargetMode="External"/><Relationship Id="rId134" Type="http://schemas.openxmlformats.org/officeDocument/2006/relationships/hyperlink" Target="http://www.sec.gov/Archives/edgar/data/0001422142/000119312517085855/d350384dex105.htm" TargetMode="External"/><Relationship Id="rId135" Type="http://schemas.openxmlformats.org/officeDocument/2006/relationships/hyperlink" Target="http://www.sec.gov/Archives/edgar/data/0001422142/000119312517085855/d350384dex106.htm" TargetMode="External"/><Relationship Id="rId136" Type="http://schemas.openxmlformats.org/officeDocument/2006/relationships/hyperlink" Target="http://www.sec.gov/Archives/edgar/data/0001422142/000119312517085855/d350384dex107.htm" TargetMode="External"/><Relationship Id="rId137" Type="http://schemas.openxmlformats.org/officeDocument/2006/relationships/hyperlink" Target="http://www.sec.gov/Archives/edgar/data/1422142/000119312518104965/d549891dex101.htm" TargetMode="External"/><Relationship Id="rId138" Type="http://schemas.openxmlformats.org/officeDocument/2006/relationships/hyperlink" Target="http://www.sec.gov/Archives/edgar/data/1422142/000119312518201775/d453419dex101.htm" TargetMode="External"/><Relationship Id="rId139" Type="http://schemas.openxmlformats.org/officeDocument/2006/relationships/hyperlink" Target="http://www.sec.gov/Archives/edgar/data/1422142/000119312517124762/d374211dex108.htm" TargetMode="External"/><Relationship Id="rId142" Type="http://schemas.openxmlformats.org/officeDocument/2006/relationships/hyperlink" Target="http://www.sec.gov/Archives/edgar/data/1422142/000119312517124762/d374211dex109.htm" TargetMode="External"/><Relationship Id="rId143" Type="http://schemas.openxmlformats.org/officeDocument/2006/relationships/hyperlink" Target="http://www.sec.gov/Archives/edgar/data/1422142/000119312517124762/d374211dex1010.htm" TargetMode="External"/><Relationship Id="rId144" Type="http://schemas.openxmlformats.org/officeDocument/2006/relationships/hyperlink" Target="http://www.sec.gov/Archives/edgar/data/1422142/000119312517306571/d467358dex101.htm" TargetMode="External"/><Relationship Id="rId145" Type="http://schemas.openxmlformats.org/officeDocument/2006/relationships/hyperlink" Target="http://www.sec.gov/Archives/edgar/data/1422142/000119312517342647/d484750dex101.htm" TargetMode="External"/><Relationship Id="rId146" Type="http://schemas.openxmlformats.org/officeDocument/2006/relationships/hyperlink" Target="http://www.sec.gov/Archives/edgar/data/1422142/000119312517085855/d350384dex109.htm" TargetMode="External"/><Relationship Id="rId147" Type="http://schemas.openxmlformats.org/officeDocument/2006/relationships/hyperlink" Target="http://www.sec.gov/Archives/edgar/data/1422142/000156459018005868/arpo-ex1015_878.htm" TargetMode="External"/><Relationship Id="rId148" Type="http://schemas.openxmlformats.org/officeDocument/2006/relationships/hyperlink" Target="http://www.sec.gov/Archives/edgar/data/1422142/000119312518360982/d643448dex991.htm" TargetMode="External"/><Relationship Id="rId149" Type="http://schemas.openxmlformats.org/officeDocument/2006/relationships/hyperlink" Target="http://www.sec.gov/Archives/edgar/data/1422142/000119312519286608/d824083dex101.htm" TargetMode="External"/><Relationship Id="rId150" Type="http://schemas.openxmlformats.org/officeDocument/2006/relationships/hyperlink" Target="http://www.sec.gov/Archives/edgar/data/1422142/000119312517085855/d35038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2020-03-16T15:34:51Z</dcterms:created>
  <dcterms:modified xsi:type="dcterms:W3CDTF">2020-03-16T15:34:51Z</dcterms:modified>
</cp:coreProperties>
</file>