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80" w:right="1640" w:hanging="3972"/>
        <w:spacing w:after="0" w:line="392"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283" w:lineRule="exact"/>
        <w:rPr>
          <w:sz w:val="24"/>
          <w:szCs w:val="24"/>
          <w:color w:val="auto"/>
        </w:rPr>
      </w:pPr>
    </w:p>
    <w:p>
      <w:pPr>
        <w:ind w:left="3140" w:right="1640" w:hanging="313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Aerpio Pharmaceuticals,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100" w:type="dxa"/>
            <w:vAlign w:val="bottom"/>
          </w:tcPr>
          <w:p>
            <w:pPr>
              <w:jc w:val="center"/>
              <w:ind w:right="19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26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8"/>
              </w:rPr>
              <w:t>incorporation or organization)</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2"/>
              </w:rPr>
              <w:t>9987 Carver Road</w:t>
            </w:r>
          </w:p>
        </w:tc>
        <w:tc>
          <w:tcPr>
            <w:tcW w:w="3260" w:type="dxa"/>
            <w:vAlign w:val="bottom"/>
          </w:tcPr>
          <w:p>
            <w:pPr>
              <w:spacing w:after="0"/>
              <w:rPr>
                <w:sz w:val="24"/>
                <w:szCs w:val="24"/>
                <w:color w:val="auto"/>
              </w:rPr>
            </w:pPr>
          </w:p>
        </w:tc>
      </w:tr>
      <w:tr>
        <w:trPr>
          <w:trHeight w:val="216"/>
        </w:trPr>
        <w:tc>
          <w:tcPr>
            <w:tcW w:w="4100" w:type="dxa"/>
            <w:vAlign w:val="bottom"/>
          </w:tcPr>
          <w:p>
            <w:pPr>
              <w:jc w:val="center"/>
              <w:ind w:right="1923"/>
              <w:spacing w:after="0"/>
              <w:rPr>
                <w:sz w:val="20"/>
                <w:szCs w:val="20"/>
                <w:color w:val="auto"/>
              </w:rPr>
            </w:pPr>
            <w:r>
              <w:rPr>
                <w:rFonts w:ascii="Arial" w:cs="Arial" w:eastAsia="Arial" w:hAnsi="Arial"/>
                <w:sz w:val="18"/>
                <w:szCs w:val="18"/>
                <w:b w:val="1"/>
                <w:bCs w:val="1"/>
                <w:color w:val="auto"/>
                <w:w w:val="95"/>
              </w:rPr>
              <w:t>Cincinnati, OH</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ind w:right="260" w:firstLine="51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512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80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0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w:t>
      </w:r>
    </w:p>
    <w:p>
      <w:pPr>
        <w:spacing w:after="0" w:line="45" w:lineRule="exact"/>
        <w:rPr>
          <w:sz w:val="24"/>
          <w:szCs w:val="24"/>
          <w:color w:val="auto"/>
        </w:rPr>
      </w:pPr>
    </w:p>
    <w:p>
      <w:pPr>
        <w:spacing w:after="0" w:line="184" w:lineRule="exact"/>
        <w:tabs>
          <w:tab w:leader="none" w:pos="6340" w:val="left"/>
        </w:tabs>
        <w:rPr>
          <w:sz w:val="20"/>
          <w:szCs w:val="20"/>
          <w:color w:val="auto"/>
        </w:rPr>
      </w:pPr>
      <w:r>
        <w:rPr>
          <w:rFonts w:ascii="Arial" w:cs="Arial" w:eastAsia="Arial" w:hAnsi="Arial"/>
          <w:sz w:val="16"/>
          <w:szCs w:val="16"/>
          <w:color w:val="auto"/>
        </w:rPr>
        <w:t>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520" w:right="2220"/>
        <w:spacing w:after="0" w:line="28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14, 2018, the registrant had 40,579,857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917575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0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183"/>
        </w:trPr>
        <w:tc>
          <w:tcPr>
            <w:tcW w:w="9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940" w:type="dxa"/>
            <w:vAlign w:val="bottom"/>
            <w:gridSpan w:val="18"/>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Financial Statements</w:t>
              </w:r>
            </w:hyperlink>
          </w:p>
        </w:tc>
        <w:tc>
          <w:tcPr>
            <w:tcW w:w="6600" w:type="dxa"/>
            <w:vAlign w:val="bottom"/>
            <w:gridSpan w:val="9"/>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2018 (Unaudited) and December 31, 2017</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 Three and Six Months Ended June 30, 2018 and 2017</w:t>
              </w:r>
            </w:hyperlink>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Six Months Ended June 30, 2018 (Unaudited)</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Six Months Ended June 30, 2018 and 2017 (Unaudited)</w:t>
              </w:r>
            </w:hyperlink>
          </w:p>
        </w:tc>
        <w:tc>
          <w:tcPr>
            <w:tcW w:w="300" w:type="dxa"/>
            <w:vAlign w:val="bottom"/>
            <w:tcBorders>
              <w:top w:val="single" w:sz="8" w:color="0000EE"/>
            </w:tcBorders>
          </w:tcPr>
          <w:p>
            <w:pPr>
              <w:spacing w:after="0"/>
              <w:rPr>
                <w:sz w:val="18"/>
                <w:szCs w:val="18"/>
                <w:color w:val="auto"/>
              </w:rPr>
            </w:pPr>
          </w:p>
        </w:tc>
        <w:tc>
          <w:tcPr>
            <w:tcW w:w="1760" w:type="dxa"/>
            <w:vAlign w:val="bottom"/>
            <w:gridSpan w:val="2"/>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480" w:type="dxa"/>
            <w:vAlign w:val="bottom"/>
            <w:gridSpan w:val="5"/>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580" w:type="dxa"/>
            <w:vAlign w:val="bottom"/>
            <w:gridSpan w:val="7"/>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7920" w:type="dxa"/>
            <w:vAlign w:val="bottom"/>
            <w:gridSpan w:val="11"/>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8"/>
                <w:szCs w:val="18"/>
                <w:color w:val="auto"/>
              </w:rPr>
            </w:pPr>
          </w:p>
        </w:tc>
        <w:tc>
          <w:tcPr>
            <w:tcW w:w="8620" w:type="dxa"/>
            <w:vAlign w:val="bottom"/>
            <w:gridSpan w:val="13"/>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Defaults Upon Senior Securities</w:t>
              </w:r>
            </w:hyperlink>
          </w:p>
        </w:tc>
        <w:tc>
          <w:tcPr>
            <w:tcW w:w="1960" w:type="dxa"/>
            <w:vAlign w:val="bottom"/>
            <w:tcBorders>
              <w:top w:val="single" w:sz="8" w:color="0000EE"/>
            </w:tcBorders>
            <w:gridSpan w:val="2"/>
          </w:tcPr>
          <w:p>
            <w:pPr>
              <w:spacing w:after="0"/>
              <w:rPr>
                <w:sz w:val="18"/>
                <w:szCs w:val="18"/>
                <w:color w:val="auto"/>
              </w:rPr>
            </w:pPr>
          </w:p>
        </w:tc>
        <w:tc>
          <w:tcPr>
            <w:tcW w:w="5600" w:type="dxa"/>
            <w:vAlign w:val="bottom"/>
            <w:gridSpan w:val="8"/>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8180" w:type="dxa"/>
            <w:vAlign w:val="bottom"/>
            <w:gridSpan w:val="12"/>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640" w:type="dxa"/>
            <w:vAlign w:val="bottom"/>
            <w:gridSpan w:val="14"/>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0"/>
        </w:trPr>
        <w:tc>
          <w:tcPr>
            <w:tcW w:w="96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0"/>
        </w:trPr>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68,783,210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20,264,109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428,845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213,461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69,425,516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20,899,470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92,056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20,960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69,538,532</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21,027,653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2,965,457</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3,592,164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18,666,667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21,632,124</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10)</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per share; 300,000,000 shares authorized and</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38,833,507 and 27,070,038 shares issued and outstanding at June 30, 2018 and</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3,884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2017, respectively.</w:t>
            </w: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169,880,703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125,995,438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(121,978,179)</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(108,562,656)</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47,906,408</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17,435,489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69,538,532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21,027,653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Three months ended June 30,</w:t>
            </w:r>
          </w:p>
        </w:tc>
        <w:tc>
          <w:tcPr>
            <w:tcW w:w="180" w:type="dxa"/>
            <w:vAlign w:val="bottom"/>
          </w:tcPr>
          <w:p>
            <w:pPr>
              <w:spacing w:after="0"/>
              <w:rPr>
                <w:sz w:val="14"/>
                <w:szCs w:val="14"/>
                <w:color w:val="auto"/>
              </w:rPr>
            </w:pPr>
          </w:p>
        </w:tc>
        <w:tc>
          <w:tcPr>
            <w:tcW w:w="23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4"/>
          </w:tcPr>
          <w:p>
            <w:pPr>
              <w:jc w:val="right"/>
              <w:spacing w:after="0" w:line="155" w:lineRule="exact"/>
              <w:rPr>
                <w:sz w:val="20"/>
                <w:szCs w:val="20"/>
                <w:color w:val="auto"/>
              </w:rPr>
            </w:pPr>
            <w:r>
              <w:rPr>
                <w:rFonts w:ascii="Arial" w:cs="Arial" w:eastAsia="Arial" w:hAnsi="Arial"/>
                <w:sz w:val="14"/>
                <w:szCs w:val="14"/>
                <w:i w:val="1"/>
                <w:iCs w:val="1"/>
                <w:color w:val="auto"/>
              </w:rPr>
              <w:t>(unaudited)</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i w:val="1"/>
                <w:iCs w:val="1"/>
                <w:color w:val="auto"/>
              </w:rPr>
              <w:t>(unaudited)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1,333,333</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1,333,333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4,228,934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3,169,115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8,257,746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3,140,854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2,414,747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6,588,690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4,918,748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7,369,788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5,583,862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14,846,436</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10,343,447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9"/>
              </w:rPr>
              <w:t>(6,036,455)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(5,583,862)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4"/>
              </w:rPr>
              <w:t>(13,513,103)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4"/>
              </w:rPr>
              <w:t>(10,343,447)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income</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46,464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97,580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(219,459)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46,464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63,555</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97,580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80" w:type="dxa"/>
            <w:vAlign w:val="bottom"/>
            <w:gridSpan w:val="2"/>
          </w:tcPr>
          <w:p>
            <w:pPr>
              <w:spacing w:after="0"/>
              <w:rPr>
                <w:sz w:val="20"/>
                <w:szCs w:val="20"/>
                <w:color w:val="auto"/>
              </w:rPr>
            </w:pPr>
            <w:r>
              <w:rPr>
                <w:rFonts w:ascii="Arial" w:cs="Arial" w:eastAsia="Arial" w:hAnsi="Arial"/>
                <w:sz w:val="18"/>
                <w:szCs w:val="18"/>
                <w:color w:val="auto"/>
              </w:rPr>
              <w:t>Net and comprehensive loss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(5,989,991</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(5,520,307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(13,415,523</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(10,516,010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Reconciliation of net loss attributable to common stockholders: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(5,989,991)</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(5,520,307)</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w w:val="99"/>
              </w:rPr>
              <w:t>(13,415,523)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(10,516,010)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240"/>
              <w:spacing w:after="0"/>
              <w:rPr>
                <w:sz w:val="20"/>
                <w:szCs w:val="20"/>
                <w:color w:val="auto"/>
              </w:rPr>
            </w:pPr>
            <w:r>
              <w:rPr>
                <w:rFonts w:ascii="Arial" w:cs="Arial" w:eastAsia="Arial" w:hAnsi="Arial"/>
                <w:sz w:val="18"/>
                <w:szCs w:val="18"/>
                <w:color w:val="auto"/>
                <w:w w:val="96"/>
              </w:rPr>
              <w:t>Adjustment of redeemable convertible preferred stock to redemption value</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(943,297)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(5,989,991</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(5,520,307</w:t>
            </w:r>
          </w:p>
        </w:tc>
        <w:tc>
          <w:tcPr>
            <w:tcW w:w="320" w:type="dxa"/>
            <w:vAlign w:val="bottom"/>
            <w:tcBorders>
              <w:top w:val="single" w:sz="8" w:color="CFF0FC"/>
              <w:bottom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(13,415,523</w:t>
            </w:r>
          </w:p>
        </w:tc>
        <w:tc>
          <w:tcPr>
            <w:tcW w:w="260" w:type="dxa"/>
            <w:vAlign w:val="bottom"/>
            <w:tcBorders>
              <w:top w:val="single" w:sz="8" w:color="CFF0FC"/>
              <w:bottom w:val="single" w:sz="8" w:color="CFF0FC"/>
            </w:tcBorders>
            <w:shd w:val="clear" w:color="auto" w:fill="CFF0FC"/>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(11,459,307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220" w:type="dxa"/>
            <w:vAlign w:val="bottom"/>
            <w:vMerge w:val="restart"/>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(0.22)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(0.49)</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diluted</w:t>
            </w:r>
          </w:p>
        </w:tc>
        <w:tc>
          <w:tcPr>
            <w:tcW w:w="220" w:type="dxa"/>
            <w:vAlign w:val="bottom"/>
            <w:vMerge w:val="continue"/>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(0.21)</w:t>
            </w:r>
          </w:p>
        </w:tc>
        <w:tc>
          <w:tcPr>
            <w:tcW w:w="180" w:type="dxa"/>
            <w:vAlign w:val="bottom"/>
            <w:vMerge w:val="continue"/>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used in computing</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net loss per share attributable to common stockholders, basic</w:t>
            </w:r>
          </w:p>
        </w:tc>
        <w:tc>
          <w:tcPr>
            <w:tcW w:w="2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27,340,914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27,194,028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26,895,164</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16,313,324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48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For the Six Months Ended June 30, 2018 (unaudited)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2"/>
                <w:szCs w:val="12"/>
                <w:color w:val="auto"/>
              </w:rPr>
            </w:pP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6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1"/>
                <w:szCs w:val="11"/>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3"/>
              </w:rPr>
              <w:t>Par Value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2017</w:t>
            </w:r>
          </w:p>
        </w:tc>
        <w:tc>
          <w:tcPr>
            <w:tcW w:w="13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27,070,038</w:t>
            </w:r>
          </w:p>
        </w:tc>
        <w:tc>
          <w:tcPr>
            <w:tcW w:w="3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2,707</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125,995,438</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(108,562,656)</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17,435,489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Issuance of restricted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60,000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w:t>
            </w: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upon exercise of stock options</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17,802</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23,650</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0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net of</w:t>
            </w: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360"/>
              <w:spacing w:after="0"/>
              <w:rPr>
                <w:sz w:val="20"/>
                <w:szCs w:val="20"/>
                <w:color w:val="auto"/>
              </w:rPr>
            </w:pPr>
            <w:r>
              <w:rPr>
                <w:rFonts w:ascii="Arial" w:cs="Arial" w:eastAsia="Arial" w:hAnsi="Arial"/>
                <w:sz w:val="14"/>
                <w:szCs w:val="14"/>
                <w:color w:val="auto"/>
              </w:rPr>
              <w:t>issuance costs of $3,093,489</w:t>
            </w:r>
          </w:p>
        </w:tc>
        <w:tc>
          <w:tcPr>
            <w:tcW w:w="1320" w:type="dxa"/>
            <w:vAlign w:val="bottom"/>
          </w:tcPr>
          <w:p>
            <w:pPr>
              <w:jc w:val="right"/>
              <w:spacing w:after="0"/>
              <w:rPr>
                <w:sz w:val="20"/>
                <w:szCs w:val="20"/>
                <w:color w:val="auto"/>
              </w:rPr>
            </w:pPr>
            <w:r>
              <w:rPr>
                <w:rFonts w:ascii="Arial" w:cs="Arial" w:eastAsia="Arial" w:hAnsi="Arial"/>
                <w:sz w:val="14"/>
                <w:szCs w:val="14"/>
                <w:color w:val="auto"/>
              </w:rPr>
              <w:t>11,688,000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41,904,143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41,905,312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Forfeiture of restricted stock</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(2,333)</w:t>
            </w: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00" w:type="dxa"/>
            <w:vAlign w:val="bottom"/>
          </w:tcPr>
          <w:p>
            <w:pPr>
              <w:ind w:left="260"/>
              <w:spacing w:after="0" w:line="143" w:lineRule="exact"/>
              <w:rPr>
                <w:sz w:val="20"/>
                <w:szCs w:val="20"/>
                <w:color w:val="auto"/>
              </w:rPr>
            </w:pPr>
            <w:r>
              <w:rPr>
                <w:rFonts w:ascii="Arial" w:cs="Arial" w:eastAsia="Arial" w:hAnsi="Arial"/>
                <w:sz w:val="14"/>
                <w:szCs w:val="14"/>
                <w:color w:val="auto"/>
              </w:rPr>
              <w:t>Share-based compensation</w:t>
            </w: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360"/>
              <w:spacing w:after="0"/>
              <w:rPr>
                <w:sz w:val="20"/>
                <w:szCs w:val="20"/>
                <w:color w:val="auto"/>
              </w:rPr>
            </w:pPr>
            <w:r>
              <w:rPr>
                <w:rFonts w:ascii="Arial" w:cs="Arial" w:eastAsia="Arial" w:hAnsi="Arial"/>
                <w:sz w:val="14"/>
                <w:szCs w:val="14"/>
                <w:color w:val="auto"/>
              </w:rPr>
              <w:t>expense</w:t>
            </w: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1,957,478</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1,957,478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and comprehensive loss</w:t>
            </w: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(13,415,523)</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(13,415,523)</w:t>
            </w:r>
          </w:p>
        </w:tc>
        <w:tc>
          <w:tcPr>
            <w:tcW w:w="0" w:type="dxa"/>
            <w:vAlign w:val="bottom"/>
          </w:tcPr>
          <w:p>
            <w:pPr>
              <w:spacing w:after="0"/>
              <w:rPr>
                <w:sz w:val="1"/>
                <w:szCs w:val="1"/>
                <w:color w:val="auto"/>
              </w:rPr>
            </w:pPr>
          </w:p>
        </w:tc>
      </w:tr>
      <w:tr>
        <w:trPr>
          <w:trHeight w:val="156"/>
        </w:trPr>
        <w:tc>
          <w:tcPr>
            <w:tcW w:w="3500" w:type="dxa"/>
            <w:vAlign w:val="bottom"/>
          </w:tcPr>
          <w:p>
            <w:pPr>
              <w:spacing w:after="0" w:line="155" w:lineRule="exact"/>
              <w:rPr>
                <w:sz w:val="20"/>
                <w:szCs w:val="20"/>
                <w:color w:val="auto"/>
              </w:rPr>
            </w:pPr>
            <w:r>
              <w:rPr>
                <w:rFonts w:ascii="Arial" w:cs="Arial" w:eastAsia="Arial" w:hAnsi="Arial"/>
                <w:sz w:val="14"/>
                <w:szCs w:val="14"/>
                <w:color w:val="auto"/>
              </w:rPr>
              <w:t>Balance at June 30, 2018</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38,833,507</w:t>
            </w:r>
          </w:p>
        </w:tc>
        <w:tc>
          <w:tcPr>
            <w:tcW w:w="3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3,884</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169,880,703</w:t>
            </w: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(121,978,179)</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47,906,408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4"/>
          </w:tcPr>
          <w:p>
            <w:pPr>
              <w:jc w:val="right"/>
              <w:ind w:right="105"/>
              <w:spacing w:after="0"/>
              <w:rPr>
                <w:sz w:val="20"/>
                <w:szCs w:val="20"/>
                <w:color w:val="auto"/>
              </w:rPr>
            </w:pPr>
            <w:r>
              <w:rPr>
                <w:rFonts w:ascii="Arial" w:cs="Arial" w:eastAsia="Arial" w:hAnsi="Arial"/>
                <w:sz w:val="18"/>
                <w:szCs w:val="18"/>
                <w:i w:val="1"/>
                <w:iCs w:val="1"/>
                <w:color w:val="auto"/>
              </w:rPr>
              <w:t>(unaudited)</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w:t>
            </w:r>
          </w:p>
        </w:tc>
        <w:tc>
          <w:tcPr>
            <w:tcW w:w="10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(13,415,523)</w:t>
            </w:r>
          </w:p>
        </w:tc>
        <w:tc>
          <w:tcPr>
            <w:tcW w:w="5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(10,516,010)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240"/>
              <w:spacing w:after="0"/>
              <w:rPr>
                <w:sz w:val="20"/>
                <w:szCs w:val="20"/>
                <w:color w:val="auto"/>
              </w:rPr>
            </w:pPr>
            <w:r>
              <w:rPr>
                <w:rFonts w:ascii="Arial" w:cs="Arial" w:eastAsia="Arial" w:hAnsi="Arial"/>
                <w:sz w:val="18"/>
                <w:szCs w:val="18"/>
                <w:color w:val="auto"/>
              </w:rPr>
              <w:t>Adjustments to reconcile net and comprehensive loss to net cash provided by (used in)</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1,957,478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debt issuance costs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Interest expense related to convertible note conversion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Prepaid research and development contracts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(115,705)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current assets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108,760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Accounts payable and other current liabilities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(626,707)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18,666,667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6,598,635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(10,252,055)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Purchase of furniture and equipment</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(8,498)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exercise of stock options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Proceeds from issuances of convertible notes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sale of common stock</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44,998,801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40,247,775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Cash paid in connection with the sale of common stock</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(3,093,489)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(3,084,385)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41,928,964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37,496,845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48,519,101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27,238,243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20,264,109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1,609,694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six months ended</w:t>
            </w:r>
          </w:p>
        </w:tc>
        <w:tc>
          <w:tcPr>
            <w:tcW w:w="7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68,783,210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28,847,937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financing activities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Conversion of redeemable convertible preferred stock into common stock</w:t>
            </w:r>
          </w:p>
        </w:tc>
        <w:tc>
          <w:tcPr>
            <w:tcW w:w="106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74,701,187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and accrued interest into common stock</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943,297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Aerpio Pharmaceuticals, Inc. (the “Company”) is a biopharmaceutical company focused on advancing first-in-class treatments for ocular disease. The Company’s lead product candidate, AKB-9778, a small molecule activator of the Tie2 pathway, is being developed for the treatment of non-proliferative diabetic retinopathy, or NPDR, a disease characterized by progressive compromise of blood vessels in the back of the eye. The Company was incorporated as Zeta Acquisition Corp. II (“Zeta”) in the State of Delaware on November 16, 2007. Prior to the Merger, (as defined below), Zeta was a “shell company” (as defined in Rule 12b-2 of the Securities Exchange Act of 1934, as amended).</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wholly-owned subsidiary.</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effective time of the Merger, the shares of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result of the Merger, the Company acquired the business of Aerpio and will continue the existing business operations of Aerpio as a public reporting company under the name Aerpio Pharmaceuticals, Inc. Immediately after the Merger, on March 15, 2017, Aerpio converted into a Delaware limited liability company (the “Conversion”).</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“2017 Offering”) of 8,049,555 shares of the Company’s common stock, at a purchase price of $5.00 per share, for net proceeds of $37.2 million and the issuance of warrants with a term of three years, to purchase 317,562 shares of the Company’s common stock at an exercise price of $5.00 per share.</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2017 Offering, and (ii) all members of the Company’s executive management and Board of Directors are from Aerpio. In accordance with “reverse merger” or “reverse acquisition” accounting treatment, the unaudited condensed consolidated interim financial statements for the periods ended June 30, 2018 and June 30, 2017 include the accounts of the Company and its wholly owned subsidiary, Aerpio Therapeutics, LLC.</w:t>
      </w:r>
    </w:p>
    <w:p>
      <w:pPr>
        <w:spacing w:after="0" w:line="2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June 26, 2018, the Company priced an underwritten public offering for the sale of 11,688,000 shares of its common stock (the “2018 Offering”). The offering closed on June 28, 2018. Upon execution of this 2018 Offering, the company received net proceeds of approximately $41.9 million after deducting underwriting discounts and commissions and offering expenses. Subsequent to June 30, 2018, net proceeds of $6.2 million were received, after deductions, relating to the sale of 1,720,200 shares of common stock to cover underwriter overallotments.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100"/>
        <w:spacing w:after="0" w:line="257" w:lineRule="auto"/>
        <w:rPr>
          <w:sz w:val="20"/>
          <w:szCs w:val="20"/>
          <w:color w:val="auto"/>
        </w:rPr>
      </w:pPr>
      <w:r>
        <w:rPr>
          <w:rFonts w:ascii="Arial" w:cs="Arial" w:eastAsia="Arial" w:hAnsi="Arial"/>
          <w:sz w:val="18"/>
          <w:szCs w:val="18"/>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to date has been limited to license revenue from Gossamer. Future revenue is dependent on the terms of the Agreement. The Company’s product candidates are subject to long development cycles, and there is no assurance the Company will be able to successfully develop, obtain regulatory approval for, or market its product candidates.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292" w:lineRule="exact"/>
        <w:rPr>
          <w:sz w:val="20"/>
          <w:szCs w:val="20"/>
          <w:color w:val="auto"/>
        </w:rPr>
      </w:pPr>
    </w:p>
    <w:p>
      <w:pPr>
        <w:ind w:right="784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40"/>
        <w:spacing w:after="0" w:line="254" w:lineRule="auto"/>
        <w:rPr>
          <w:sz w:val="20"/>
          <w:szCs w:val="20"/>
          <w:color w:val="auto"/>
        </w:rPr>
      </w:pPr>
      <w:r>
        <w:rPr>
          <w:rFonts w:ascii="Arial" w:cs="Arial" w:eastAsia="Arial" w:hAnsi="Arial"/>
          <w:sz w:val="18"/>
          <w:szCs w:val="18"/>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All adjustments are of a normal and recurring in nature. These unaudited condensed consolidated financial statements should be read in conjunction with the consolidated financial statements of Aerpio Pharmaceuticals, Inc. for the year ended December 31, 2017, included in the Annual Report on Form 10-K filed with the SEC on March 15, 2018. The results of operations for the interim periods are not necessarily indicative of results of operations for a full year. The Company’s condensed consolidated financial statements are stated in U.S. Dollars.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Certain prior year balances within the condensed consolidated statement of cash flows were reclassified to conform with current period presentation. As a result of the current year reclassification, there were no changes in any subtotals or totals of the condensed consolidated statement of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grant date fair value of the Company’s stock-based awards, accrued expenses, and income taxes.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and cash equivalents consist of all cash on hand, deposits, and funds invested in short-term investments with remaining maturities of three months or less at the time of purchase. The Company may maintain balances with its banks in excess of federally insured limits.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spacing w:after="0" w:line="271" w:lineRule="auto"/>
        <w:rPr>
          <w:sz w:val="20"/>
          <w:szCs w:val="20"/>
          <w:color w:val="auto"/>
        </w:rPr>
      </w:pPr>
      <w:r>
        <w:rPr>
          <w:rFonts w:ascii="Arial" w:cs="Arial" w:eastAsia="Arial" w:hAnsi="Arial"/>
          <w:sz w:val="17"/>
          <w:szCs w:val="17"/>
          <w:i w:val="1"/>
          <w:iCs w:val="1"/>
          <w:color w:val="auto"/>
        </w:rPr>
        <w:t xml:space="preserve">Upfront License Fees: </w:t>
      </w:r>
      <w:r>
        <w:rPr>
          <w:rFonts w:ascii="Arial" w:cs="Arial" w:eastAsia="Arial" w:hAnsi="Arial"/>
          <w:sz w:val="17"/>
          <w:szCs w:val="17"/>
          <w:color w:val="auto"/>
        </w:rPr>
        <w:t>If a license to the Company’s intellectual property is determined to be distinct from the other performance obligations identified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Development Milestone Payments</w:t>
      </w:r>
      <w:r>
        <w:rPr>
          <w:rFonts w:ascii="Arial" w:cs="Arial" w:eastAsia="Arial" w:hAnsi="Arial"/>
          <w:sz w:val="17"/>
          <w:szCs w:val="17"/>
          <w:color w:val="auto"/>
        </w:rPr>
        <w:t>: Depending on facts and circumstances, the Company may conclude that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that it is appropriate to fully constrain the milestone. A milestone payment is included in the transaction price in the reporting period that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that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18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Sales-based Milestone and Royalty Payments: </w:t>
      </w:r>
      <w:r>
        <w:rPr>
          <w:rFonts w:ascii="Arial" w:cs="Arial" w:eastAsia="Arial" w:hAnsi="Arial"/>
          <w:sz w:val="16"/>
          <w:szCs w:val="16"/>
          <w:color w:val="auto"/>
        </w:rPr>
        <w:t>The Company’s collaborators may be required to pay the Company sales-based milestone payments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(iv) facilities and other expenses, which include direct and allocated expenses for rent and maintenance of facilities and laboratory and other supplies; and (v) costs associated with preclinical activities and regulatory operations.</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Income taxes are recorded in accordance with Financial Accounting Standards Board (“FASB”) Accounting Standards Codification (ASC)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(ASC 740), which provides for deferred taxes using an asset and liability approach. The Company recognizes deferred tax assets and liabilities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future tax consequences of events that have been included in the condensed consolidated financial statements or tax returns. Deferred tax assets and liabilities are determined based on the difference between the condensed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recognizes the tax benefit of tax positions to the extent that some or all of the benefit will more likely than not be realized. The determination as to whether the tax benefit will more likely than not be realized is based upon the technical merits of the tax position, as well as consideration of the available facts and circumstances. As of June 30, 2018, and December 31, 2017, the Company does not have any significant uncertain tax positions. If incurred, the Company would classify interest and penalties on uncertain tax positions as income tax expense.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basic net loss per share attributable to common stockholders is calculated by dividing the net loss attributable to common stockholders by the weighted average number of shares of common stock outstanding for the period. The diluted net loss per share attributable to common stockholders is computed by adjusting the weighted average shares outstanding for the dilutive effect of common stock equivalents outstanding for the period, determined using the treasury stock method. For purposes of this calculation, stock options to purchase common stock, warrants, and unvested restricted stock awards are considered to be common stock equivalents but have been excluded from the calculation of diluted net loss per share attributable to common stockholders as their effect is anti-dilutive for all periods presented. Therefore, basic and diluted net loss per share attributable to common stockholders were the same for all periods presented.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Company accounts for its stock-based compensation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which requires that all stock-based payments to employees, including grants of employee stock options and restricted stock, be recognized in the condensed consolidated statements of operations and comprehensive loss based on their fair values. All the Company’s stock-based awards are subject only to service-based vesting conditions. The Company estimates the fair value of its stock-based option awards using the Black-Scholes option pricing model, which requires the input of subjective assumptions, including (a) the expected stock price volatility, (b) the calculation of expected term of the award, (c) the risk-free interest rate, and (d) expected dividends. The fair value of restricted stock awards is determined based on the Company’s estimated common stock value.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The Company uses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financial instruments consist of cash equivalents, accounts payable and accrued expenses and deferred revenue. The Company values cash equivalents using quoted market prices. The fair value of accounts payable and accrued expenses and deferred revenue approximates its carrying value because of its short-term nature.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900" w:right="40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six months ended June 30, 2018. The assets of the Company measured at fair value on a recurring basis as of June 30, 2018, and December 31, 2017, are summarized below:</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Fair Value Measurements Using</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June 30, 2018</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68,783,210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68,783,210</w:t>
            </w:r>
          </w:p>
        </w:tc>
        <w:tc>
          <w:tcPr>
            <w:tcW w:w="100" w:type="dxa"/>
            <w:vAlign w:val="bottom"/>
            <w:shd w:val="clear" w:color="auto" w:fill="CFF0FC"/>
          </w:tcPr>
          <w:p>
            <w:pPr>
              <w:spacing w:after="0"/>
              <w:rPr>
                <w:sz w:val="19"/>
                <w:szCs w:val="19"/>
                <w:color w:val="auto"/>
              </w:rPr>
            </w:pPr>
          </w:p>
        </w:tc>
      </w:tr>
      <w:tr>
        <w:trPr>
          <w:trHeight w:val="263"/>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68,783,210</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68,783,210</w:t>
            </w:r>
          </w:p>
        </w:tc>
        <w:tc>
          <w:tcPr>
            <w:tcW w:w="100" w:type="dxa"/>
            <w:vAlign w:val="bottom"/>
            <w:tcBorders>
              <w:bottom w:val="single" w:sz="8" w:color="CFF0FC"/>
            </w:tcBorders>
          </w:tcPr>
          <w:p>
            <w:pPr>
              <w:spacing w:after="0"/>
              <w:rPr>
                <w:sz w:val="22"/>
                <w:szCs w:val="22"/>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20,264,109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20,264,109</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20,264,109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20,264,109</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Cash and cash equivalents are the only financial instruments that potentially subject the Company to concentrations of credit risk. At June 30, 2018, and December 31, 2017, all the Company’s cash was deposited in accounts at two principal financial institutions.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condensed consolidated financial position or results of operations upon adoption.</w:t>
      </w:r>
    </w:p>
    <w:p>
      <w:pPr>
        <w:spacing w:after="0" w:line="22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May 2014, the FASB issued amended guidance for revenue recognition,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The new guidance outlines a single comprehensive model for entities to use in accounting for revenue arising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core principle of the guidance is that an entity should recognize revenue for the transfer of promised goods or services to customers in an amount that reflects the consideration to which the entity expects to be entitled in exchange for those goods and services. Additionally, the guidance requires improved disclosure to help users of financial statements better understand the nature, amount, timing and uncertainty of revenue that is recognized. The Company adopted the new guidance on January 1, 2018 as it relates to the License Agreement discussed in Footnote 12.</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This ASU is intended to simplify accounting for share-based payments and requires that excess tax benefits for share-based payments be recorded as a reduction of income tax expense and reflected within operating cash flows rather than being recorded within equity and reflected within financing cash flows. The ASU also provides an option for companies to recognize forfeitures as they occur rather than estimating the number of awards expected to be forfeited. The Company adopted this ASU on January 1, 2017 and has applied the new guidance related to excess tax benefits on a prospective basis. The Company also elected to account for forfeitures of share-based payments as they occur. The adoption of this ASU was not material to the condensed consolidated financial statements.</w:t>
      </w:r>
    </w:p>
    <w:p>
      <w:pPr>
        <w:spacing w:after="0" w:line="16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ASU will require lessees to recognize almost all leases on the balance sheet as a right-of-use asset and a lease liability. For statement of operations purposes, the FASB retained a dual model, requiring leases to be classified as finance leases or operating leases. This update is effective for interim and annual periods beginning after December 15, 2018, with early adoption permitted. The Company is currently assessing the effect that adoption of the new standard and developing a process to ensure that a complete population of leases is assessed under this ASU. It is anticipated that the adoption of this ASU will have a material impact on the condensed consolidated balance sheet.</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August 2016, the FASB issued ASU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The objective of this update is to provide additional guidance and reduce diversity in practice when classifying certain transactions within the statement of cash flows. 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This new standard requires that the statement of cash flows explain the change during the period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of cash, cash equivalents, and amounts generally described as restricted cash or restricted cash equivalents. These standards are effective for financial statements issued for fiscal years beginning after December 15, 2017, including interim periods within those fiscal years. The Company adopted these ASUs as of January 1, 2018. The adoption of these ASUs did not have an impact on the Company’s condensed consolidated financial statements.</w:t>
      </w:r>
    </w:p>
    <w:p>
      <w:pPr>
        <w:spacing w:after="0" w:line="16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Stock Compensation - Scope of Modification Accounting.</w:t>
      </w:r>
      <w:r>
        <w:rPr>
          <w:rFonts w:ascii="Arial" w:cs="Arial" w:eastAsia="Arial" w:hAnsi="Arial"/>
          <w:sz w:val="16"/>
          <w:szCs w:val="16"/>
          <w:color w:val="auto"/>
        </w:rPr>
        <w:t>” This ASU provides clarification around which changes to the terms or conditions of a share-based payment award require the application of modification accounting under ASC 718. The Company adopted this ASU as of January 1, 2018. The adoption of this ASU did not have an impact on the Company’s condensed consolidated financial statements.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June 2018, the FASB issued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This ASU improves financial reporting for share-based payments issued to nonemployees under ASC 718 by expanding the scope of the employee share-based payments guidance to include share-based payments issued to nonemployees. The amendments in this ASU are effective for public companies for fiscal years beginning after December 31, 2018, including interim periods within that fiscal year. The Company has not yet adopted this ASU and is currently evaluating the effect that adoption of this new standard will have on its condensed consolidated financial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1,073,561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1,276,537</w:t>
            </w:r>
          </w:p>
        </w:tc>
        <w:tc>
          <w:tcPr>
            <w:tcW w:w="6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593,772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277,217</w:t>
            </w:r>
          </w:p>
        </w:tc>
        <w:tc>
          <w:tcPr>
            <w:tcW w:w="6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636,706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833,650</w:t>
            </w:r>
          </w:p>
        </w:tc>
        <w:tc>
          <w:tcPr>
            <w:tcW w:w="6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Accrued vacation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136,189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69,549</w:t>
            </w:r>
          </w:p>
        </w:tc>
        <w:tc>
          <w:tcPr>
            <w:tcW w:w="6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503,666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1,069,852</w:t>
            </w:r>
          </w:p>
        </w:tc>
        <w:tc>
          <w:tcPr>
            <w:tcW w:w="60" w:type="dxa"/>
            <w:vAlign w:val="bottom"/>
            <w:shd w:val="clear" w:color="auto" w:fill="CFF0FC"/>
          </w:tcPr>
          <w:p>
            <w:pPr>
              <w:spacing w:after="0"/>
              <w:rPr>
                <w:sz w:val="19"/>
                <w:szCs w:val="19"/>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21,563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w:t>
            </w:r>
          </w:p>
        </w:tc>
        <w:tc>
          <w:tcPr>
            <w:tcW w:w="60" w:type="dxa"/>
            <w:vAlign w:val="bottom"/>
            <w:tcBorders>
              <w:bottom w:val="single" w:sz="8" w:color="CFF0FC"/>
            </w:tcBorders>
          </w:tcPr>
          <w:p>
            <w:pPr>
              <w:spacing w:after="0"/>
              <w:rPr>
                <w:sz w:val="19"/>
                <w:szCs w:val="19"/>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2,965,457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3,592,164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Notes Payable to Investors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March, April and July 2016, Aerpio entered into a senior secured convertible note financing (the “Convertible Notes” or the “Convertible Note Financing”) totaling approximately $18,000,000. The Convertible Notes accrued interest at 8% per annum, compounded annually. The Convertible Notes were also subject to mandatory prepayment upon the occurrence of certain events, such as a liquidation, dissolution, or the sale of Aerpio. In addition, and prior to maturity, the Convertible Notes were automatically convertible into shares of Aerpio capital stock upon the occurrence of a sale of Aerpio’s capital stock in a single transaction resulting in gross proceeds to Aerpio of $30,000,000 (hereinafter referred to as an “Investor Sale”). The type and class of Aerpio capital stock to be issued to the holder of each Convertible Note upon conversion would have been identical to the type and class of Aerpio capital stock issued in the Investor Sale. The holder of each Convertible Note was entitled to a number of shares of Aerpio capital determined by dividing (i) the outstanding principal amount of the Convertible Note plus any unpaid accrued interest by (ii) an amount equal to the price per share of Aerpio capital stock paid by the purchasers of such shares in connection with the Investor Sale. The Convertible Notes were secured by a first priority perfected security interest in all of the Aerpio’s assets.</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October 2016 and February 2017, Aerpio executed additional senior secured Convertible Note financings (the “Additional Convertible Notes” or the “Additional Convertible Note Financings”) totaling approximately $3,500,000 and $300,000 respectively, with certain preferred investors of Aerpio. The terms of the Additional Convertible Notes are identical to the Convertible Notes and are treated as extensions of the original Convertible Note Financing. The Company incurred $125,935 of costs associated with these transactions, which were amortized to the maturity date of March 31, 2017. In connection with the Additional Convertible Note Financings, the Convertible Notes were amended and their respective maturity dates were extended from October 31, 2016 to March 31, 2017. The amendments were accounted for as a modification for accounting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(Note 1) the Convertible Notes and accrued interest were converted into the Company’s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2018, and December 31, 2017, the Company had 300,000,000 shares of authorized common stock with par value of $0.0001 per share.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40"/>
        <w:spacing w:after="0" w:line="309"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June 30, 2018, and December 31, 2017, the Company had warrants outstanding for the purchase of 317,562 shares of the Company’s common stock at an exercise price of $5.00 per share. The warrants have a three-year term and expire on March 15, 2020. The warrants were issued in connection with the 2017 Offering. At the expiration date of the warrant,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Preferred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June 30, 2018, the Company had 10,000,000 shares of preferred stock, par value $0.0001 per share, in authorized capital. No preferred stock was issued and outstanding at June 30, 2018, and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Pursuant to the Merger (Note 1), the Company assumed the Aerpio Therapeutics, Inc. 2011 Equity Incentive Plan (the “2011 Plan”). Options covering an aggregate of 856,211 and 898,962 shares of the Company’s common stock at June 30, 2018, and December 31, 2017, respectively, are still governed by the 2011 Plan except that all references in the 2011 Plan to Aerpio, will now be the Company.</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April 2018, to Board approved a 4% increase adding 1,082,802 shares to the 2017 Plan. As of June 30, 2018, and December 31, 2017, 2,551,859 and 1,179,410 stock awards were outstanding under the 2017 Plan and the 2011 Plan, respectively. This excludes 733,570 inducement stock awards issued outside of the 2017 Plan and the 2011 Plan outstanding at June 30, 2018 and December 31,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options granted generally vest over 48 months. Under the 2017 Plan, options vest in installments of 25% at the one-year anniversary and thereafter in 36 equal monthly installments beginning in the 1</w:t>
      </w:r>
      <w:r>
        <w:rPr>
          <w:rFonts w:ascii="Arial" w:cs="Arial" w:eastAsia="Arial" w:hAnsi="Arial"/>
          <w:sz w:val="15"/>
          <w:szCs w:val="15"/>
          <w:color w:val="auto"/>
        </w:rPr>
        <w:t>st</w:t>
      </w:r>
      <w:r>
        <w:rPr>
          <w:rFonts w:ascii="Arial" w:cs="Arial" w:eastAsia="Arial" w:hAnsi="Arial"/>
          <w:sz w:val="18"/>
          <w:szCs w:val="18"/>
          <w:color w:val="auto"/>
        </w:rPr>
        <w:t xml:space="preserve"> of the month after the initial Vesting Commencement Date (as defined), subject to the employee’s continuous service with the Company. The options generally expire ten years after the date of grant. The fair value of the options at the date of grant is recognized as an expense over the requisite service period. 1,515,200 option awards were granted in the three and six months ended June 30, 2018, and no option awards were granted in the three and six months ended June 30, 2017. As of June 30, 2018, and December 31, 2017, 3,059,562 and 3,391,960 shares are reserved for issuance under the 2017 Plan,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summarizes the stock option activity during the six months ended June 30,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4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2018</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1,912,980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2,738,704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1,515,200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(17,802)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(124,949)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June 30, 2018</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3,285,429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2,794,029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Expected to vest, June 30, 2018</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2,495,026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June 30, 2018</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790,403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20"/>
        <w:spacing w:after="0" w:line="309" w:lineRule="auto"/>
        <w:rPr>
          <w:sz w:val="20"/>
          <w:szCs w:val="20"/>
          <w:color w:val="auto"/>
        </w:rPr>
      </w:pPr>
      <w:r>
        <w:rPr>
          <w:rFonts w:ascii="Arial" w:cs="Arial" w:eastAsia="Arial" w:hAnsi="Arial"/>
          <w:sz w:val="18"/>
          <w:szCs w:val="18"/>
          <w:color w:val="auto"/>
        </w:rPr>
        <w:t>Aggregate intrinsic value represents the estimated fair value of the Company’s common stock at June 30, 2018, in excess of the weighted average exercise price multiplied by the number of options outstanding or exercisable.</w:t>
      </w:r>
    </w:p>
    <w:p>
      <w:pPr>
        <w:spacing w:after="0" w:line="14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Compensation expense for stock options was $822,850 and $38,954 for the three months ended June 30, 2018 and 2017, respectively and $1,554,223 and $120,075 for the six months ended June 30, 2018 and 2017, respectively. As of June 30, 2018, there was $5,154,532 of unrecognized compensation cost related to stock options, which is expected to be recognized over a weighted average period of 2.65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Shares of restricted stock generally have similar vesting terms as stock options. A summary of the Company’s restricted stock activity and related information during the six months ended June 30, 2018, is as follows: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480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r>
      <w:tr>
        <w:trPr>
          <w:trHeight w:val="171"/>
        </w:trPr>
        <w:tc>
          <w:tcPr>
            <w:tcW w:w="480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1, 2018</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9"/>
                <w:szCs w:val="19"/>
                <w:color w:val="auto"/>
              </w:rPr>
            </w:pPr>
          </w:p>
        </w:tc>
      </w:tr>
      <w:tr>
        <w:trPr>
          <w:trHeight w:val="230"/>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(97,020)</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FF0FC"/>
          </w:tcPr>
          <w:p>
            <w:pPr>
              <w:spacing w:after="0"/>
              <w:rPr>
                <w:sz w:val="19"/>
                <w:szCs w:val="19"/>
                <w:color w:val="auto"/>
              </w:rPr>
            </w:pPr>
          </w:p>
        </w:tc>
      </w:tr>
      <w:tr>
        <w:trPr>
          <w:trHeight w:val="230"/>
        </w:trPr>
        <w:tc>
          <w:tcPr>
            <w:tcW w:w="48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June 30, 2018</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The Company recognized compensation expense for restricted stock of $54,907 and $72,570 for the three months ended June 30, 2018 and 2017, respectively, and $403,255 and $146,834 for the six months ended June 30, 2018 and 2017, respectively. As of June 30, 2018, there was $46,433 of unrecognized compensation cost related to these restricted stock grants, which is expected to be recognized over a weighted average period of 0.25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recognized the following compensation cost related to employee and non-employee stock-based compensation activity: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4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114,749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73,033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174,013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188,335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762,808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1,783,465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78,574</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877,557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111,524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1,957,478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266,909</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96"/>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6" w:name="page17"/>
    <w:bookmarkEnd w:id="16"/>
    <w:p>
      <w:pPr>
        <w:ind w:right="200"/>
        <w:spacing w:after="0" w:line="259"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subjective assumptions, including the option’s expected live, expected dividend yield, price volatility and risk free interest rate of the underlying stock. Accordingly, the weighted-average fair value of the options granted during the three and six months ended June 30, 2018 was $2.27 per share. The calculation was based on the following assumptions.</w:t>
      </w: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800" w:type="dxa"/>
            <w:vAlign w:val="bottom"/>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2018</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2018</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6.08</w:t>
            </w:r>
          </w:p>
        </w:tc>
        <w:tc>
          <w:tcPr>
            <w:tcW w:w="1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6.08</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2.86%</w:t>
            </w:r>
          </w:p>
        </w:tc>
        <w:tc>
          <w:tcPr>
            <w:tcW w:w="1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2.86%</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66.34%</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66.34%</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1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did not record a current or deferred income tax expense or benefit for the six months ended June 30, 2018 and 2017, due to the Company’s net losses and increases in its deferred tax asset valuation allowance. The impacts of The Tax Cuts and Jobs Act (the “2017 Tax Act”) disclosed in the December 31, 2017 Form 10-K were provisional in nature and there have been no adjustments the provisional amounts in the six months ended June 30, 2018. We will continue to evaluate the provisional amounts in light of the requirements of the 2017 Tax Act until our 2017 Federal Income Tax Return is filed with the Internal Revenue Service Agency.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Attributable to Common Stockholders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(5,989,991)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(5,520,307)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(13,415,523)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(10,516,010)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Adjustment of redeemable convertible preferred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stock to redemption value</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(943,297)</w:t>
            </w: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(5,989,991)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(5,520,307)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(13,415,523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(11,459,307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vMerge w:val="continue"/>
          </w:tcPr>
          <w:p>
            <w:pPr>
              <w:spacing w:after="0"/>
              <w:rPr>
                <w:sz w:val="17"/>
                <w:szCs w:val="17"/>
                <w:color w:val="auto"/>
              </w:rPr>
            </w:pPr>
          </w:p>
        </w:tc>
        <w:tc>
          <w:tcPr>
            <w:tcW w:w="740" w:type="dxa"/>
            <w:vAlign w:val="bottom"/>
            <w:gridSpan w:val="2"/>
            <w:vMerge w:val="restart"/>
          </w:tcPr>
          <w:p>
            <w:pPr>
              <w:jc w:val="right"/>
              <w:ind w:right="85"/>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stockholders, basic and diluted</w:t>
            </w:r>
          </w:p>
        </w:tc>
        <w:tc>
          <w:tcPr>
            <w:tcW w:w="740" w:type="dxa"/>
            <w:vAlign w:val="bottom"/>
            <w:gridSpan w:val="2"/>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320" w:type="dxa"/>
            <w:vAlign w:val="bottom"/>
            <w:gridSpan w:val="2"/>
            <w:vMerge w:val="continue"/>
          </w:tcPr>
          <w:p>
            <w:pPr>
              <w:spacing w:after="0"/>
              <w:rPr>
                <w:sz w:val="23"/>
                <w:szCs w:val="23"/>
                <w:color w:val="auto"/>
              </w:rPr>
            </w:pPr>
          </w:p>
        </w:tc>
        <w:tc>
          <w:tcPr>
            <w:tcW w:w="1160" w:type="dxa"/>
            <w:vAlign w:val="bottom"/>
            <w:gridSpan w:val="2"/>
            <w:vMerge w:val="continue"/>
          </w:tcPr>
          <w:p>
            <w:pPr>
              <w:spacing w:after="0"/>
              <w:rPr>
                <w:sz w:val="23"/>
                <w:szCs w:val="23"/>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196"/>
        </w:trPr>
        <w:tc>
          <w:tcPr>
            <w:tcW w:w="39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common shares used in</w:t>
            </w:r>
          </w:p>
        </w:tc>
        <w:tc>
          <w:tcPr>
            <w:tcW w:w="5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computing net loss per share attributable to</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27,340,914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27,194,028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basic and diluted</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26,895,164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16,313,324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weighted average common stock equivalents were excluded from the calculation of diluted net loss per share attributable to common stockholders for the periods presented because including them would have had an anti-dilutive effect: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4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0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3,285,429</w:t>
            </w:r>
          </w:p>
        </w:tc>
        <w:tc>
          <w:tcPr>
            <w:tcW w:w="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898,962</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53,223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168,724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30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317,562</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317,562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648"/>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80" w:type="dxa"/>
            <w:vAlign w:val="bottom"/>
          </w:tcPr>
          <w:p>
            <w:pPr>
              <w:jc w:val="right"/>
              <w:ind w:right="674"/>
              <w:spacing w:after="0"/>
              <w:rPr>
                <w:sz w:val="20"/>
                <w:szCs w:val="20"/>
                <w:color w:val="auto"/>
              </w:rPr>
            </w:pPr>
            <w:r>
              <w:rPr>
                <w:rFonts w:ascii="Arial" w:cs="Arial" w:eastAsia="Arial" w:hAnsi="Arial"/>
                <w:sz w:val="18"/>
                <w:szCs w:val="18"/>
                <w:color w:val="auto"/>
              </w:rPr>
              <w:t>16</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The Company is a party to a lease covering 7,580 square feet of space in Cincinnati, Ohio. The Company signed a fourth lease amendment in March 2018, extending the lease through July 2021. The lease agreement contains free rent and escalating rent payments. Rent expense is recorded on the straight-line basis over the initial term with the differences between rent expense and rent payments recorded as deferred rent. In November 2017, the Company renewed a lease covering 687 square feet of space in Dexter, MI that expires in October 2019. Total rent expense for all operating leases was $58,662 and $102,442 for the six months ended June 30, 2018 and 2017, respectively. As of June 30, 2018, non-cancelable future minimum lease payments under the existing operating lease were $366,957. As of June 30, 2018, future payments related to operating leases activities are presented in the table below.</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2020 and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22"/>
              <w:spacing w:after="0"/>
              <w:rPr>
                <w:sz w:val="20"/>
                <w:szCs w:val="20"/>
                <w:color w:val="auto"/>
              </w:rPr>
            </w:pPr>
            <w:r>
              <w:rPr>
                <w:rFonts w:ascii="Arial" w:cs="Arial" w:eastAsia="Arial" w:hAnsi="Arial"/>
                <w:sz w:val="14"/>
                <w:szCs w:val="14"/>
                <w:b w:val="1"/>
                <w:bCs w:val="1"/>
                <w:color w:val="auto"/>
                <w:w w:val="96"/>
              </w:rPr>
              <w:t>Thereafter</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53,831</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125,660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187,466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the Company upon written notice. In the event of a cancellation, the Company would only be liable for the cost and expenses incurred to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Stock Purchase Plan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March 2017, the Board of Directors adopted and the stockholders approved, the Employee Stock Purchase Plan (the “ESPP”), that became effective in April 2017. The ESPP provides for the issuance of up to 300,000 shares of the Company’s common stock for the purchases made under the ESPP. The ESPP also provides that the number of shares reserved for issuance thereunder will be increased annually on the first day of each year beginning in 2018 by one percent (1%) of the shares of the Company’s common stock outstanding on the last day of the immediately preceding year or such smaller increase as determined by the Company’s Board of Directors. The Board of Directors has not yet determined the timing for the offering periods under the ESPP.</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Agreement</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24, 2018, we entered into a License Agreement (the “Agreement”) with a wholly-owned subsidiary of Gossamer Bio, Inc., GB004, Inc. (collectively “Gossamer”), under which the Company has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w:t>
      </w:r>
    </w:p>
    <w:p>
      <w:pPr>
        <w:spacing w:after="0" w:line="18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Gossamer will be responsible for the development and commercialization of the licensed products, and a joint development committee will be formed to oversee the development and manufacturing activities related to the licensed products. Under the terms of the Agreement, Gossamer is obligated to use its commercially reasonable efforts to develop and commercialize licensed products in the United States, two major European countries and Japan for at least one of the initial indications. The Agreement includes an exclusivity provision that prohibits the Company from developing, manufacturing or commercializing, and prohibits Gossamer from clinically developing or commercializing certain HIF stabilizing compounds other than as permitted in the Agreement.</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terms of the Agreement, Gossamer is required to make an upfront payment to the Company of $20.0 million, which was received by the Company on June 28, 2018.</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is also eligible to receive development, commercial and sales milestone payments, with such payments contingent on the achievement of specified milestones with respect to the first licensed product for each of the first two initial indications. The Company is also eligible to receive tiered royalties on sales of licensed products at percentages ranging from a high-single-digit to mid-teens, subject to certain customary reductions. In addition, under certain circumstances, in lieu of receiving the foregoing milestone payments and royalties, the Company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Conversely, the Company could be required to accept such a specified percentage of those payments, if Gossamer agrees to pay the Company a certain minimum upon Gossamer and its stockholders being paid. Such amount may be reduced if the subject transaction includes pharmaceutical candidates or products or other named asset categories in addition to the licensed products.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8" w:name="page19"/>
    <w:bookmarkEnd w:id="18"/>
    <w:p>
      <w:pPr>
        <w:ind w:right="40"/>
        <w:spacing w:after="0" w:line="297" w:lineRule="auto"/>
        <w:rPr>
          <w:sz w:val="20"/>
          <w:szCs w:val="20"/>
          <w:color w:val="auto"/>
        </w:rPr>
      </w:pPr>
      <w:r>
        <w:rPr>
          <w:rFonts w:ascii="Arial" w:cs="Arial" w:eastAsia="Arial" w:hAnsi="Arial"/>
          <w:sz w:val="16"/>
          <w:szCs w:val="16"/>
          <w:color w:val="auto"/>
        </w:rPr>
        <w:t>The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Agreement for an uncured material breach by the other party or upon the bankruptcy or insolvency of the other party. Gossamer may terminate the Agreement in the event Gossamer determines there is a potential safety or efficacy issue with the licensed products. The Company may terminate the Agreement if Gossamer institutes certain actions related to the licensed patents. Under certain termination circumstances, the Company would have worldwide rights to the terminated program.</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June 30, 2018, all development milestones, sales-based milestones, and royalty payments within the Agreement are constrained to the point where no transaction price has been allocated to the future milestones or royalty payments. Consequently, at the date the Agreement was signed, the transaction price was solely attributable to the upfront payment which is currently being recognized ratably over a ninety-day transition period in accordance with Topic 606 and the Company’s policy. The aforementioned transition period commenced on June 25, 2018 and $1.3 million of license revenue has been recorded within the condensed consolidated statement of operations and comprehensive loss for the three- and six-month period ending June 30, 2018. Accordingly, the $18.7 remaining balance of the upfront payment is presented as deferred revenue in the accompanying condensed consolidated balance sheet as of June 30, 2018 and is expected to be recognized by the Company in the third quarter of fiscal 2018.</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3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July 2, 2018, net proceeds of $6.2 million were received, after deducting expenses relating to the sale of 1,720,200 shares of common stock to cover underwriter overallotments associated with the June 2018 offering.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The following discussion of the financial condition and results of operations of Aerpio Pharmaceuticals, Inc. should be read in conjunction with the condensed consolidated financial statements and the notes to those statements included in this Quarterly Report on Form 10-Q for the period ended June 30, 2018.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2017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Quarterly Report on Form 10-Q contains express or implied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900" w:right="24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 and estimates of our expenses, future revenues, capital requirements and our needs for additional financing;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including with Gossamer Bio, as well as the expected benefits from such collaboration;</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biopharmaceutical company focused on advancing first-in-class treatments for ocular disease. Our lead product candidate, AKB-9778, a small molecule activator of the Tie-2 pathway, is being developed for the treatment of non-proliferative diabetic retinopathy, or NPDR, a disease characterized by progressive compromise of blood vessels in the back of the eye. The Tie2 receptor is expressed almost exclusively in endothelial cells (cells that line the inside of blood vessels) and its activity is essential for maintaining vascular stability and preventing blood vessel compromise associated with diabetes. We have completed a Phase 2a trial of AKB-9778 in 144 patients with diabetic eye disease. Based on the results from this trial, we believe AKB-9778 has the potential to slow down or possibly reverse the damage to blood vessels caused by diabetes. In contrast to marketed treatments for NPDR that are administered by a physician via intraocular injection, we intend to deliver AKB-9778 systemically by self-administered subcutaneous injection, similar to insulin. We believe that this delivery method provides an opportunity to treat diabetic eye disease at an earlier stage and reduces the likelihood of developing vision-threatening complications.</w:t>
      </w:r>
    </w:p>
    <w:p>
      <w:pPr>
        <w:spacing w:after="0" w:line="19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June 2017, we initiated a 48-week, double-masked, Phase 2b clinical trial, which we refer to as TIME-2b, in patients with NPDR who have not developed more serious complications such as diabetic macular edema, or DME or proliferative diabetic retinopathy, or PDR. The TIME-2b study is a double-masked, placebo-controlled multi-center trial that is currently on-going and has enrolled 167 patients randomized evenly to receive either AKB-9778 15 mg subcutaneously once daily, AKB-9778 15 mg subcutaneously twice daily or placebo for a 48-week treatment period. The primary endpoint of the TIME-2b study is the percentage of patients who improve by at least 2 steps in Diabetic Retinopathy Severity Score, or DRSS in the study eye.</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Compromise of Tie2 function is also implicated in other vascular complications of diabetes. We believe systemic treatment with AKB-9778 may address some of the most debilitating of these complications, including diabetic nephropathy. If we are successful in developing and commercializing AKB-9778 for NPDR, we may conduct clinical trials to evaluate AKB-9778’s potential to reduce or delay the need for kidney dialysis.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to diabetic vascular disease, existing preclinical and clinical evidence suggest the potential of AKB-9778 for reducing intraocular pressure in primary open angle glaucoma, or POAG, and ocular hypertension. We plan to initiate a Phase 1b clinical trial in the second quarter of 2019 to evaluate AKB-9778, administered via topical eye drops, for POAG and, if we observe positive results, we expect to initiate a Phase 2 program for this indication.</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June 2018, we licensed AKB-4924, a selective stabilizer of hypoxia-inducible factor-1 alpha, or HIF-1 alpha to Gossamer Bio, Inc. AKB-4924 is being developed for the treatment of inflammatory bowel disease. HIF-1 alpha is involved in mucosal wound healing and the reduction of inflammation in the gastrointestinal tract. We have completed a single ascending dose clinical trial in healthy volunteers for AKB-4924 and initiated a multiple ascending dose, or MAD study in the second quarter of 2018. Gossamer is responsible for all remaining development and commercial activities for AKB-4924.</w:t>
      </w:r>
    </w:p>
    <w:p>
      <w:pPr>
        <w:spacing w:after="0" w:line="17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ARP-1536, our humanized monoclonal antibody directed at the same target as AKB-9778, is in preclinical development. We are evaluating development options for ARP-1536, including subcutaneous injection for the treatment of diabetic vascular complications and intravitreal injection for the treatment of advanced diabetic eye disease such as DME or PDR.</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for the license agreement that we entered into with Gossamer in June 2018, our operations to date have been limited to organizing and staffing our Company, business planning, raising capital, acquiring and developing our technology, identifying potential product candidates, and undertaking preclinical and clinical studies. As of June 30, 2018, we generated $1.3 million in revenue and $18.7 million in deferred revenue related to the license agreement. However, there can be no assurance of future revenues either from future payments related to the Gossamer license or from our product candidates. Our product candidates are subject to long development cycles, and there is no assurance we will be able to successfully develop, obtain regulatory approval for, or market our product candidates. As of June 30, 2018, we had an accumulated deficit of $122.0 million and anticipate incurring additional losses for the next several years.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right="80"/>
        <w:spacing w:after="0" w:line="271" w:lineRule="auto"/>
        <w:rPr>
          <w:sz w:val="20"/>
          <w:szCs w:val="20"/>
          <w:color w:val="auto"/>
        </w:rPr>
      </w:pPr>
      <w:r>
        <w:rPr>
          <w:rFonts w:ascii="Arial" w:cs="Arial" w:eastAsia="Arial" w:hAnsi="Arial"/>
          <w:sz w:val="17"/>
          <w:szCs w:val="17"/>
          <w:color w:val="auto"/>
        </w:rPr>
        <w:t>Our primary source of liquidity to date has been through the license agreement with Gossamer and public and private sales of our equity securities as well as the historical sales of redeemable convertible preferred stock, common stock and proceeds from convertible debt.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expect our expenses will likely increase substantially in connection with our ongoing activities.</w:t>
      </w:r>
    </w:p>
    <w:p>
      <w:pPr>
        <w:spacing w:after="0" w:line="170"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14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 The condensed consolidated financial statements do not include any adjustments relating to the recoverability and classification of recorded asset amounts or amounts of liabilities that might be necessary should the Company be unable to continue as a going concern. 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$68.8 million at June 30, 2018 and financial condition as of this Quarterly Report on Form 10-Q, we believe our existing cash and cash equivalent will be sufficient to fund currently planned operations through the first quarter of fiscal year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discussion highlights Aerpio’s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the consolidated statements of operation and comprehensive loss presented herein. The following discussion and analysis are based on the Company’s condensed consolidated financial statements contained in this Form 10-Q, which we have prepared in accordance with U.S. generally accepted accounting principles. You should read the discussion and analysis together with such condensed consolidated financial statements and the related notes thereto.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License revenue relates to the amortization of an upfront payment of $20.0 million received upon execution of the license agreement entered into with Gossamer during the second quarter of 2018. According to the terms of the license agreement, this $20.0 million payment is recognized as revenue ratably over a ninety-day performance period beginning on June 25, 2018.</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expenses consist primarily of compensation and related costs for personnel, including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and travel. These costs also consist of third-party service providers for our potential product development activities, third-party consulting services, laboratory supplies, research materials, medical equipment, computer equipment, and related depreciation and amortization. We expense research and development expenses as incurred. As we continue to invest in basic research and clinical development of our product candidates, we expect research and development expenses to increase in absolute dollars.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Our general and administrative expenses consist primarily of compensation and related costs for personnel, including stock-based compensation, employee benefits and travel, for our finance, human resources and other administrative personnel. In addition, general and administrative expenses include third-party consulting, legal, patent, audit, accounting services, and facilities costs. General and administrative expenses have increased following the Merger due to additional legal, accounting, insurance, investor relations and other costs associated with being a public company, as well as other costs associated with growing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net for the three and six months ended June 30, 2018 and the three months ended June 30, 2017 consists primarily of interest income received on our cash and cash equivalents. Interest expense, net for the six months ended June 30, 2017 consists primarily of interest and amortization of debt issuance costs related to our secured convertible promissory notes. The secured convertible notes converted into shares of our common stock in connection with the Merger and private placement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4"/>
                <w:szCs w:val="14"/>
                <w:color w:val="auto"/>
              </w:rPr>
            </w:pPr>
          </w:p>
        </w:tc>
        <w:tc>
          <w:tcPr>
            <w:tcW w:w="338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1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1,333,333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1,333,333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4,228,934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3,169,115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8,257,746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5,424,699</w:t>
            </w:r>
          </w:p>
        </w:tc>
        <w:tc>
          <w:tcPr>
            <w:tcW w:w="120" w:type="dxa"/>
            <w:vAlign w:val="bottom"/>
            <w:shd w:val="clear" w:color="auto" w:fill="CFF0FC"/>
          </w:tcPr>
          <w:p>
            <w:pPr>
              <w:spacing w:after="0"/>
              <w:rPr>
                <w:sz w:val="19"/>
                <w:szCs w:val="19"/>
                <w:color w:val="auto"/>
              </w:rPr>
            </w:pPr>
          </w:p>
        </w:tc>
      </w:tr>
      <w:tr>
        <w:trPr>
          <w:trHeight w:val="230"/>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3,140,854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2,414,747</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6,588,690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4,918,748</w:t>
            </w:r>
          </w:p>
        </w:tc>
        <w:tc>
          <w:tcPr>
            <w:tcW w:w="120" w:type="dxa"/>
            <w:vAlign w:val="bottom"/>
            <w:tcBorders>
              <w:bottom w:val="single" w:sz="8" w:color="CFF0FC"/>
            </w:tcBorders>
          </w:tcPr>
          <w:p>
            <w:pPr>
              <w:spacing w:after="0"/>
              <w:rPr>
                <w:sz w:val="19"/>
                <w:szCs w:val="19"/>
                <w:color w:val="auto"/>
              </w:rPr>
            </w:pP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7,369,788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5,583,862</w:t>
            </w: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14,846,436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10,343,447</w:t>
            </w:r>
          </w:p>
        </w:tc>
        <w:tc>
          <w:tcPr>
            <w:tcW w:w="120" w:type="dxa"/>
            <w:vAlign w:val="bottom"/>
            <w:shd w:val="clear" w:color="auto" w:fill="CFF0FC"/>
          </w:tcPr>
          <w:p>
            <w:pPr>
              <w:spacing w:after="0"/>
              <w:rPr>
                <w:sz w:val="19"/>
                <w:szCs w:val="19"/>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Operating loss</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(6,036,455)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(5,583,862)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(13,513,103)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(10,343,447)</w:t>
            </w:r>
          </w:p>
        </w:tc>
        <w:tc>
          <w:tcPr>
            <w:tcW w:w="120" w:type="dxa"/>
            <w:vAlign w:val="bottom"/>
          </w:tcPr>
          <w:p>
            <w:pPr>
              <w:spacing w:after="0"/>
              <w:rPr>
                <w:sz w:val="19"/>
                <w:szCs w:val="19"/>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46,896</w:t>
            </w:r>
          </w:p>
        </w:tc>
        <w:tc>
          <w:tcPr>
            <w:tcW w:w="12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46,464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52,316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97,580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(219,459)</w:t>
            </w: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6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46,464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63,555</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97,580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6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(5,989,991)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(5,520,307)</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(13,415,523)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(10,516,010)</w:t>
            </w:r>
          </w:p>
        </w:tc>
        <w:tc>
          <w:tcPr>
            <w:tcW w:w="12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2018 and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License revenue for the three months ended June 30, 2018 reflects six days of amortization of a $20 million upfront payment under the Gossamer license agreement which will be recognized as revenue over a ninety-day performance period beginning on June 25,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r>
      <w:tr>
        <w:trPr>
          <w:trHeight w:val="171"/>
        </w:trPr>
        <w:tc>
          <w:tcPr>
            <w:tcW w:w="340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4,228,934</w:t>
            </w:r>
          </w:p>
        </w:tc>
        <w:tc>
          <w:tcPr>
            <w:tcW w:w="22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3,169,115</w:t>
            </w:r>
          </w:p>
        </w:tc>
        <w:tc>
          <w:tcPr>
            <w:tcW w:w="6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3,140,854</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2,414,747</w:t>
            </w:r>
          </w:p>
        </w:tc>
        <w:tc>
          <w:tcPr>
            <w:tcW w:w="60" w:type="dxa"/>
            <w:vAlign w:val="bottom"/>
            <w:shd w:val="clear" w:color="auto" w:fill="CFF0FC"/>
          </w:tcPr>
          <w:p>
            <w:pPr>
              <w:spacing w:after="0"/>
              <w:rPr>
                <w:sz w:val="19"/>
                <w:szCs w:val="19"/>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7,369,788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5,583,862</w:t>
            </w:r>
          </w:p>
        </w:tc>
        <w:tc>
          <w:tcPr>
            <w:tcW w:w="6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Research and development expenses for the three months ended June 30, 2018, increased approximately $1.1 million or 33%, compared to the three months ended June 30, 2017. This increase was the result of $0.8 million increased spending on our lead program, AKB-9778, and $0.3 million increased spending in pipeline program AKB-4924.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ind w:right="180"/>
        <w:spacing w:after="0" w:line="277" w:lineRule="auto"/>
        <w:rPr>
          <w:sz w:val="20"/>
          <w:szCs w:val="20"/>
          <w:color w:val="auto"/>
        </w:rPr>
      </w:pPr>
      <w:r>
        <w:rPr>
          <w:rFonts w:ascii="Arial" w:cs="Arial" w:eastAsia="Arial" w:hAnsi="Arial"/>
          <w:sz w:val="18"/>
          <w:szCs w:val="18"/>
          <w:color w:val="auto"/>
        </w:rPr>
        <w:t>The $0.8 million increase in spending in our lead program, AKB-9778, for the three months ended June 30, 2018, from the corresponding period in 2017, is primarily attributed to the ongoing cost of the double-blind Phase 2 DR clinical trial initiated in the second quarter of 2017.</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$0.3 million increase in spending on pipeline program AKB 4924, for the three months ended June 30, 2018, from the corresponding period in 2017 is primarily related to clinical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General and administrative expenses in the three months ended June 30, 2018, increased approximately $0.7 million, or 30%, compared to the three months ended June 30, 2017. This increase was primarily attributable to $0.7 million and $0.4 million increases in stock compensation and other personnel-related expenses, respectively, partially offset by a net decrease of $0.4 million in professional services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60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Grant income</w:t>
            </w:r>
          </w:p>
        </w:tc>
        <w:tc>
          <w:tcPr>
            <w:tcW w:w="920" w:type="dxa"/>
            <w:vAlign w:val="bottom"/>
          </w:tcPr>
          <w:p>
            <w:pPr>
              <w:jc w:val="right"/>
              <w:ind w:right="767"/>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75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11,239</w:t>
            </w:r>
          </w:p>
        </w:tc>
        <w:tc>
          <w:tcPr>
            <w:tcW w:w="6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9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46,464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52,316</w:t>
            </w:r>
          </w:p>
        </w:tc>
        <w:tc>
          <w:tcPr>
            <w:tcW w:w="6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46,464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63,555</w:t>
            </w:r>
          </w:p>
        </w:tc>
        <w:tc>
          <w:tcPr>
            <w:tcW w:w="6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Interest income in the three months ended June 30, 2018 and 2017 reflects interest earned during the periods on cash balances invested in short term money market instruments. The net proceeds received in the private placement offering on March 15, 2017, the license agreement and the underwritten public offering in June of 2018, less cash used in operations, were available for investment.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2018 and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License revenue for the six months ended June 30, 2018 reflects six days of amortization of a $20 million upfront payment under the Gossamer license agreement which will be recognized as revenue over a ninety-day performance period beginning on June 25,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8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8,257,746</w:t>
            </w: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5,424,699</w:t>
            </w:r>
          </w:p>
        </w:tc>
        <w:tc>
          <w:tcPr>
            <w:tcW w:w="6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6,588,690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4,918,748</w:t>
            </w:r>
          </w:p>
        </w:tc>
        <w:tc>
          <w:tcPr>
            <w:tcW w:w="6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14,846,436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10,343,447</w:t>
            </w:r>
          </w:p>
        </w:tc>
        <w:tc>
          <w:tcPr>
            <w:tcW w:w="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Research and development expenses for the six months ended June 30, 2018, increased approximately $2.8 million or 52%, compared to the six months ended June 30, 2017. This increase was the result of $2.6 million increased spending on our lead program, AKB-9778, and $0.2 million increased spending in pipeline program AKB-4924.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300"/>
        <w:spacing w:after="0" w:line="277" w:lineRule="auto"/>
        <w:rPr>
          <w:sz w:val="20"/>
          <w:szCs w:val="20"/>
          <w:color w:val="auto"/>
        </w:rPr>
      </w:pPr>
      <w:r>
        <w:rPr>
          <w:rFonts w:ascii="Arial" w:cs="Arial" w:eastAsia="Arial" w:hAnsi="Arial"/>
          <w:sz w:val="18"/>
          <w:szCs w:val="18"/>
          <w:color w:val="auto"/>
        </w:rPr>
        <w:t>The $2.6 million increase in spending in our lead program, AKB-9778, for the six months ended June 30, 2018, from the corresponding period in 2017, is primarily attributed to the ongoing cost of the double-blind Phase 2 DR clinical trial initiated in the second quarter of 2017.</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$0.2 million increase in spending on pipeline program AKB 4924, for the six months ended June 30, 2018, from the corresponding period in 2017 is primarily related to clinical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General and administrative expenses in the six months ended June 30, 2018, increased approximately $1.7 million, or 34%, compared to the six months ended June 30, 2017. This increase was primarily attributable to $1.7 million and $1.0 million increases stock compensation and other personnel-related expenses, respectively, offset by a $1.0 million decrease in legal expense and a other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9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2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9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Grant income</w:t>
            </w:r>
          </w:p>
        </w:tc>
        <w:tc>
          <w:tcPr>
            <w:tcW w:w="900" w:type="dxa"/>
            <w:vAlign w:val="bottom"/>
          </w:tcPr>
          <w:p>
            <w:pPr>
              <w:jc w:val="right"/>
              <w:ind w:right="747"/>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46,896</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97,580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(219,459)</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97,580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(172,563)</w:t>
            </w: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Interest income in the six months ended June 30, 2018 reflects interest earned during the period on cash balances invested in short term money market instruments. The net proceeds received in the private placement offering on March 15, 2017, the license agreement and the underwritten public offering in June of 2018, less cash used in operations, were available for investment. The interest expense in the corresponding six-month period in 2017 was primarily related to the senior secured convertible notes issued in fiscal 2016, totaling an aggregate principal amount of approximately $12.5 million, and one note financing in the first quarter of fiscal 2017, totaling an aggregate principal amount of approximately $0.3 million, offset in part by a small amount of interest income earned on invested cash balances. The notes accrued interest at the rate of eight percent (8%) per annum, compounded annually. The principal and accrued interest on the secured convertible notes was converted into common stock on March 15, 2017, in connection with the Merger.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Since inception, we have incurred significant net losses and negative cash flows from operations. For the six months ended June 30, 2018 and 2017, we had net losses of $13.4 million and $10.5 million, respectively. At June 30, 2018 and December 31, 2017, we had an accumulated deficit of $122.0 million and $108.6 million, respectively.</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2018, we filed a shelf registration statement on Form S-3 with the SEC which was declared effective by the Securities and Exchange Commission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40"/>
        <w:spacing w:after="0" w:line="254" w:lineRule="auto"/>
        <w:rPr>
          <w:sz w:val="20"/>
          <w:szCs w:val="20"/>
          <w:color w:val="auto"/>
        </w:rPr>
      </w:pPr>
      <w:r>
        <w:rPr>
          <w:rFonts w:ascii="Arial" w:cs="Arial" w:eastAsia="Arial" w:hAnsi="Arial"/>
          <w:sz w:val="18"/>
          <w:szCs w:val="18"/>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under the Sales Agreement.</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June, we generated $20 million of cash in connection with the license agreement. On June 26, 2018, the Company priced an underwritten public offering for the sale of 11,688,000 shares of its common stock (the “2018 Offering”). The offering closed on June 28, 2018. Upon execution of this 2018 Offering, the company received net proceeds of approximately $41.9 million after deducting underwriting discounts and commissions and offering expenses. Subsequent to June 30, 2018, net proceeds of $6.2 million were received, after deductions, relating to the sale of 1,720,200 shares of common stock to cover underwriter overallotments.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June 30, 2018, we had cash and cash equivalents of $68.8 million. To date, we have financed our operations principally through private and public offerings of our equity securities, private placements of our redeemable convertible preferred stock, common stock, issuances of secured convertible promissory notes and the license agreement. Based on our current plans</w:t>
      </w:r>
      <w:r>
        <w:rPr>
          <w:rFonts w:ascii="Arial" w:cs="Arial" w:eastAsia="Arial" w:hAnsi="Arial"/>
          <w:sz w:val="18"/>
          <w:szCs w:val="18"/>
          <w:b w:val="1"/>
          <w:bCs w:val="1"/>
          <w:color w:val="auto"/>
        </w:rPr>
        <w:t>,</w:t>
      </w:r>
      <w:r>
        <w:rPr>
          <w:rFonts w:ascii="Arial" w:cs="Arial" w:eastAsia="Arial" w:hAnsi="Arial"/>
          <w:sz w:val="18"/>
          <w:szCs w:val="18"/>
          <w:color w:val="auto"/>
        </w:rPr>
        <w:t xml:space="preserve"> we expect that our existing cash and cash equivalents, will enable us to conduct our planned operations through the first quarter of fiscal 2020.</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8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18,666,667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(10,252,055)</w:t>
            </w:r>
          </w:p>
        </w:tc>
        <w:tc>
          <w:tcPr>
            <w:tcW w:w="8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(6,547)</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38,835,475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37,496,845</w:t>
            </w:r>
          </w:p>
        </w:tc>
        <w:tc>
          <w:tcPr>
            <w:tcW w:w="8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57,502,142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27,238,243</w:t>
            </w:r>
          </w:p>
        </w:tc>
        <w:tc>
          <w:tcPr>
            <w:tcW w:w="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historically experienced negative cash outflows as we developed AKB-9778, ARP-1536 and AKB-4924. Our net cash used in operating activities primarily results from our net loss adjusted for non-cash expenses and changes in working capital components. Our primary uses of cash from operating activities are amounts due to contract research organizations for the conduct of our clinical programs, employee-related expenditures for research and development and general and administrative activities. Our cash flows from operating activities will continue to be affected principally by increased spending to advance our product candidates in the clinic, personnel to support those activities and other operating and general administrative activities.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six months ended June 30, 2018, operating activities generated $6.6 million in cash, which was predominantly a result of two items. Working capital decreased by $18.0 million, primarily due to an increase of $18.7 million in deferred revenue related to the license agreement. Counterbalancing this increase in cash was a net loss of approximately $13.4 million, offset by $2.0 million in non-cash expenses that consisted of stock compensation expense and depreciation expense. For the six months ended June 30, 2017, operating activities used $10.3 million in cash, primarily as a result of our net loss of $10.5 million and a $0.3 million increase in net working capital and offset by $0.6 million of non-cash expenses consisting of stock compensation expense, non-cash interest expense, amortization of debt issuance costs and depreciation expense.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for the six-month periods ended June 30, 2018 and 2017, was due to capital expenditures to support our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six months ended June 30, 2018, we received $23,652 from the exercise of stock options and $41.9 million net proceeds from the sale of our common stock in our 2018 Offering.</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six months ended June 30, 2017, we received net proceeds of $37.2 million from the sale of common stock at $5.00 per share, issued in our March 2017 private placement and $0.3 million in January 2017 from an extension to the Aerpio senior secured convertible notes. The outstanding principal and accrued interest under the secured convertible notes was converted into shares of Aerpio common stock immediately prior to the effective time of the Merger and exchanged for shares of our common stock pursuant to the Merger.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Subsequent to June 30, 2018, net proceeds of $6.2 million were received, after deductions, relating to the sale of 1,720,200 shares of common stock to cover underwriter overallotments associated with the 2018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There have been no material changes outside the ordinary course of business during the period covered by this Form 10-Q from the contractual obligations and commitments as of December 31, 2017 described in our Annual Report on Form 10-K filed with the SEC on March 15,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and December 31, 2017, we did not have any off-balance sheet arrangements as defined by applicable SEC regulations.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condensed consolidated financial statements are prepared in accordance with U.S. generally accepted accounting principles or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adopted the new accounting guidance for revenue recognition effective January 1, 2018. Beginning with the second quarter of 2018, our financial results reflect adoption of the guidance as it relates to the Agreement; however, the adoption had no impact on prior period results. See Note 12 to the Condensed Consolidated Financial Statements contained in Item 1 herein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all our significant accounting policies, see the notes to our condensed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supervision of and with the participation of our management, including our Chief Executive Officer, who is our principal executive officer, and our Chief Financial Officer, who is our principal financial officer, we conducted an evaluation of the effectiveness of our disclosure controls and procedures as of June 30, 2018, the end of the period covered by this Quarterly Report.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June 30,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222222"/>
        </w:rPr>
        <w:t>During the quarter ended June 30, 2018,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Investing in our common stock involves a high degree of risk. For a detailed discussion of the risks that affect our business, please refer to the section titled “Risk Factors” in our Annual Report on Form 10-K for the fiscal year ended December 31, 2017. There have been no material changes to our risk factors as previously disclosed in our Annual Report on Form 10-K other than as set forth below.</w:t>
      </w:r>
    </w:p>
    <w:p>
      <w:pPr>
        <w:spacing w:after="0" w:line="28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38"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common stock was recently listed on The Nasdaq Capital Market on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approved, we plan to commercialize AKB-9778 ourselves in the United States and intend to seek one or more strategic collaborators to commercialize AKB-9778 in additional markets. In addition, we intend to develop AKB-4924 and plan to initiate a multiple ascending dose study in the second quarter of 2018.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18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24, 2018, we entered into a license agreement with Gossamer Bio, Inc. pursuant to which we granted to Gossamer an exclusive, sublicensable license to develop and commercialize AKB-4924 and other structurally related products worldwide. We received an upfront payment of $20.0 million in connection with this license and are eligible to receive additional development, commercial and sales milestone payments contingent upon the achievement of specified milestones. We are also eligible to receive tiered royalties on sales of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license agreement for an uncured material breach by the other party or upon the bankruptcy or insolvency of the other party. In addition, Gossamer may terminate the license agreement in the event it determines that there is a potential safety or efficacy issue with the licensed products. Therefore, there can be no assurance that the license agreement will continue for its full duration or that we will realize the intended benefits of the license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ind w:right="30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June 2018, the Company repurchased 1,592 shares of common stock, unvested under a restricted stock agreement at the time the agreement was terminated.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20, 2018, the Company’s shareholders approved the Amended and Restated 2017 Employee Stock Purchase Plan (“ESPP”) at the Annual Meeting of Shareholders.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940" w:type="dxa"/>
            <w:vAlign w:val="bottom"/>
            <w:gridSpan w:val="7"/>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10040" w:type="dxa"/>
            <w:vAlign w:val="bottom"/>
            <w:tcBorders>
              <w:top w:val="single" w:sz="8" w:color="auto"/>
              <w:bottom w:val="single" w:sz="8" w:color="0000EE"/>
            </w:tcBorders>
            <w:gridSpan w:val="8"/>
          </w:tcPr>
          <w:p>
            <w:pPr>
              <w:spacing w:after="0" w:line="170"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License Agreement dated June 24, 2018, by and between Aerpio Pharmaceuticals, Inc. and Gossamer Bio, Inc. (filed as Exhibit 10.1 to the</w:t>
              </w:r>
            </w:hyperlink>
          </w:p>
        </w:tc>
        <w:tc>
          <w:tcPr>
            <w:tcW w:w="22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w w:val="94"/>
              </w:rPr>
            </w:pPr>
            <w:hyperlink r:id="rId49">
              <w:r>
                <w:rPr>
                  <w:rFonts w:ascii="Arial" w:cs="Arial" w:eastAsia="Arial" w:hAnsi="Arial"/>
                  <w:sz w:val="18"/>
                  <w:szCs w:val="18"/>
                  <w:color w:val="0000EE"/>
                  <w:w w:val="94"/>
                </w:rPr>
                <w:t>Company’s Current Report on Form 8-K filed with the Securities and Exchange Commission on June 25, 2018 (File No. 000-53057)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incorporated herein by reference.</w:t>
              </w:r>
            </w:hyperlink>
          </w:p>
        </w:tc>
        <w:tc>
          <w:tcPr>
            <w:tcW w:w="4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Adopted Pursuant to Section 302 of the Sarbanes-Oxley Act of 2002.</w:t>
              </w:r>
            </w:hyperlink>
          </w:p>
        </w:tc>
        <w:tc>
          <w:tcPr>
            <w:tcW w:w="5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60" w:type="dxa"/>
            <w:vAlign w:val="bottom"/>
            <w:gridSpan w:val="10"/>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gridSpan w:val="10"/>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Act of 2002.</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right="34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5" w:lineRule="exact"/>
        <w:rPr>
          <w:rFonts w:ascii="Arial" w:cs="Arial" w:eastAsia="Arial" w:hAnsi="Arial"/>
          <w:sz w:val="18"/>
          <w:szCs w:val="18"/>
          <w:color w:val="auto"/>
        </w:rPr>
      </w:pPr>
    </w:p>
    <w:p>
      <w:pPr>
        <w:ind w:left="520" w:right="18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These portions have been omitted from this Quarterly Report on Form 10-Q and have been filed separately with the SEC.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7180" w:type="dxa"/>
            <w:vAlign w:val="bottom"/>
            <w:gridSpan w:val="2"/>
          </w:tcPr>
          <w:p>
            <w:pPr>
              <w:ind w:left="256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240" w:type="dxa"/>
            <w:vAlign w:val="bottom"/>
          </w:tcPr>
          <w:p>
            <w:pPr>
              <w:spacing w:after="0"/>
              <w:rPr>
                <w:sz w:val="20"/>
                <w:szCs w:val="20"/>
                <w:color w:val="auto"/>
              </w:rPr>
            </w:pPr>
            <w:r>
              <w:rPr>
                <w:rFonts w:ascii="Arial" w:cs="Arial" w:eastAsia="Arial" w:hAnsi="Arial"/>
                <w:sz w:val="18"/>
                <w:szCs w:val="18"/>
                <w:color w:val="auto"/>
              </w:rPr>
              <w:t>Date: August 14, 2018</w:t>
            </w:r>
          </w:p>
        </w:tc>
        <w:tc>
          <w:tcPr>
            <w:tcW w:w="2840" w:type="dxa"/>
            <w:vAlign w:val="bottom"/>
          </w:tcPr>
          <w:p>
            <w:pPr>
              <w:ind w:left="256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Stephen Hoffman, M.D., Ph.D.</w:t>
            </w:r>
          </w:p>
        </w:tc>
      </w:tr>
      <w:tr>
        <w:trPr>
          <w:trHeight w:val="218"/>
        </w:trPr>
        <w:tc>
          <w:tcPr>
            <w:tcW w:w="4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Hoffman M.D., Ph.D.</w:t>
            </w:r>
          </w:p>
        </w:tc>
      </w:tr>
      <w:tr>
        <w:trPr>
          <w:trHeight w:val="216"/>
        </w:trPr>
        <w:tc>
          <w:tcPr>
            <w:tcW w:w="4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 Chief Executive Officer</w:t>
            </w:r>
          </w:p>
        </w:tc>
      </w:tr>
      <w:tr>
        <w:trPr>
          <w:trHeight w:val="234"/>
        </w:trPr>
        <w:tc>
          <w:tcPr>
            <w:tcW w:w="4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b w:val="1"/>
                <w:bCs w:val="1"/>
                <w:color w:val="auto"/>
                <w:w w:val="94"/>
              </w:rPr>
              <w:t>)</w:t>
            </w:r>
          </w:p>
        </w:tc>
      </w:tr>
      <w:tr>
        <w:trPr>
          <w:trHeight w:val="459"/>
        </w:trPr>
        <w:tc>
          <w:tcPr>
            <w:tcW w:w="4240" w:type="dxa"/>
            <w:vAlign w:val="bottom"/>
          </w:tcPr>
          <w:p>
            <w:pPr>
              <w:spacing w:after="0"/>
              <w:rPr>
                <w:sz w:val="20"/>
                <w:szCs w:val="20"/>
                <w:color w:val="auto"/>
              </w:rPr>
            </w:pPr>
            <w:r>
              <w:rPr>
                <w:rFonts w:ascii="Arial" w:cs="Arial" w:eastAsia="Arial" w:hAnsi="Arial"/>
                <w:sz w:val="18"/>
                <w:szCs w:val="18"/>
                <w:color w:val="auto"/>
              </w:rPr>
              <w:t>Date: August 14, 2018</w:t>
            </w:r>
          </w:p>
        </w:tc>
        <w:tc>
          <w:tcPr>
            <w:tcW w:w="2840" w:type="dxa"/>
            <w:vAlign w:val="bottom"/>
          </w:tcPr>
          <w:p>
            <w:pPr>
              <w:ind w:left="256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Rogers</w:t>
            </w:r>
          </w:p>
        </w:tc>
      </w:tr>
      <w:tr>
        <w:trPr>
          <w:trHeight w:val="218"/>
        </w:trPr>
        <w:tc>
          <w:tcPr>
            <w:tcW w:w="4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Rogers</w:t>
            </w:r>
          </w:p>
        </w:tc>
      </w:tr>
      <w:tr>
        <w:trPr>
          <w:trHeight w:val="234"/>
        </w:trPr>
        <w:tc>
          <w:tcPr>
            <w:tcW w:w="4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ind w:left="724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Hoffman,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080" w:val="left"/>
        </w:tabs>
        <w:rPr>
          <w:sz w:val="20"/>
          <w:szCs w:val="20"/>
          <w:color w:val="auto"/>
        </w:rPr>
      </w:pPr>
      <w:r>
        <w:rPr>
          <w:rFonts w:ascii="Arial" w:cs="Arial" w:eastAsia="Arial" w:hAnsi="Arial"/>
          <w:sz w:val="18"/>
          <w:szCs w:val="18"/>
          <w:color w:val="auto"/>
        </w:rPr>
        <w:t>Date: August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Rogers,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August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June 30, 2018 as filed with the Securities and Exchange Commission on the date hereof (the “Report”), I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080" w:val="left"/>
        </w:tabs>
        <w:rPr>
          <w:sz w:val="20"/>
          <w:szCs w:val="20"/>
          <w:color w:val="auto"/>
        </w:rPr>
      </w:pPr>
      <w:r>
        <w:rPr>
          <w:rFonts w:ascii="Arial" w:cs="Arial" w:eastAsia="Arial" w:hAnsi="Arial"/>
          <w:sz w:val="18"/>
          <w:szCs w:val="18"/>
          <w:color w:val="auto"/>
        </w:rPr>
        <w:t>Date: August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June 30, 2018 as filed with the Securities and Exchange Commission on the date hereof (the “Report”), I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August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49" Type="http://schemas.openxmlformats.org/officeDocument/2006/relationships/hyperlink" Target="http://www.sec.gov/Archives/edgar/data/0001422142/000119312518201775/d45341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2019-12-28T19:54:08Z</dcterms:created>
  <dcterms:modified xsi:type="dcterms:W3CDTF">2019-12-28T19:54:08Z</dcterms:modified>
</cp:coreProperties>
</file>