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356235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11"/>
          <w:szCs w:val="11"/>
          <w:b w:val="1"/>
          <w:bCs w:val="1"/>
          <w:color w:val="auto"/>
        </w:rPr>
        <w:t>Washington, D.C. 20549</w:t>
      </w:r>
    </w:p>
    <w:p>
      <w:pPr>
        <w:spacing w:after="0" w:line="8" w:lineRule="exact"/>
        <w:rPr>
          <w:sz w:val="24"/>
          <w:szCs w:val="24"/>
          <w:color w:val="auto"/>
        </w:rPr>
      </w:pPr>
    </w:p>
    <w:p>
      <w:pPr>
        <w:ind w:left="4320"/>
        <w:spacing w:after="0"/>
        <w:rPr>
          <w:sz w:val="20"/>
          <w:szCs w:val="20"/>
          <w:color w:val="auto"/>
        </w:rPr>
      </w:pPr>
      <w:r>
        <w:rPr>
          <w:rFonts w:ascii="Arial" w:cs="Arial" w:eastAsia="Arial" w:hAnsi="Arial"/>
          <w:sz w:val="11"/>
          <w:szCs w:val="11"/>
          <w:color w:val="auto"/>
        </w:rPr>
        <w:t>_______________________________________________</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16" w:lineRule="exact"/>
        <w:rPr>
          <w:sz w:val="24"/>
          <w:szCs w:val="24"/>
          <w:color w:val="auto"/>
        </w:rPr>
      </w:pPr>
    </w:p>
    <w:p>
      <w:pPr>
        <w:ind w:left="4320"/>
        <w:spacing w:after="0"/>
        <w:rPr>
          <w:sz w:val="20"/>
          <w:szCs w:val="20"/>
          <w:color w:val="auto"/>
        </w:rPr>
      </w:pPr>
      <w:r>
        <w:rPr>
          <w:rFonts w:ascii="Arial" w:cs="Arial" w:eastAsia="Arial" w:hAnsi="Arial"/>
          <w:sz w:val="11"/>
          <w:szCs w:val="11"/>
          <w:color w:val="auto"/>
        </w:rPr>
        <w:t>_______________________________________________</w:t>
      </w:r>
    </w:p>
    <w:p>
      <w:pPr>
        <w:spacing w:after="0" w:line="6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43" w:lineRule="exact"/>
        <w:rPr>
          <w:sz w:val="24"/>
          <w:szCs w:val="24"/>
          <w:color w:val="auto"/>
        </w:rPr>
      </w:pPr>
    </w:p>
    <w:p>
      <w:pPr>
        <w:ind w:left="340" w:hanging="321"/>
        <w:spacing w:after="0"/>
        <w:tabs>
          <w:tab w:leader="none" w:pos="340" w:val="left"/>
        </w:tabs>
        <w:numPr>
          <w:ilvl w:val="0"/>
          <w:numId w:val="1"/>
        </w:numPr>
        <w:rPr>
          <w:rFonts w:ascii="Arial" w:cs="Arial" w:eastAsia="Arial" w:hAnsi="Arial"/>
          <w:sz w:val="11"/>
          <w:szCs w:val="11"/>
          <w:color w:val="auto"/>
        </w:rPr>
      </w:pPr>
      <w:r>
        <w:rPr>
          <w:rFonts w:ascii="Arial" w:cs="Arial" w:eastAsia="Arial" w:hAnsi="Arial"/>
          <w:sz w:val="11"/>
          <w:szCs w:val="11"/>
          <w:b w:val="1"/>
          <w:bCs w:val="1"/>
          <w:color w:val="auto"/>
        </w:rPr>
        <w:t>ANNUAL REPORT PURSUANT TO SECTION 13 OR 15(d) OF THE SECURITIES EXCHANGE ACT OF 1934</w:t>
      </w:r>
    </w:p>
    <w:p>
      <w:pPr>
        <w:spacing w:after="0" w:line="149"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 the fiscal year ended December 31, 2022</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57"/>
        </w:trPr>
        <w:tc>
          <w:tcPr>
            <w:tcW w:w="200" w:type="dxa"/>
            <w:vAlign w:val="bottom"/>
          </w:tcPr>
          <w:p>
            <w:pPr>
              <w:ind w:left="20"/>
              <w:spacing w:after="0"/>
              <w:rPr>
                <w:sz w:val="20"/>
                <w:szCs w:val="20"/>
                <w:color w:val="auto"/>
              </w:rPr>
            </w:pPr>
            <w:r>
              <w:rPr>
                <w:rFonts w:ascii="Arial" w:cs="Arial" w:eastAsia="Arial" w:hAnsi="Arial"/>
                <w:sz w:val="11"/>
                <w:szCs w:val="11"/>
                <w:color w:val="auto"/>
              </w:rPr>
              <w:t>o</w:t>
            </w:r>
          </w:p>
        </w:tc>
        <w:tc>
          <w:tcPr>
            <w:tcW w:w="8000" w:type="dxa"/>
            <w:vAlign w:val="bottom"/>
            <w:gridSpan w:val="3"/>
          </w:tcPr>
          <w:p>
            <w:pPr>
              <w:ind w:left="120"/>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 FOR THE TRANSITION PERIOD FROM</w:t>
            </w:r>
          </w:p>
        </w:tc>
        <w:tc>
          <w:tcPr>
            <w:tcW w:w="3100" w:type="dxa"/>
            <w:vAlign w:val="bottom"/>
          </w:tcPr>
          <w:p>
            <w:pPr>
              <w:ind w:left="380"/>
              <w:spacing w:after="0"/>
              <w:rPr>
                <w:sz w:val="20"/>
                <w:szCs w:val="20"/>
                <w:color w:val="auto"/>
              </w:rPr>
            </w:pPr>
            <w:r>
              <w:rPr>
                <w:rFonts w:ascii="Arial" w:cs="Arial" w:eastAsia="Arial" w:hAnsi="Arial"/>
                <w:sz w:val="11"/>
                <w:szCs w:val="11"/>
                <w:b w:val="1"/>
                <w:bCs w:val="1"/>
                <w:color w:val="auto"/>
              </w:rPr>
              <w:t>TO</w:t>
            </w:r>
          </w:p>
        </w:tc>
      </w:tr>
      <w:tr>
        <w:trPr>
          <w:trHeight w:val="248"/>
        </w:trPr>
        <w:tc>
          <w:tcPr>
            <w:tcW w:w="2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jc w:val="center"/>
              <w:spacing w:after="0"/>
              <w:rPr>
                <w:sz w:val="20"/>
                <w:szCs w:val="20"/>
                <w:color w:val="auto"/>
              </w:rPr>
            </w:pPr>
            <w:r>
              <w:rPr>
                <w:rFonts w:ascii="Arial" w:cs="Arial" w:eastAsia="Arial" w:hAnsi="Arial"/>
                <w:sz w:val="11"/>
                <w:szCs w:val="11"/>
                <w:b w:val="1"/>
                <w:bCs w:val="1"/>
                <w:color w:val="auto"/>
                <w:w w:val="93"/>
              </w:rPr>
              <w:t>Commission File Number 001-38560</w:t>
            </w:r>
          </w:p>
        </w:tc>
        <w:tc>
          <w:tcPr>
            <w:tcW w:w="66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145"/>
        </w:trPr>
        <w:tc>
          <w:tcPr>
            <w:tcW w:w="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740" w:type="dxa"/>
            <w:vAlign w:val="bottom"/>
          </w:tcPr>
          <w:p>
            <w:pPr>
              <w:jc w:val="center"/>
              <w:spacing w:after="0"/>
              <w:rPr>
                <w:sz w:val="20"/>
                <w:szCs w:val="20"/>
                <w:color w:val="auto"/>
              </w:rPr>
            </w:pPr>
            <w:r>
              <w:rPr>
                <w:rFonts w:ascii="Arial" w:cs="Arial" w:eastAsia="Arial" w:hAnsi="Arial"/>
                <w:sz w:val="11"/>
                <w:szCs w:val="11"/>
                <w:color w:val="auto"/>
                <w:w w:val="92"/>
              </w:rPr>
              <w:t>_______________________________________________</w:t>
            </w:r>
          </w:p>
        </w:tc>
        <w:tc>
          <w:tcPr>
            <w:tcW w:w="66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320"/>
        </w:trPr>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3"/>
                <w:szCs w:val="23"/>
                <w:b w:val="1"/>
                <w:bCs w:val="1"/>
                <w:color w:val="auto"/>
                <w:w w:val="99"/>
              </w:rPr>
              <w:t>AADI BIOSCIENCE, INC.</w:t>
            </w:r>
          </w:p>
        </w:tc>
        <w:tc>
          <w:tcPr>
            <w:tcW w:w="6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61"/>
        </w:trPr>
        <w:tc>
          <w:tcPr>
            <w:tcW w:w="2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740" w:type="dxa"/>
            <w:vAlign w:val="bottom"/>
          </w:tcPr>
          <w:p>
            <w:pPr>
              <w:jc w:val="center"/>
              <w:spacing w:after="0"/>
              <w:rPr>
                <w:sz w:val="20"/>
                <w:szCs w:val="20"/>
                <w:color w:val="auto"/>
              </w:rPr>
            </w:pPr>
            <w:r>
              <w:rPr>
                <w:rFonts w:ascii="Arial" w:cs="Arial" w:eastAsia="Arial" w:hAnsi="Arial"/>
                <w:sz w:val="11"/>
                <w:szCs w:val="11"/>
                <w:b w:val="1"/>
                <w:bCs w:val="1"/>
                <w:color w:val="auto"/>
                <w:w w:val="92"/>
              </w:rPr>
              <w:t>(Exact name of Registrant as specified in its Charter)</w:t>
            </w:r>
          </w:p>
        </w:tc>
        <w:tc>
          <w:tcPr>
            <w:tcW w:w="66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145"/>
        </w:trPr>
        <w:tc>
          <w:tcPr>
            <w:tcW w:w="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740" w:type="dxa"/>
            <w:vAlign w:val="bottom"/>
          </w:tcPr>
          <w:p>
            <w:pPr>
              <w:jc w:val="center"/>
              <w:spacing w:after="0"/>
              <w:rPr>
                <w:sz w:val="20"/>
                <w:szCs w:val="20"/>
                <w:color w:val="auto"/>
              </w:rPr>
            </w:pPr>
            <w:r>
              <w:rPr>
                <w:rFonts w:ascii="Arial" w:cs="Arial" w:eastAsia="Arial" w:hAnsi="Arial"/>
                <w:sz w:val="11"/>
                <w:szCs w:val="11"/>
                <w:color w:val="auto"/>
                <w:w w:val="92"/>
              </w:rPr>
              <w:t>_______________________________________________</w:t>
            </w:r>
          </w:p>
        </w:tc>
        <w:tc>
          <w:tcPr>
            <w:tcW w:w="66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212"/>
        </w:trPr>
        <w:tc>
          <w:tcPr>
            <w:tcW w:w="200" w:type="dxa"/>
            <w:vAlign w:val="bottom"/>
          </w:tcPr>
          <w:p>
            <w:pPr>
              <w:spacing w:after="0"/>
              <w:rPr>
                <w:sz w:val="18"/>
                <w:szCs w:val="18"/>
                <w:color w:val="auto"/>
              </w:rPr>
            </w:pPr>
          </w:p>
        </w:tc>
        <w:tc>
          <w:tcPr>
            <w:tcW w:w="3600" w:type="dxa"/>
            <w:vAlign w:val="bottom"/>
          </w:tcPr>
          <w:p>
            <w:pPr>
              <w:jc w:val="center"/>
              <w:ind w:left="1603"/>
              <w:spacing w:after="0"/>
              <w:rPr>
                <w:sz w:val="20"/>
                <w:szCs w:val="20"/>
                <w:color w:val="auto"/>
              </w:rPr>
            </w:pPr>
            <w:r>
              <w:rPr>
                <w:rFonts w:ascii="Arial" w:cs="Arial" w:eastAsia="Arial" w:hAnsi="Arial"/>
                <w:sz w:val="11"/>
                <w:szCs w:val="11"/>
                <w:b w:val="1"/>
                <w:bCs w:val="1"/>
                <w:color w:val="auto"/>
                <w:w w:val="95"/>
              </w:rPr>
              <w:t>Delaware</w:t>
            </w:r>
          </w:p>
        </w:tc>
        <w:tc>
          <w:tcPr>
            <w:tcW w:w="3740" w:type="dxa"/>
            <w:vAlign w:val="bottom"/>
          </w:tcPr>
          <w:p>
            <w:pPr>
              <w:spacing w:after="0"/>
              <w:rPr>
                <w:sz w:val="18"/>
                <w:szCs w:val="18"/>
                <w:color w:val="auto"/>
              </w:rPr>
            </w:pPr>
          </w:p>
        </w:tc>
        <w:tc>
          <w:tcPr>
            <w:tcW w:w="3760" w:type="dxa"/>
            <w:vAlign w:val="bottom"/>
            <w:gridSpan w:val="2"/>
          </w:tcPr>
          <w:p>
            <w:pPr>
              <w:jc w:val="center"/>
              <w:ind w:right="1843"/>
              <w:spacing w:after="0"/>
              <w:rPr>
                <w:sz w:val="20"/>
                <w:szCs w:val="20"/>
                <w:color w:val="auto"/>
              </w:rPr>
            </w:pPr>
            <w:r>
              <w:rPr>
                <w:rFonts w:ascii="Arial" w:cs="Arial" w:eastAsia="Arial" w:hAnsi="Arial"/>
                <w:sz w:val="11"/>
                <w:szCs w:val="11"/>
                <w:b w:val="1"/>
                <w:bCs w:val="1"/>
                <w:color w:val="auto"/>
                <w:w w:val="97"/>
              </w:rPr>
              <w:t>EIN 61-1547850</w:t>
            </w:r>
          </w:p>
        </w:tc>
      </w:tr>
      <w:tr>
        <w:trPr>
          <w:trHeight w:val="129"/>
        </w:trPr>
        <w:tc>
          <w:tcPr>
            <w:tcW w:w="200" w:type="dxa"/>
            <w:vAlign w:val="bottom"/>
          </w:tcPr>
          <w:p>
            <w:pPr>
              <w:spacing w:after="0"/>
              <w:rPr>
                <w:sz w:val="11"/>
                <w:szCs w:val="11"/>
                <w:color w:val="auto"/>
              </w:rPr>
            </w:pPr>
          </w:p>
        </w:tc>
        <w:tc>
          <w:tcPr>
            <w:tcW w:w="3600" w:type="dxa"/>
            <w:vAlign w:val="bottom"/>
          </w:tcPr>
          <w:p>
            <w:pPr>
              <w:jc w:val="center"/>
              <w:ind w:left="1603"/>
              <w:spacing w:after="0"/>
              <w:rPr>
                <w:sz w:val="20"/>
                <w:szCs w:val="20"/>
                <w:color w:val="auto"/>
              </w:rPr>
            </w:pPr>
            <w:r>
              <w:rPr>
                <w:rFonts w:ascii="Arial" w:cs="Arial" w:eastAsia="Arial" w:hAnsi="Arial"/>
                <w:sz w:val="11"/>
                <w:szCs w:val="11"/>
                <w:b w:val="1"/>
                <w:bCs w:val="1"/>
                <w:color w:val="auto"/>
                <w:w w:val="94"/>
              </w:rPr>
              <w:t>(State or other jurisdiction of</w:t>
            </w:r>
          </w:p>
        </w:tc>
        <w:tc>
          <w:tcPr>
            <w:tcW w:w="3740" w:type="dxa"/>
            <w:vAlign w:val="bottom"/>
          </w:tcPr>
          <w:p>
            <w:pPr>
              <w:spacing w:after="0"/>
              <w:rPr>
                <w:sz w:val="11"/>
                <w:szCs w:val="11"/>
                <w:color w:val="auto"/>
              </w:rPr>
            </w:pPr>
          </w:p>
        </w:tc>
        <w:tc>
          <w:tcPr>
            <w:tcW w:w="3760" w:type="dxa"/>
            <w:vAlign w:val="bottom"/>
            <w:gridSpan w:val="2"/>
          </w:tcPr>
          <w:p>
            <w:pPr>
              <w:jc w:val="center"/>
              <w:ind w:right="1843"/>
              <w:spacing w:after="0"/>
              <w:rPr>
                <w:sz w:val="20"/>
                <w:szCs w:val="20"/>
                <w:color w:val="auto"/>
              </w:rPr>
            </w:pPr>
            <w:r>
              <w:rPr>
                <w:rFonts w:ascii="Arial" w:cs="Arial" w:eastAsia="Arial" w:hAnsi="Arial"/>
                <w:sz w:val="11"/>
                <w:szCs w:val="11"/>
                <w:b w:val="1"/>
                <w:bCs w:val="1"/>
                <w:color w:val="auto"/>
                <w:w w:val="97"/>
              </w:rPr>
              <w:t>(I.R.S. Employer</w:t>
            </w:r>
          </w:p>
        </w:tc>
      </w:tr>
      <w:tr>
        <w:trPr>
          <w:trHeight w:val="147"/>
        </w:trPr>
        <w:tc>
          <w:tcPr>
            <w:tcW w:w="200" w:type="dxa"/>
            <w:vAlign w:val="bottom"/>
          </w:tcPr>
          <w:p>
            <w:pPr>
              <w:spacing w:after="0"/>
              <w:rPr>
                <w:sz w:val="12"/>
                <w:szCs w:val="12"/>
                <w:color w:val="auto"/>
              </w:rPr>
            </w:pPr>
          </w:p>
        </w:tc>
        <w:tc>
          <w:tcPr>
            <w:tcW w:w="3600" w:type="dxa"/>
            <w:vAlign w:val="bottom"/>
          </w:tcPr>
          <w:p>
            <w:pPr>
              <w:jc w:val="center"/>
              <w:ind w:left="1583"/>
              <w:spacing w:after="0"/>
              <w:rPr>
                <w:sz w:val="20"/>
                <w:szCs w:val="20"/>
                <w:color w:val="auto"/>
              </w:rPr>
            </w:pPr>
            <w:r>
              <w:rPr>
                <w:rFonts w:ascii="Arial" w:cs="Arial" w:eastAsia="Arial" w:hAnsi="Arial"/>
                <w:sz w:val="11"/>
                <w:szCs w:val="11"/>
                <w:b w:val="1"/>
                <w:bCs w:val="1"/>
                <w:color w:val="auto"/>
                <w:w w:val="94"/>
              </w:rPr>
              <w:t>incorporation or organization)</w:t>
            </w:r>
          </w:p>
        </w:tc>
        <w:tc>
          <w:tcPr>
            <w:tcW w:w="3740" w:type="dxa"/>
            <w:vAlign w:val="bottom"/>
          </w:tcPr>
          <w:p>
            <w:pPr>
              <w:spacing w:after="0"/>
              <w:rPr>
                <w:sz w:val="12"/>
                <w:szCs w:val="12"/>
                <w:color w:val="auto"/>
              </w:rPr>
            </w:pPr>
          </w:p>
        </w:tc>
        <w:tc>
          <w:tcPr>
            <w:tcW w:w="3760" w:type="dxa"/>
            <w:vAlign w:val="bottom"/>
            <w:gridSpan w:val="2"/>
          </w:tcPr>
          <w:p>
            <w:pPr>
              <w:jc w:val="center"/>
              <w:ind w:right="1863"/>
              <w:spacing w:after="0"/>
              <w:rPr>
                <w:sz w:val="20"/>
                <w:szCs w:val="20"/>
                <w:color w:val="auto"/>
              </w:rPr>
            </w:pPr>
            <w:r>
              <w:rPr>
                <w:rFonts w:ascii="Arial" w:cs="Arial" w:eastAsia="Arial" w:hAnsi="Arial"/>
                <w:sz w:val="11"/>
                <w:szCs w:val="11"/>
                <w:b w:val="1"/>
                <w:bCs w:val="1"/>
                <w:color w:val="auto"/>
                <w:w w:val="94"/>
              </w:rPr>
              <w:t>Identification No.)</w:t>
            </w:r>
          </w:p>
        </w:tc>
      </w:tr>
      <w:tr>
        <w:trPr>
          <w:trHeight w:val="149"/>
        </w:trPr>
        <w:tc>
          <w:tcPr>
            <w:tcW w:w="200" w:type="dxa"/>
            <w:vAlign w:val="bottom"/>
          </w:tcPr>
          <w:p>
            <w:pPr>
              <w:spacing w:after="0"/>
              <w:rPr>
                <w:sz w:val="12"/>
                <w:szCs w:val="12"/>
                <w:color w:val="auto"/>
              </w:rPr>
            </w:pPr>
          </w:p>
        </w:tc>
        <w:tc>
          <w:tcPr>
            <w:tcW w:w="7340" w:type="dxa"/>
            <w:vAlign w:val="bottom"/>
            <w:gridSpan w:val="2"/>
          </w:tcPr>
          <w:p>
            <w:pPr>
              <w:jc w:val="center"/>
              <w:ind w:right="2017"/>
              <w:spacing w:after="0"/>
              <w:rPr>
                <w:sz w:val="20"/>
                <w:szCs w:val="20"/>
                <w:color w:val="auto"/>
              </w:rPr>
            </w:pPr>
            <w:r>
              <w:rPr>
                <w:rFonts w:ascii="Arial" w:cs="Arial" w:eastAsia="Arial" w:hAnsi="Arial"/>
                <w:sz w:val="11"/>
                <w:szCs w:val="11"/>
                <w:b w:val="1"/>
                <w:bCs w:val="1"/>
                <w:color w:val="auto"/>
                <w:w w:val="91"/>
              </w:rPr>
              <w:t>17383 Sunset Boulevard Suite A250, Pacific Palisades, CA</w:t>
            </w:r>
          </w:p>
        </w:tc>
        <w:tc>
          <w:tcPr>
            <w:tcW w:w="660" w:type="dxa"/>
            <w:vAlign w:val="bottom"/>
          </w:tcPr>
          <w:p>
            <w:pPr>
              <w:spacing w:after="0"/>
              <w:rPr>
                <w:sz w:val="12"/>
                <w:szCs w:val="12"/>
                <w:color w:val="auto"/>
              </w:rPr>
            </w:pPr>
          </w:p>
        </w:tc>
        <w:tc>
          <w:tcPr>
            <w:tcW w:w="3100" w:type="dxa"/>
            <w:vAlign w:val="bottom"/>
          </w:tcPr>
          <w:p>
            <w:pPr>
              <w:jc w:val="center"/>
              <w:ind w:right="2523"/>
              <w:spacing w:after="0"/>
              <w:rPr>
                <w:sz w:val="20"/>
                <w:szCs w:val="20"/>
                <w:color w:val="auto"/>
              </w:rPr>
            </w:pPr>
            <w:r>
              <w:rPr>
                <w:rFonts w:ascii="Arial" w:cs="Arial" w:eastAsia="Arial" w:hAnsi="Arial"/>
                <w:sz w:val="11"/>
                <w:szCs w:val="11"/>
                <w:b w:val="1"/>
                <w:bCs w:val="1"/>
                <w:color w:val="auto"/>
                <w:w w:val="91"/>
              </w:rPr>
              <w:t>90272</w:t>
            </w:r>
          </w:p>
        </w:tc>
      </w:tr>
      <w:tr>
        <w:trPr>
          <w:trHeight w:val="159"/>
        </w:trPr>
        <w:tc>
          <w:tcPr>
            <w:tcW w:w="200" w:type="dxa"/>
            <w:vAlign w:val="bottom"/>
          </w:tcPr>
          <w:p>
            <w:pPr>
              <w:spacing w:after="0"/>
              <w:rPr>
                <w:sz w:val="13"/>
                <w:szCs w:val="13"/>
                <w:color w:val="auto"/>
              </w:rPr>
            </w:pPr>
          </w:p>
        </w:tc>
        <w:tc>
          <w:tcPr>
            <w:tcW w:w="3600" w:type="dxa"/>
            <w:vAlign w:val="bottom"/>
          </w:tcPr>
          <w:p>
            <w:pPr>
              <w:jc w:val="center"/>
              <w:ind w:left="1603"/>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3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00" w:type="dxa"/>
            <w:vAlign w:val="bottom"/>
          </w:tcPr>
          <w:p>
            <w:pPr>
              <w:jc w:val="center"/>
              <w:ind w:right="2523"/>
              <w:spacing w:after="0"/>
              <w:rPr>
                <w:sz w:val="20"/>
                <w:szCs w:val="20"/>
                <w:color w:val="auto"/>
              </w:rPr>
            </w:pPr>
            <w:r>
              <w:rPr>
                <w:rFonts w:ascii="Arial" w:cs="Arial" w:eastAsia="Arial" w:hAnsi="Arial"/>
                <w:sz w:val="11"/>
                <w:szCs w:val="11"/>
                <w:b w:val="1"/>
                <w:bCs w:val="1"/>
                <w:color w:val="auto"/>
                <w:w w:val="95"/>
              </w:rPr>
              <w:t>(Zip Code)</w:t>
            </w:r>
          </w:p>
        </w:tc>
      </w:tr>
      <w:tr>
        <w:trPr>
          <w:trHeight w:val="227"/>
        </w:trPr>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1"/>
                <w:szCs w:val="11"/>
                <w:b w:val="1"/>
                <w:bCs w:val="1"/>
                <w:color w:val="auto"/>
                <w:w w:val="91"/>
              </w:rPr>
              <w:t>Registrant’s telephone number, including area code: (424) 744-8055</w:t>
            </w:r>
          </w:p>
        </w:tc>
        <w:tc>
          <w:tcPr>
            <w:tcW w:w="66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145"/>
        </w:trPr>
        <w:tc>
          <w:tcPr>
            <w:tcW w:w="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740" w:type="dxa"/>
            <w:vAlign w:val="bottom"/>
          </w:tcPr>
          <w:p>
            <w:pPr>
              <w:jc w:val="center"/>
              <w:spacing w:after="0"/>
              <w:rPr>
                <w:sz w:val="20"/>
                <w:szCs w:val="20"/>
                <w:color w:val="auto"/>
              </w:rPr>
            </w:pPr>
            <w:r>
              <w:rPr>
                <w:rFonts w:ascii="Arial" w:cs="Arial" w:eastAsia="Arial" w:hAnsi="Arial"/>
                <w:sz w:val="11"/>
                <w:szCs w:val="11"/>
                <w:color w:val="auto"/>
                <w:w w:val="92"/>
              </w:rPr>
              <w:t>_______________________________________________</w:t>
            </w:r>
          </w:p>
        </w:tc>
        <w:tc>
          <w:tcPr>
            <w:tcW w:w="66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191"/>
        </w:trPr>
        <w:tc>
          <w:tcPr>
            <w:tcW w:w="3800" w:type="dxa"/>
            <w:vAlign w:val="bottom"/>
            <w:gridSpan w:val="2"/>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83"/>
        </w:trPr>
        <w:tc>
          <w:tcPr>
            <w:tcW w:w="20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r>
      <w:tr>
        <w:trPr>
          <w:trHeight w:val="143"/>
        </w:trPr>
        <w:tc>
          <w:tcPr>
            <w:tcW w:w="200" w:type="dxa"/>
            <w:vAlign w:val="bottom"/>
            <w:tcBorders>
              <w:left w:val="single" w:sz="8" w:color="auto"/>
              <w:bottom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jc w:val="center"/>
              <w:ind w:right="163"/>
              <w:spacing w:after="0"/>
              <w:rPr>
                <w:sz w:val="20"/>
                <w:szCs w:val="20"/>
                <w:color w:val="auto"/>
              </w:rPr>
            </w:pPr>
            <w:r>
              <w:rPr>
                <w:rFonts w:ascii="Arial" w:cs="Arial" w:eastAsia="Arial" w:hAnsi="Arial"/>
                <w:sz w:val="11"/>
                <w:szCs w:val="11"/>
                <w:color w:val="auto"/>
                <w:w w:val="93"/>
              </w:rPr>
              <w:t>Title of each class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Trading Symbol(s)</w:t>
            </w:r>
          </w:p>
        </w:tc>
        <w:tc>
          <w:tcPr>
            <w:tcW w:w="660" w:type="dxa"/>
            <w:vAlign w:val="bottom"/>
            <w:tcBorders>
              <w:bottom w:val="single" w:sz="8" w:color="auto"/>
            </w:tcBorders>
          </w:tcPr>
          <w:p>
            <w:pPr>
              <w:spacing w:after="0"/>
              <w:rPr>
                <w:sz w:val="12"/>
                <w:szCs w:val="12"/>
                <w:color w:val="auto"/>
              </w:rPr>
            </w:pPr>
          </w:p>
        </w:tc>
        <w:tc>
          <w:tcPr>
            <w:tcW w:w="3100" w:type="dxa"/>
            <w:vAlign w:val="bottom"/>
            <w:tcBorders>
              <w:bottom w:val="single" w:sz="8" w:color="auto"/>
              <w:right w:val="single" w:sz="8" w:color="auto"/>
            </w:tcBorders>
          </w:tcPr>
          <w:p>
            <w:pPr>
              <w:jc w:val="center"/>
              <w:ind w:right="623"/>
              <w:spacing w:after="0"/>
              <w:rPr>
                <w:sz w:val="20"/>
                <w:szCs w:val="20"/>
                <w:color w:val="auto"/>
              </w:rPr>
            </w:pPr>
            <w:r>
              <w:rPr>
                <w:rFonts w:ascii="Arial" w:cs="Arial" w:eastAsia="Arial" w:hAnsi="Arial"/>
                <w:sz w:val="11"/>
                <w:szCs w:val="11"/>
                <w:color w:val="auto"/>
                <w:w w:val="92"/>
              </w:rPr>
              <w:t>Name of each exchange on which registered</w:t>
            </w:r>
          </w:p>
        </w:tc>
      </w:tr>
      <w:tr>
        <w:trPr>
          <w:trHeight w:val="150"/>
        </w:trPr>
        <w:tc>
          <w:tcPr>
            <w:tcW w:w="200" w:type="dxa"/>
            <w:vAlign w:val="bottom"/>
            <w:tcBorders>
              <w:left w:val="single" w:sz="8" w:color="auto"/>
              <w:bottom w:val="single" w:sz="8" w:color="auto"/>
            </w:tcBorders>
          </w:tcPr>
          <w:p>
            <w:pPr>
              <w:spacing w:after="0"/>
              <w:rPr>
                <w:sz w:val="13"/>
                <w:szCs w:val="13"/>
                <w:color w:val="auto"/>
              </w:rPr>
            </w:pPr>
          </w:p>
        </w:tc>
        <w:tc>
          <w:tcPr>
            <w:tcW w:w="3600" w:type="dxa"/>
            <w:vAlign w:val="bottom"/>
            <w:tcBorders>
              <w:bottom w:val="single" w:sz="8" w:color="auto"/>
              <w:right w:val="single" w:sz="8" w:color="auto"/>
            </w:tcBorders>
          </w:tcPr>
          <w:p>
            <w:pPr>
              <w:jc w:val="center"/>
              <w:ind w:right="143"/>
              <w:spacing w:after="0"/>
              <w:rPr>
                <w:sz w:val="20"/>
                <w:szCs w:val="20"/>
                <w:color w:val="auto"/>
              </w:rPr>
            </w:pPr>
            <w:r>
              <w:rPr>
                <w:rFonts w:ascii="Arial" w:cs="Arial" w:eastAsia="Arial" w:hAnsi="Arial"/>
                <w:sz w:val="11"/>
                <w:szCs w:val="11"/>
                <w:color w:val="auto"/>
                <w:w w:val="92"/>
              </w:rPr>
              <w:t>Common stock, $0.0001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AADI</w:t>
            </w:r>
          </w:p>
        </w:tc>
        <w:tc>
          <w:tcPr>
            <w:tcW w:w="660" w:type="dxa"/>
            <w:vAlign w:val="bottom"/>
            <w:tcBorders>
              <w:bottom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jc w:val="center"/>
              <w:ind w:right="623"/>
              <w:spacing w:after="0"/>
              <w:rPr>
                <w:sz w:val="20"/>
                <w:szCs w:val="20"/>
                <w:color w:val="auto"/>
              </w:rPr>
            </w:pPr>
            <w:r>
              <w:rPr>
                <w:rFonts w:ascii="Arial" w:cs="Arial" w:eastAsia="Arial" w:hAnsi="Arial"/>
                <w:sz w:val="11"/>
                <w:szCs w:val="11"/>
                <w:color w:val="auto"/>
                <w:w w:val="94"/>
              </w:rPr>
              <w:t>The Nasdaq Stock Market LLC</w:t>
            </w:r>
          </w:p>
        </w:tc>
      </w:tr>
    </w:tbl>
    <w:p>
      <w:pPr>
        <w:spacing w:after="0" w:line="110" w:lineRule="exact"/>
        <w:rPr>
          <w:sz w:val="24"/>
          <w:szCs w:val="24"/>
          <w:color w:val="auto"/>
        </w:rPr>
      </w:pPr>
    </w:p>
    <w:p>
      <w:pPr>
        <w:sectPr>
          <w:pgSz w:w="11900" w:h="16838" w:orient="portrait"/>
          <w:cols w:equalWidth="0" w:num="1">
            <w:col w:w="11300"/>
          </w:cols>
          <w:pgMar w:left="300" w:top="214" w:right="299" w:bottom="1440" w:gutter="0" w:footer="0" w:header="0"/>
        </w:sectPr>
      </w:pPr>
    </w:p>
    <w:p>
      <w:pP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77" w:lineRule="exact"/>
        <w:rPr>
          <w:sz w:val="24"/>
          <w:szCs w:val="24"/>
          <w:color w:val="auto"/>
        </w:rPr>
      </w:pPr>
    </w:p>
    <w:p>
      <w:pPr>
        <w:ind w:right="5300"/>
        <w:spacing w:after="0" w:line="409" w:lineRule="auto"/>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 Yes o No x Indicate by check mark if the registrant is not required to file reports pursuant to Section 13 or 15(d) of the Act. Yes o No x</w:t>
      </w:r>
    </w:p>
    <w:p>
      <w:pPr>
        <w:spacing w:after="0" w:line="1" w:lineRule="exact"/>
        <w:rPr>
          <w:sz w:val="24"/>
          <w:szCs w:val="24"/>
          <w:color w:val="auto"/>
        </w:rPr>
      </w:pPr>
    </w:p>
    <w:p>
      <w:pPr>
        <w:spacing w:after="0" w:line="316"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 w:lineRule="exact"/>
        <w:rPr>
          <w:sz w:val="24"/>
          <w:szCs w:val="24"/>
          <w:color w:val="auto"/>
        </w:rPr>
      </w:pPr>
    </w:p>
    <w:p>
      <w:pPr>
        <w:ind w:right="20"/>
        <w:spacing w:after="0" w:line="316"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 w:lineRule="exact"/>
        <w:rPr>
          <w:sz w:val="24"/>
          <w:szCs w:val="24"/>
          <w:color w:val="auto"/>
        </w:rPr>
      </w:pPr>
    </w:p>
    <w:p>
      <w:pPr>
        <w:ind w:right="20"/>
        <w:spacing w:after="0" w:line="2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155"/>
        </w:trPr>
        <w:tc>
          <w:tcPr>
            <w:tcW w:w="23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100" w:type="dxa"/>
            <w:vAlign w:val="bottom"/>
          </w:tcPr>
          <w:p>
            <w:pPr>
              <w:ind w:left="1140"/>
              <w:spacing w:after="0"/>
              <w:rPr>
                <w:sz w:val="20"/>
                <w:szCs w:val="20"/>
                <w:color w:val="auto"/>
              </w:rPr>
            </w:pPr>
            <w:r>
              <w:rPr>
                <w:rFonts w:ascii="Arial" w:cs="Arial" w:eastAsia="Arial" w:hAnsi="Arial"/>
                <w:sz w:val="11"/>
                <w:szCs w:val="11"/>
                <w:color w:val="auto"/>
              </w:rPr>
              <w:t>o</w:t>
            </w:r>
          </w:p>
        </w:tc>
        <w:tc>
          <w:tcPr>
            <w:tcW w:w="3140" w:type="dxa"/>
            <w:vAlign w:val="bottom"/>
          </w:tcPr>
          <w:p>
            <w:pPr>
              <w:ind w:left="1900"/>
              <w:spacing w:after="0"/>
              <w:rPr>
                <w:sz w:val="20"/>
                <w:szCs w:val="20"/>
                <w:color w:val="auto"/>
              </w:rPr>
            </w:pPr>
            <w:r>
              <w:rPr>
                <w:rFonts w:ascii="Arial" w:cs="Arial" w:eastAsia="Arial" w:hAnsi="Arial"/>
                <w:sz w:val="11"/>
                <w:szCs w:val="11"/>
                <w:color w:val="auto"/>
              </w:rPr>
              <w:t>Accelerated filer</w:t>
            </w:r>
          </w:p>
        </w:tc>
      </w:tr>
      <w:tr>
        <w:trPr>
          <w:trHeight w:val="159"/>
        </w:trPr>
        <w:tc>
          <w:tcPr>
            <w:tcW w:w="2380" w:type="dxa"/>
            <w:vAlign w:val="bottom"/>
          </w:tcPr>
          <w:p>
            <w:pPr>
              <w:spacing w:after="0"/>
              <w:rPr>
                <w:sz w:val="20"/>
                <w:szCs w:val="20"/>
                <w:color w:val="auto"/>
              </w:rPr>
            </w:pPr>
            <w:r>
              <w:rPr>
                <w:rFonts w:ascii="Arial" w:cs="Arial" w:eastAsia="Arial" w:hAnsi="Arial"/>
                <w:sz w:val="11"/>
                <w:szCs w:val="11"/>
                <w:color w:val="auto"/>
              </w:rPr>
              <w:t>Non-accelerated filer</w:t>
            </w:r>
          </w:p>
        </w:tc>
        <w:tc>
          <w:tcPr>
            <w:tcW w:w="3100" w:type="dxa"/>
            <w:vAlign w:val="bottom"/>
          </w:tcPr>
          <w:p>
            <w:pPr>
              <w:ind w:left="1140"/>
              <w:spacing w:after="0"/>
              <w:rPr>
                <w:sz w:val="20"/>
                <w:szCs w:val="20"/>
                <w:color w:val="auto"/>
              </w:rPr>
            </w:pPr>
            <w:r>
              <w:rPr>
                <w:rFonts w:ascii="Arial" w:cs="Arial" w:eastAsia="Arial" w:hAnsi="Arial"/>
                <w:sz w:val="11"/>
                <w:szCs w:val="11"/>
                <w:color w:val="auto"/>
              </w:rPr>
              <w:t>x</w:t>
            </w:r>
          </w:p>
        </w:tc>
        <w:tc>
          <w:tcPr>
            <w:tcW w:w="3140" w:type="dxa"/>
            <w:vAlign w:val="bottom"/>
          </w:tcPr>
          <w:p>
            <w:pPr>
              <w:ind w:left="1900"/>
              <w:spacing w:after="0"/>
              <w:rPr>
                <w:sz w:val="20"/>
                <w:szCs w:val="20"/>
                <w:color w:val="auto"/>
              </w:rPr>
            </w:pPr>
            <w:r>
              <w:rPr>
                <w:rFonts w:ascii="Arial" w:cs="Arial" w:eastAsia="Arial" w:hAnsi="Arial"/>
                <w:sz w:val="11"/>
                <w:szCs w:val="11"/>
                <w:color w:val="auto"/>
                <w:w w:val="92"/>
              </w:rPr>
              <w:t>Smaller reporting company</w:t>
            </w:r>
          </w:p>
        </w:tc>
      </w:tr>
      <w:tr>
        <w:trPr>
          <w:trHeight w:val="159"/>
        </w:trPr>
        <w:tc>
          <w:tcPr>
            <w:tcW w:w="238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100" w:type="dxa"/>
            <w:vAlign w:val="bottom"/>
          </w:tcPr>
          <w:p>
            <w:pPr>
              <w:ind w:left="1140"/>
              <w:spacing w:after="0"/>
              <w:rPr>
                <w:sz w:val="20"/>
                <w:szCs w:val="20"/>
                <w:color w:val="auto"/>
              </w:rPr>
            </w:pPr>
            <w:r>
              <w:rPr>
                <w:rFonts w:ascii="Arial" w:cs="Arial" w:eastAsia="Arial" w:hAnsi="Arial"/>
                <w:sz w:val="11"/>
                <w:szCs w:val="11"/>
                <w:color w:val="auto"/>
              </w:rPr>
              <w:t>o</w:t>
            </w:r>
          </w:p>
        </w:tc>
        <w:tc>
          <w:tcPr>
            <w:tcW w:w="31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8"/>
          <w:szCs w:val="8"/>
          <w:color w:val="auto"/>
        </w:rPr>
        <w:t>x</w:t>
      </w:r>
    </w:p>
    <w:p>
      <w:pPr>
        <w:spacing w:after="0" w:line="323" w:lineRule="exact"/>
        <w:rPr>
          <w:sz w:val="24"/>
          <w:szCs w:val="24"/>
          <w:color w:val="auto"/>
        </w:rPr>
      </w:pPr>
    </w:p>
    <w:p>
      <w:pPr>
        <w:sectPr>
          <w:pgSz w:w="11900" w:h="16838" w:orient="portrait"/>
          <w:cols w:equalWidth="0" w:num="2">
            <w:col w:w="11140" w:space="60"/>
            <w:col w:w="100"/>
          </w:cols>
          <w:pgMar w:left="300" w:top="214" w:right="299" w:bottom="1440" w:gutter="0" w:footer="0" w:header="0"/>
          <w:type w:val="continuous"/>
        </w:sectPr>
      </w:pPr>
    </w:p>
    <w:p>
      <w:pPr>
        <w:ind w:right="100"/>
        <w:spacing w:after="0" w:line="316"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 w:lineRule="exact"/>
        <w:rPr>
          <w:sz w:val="24"/>
          <w:szCs w:val="24"/>
          <w:color w:val="auto"/>
        </w:rPr>
      </w:pPr>
    </w:p>
    <w:p>
      <w:pPr>
        <w:ind w:right="440"/>
        <w:spacing w:after="0" w:line="316" w:lineRule="auto"/>
        <w:rPr>
          <w:sz w:val="20"/>
          <w:szCs w:val="20"/>
          <w:color w:val="auto"/>
        </w:rPr>
      </w:pPr>
      <w:r>
        <w:rPr>
          <w:rFonts w:ascii="Arial" w:cs="Arial" w:eastAsia="Arial" w:hAnsi="Arial"/>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17" w:lineRule="exact"/>
        <w:rPr>
          <w:sz w:val="24"/>
          <w:szCs w:val="24"/>
          <w:color w:val="auto"/>
        </w:rPr>
      </w:pPr>
    </w:p>
    <w:p>
      <w:pPr>
        <w:spacing w:after="0"/>
        <w:rPr>
          <w:sz w:val="20"/>
          <w:szCs w:val="20"/>
          <w:color w:val="auto"/>
        </w:rPr>
      </w:pPr>
      <w:r>
        <w:rPr>
          <w:rFonts w:ascii="Arial" w:cs="Arial" w:eastAsia="Arial" w:hAnsi="Arial"/>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214" w:lineRule="exact"/>
        <w:rPr>
          <w:sz w:val="24"/>
          <w:szCs w:val="24"/>
          <w:color w:val="auto"/>
        </w:rPr>
      </w:pPr>
    </w:p>
    <w:p>
      <w:pPr>
        <w:ind w:right="160"/>
        <w:spacing w:after="0" w:line="296" w:lineRule="auto"/>
        <w:rPr>
          <w:sz w:val="20"/>
          <w:szCs w:val="20"/>
          <w:color w:val="auto"/>
        </w:rPr>
      </w:pPr>
      <w:r>
        <w:rPr>
          <w:rFonts w:ascii="Arial" w:cs="Arial" w:eastAsia="Arial" w:hAnsi="Arial"/>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155"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 NO x</w:t>
      </w:r>
    </w:p>
    <w:p>
      <w:pPr>
        <w:spacing w:after="0" w:line="64" w:lineRule="exact"/>
        <w:rPr>
          <w:sz w:val="24"/>
          <w:szCs w:val="24"/>
          <w:color w:val="auto"/>
        </w:rPr>
      </w:pPr>
    </w:p>
    <w:p>
      <w:pPr>
        <w:ind w:right="420"/>
        <w:spacing w:after="0" w:line="296" w:lineRule="auto"/>
        <w:rPr>
          <w:sz w:val="20"/>
          <w:szCs w:val="20"/>
          <w:color w:val="auto"/>
        </w:rPr>
      </w:pPr>
      <w:r>
        <w:rPr>
          <w:rFonts w:ascii="Arial" w:cs="Arial" w:eastAsia="Arial" w:hAnsi="Arial"/>
          <w:sz w:val="11"/>
          <w:szCs w:val="11"/>
          <w:color w:val="auto"/>
        </w:rPr>
        <w:t>The aggregate market value of the voting and non-voting common equity held by non-affiliates of the registrant, based on the closing price of the shares of common stock on The NASDAQ Stock Market on June 30, 2022 was approximately $177,896,069.</w:t>
      </w:r>
    </w:p>
    <w:p>
      <w:pPr>
        <w:spacing w:after="0" w:line="17"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of registrant’s common stock outstanding as of March 23, 2023 was 24,436,990.</w:t>
      </w:r>
    </w:p>
    <w:p>
      <w:pPr>
        <w:spacing w:after="0" w:line="62" w:lineRule="exact"/>
        <w:rPr>
          <w:sz w:val="24"/>
          <w:szCs w:val="24"/>
          <w:color w:val="auto"/>
        </w:rPr>
      </w:pPr>
    </w:p>
    <w:p>
      <w:pPr>
        <w:ind w:left="4340"/>
        <w:spacing w:after="0"/>
        <w:rPr>
          <w:sz w:val="20"/>
          <w:szCs w:val="20"/>
          <w:color w:val="auto"/>
        </w:rPr>
      </w:pPr>
      <w:r>
        <w:rPr>
          <w:rFonts w:ascii="Arial" w:cs="Arial" w:eastAsia="Arial" w:hAnsi="Arial"/>
          <w:sz w:val="11"/>
          <w:szCs w:val="11"/>
          <w:b w:val="1"/>
          <w:bCs w:val="1"/>
          <w:color w:val="auto"/>
        </w:rPr>
        <w:t>DOCUMENTS INCORPORATED BY REFERENCE</w:t>
      </w:r>
    </w:p>
    <w:p>
      <w:pPr>
        <w:spacing w:after="0" w:line="257" w:lineRule="exact"/>
        <w:rPr>
          <w:sz w:val="24"/>
          <w:szCs w:val="24"/>
          <w:color w:val="auto"/>
        </w:rPr>
      </w:pPr>
    </w:p>
    <w:p>
      <w:pPr>
        <w:ind w:right="20"/>
        <w:spacing w:after="0" w:line="276" w:lineRule="auto"/>
        <w:rPr>
          <w:sz w:val="20"/>
          <w:szCs w:val="20"/>
          <w:color w:val="auto"/>
        </w:rPr>
      </w:pPr>
      <w:r>
        <w:rPr>
          <w:rFonts w:ascii="Arial" w:cs="Arial" w:eastAsia="Arial" w:hAnsi="Arial"/>
          <w:sz w:val="11"/>
          <w:szCs w:val="11"/>
          <w:color w:val="auto"/>
        </w:rPr>
        <w:t>Portions of the Registrant’s definitive Proxy Statement relating to its 2023 Annual Meeting of Stockholders to be filed with the Securities and Exchange Commission pursuant to Regulation 14A not later than 120 days after the end of the fiscal year covered by this Annual Report on Form 10-K are incorporated herein by reference in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573405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53975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1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60" w:type="dxa"/>
            <w:vAlign w:val="bottom"/>
            <w:gridSpan w:val="7"/>
          </w:tcPr>
          <w:p>
            <w:pPr>
              <w:ind w:left="300"/>
              <w:spacing w:after="0"/>
              <w:rPr>
                <w:sz w:val="20"/>
                <w:szCs w:val="20"/>
                <w:color w:val="auto"/>
              </w:rPr>
            </w:pPr>
            <w:r>
              <w:rPr>
                <w:rFonts w:ascii="Arial" w:cs="Arial" w:eastAsia="Arial" w:hAnsi="Arial"/>
                <w:sz w:val="14"/>
                <w:szCs w:val="14"/>
                <w:b w:val="1"/>
                <w:bCs w:val="1"/>
                <w:color w:val="auto"/>
              </w:rPr>
              <w:t>Table of Contents</w:t>
            </w:r>
          </w:p>
        </w:tc>
        <w:tc>
          <w:tcPr>
            <w:tcW w:w="900" w:type="dxa"/>
            <w:vAlign w:val="bottom"/>
          </w:tcPr>
          <w:p>
            <w:pPr>
              <w:spacing w:after="0"/>
              <w:rPr>
                <w:sz w:val="16"/>
                <w:szCs w:val="16"/>
                <w:color w:val="auto"/>
              </w:rPr>
            </w:pPr>
          </w:p>
        </w:tc>
      </w:tr>
      <w:tr>
        <w:trPr>
          <w:trHeight w:val="256"/>
        </w:trPr>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Page</w:t>
            </w:r>
          </w:p>
        </w:tc>
      </w:tr>
      <w:tr>
        <w:trPr>
          <w:trHeight w:val="169"/>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PART I</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Item 1.</w:t>
            </w:r>
          </w:p>
        </w:tc>
        <w:tc>
          <w:tcPr>
            <w:tcW w:w="52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87"/>
              </w:rPr>
              <w:t>Business</w:t>
            </w:r>
          </w:p>
        </w:tc>
        <w:tc>
          <w:tcPr>
            <w:tcW w:w="8480" w:type="dxa"/>
            <w:vAlign w:val="bottom"/>
            <w:gridSpan w:val="21"/>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89"/>
              </w:rPr>
              <w:t>Risk Factors</w:t>
            </w:r>
          </w:p>
        </w:tc>
        <w:tc>
          <w:tcPr>
            <w:tcW w:w="8280" w:type="dxa"/>
            <w:vAlign w:val="bottom"/>
            <w:gridSpan w:val="18"/>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1B.</w:t>
            </w:r>
          </w:p>
        </w:tc>
        <w:tc>
          <w:tcPr>
            <w:tcW w:w="162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1"/>
              </w:rPr>
              <w:t>Unresolved Staff Comments</w:t>
            </w:r>
          </w:p>
        </w:tc>
        <w:tc>
          <w:tcPr>
            <w:tcW w:w="7380" w:type="dxa"/>
            <w:vAlign w:val="bottom"/>
            <w:gridSpan w:val="12"/>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2.</w:t>
            </w:r>
          </w:p>
        </w:tc>
        <w:tc>
          <w:tcPr>
            <w:tcW w:w="9000" w:type="dxa"/>
            <w:vAlign w:val="bottom"/>
            <w:gridSpan w:val="22"/>
          </w:tcPr>
          <w:p>
            <w:pPr>
              <w:spacing w:after="0"/>
              <w:rPr>
                <w:sz w:val="20"/>
                <w:szCs w:val="20"/>
                <w:color w:val="auto"/>
              </w:rPr>
            </w:pPr>
            <w:r>
              <w:rPr>
                <w:rFonts w:ascii="Arial" w:cs="Arial" w:eastAsia="Arial" w:hAnsi="Arial"/>
                <w:sz w:val="14"/>
                <w:szCs w:val="14"/>
                <w:color w:val="0000FF"/>
              </w:rPr>
              <w:t>Properties</w:t>
            </w: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13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3.</w:t>
            </w:r>
          </w:p>
        </w:tc>
        <w:tc>
          <w:tcPr>
            <w:tcW w:w="106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89"/>
              </w:rPr>
              <w:t>Legal Proceedings</w:t>
            </w:r>
          </w:p>
        </w:tc>
        <w:tc>
          <w:tcPr>
            <w:tcW w:w="7940" w:type="dxa"/>
            <w:vAlign w:val="bottom"/>
            <w:gridSpan w:val="16"/>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4.</w:t>
            </w:r>
          </w:p>
        </w:tc>
        <w:tc>
          <w:tcPr>
            <w:tcW w:w="9000" w:type="dxa"/>
            <w:vAlign w:val="bottom"/>
            <w:gridSpan w:val="22"/>
          </w:tcPr>
          <w:p>
            <w:pPr>
              <w:spacing w:after="0"/>
              <w:rPr>
                <w:sz w:val="20"/>
                <w:szCs w:val="20"/>
                <w:color w:val="auto"/>
              </w:rPr>
            </w:pPr>
            <w:r>
              <w:rPr>
                <w:rFonts w:ascii="Arial" w:cs="Arial" w:eastAsia="Arial" w:hAnsi="Arial"/>
                <w:sz w:val="14"/>
                <w:szCs w:val="14"/>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92"/>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PART II</w:t>
            </w:r>
          </w:p>
        </w:tc>
        <w:tc>
          <w:tcPr>
            <w:tcW w:w="5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Item 5.</w:t>
            </w:r>
          </w:p>
        </w:tc>
        <w:tc>
          <w:tcPr>
            <w:tcW w:w="6360" w:type="dxa"/>
            <w:vAlign w:val="bottom"/>
            <w:tcBorders>
              <w:bottom w:val="single" w:sz="8" w:color="0000FF"/>
            </w:tcBorders>
            <w:gridSpan w:val="21"/>
          </w:tcPr>
          <w:p>
            <w:pPr>
              <w:spacing w:after="0" w:line="149" w:lineRule="exact"/>
              <w:rPr>
                <w:sz w:val="20"/>
                <w:szCs w:val="20"/>
                <w:color w:val="auto"/>
              </w:rPr>
            </w:pPr>
            <w:r>
              <w:rPr>
                <w:rFonts w:ascii="Arial" w:cs="Arial" w:eastAsia="Arial" w:hAnsi="Arial"/>
                <w:sz w:val="14"/>
                <w:szCs w:val="14"/>
                <w:color w:val="0000FF"/>
                <w:w w:val="91"/>
              </w:rPr>
              <w:t>Market for Registrant’s Common Equity, Related Stockholder Matters and Issuer Purchases of Equity Securities</w:t>
            </w:r>
          </w:p>
        </w:tc>
        <w:tc>
          <w:tcPr>
            <w:tcW w:w="26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r>
      <w:tr>
        <w:trPr>
          <w:trHeight w:val="192"/>
        </w:trPr>
        <w:tc>
          <w:tcPr>
            <w:tcW w:w="1380" w:type="dxa"/>
            <w:vAlign w:val="bottom"/>
          </w:tcPr>
          <w:p>
            <w:pPr>
              <w:ind w:left="180"/>
              <w:spacing w:after="0"/>
              <w:rPr>
                <w:sz w:val="20"/>
                <w:szCs w:val="20"/>
                <w:color w:val="auto"/>
              </w:rPr>
            </w:pPr>
            <w:r>
              <w:rPr>
                <w:rFonts w:ascii="Arial" w:cs="Arial" w:eastAsia="Arial" w:hAnsi="Arial"/>
                <w:sz w:val="14"/>
                <w:szCs w:val="14"/>
                <w:color w:val="auto"/>
              </w:rPr>
              <w:t>Item 6.</w:t>
            </w:r>
          </w:p>
        </w:tc>
        <w:tc>
          <w:tcPr>
            <w:tcW w:w="9000" w:type="dxa"/>
            <w:vAlign w:val="bottom"/>
            <w:gridSpan w:val="22"/>
          </w:tcPr>
          <w:p>
            <w:pPr>
              <w:spacing w:after="0"/>
              <w:rPr>
                <w:sz w:val="20"/>
                <w:szCs w:val="20"/>
                <w:color w:val="auto"/>
              </w:rPr>
            </w:pPr>
            <w:r>
              <w:rPr>
                <w:rFonts w:ascii="Arial" w:cs="Arial" w:eastAsia="Arial" w:hAnsi="Arial"/>
                <w:sz w:val="14"/>
                <w:szCs w:val="14"/>
                <w:color w:val="0000FF"/>
              </w:rPr>
              <w:t>[Reserved]</w:t>
            </w:r>
          </w:p>
        </w:tc>
        <w:tc>
          <w:tcPr>
            <w:tcW w:w="9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
        </w:trPr>
        <w:tc>
          <w:tcPr>
            <w:tcW w:w="13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7.</w:t>
            </w:r>
          </w:p>
        </w:tc>
        <w:tc>
          <w:tcPr>
            <w:tcW w:w="9000" w:type="dxa"/>
            <w:vAlign w:val="bottom"/>
            <w:gridSpan w:val="22"/>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7A.</w:t>
            </w:r>
          </w:p>
        </w:tc>
        <w:tc>
          <w:tcPr>
            <w:tcW w:w="344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4"/>
                <w:szCs w:val="14"/>
                <w:color w:val="0000FF"/>
                <w:w w:val="93"/>
              </w:rPr>
              <w:t>Quantitative and Qualitative Disclosures About Market Risk</w:t>
            </w:r>
          </w:p>
        </w:tc>
        <w:tc>
          <w:tcPr>
            <w:tcW w:w="1640" w:type="dxa"/>
            <w:vAlign w:val="bottom"/>
            <w:tcBorders>
              <w:top w:val="single" w:sz="8" w:color="0000FF"/>
            </w:tcBorders>
            <w:gridSpan w:val="3"/>
          </w:tcPr>
          <w:p>
            <w:pPr>
              <w:spacing w:after="0"/>
              <w:rPr>
                <w:sz w:val="13"/>
                <w:szCs w:val="13"/>
                <w:color w:val="auto"/>
              </w:rPr>
            </w:pPr>
          </w:p>
        </w:tc>
        <w:tc>
          <w:tcPr>
            <w:tcW w:w="3920" w:type="dxa"/>
            <w:vAlign w:val="bottom"/>
            <w:gridSpan w:val="4"/>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8.</w:t>
            </w:r>
          </w:p>
        </w:tc>
        <w:tc>
          <w:tcPr>
            <w:tcW w:w="9000" w:type="dxa"/>
            <w:vAlign w:val="bottom"/>
            <w:gridSpan w:val="22"/>
          </w:tcPr>
          <w:p>
            <w:pPr>
              <w:spacing w:after="0"/>
              <w:rPr>
                <w:sz w:val="20"/>
                <w:szCs w:val="20"/>
                <w:color w:val="auto"/>
              </w:rPr>
            </w:pPr>
            <w:r>
              <w:rPr>
                <w:rFonts w:ascii="Arial" w:cs="Arial" w:eastAsia="Arial" w:hAnsi="Arial"/>
                <w:sz w:val="14"/>
                <w:szCs w:val="14"/>
                <w:color w:val="0000FF"/>
              </w:rPr>
              <w:t>Consolidated Financial Statements and Supplementary Data</w:t>
            </w: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0"/>
        </w:trPr>
        <w:tc>
          <w:tcPr>
            <w:tcW w:w="13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9.</w:t>
            </w:r>
          </w:p>
        </w:tc>
        <w:tc>
          <w:tcPr>
            <w:tcW w:w="510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w w:val="91"/>
              </w:rPr>
              <w:t>Changes in and Disagreements with Accountants on Accounting and Financial Disclosure</w:t>
            </w:r>
          </w:p>
        </w:tc>
        <w:tc>
          <w:tcPr>
            <w:tcW w:w="3900" w:type="dxa"/>
            <w:vAlign w:val="bottom"/>
            <w:gridSpan w:val="3"/>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9A.</w:t>
            </w:r>
          </w:p>
        </w:tc>
        <w:tc>
          <w:tcPr>
            <w:tcW w:w="14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89"/>
              </w:rPr>
              <w:t>Controls and Procedures</w:t>
            </w:r>
          </w:p>
        </w:tc>
        <w:tc>
          <w:tcPr>
            <w:tcW w:w="7600" w:type="dxa"/>
            <w:vAlign w:val="bottom"/>
            <w:gridSpan w:val="14"/>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9B.</w:t>
            </w:r>
          </w:p>
        </w:tc>
        <w:tc>
          <w:tcPr>
            <w:tcW w:w="9000" w:type="dxa"/>
            <w:vAlign w:val="bottom"/>
            <w:gridSpan w:val="22"/>
          </w:tcPr>
          <w:p>
            <w:pPr>
              <w:spacing w:after="0"/>
              <w:rPr>
                <w:sz w:val="20"/>
                <w:szCs w:val="20"/>
                <w:color w:val="auto"/>
              </w:rPr>
            </w:pPr>
            <w:r>
              <w:rPr>
                <w:rFonts w:ascii="Arial" w:cs="Arial" w:eastAsia="Arial" w:hAnsi="Arial"/>
                <w:sz w:val="14"/>
                <w:szCs w:val="14"/>
                <w:color w:val="0000FF"/>
              </w:rPr>
              <w:t>Other Information</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0"/>
        </w:trPr>
        <w:tc>
          <w:tcPr>
            <w:tcW w:w="138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9C.</w:t>
            </w:r>
          </w:p>
        </w:tc>
        <w:tc>
          <w:tcPr>
            <w:tcW w:w="9000" w:type="dxa"/>
            <w:vAlign w:val="bottom"/>
            <w:gridSpan w:val="22"/>
          </w:tcPr>
          <w:p>
            <w:pPr>
              <w:spacing w:after="0"/>
              <w:rPr>
                <w:sz w:val="20"/>
                <w:szCs w:val="20"/>
                <w:color w:val="auto"/>
              </w:rPr>
            </w:pPr>
            <w:r>
              <w:rPr>
                <w:rFonts w:ascii="Arial" w:cs="Arial" w:eastAsia="Arial" w:hAnsi="Arial"/>
                <w:sz w:val="14"/>
                <w:szCs w:val="14"/>
                <w:color w:val="0000FF"/>
              </w:rPr>
              <w:t>Disclosure Regarding Foreign Jurisdictions that Present Inspection</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92"/>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Part III</w:t>
            </w:r>
          </w:p>
        </w:tc>
        <w:tc>
          <w:tcPr>
            <w:tcW w:w="5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Item 10.</w:t>
            </w:r>
          </w:p>
        </w:tc>
        <w:tc>
          <w:tcPr>
            <w:tcW w:w="9000" w:type="dxa"/>
            <w:vAlign w:val="bottom"/>
            <w:gridSpan w:val="22"/>
          </w:tcPr>
          <w:p>
            <w:pPr>
              <w:spacing w:after="0" w:line="149" w:lineRule="exact"/>
              <w:rPr>
                <w:sz w:val="20"/>
                <w:szCs w:val="20"/>
                <w:color w:val="auto"/>
              </w:rPr>
            </w:pPr>
            <w:r>
              <w:rPr>
                <w:rFonts w:ascii="Arial" w:cs="Arial" w:eastAsia="Arial" w:hAnsi="Arial"/>
                <w:sz w:val="14"/>
                <w:szCs w:val="14"/>
                <w:color w:val="0000FF"/>
              </w:rPr>
              <w:t>Directors, Executive Officers and Corporate Governance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11.</w:t>
            </w:r>
          </w:p>
        </w:tc>
        <w:tc>
          <w:tcPr>
            <w:tcW w:w="3220" w:type="dxa"/>
            <w:vAlign w:val="bottom"/>
            <w:tcBorders>
              <w:top w:val="single" w:sz="8" w:color="0000FF"/>
            </w:tcBorders>
            <w:gridSpan w:val="13"/>
          </w:tcPr>
          <w:p>
            <w:pPr>
              <w:spacing w:after="0"/>
              <w:rPr>
                <w:sz w:val="20"/>
                <w:szCs w:val="20"/>
                <w:color w:val="auto"/>
              </w:rPr>
            </w:pPr>
            <w:r>
              <w:rPr>
                <w:rFonts w:ascii="Arial" w:cs="Arial" w:eastAsia="Arial" w:hAnsi="Arial"/>
                <w:sz w:val="14"/>
                <w:szCs w:val="14"/>
                <w:color w:val="0000FF"/>
              </w:rPr>
              <w:t>Executive Compensation</w:t>
            </w:r>
          </w:p>
        </w:tc>
        <w:tc>
          <w:tcPr>
            <w:tcW w:w="5780" w:type="dxa"/>
            <w:vAlign w:val="bottom"/>
            <w:gridSpan w:val="9"/>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
        </w:trPr>
        <w:tc>
          <w:tcPr>
            <w:tcW w:w="1380" w:type="dxa"/>
            <w:vAlign w:val="bottom"/>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12.</w:t>
            </w:r>
          </w:p>
        </w:tc>
        <w:tc>
          <w:tcPr>
            <w:tcW w:w="574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w w:val="91"/>
              </w:rPr>
              <w:t>Security Ownership of Certain Beneficial Owners and Management and Related Stockholder Matters</w:t>
            </w:r>
          </w:p>
        </w:tc>
        <w:tc>
          <w:tcPr>
            <w:tcW w:w="3260" w:type="dxa"/>
            <w:vAlign w:val="bottom"/>
            <w:gridSpan w:val="2"/>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13</w:t>
            </w:r>
          </w:p>
        </w:tc>
        <w:tc>
          <w:tcPr>
            <w:tcW w:w="4300" w:type="dxa"/>
            <w:vAlign w:val="bottom"/>
            <w:tcBorders>
              <w:bottom w:val="single" w:sz="8" w:color="0000FF"/>
            </w:tcBorders>
            <w:gridSpan w:val="17"/>
          </w:tcPr>
          <w:p>
            <w:pPr>
              <w:spacing w:after="0"/>
              <w:rPr>
                <w:sz w:val="20"/>
                <w:szCs w:val="20"/>
                <w:color w:val="auto"/>
              </w:rPr>
            </w:pPr>
            <w:r>
              <w:rPr>
                <w:rFonts w:ascii="Arial" w:cs="Arial" w:eastAsia="Arial" w:hAnsi="Arial"/>
                <w:sz w:val="14"/>
                <w:szCs w:val="14"/>
                <w:color w:val="0000FF"/>
                <w:w w:val="90"/>
              </w:rPr>
              <w:t>Certain Relationships and Related Transactions, and Director Independence</w:t>
            </w:r>
          </w:p>
        </w:tc>
        <w:tc>
          <w:tcPr>
            <w:tcW w:w="4700" w:type="dxa"/>
            <w:vAlign w:val="bottom"/>
            <w:gridSpan w:val="5"/>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14</w:t>
            </w:r>
          </w:p>
        </w:tc>
        <w:tc>
          <w:tcPr>
            <w:tcW w:w="9000" w:type="dxa"/>
            <w:vAlign w:val="bottom"/>
            <w:gridSpan w:val="22"/>
          </w:tcPr>
          <w:p>
            <w:pPr>
              <w:spacing w:after="0"/>
              <w:rPr>
                <w:sz w:val="20"/>
                <w:szCs w:val="20"/>
                <w:color w:val="auto"/>
              </w:rPr>
            </w:pPr>
            <w:r>
              <w:rPr>
                <w:rFonts w:ascii="Arial" w:cs="Arial" w:eastAsia="Arial" w:hAnsi="Arial"/>
                <w:sz w:val="14"/>
                <w:szCs w:val="14"/>
                <w:color w:val="0000FF"/>
              </w:rPr>
              <w:t>Principal Accounting Fees and Services</w:t>
            </w: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92"/>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PART IV</w:t>
            </w:r>
          </w:p>
        </w:tc>
        <w:tc>
          <w:tcPr>
            <w:tcW w:w="5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49"/>
        </w:trPr>
        <w:tc>
          <w:tcPr>
            <w:tcW w:w="1380" w:type="dxa"/>
            <w:vAlign w:val="bottom"/>
          </w:tcPr>
          <w:p>
            <w:pPr>
              <w:ind w:left="180"/>
              <w:spacing w:after="0" w:line="149" w:lineRule="exact"/>
              <w:rPr>
                <w:sz w:val="20"/>
                <w:szCs w:val="20"/>
                <w:color w:val="auto"/>
              </w:rPr>
            </w:pPr>
            <w:r>
              <w:rPr>
                <w:rFonts w:ascii="Arial" w:cs="Arial" w:eastAsia="Arial" w:hAnsi="Arial"/>
                <w:sz w:val="14"/>
                <w:szCs w:val="14"/>
                <w:color w:val="auto"/>
              </w:rPr>
              <w:t>Item 15.</w:t>
            </w:r>
          </w:p>
        </w:tc>
        <w:tc>
          <w:tcPr>
            <w:tcW w:w="9000" w:type="dxa"/>
            <w:vAlign w:val="bottom"/>
            <w:gridSpan w:val="22"/>
          </w:tcPr>
          <w:p>
            <w:pPr>
              <w:spacing w:after="0" w:line="149" w:lineRule="exact"/>
              <w:rPr>
                <w:sz w:val="20"/>
                <w:szCs w:val="20"/>
                <w:color w:val="auto"/>
              </w:rPr>
            </w:pPr>
            <w:r>
              <w:rPr>
                <w:rFonts w:ascii="Arial" w:cs="Arial" w:eastAsia="Arial" w:hAnsi="Arial"/>
                <w:sz w:val="14"/>
                <w:szCs w:val="14"/>
                <w:color w:val="0000FF"/>
              </w:rPr>
              <w:t>Exhibits, Consolidated Financial Statement Schedules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r>
      <w:tr>
        <w:trPr>
          <w:trHeight w:val="160"/>
        </w:trPr>
        <w:tc>
          <w:tcPr>
            <w:tcW w:w="1380" w:type="dxa"/>
            <w:vAlign w:val="bottom"/>
          </w:tcPr>
          <w:p>
            <w:pPr>
              <w:ind w:left="180"/>
              <w:spacing w:after="0"/>
              <w:rPr>
                <w:sz w:val="20"/>
                <w:szCs w:val="20"/>
                <w:color w:val="auto"/>
              </w:rPr>
            </w:pPr>
            <w:r>
              <w:rPr>
                <w:rFonts w:ascii="Arial" w:cs="Arial" w:eastAsia="Arial" w:hAnsi="Arial"/>
                <w:sz w:val="14"/>
                <w:szCs w:val="14"/>
                <w:color w:val="auto"/>
              </w:rPr>
              <w:t>Item 16.</w:t>
            </w:r>
          </w:p>
        </w:tc>
        <w:tc>
          <w:tcPr>
            <w:tcW w:w="13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4"/>
                <w:szCs w:val="14"/>
                <w:color w:val="0000FF"/>
                <w:w w:val="93"/>
              </w:rPr>
              <w:t>Form of 10-K Summary</w:t>
            </w:r>
          </w:p>
        </w:tc>
        <w:tc>
          <w:tcPr>
            <w:tcW w:w="1680" w:type="dxa"/>
            <w:vAlign w:val="bottom"/>
            <w:tcBorders>
              <w:top w:val="single" w:sz="8" w:color="0000FF"/>
            </w:tcBorders>
            <w:gridSpan w:val="5"/>
          </w:tcPr>
          <w:p>
            <w:pPr>
              <w:spacing w:after="0"/>
              <w:rPr>
                <w:sz w:val="13"/>
                <w:szCs w:val="13"/>
                <w:color w:val="auto"/>
              </w:rPr>
            </w:pPr>
          </w:p>
        </w:tc>
        <w:tc>
          <w:tcPr>
            <w:tcW w:w="5940" w:type="dxa"/>
            <w:vAlign w:val="bottom"/>
            <w:gridSpan w:val="10"/>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722"/>
        </w:trPr>
        <w:tc>
          <w:tcPr>
            <w:tcW w:w="1380" w:type="dxa"/>
            <w:vAlign w:val="bottom"/>
          </w:tcPr>
          <w:p>
            <w:pPr>
              <w:spacing w:after="0"/>
              <w:rPr>
                <w:sz w:val="24"/>
                <w:szCs w:val="24"/>
                <w:color w:val="auto"/>
              </w:rPr>
            </w:pPr>
          </w:p>
        </w:tc>
        <w:tc>
          <w:tcPr>
            <w:tcW w:w="5080" w:type="dxa"/>
            <w:vAlign w:val="bottom"/>
            <w:gridSpan w:val="18"/>
          </w:tcPr>
          <w:p>
            <w:pPr>
              <w:ind w:left="422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13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This Annual Report on Form 10-K (“Annual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about:</w:t>
      </w:r>
    </w:p>
    <w:p>
      <w:pPr>
        <w:spacing w:after="0" w:line="60" w:lineRule="exact"/>
        <w:rPr>
          <w:sz w:val="20"/>
          <w:szCs w:val="20"/>
          <w:color w:val="auto"/>
        </w:rPr>
      </w:pPr>
    </w:p>
    <w:p>
      <w:pPr>
        <w:jc w:val="both"/>
        <w:ind w:left="760" w:hanging="373"/>
        <w:spacing w:after="0" w:line="237" w:lineRule="auto"/>
        <w:tabs>
          <w:tab w:leader="none" w:pos="75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maintain regulatory approval for FYARRO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advanced malignant perivascular epithelioid cell tumor (“PEComa”), or to obtain and maintain regulatory approval for FYARRO in additional indications, or any other product candidates we may develop in the future, and any related restrictions, limitations or warnings in the label of an approved product candidate;</w:t>
      </w:r>
    </w:p>
    <w:p>
      <w:pPr>
        <w:spacing w:after="0" w:line="76"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plans and potential for success relating to commercializing FYARRO, or any other product candidate that we may develop, if approved;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plans related to the further development and manufacturing of FYARRO;</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scope or likelihood of regulatory filings and approvals for FYARRO for advanced malignant PEComa in foreign jurisdictions and any additional indications we may pursue and any other product candidates we may develop in the future;</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commercialization, marketing and manufacturing capabilities and strategy;</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pricing and reimbursement of FYARRO and any other product candidates we may develop in the future, if approved;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rate and degree of market acceptance of FYARRO and any other product candidates we may develop in the future, if approved;</w:t>
      </w:r>
    </w:p>
    <w:p>
      <w:pPr>
        <w:spacing w:after="0" w:line="93"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progress and results of preclinical studies and clinical trials for our programs and product candidates, including the impact of the COVID-19 pandemic, the timing of initiation and completion of studies or trials and related preparatory work, the period during which the results of the trials will become available and our research and development programs;</w:t>
      </w:r>
    </w:p>
    <w:p>
      <w:pPr>
        <w:spacing w:after="0" w:line="56"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recruit and enroll suitable patients in our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expectations regarding the beneficial characteristics, safety, efficacy and therapeutic effects of FYARRO and any other product candidates that we may develop in the future;</w:t>
      </w:r>
    </w:p>
    <w:p>
      <w:pPr>
        <w:spacing w:after="0" w:line="105" w:lineRule="exact"/>
        <w:rPr>
          <w:rFonts w:ascii="Arial" w:cs="Arial" w:eastAsia="Arial" w:hAnsi="Arial"/>
          <w:sz w:val="13"/>
          <w:szCs w:val="13"/>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develop and advance product candidates into, and successfully complete, clinical studies;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implementation of our business model and our strategic plans for our business;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establish or maintain collaborations or strategic relationships or obtain additional funding;</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contract with and rely on third parties to assist in conducting our clinical trials and manufacturing FYARRO and any other product candidates we may develop in the future;</w:t>
      </w:r>
    </w:p>
    <w:p>
      <w:pPr>
        <w:spacing w:after="0" w:line="116" w:lineRule="exact"/>
        <w:rPr>
          <w:rFonts w:ascii="Arial" w:cs="Arial" w:eastAsia="Arial" w:hAnsi="Arial"/>
          <w:sz w:val="12"/>
          <w:szCs w:val="12"/>
          <w:color w:val="auto"/>
        </w:rPr>
      </w:pPr>
    </w:p>
    <w:p>
      <w:pPr>
        <w:ind w:left="760" w:hanging="373"/>
        <w:spacing w:after="0" w:line="281" w:lineRule="auto"/>
        <w:tabs>
          <w:tab w:leader="none" w:pos="75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size and growth potential of the markets for FYARRO and any other product candidates we may develop in the future, if approved, and our ability to serve those markets, either alone or in partnership with others;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period over which we anticipate our existing cash and cash equivalents will be sufficient to fund our operating expenses and capital expenditure requirements;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potential for our business development efforts to maximize the potential value of our portfolio;</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compete with other companies currently marketing or engaged in the development of treatments for the indications that we are pursuing for FYARRO and any other product candidates we may develop in the future;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our ability to obtain and maintain intellectual property protection for our product candidates;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financial performance;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statements regarding the legal proceedings related to the termination of the EOC License Agreement (as defined herein);</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retain the continued service of our key professionals and to identify, hire and retain additional qualified professionals, including due to the recent leadership transitions and identifying a new permanent chief executive officer;</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and needs for additional financing;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factors including but not limited to those detailed under the section entitled “</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 Item 1A (Risk Factors) of this Annual Report.</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forward-looking statements in this Annual Report represent our views as of the date of this Annual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References in the following discussion to “we,” “our,” “us,” or “Aadi” refer to Aadi Bioscience, Inc. and its subsidiaries.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a biopharmaceutical company focused on developing and commercializing precision therapies for genetically defined cancers with alterations in mTOR pathway genes. Our lead drug product, FYARRO</w:t>
      </w:r>
      <w:r>
        <w:rPr>
          <w:rFonts w:ascii="Arial" w:cs="Arial" w:eastAsia="Arial" w:hAnsi="Arial"/>
          <w:sz w:val="17"/>
          <w:szCs w:val="17"/>
          <w:color w:val="auto"/>
          <w:vertAlign w:val="superscript"/>
        </w:rPr>
        <w:t>®</w:t>
      </w:r>
      <w:r>
        <w:rPr>
          <w:rFonts w:ascii="Arial" w:cs="Arial" w:eastAsia="Arial" w:hAnsi="Arial"/>
          <w:sz w:val="13"/>
          <w:szCs w:val="13"/>
          <w:color w:val="auto"/>
        </w:rPr>
        <w:t>, is a form of sirolimus bound to albumin. Sirolimus is a potent inhibitor of the mTOR biological pathway, the activation of which pathway can promote tumor growth. We believe our approach to utilizing albumin bound sirolimus has the potential to produce transformational therapies for cancer patients with mTOR pathway driver alterations where other mTOR inhibitors have not or cannot be effectively exploited due to problems of pharmacology, effective drug delivery, safety, or effective targeting to the disease site.</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We exclusively license FYARRO, previously called ABI-009, </w:t>
      </w:r>
      <w:r>
        <w:rPr>
          <w:rFonts w:ascii="Arial" w:cs="Arial" w:eastAsia="Arial" w:hAnsi="Arial"/>
          <w:sz w:val="14"/>
          <w:szCs w:val="14"/>
          <w:i w:val="1"/>
          <w:iCs w:val="1"/>
          <w:color w:val="auto"/>
        </w:rPr>
        <w:t>nab</w:t>
      </w:r>
      <w:r>
        <w:rPr>
          <w:rFonts w:ascii="Arial" w:cs="Arial" w:eastAsia="Arial" w:hAnsi="Arial"/>
          <w:sz w:val="14"/>
          <w:szCs w:val="14"/>
          <w:color w:val="auto"/>
        </w:rPr>
        <w:t>-sirolimus, from Abraxis BioScience, LLC, a wholly owned subsidiary of Celgene Corporation, which is a wholly owned subsidiary of Bristol-Myers Squibb Company (“BMS”). Throughout this document we refer to FYARRO (</w:t>
      </w:r>
      <w:r>
        <w:rPr>
          <w:rFonts w:ascii="Arial" w:cs="Arial" w:eastAsia="Arial" w:hAnsi="Arial"/>
          <w:sz w:val="14"/>
          <w:szCs w:val="14"/>
          <w:i w:val="1"/>
          <w:iCs w:val="1"/>
          <w:color w:val="auto"/>
        </w:rPr>
        <w:t>nab</w:t>
      </w:r>
      <w:r>
        <w:rPr>
          <w:rFonts w:ascii="Arial" w:cs="Arial" w:eastAsia="Arial" w:hAnsi="Arial"/>
          <w:sz w:val="14"/>
          <w:szCs w:val="14"/>
          <w:color w:val="auto"/>
        </w:rPr>
        <w:t>-sirolimus,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and our license agreement with BMS, all further discussed below and throughout this document.</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November 22, 2021, the U.S. Food and Drug Administration (the “FDA”) approved FYARRO sirolimus protein-bound particles for injectable suspension (albumin-bound) for the treatment of adult patients with locally advanced unresectable or metastatic malignant PEComa. On February 22, 2022, we launched FYARRO in the United States for treatment of advanced malignant PEComa and recognized net revenue from product sales of $15.2 million for the year ended December 31, 2022.</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to advanced malignant PEComa, based on exploratory data from the completed Phase 2 registrational study, Advanced Malignant PEComa Trial (“AMPECT”) and our expanded access program (the "Expanded Access Program"), we initiated a registration-directed tumor-agnostic Phase 2 study (“PRECISION 1”) of FYARRO in patients with Tuberous Sclerosis Complex 1 and 2 (“</w:t>
      </w:r>
      <w:r>
        <w:rPr>
          <w:rFonts w:ascii="Arial" w:cs="Arial" w:eastAsia="Arial" w:hAnsi="Arial"/>
          <w:sz w:val="14"/>
          <w:szCs w:val="14"/>
          <w:i w:val="1"/>
          <w:iCs w:val="1"/>
          <w:color w:val="auto"/>
        </w:rPr>
        <w:t>TSC1”</w:t>
      </w:r>
      <w:r>
        <w:rPr>
          <w:rFonts w:ascii="Arial" w:cs="Arial" w:eastAsia="Arial" w:hAnsi="Arial"/>
          <w:sz w:val="14"/>
          <w:szCs w:val="14"/>
          <w:color w:val="auto"/>
        </w:rPr>
        <w:t xml:space="preserve"> &amp; “</w:t>
      </w:r>
      <w:r>
        <w:rPr>
          <w:rFonts w:ascii="Arial" w:cs="Arial" w:eastAsia="Arial" w:hAnsi="Arial"/>
          <w:sz w:val="14"/>
          <w:szCs w:val="14"/>
          <w:i w:val="1"/>
          <w:iCs w:val="1"/>
          <w:color w:val="auto"/>
        </w:rPr>
        <w:t>TSC2”</w:t>
      </w:r>
      <w:r>
        <w:rPr>
          <w:rFonts w:ascii="Arial" w:cs="Arial" w:eastAsia="Arial" w:hAnsi="Arial"/>
          <w:sz w:val="14"/>
          <w:szCs w:val="14"/>
          <w:color w:val="auto"/>
        </w:rPr>
        <w:t>) alterations. We have completed a Type B meeting with the FDA in which we discussed the trial design and the PRECISION 1 trial was opened for enrollment in the United States during the first quarter of 2022, with dosing of our first patient in March 2022.</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objective is to develop and commercialize innovative drugs that address the serious unmet medical needs of cancer patients and patients with other diseases that are driven by alterations in the mTOR pathway. The principal components of our strategy include:</w:t>
      </w:r>
    </w:p>
    <w:p>
      <w:pPr>
        <w:spacing w:after="0" w:line="43" w:lineRule="exact"/>
        <w:rPr>
          <w:sz w:val="20"/>
          <w:szCs w:val="20"/>
          <w:color w:val="auto"/>
        </w:rPr>
      </w:pPr>
    </w:p>
    <w:p>
      <w:pPr>
        <w:ind w:left="760" w:hanging="373"/>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Commercialize FYARRO in advanced malignant PEComa</w:t>
      </w:r>
      <w:r>
        <w:rPr>
          <w:rFonts w:ascii="Arial" w:cs="Arial" w:eastAsia="Arial" w:hAnsi="Arial"/>
          <w:sz w:val="14"/>
          <w:szCs w:val="14"/>
          <w:b w:val="1"/>
          <w:bCs w:val="1"/>
          <w:color w:val="auto"/>
        </w:rPr>
        <w:t>.</w:t>
      </w:r>
    </w:p>
    <w:p>
      <w:pPr>
        <w:spacing w:after="0" w:line="97" w:lineRule="exact"/>
        <w:rPr>
          <w:rFonts w:ascii="Arial" w:cs="Arial" w:eastAsia="Arial" w:hAnsi="Arial"/>
          <w:sz w:val="14"/>
          <w:szCs w:val="14"/>
          <w:color w:val="auto"/>
        </w:rPr>
      </w:pPr>
    </w:p>
    <w:p>
      <w:pPr>
        <w:jc w:val="both"/>
        <w:ind w:left="760"/>
        <w:spacing w:after="0" w:line="260" w:lineRule="auto"/>
        <w:rPr>
          <w:rFonts w:ascii="Arial" w:cs="Arial" w:eastAsia="Arial" w:hAnsi="Arial"/>
          <w:sz w:val="14"/>
          <w:szCs w:val="14"/>
          <w:color w:val="auto"/>
        </w:rPr>
      </w:pPr>
      <w:r>
        <w:rPr>
          <w:rFonts w:ascii="Arial" w:cs="Arial" w:eastAsia="Arial" w:hAnsi="Arial"/>
          <w:sz w:val="14"/>
          <w:szCs w:val="14"/>
          <w:color w:val="auto"/>
        </w:rPr>
        <w:t>For FYARRO, we are initially targeting advanced malignant PEComa, an ultra-rare sarcoma with no approved therapies other than FYARRO. In May 2021, we completed the filing of a rolling new drug application ("NDA") submission with the FDA for FYARRO for the treatment of advanced malignant PEComa based on the positive results from AMPECT, our pivotal Phase 2 study in this patient population, which met its primary endpoint. The FDA accepted the NDA in July 2021 and we were granted approval for commercial sale of FYARRO on November 22, 2021. We built a cross functional commercial team and infrastructure and launched FYARRO for advanced malignant PEComa in the United States in the first quarter of 2022.</w:t>
      </w:r>
    </w:p>
    <w:p>
      <w:pPr>
        <w:spacing w:after="0" w:line="61" w:lineRule="exact"/>
        <w:rPr>
          <w:rFonts w:ascii="Arial" w:cs="Arial" w:eastAsia="Arial" w:hAnsi="Arial"/>
          <w:sz w:val="14"/>
          <w:szCs w:val="14"/>
          <w:color w:val="auto"/>
        </w:rPr>
      </w:pPr>
    </w:p>
    <w:p>
      <w:pPr>
        <w:ind w:left="760" w:hanging="373"/>
        <w:spacing w:after="0"/>
        <w:tabs>
          <w:tab w:leader="none" w:pos="760"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Expand the market opportunity for FYARRO by pursuing development of a tumor-agnostic indication in cancer patients with alterations in the TSC1 or TSC2 genes.</w:t>
      </w:r>
    </w:p>
    <w:p>
      <w:pPr>
        <w:spacing w:after="0" w:line="105" w:lineRule="exact"/>
        <w:rPr>
          <w:rFonts w:ascii="Arial" w:cs="Arial" w:eastAsia="Arial" w:hAnsi="Arial"/>
          <w:sz w:val="13"/>
          <w:szCs w:val="13"/>
          <w:color w:val="auto"/>
        </w:rPr>
      </w:pPr>
    </w:p>
    <w:p>
      <w:pPr>
        <w:jc w:val="both"/>
        <w:ind w:left="760"/>
        <w:spacing w:after="0" w:line="262" w:lineRule="auto"/>
        <w:rPr>
          <w:rFonts w:ascii="Arial" w:cs="Arial" w:eastAsia="Arial" w:hAnsi="Arial"/>
          <w:sz w:val="13"/>
          <w:szCs w:val="13"/>
          <w:color w:val="auto"/>
        </w:rPr>
      </w:pPr>
      <w:r>
        <w:rPr>
          <w:rFonts w:ascii="Arial" w:cs="Arial" w:eastAsia="Arial" w:hAnsi="Arial"/>
          <w:sz w:val="14"/>
          <w:szCs w:val="14"/>
          <w:color w:val="auto"/>
        </w:rPr>
        <w:t xml:space="preserve">We have presented initial data for FYARRO in patients with different cancer types having alterations in the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genes as part of the Expanded Access Program. Based on exploratory data in patients with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alterations from the completed AMPECT and the Expanded Access Program, in the first quarter of 2022, we initiated a registration-directed tumor-agnostic study called PRECISION 1 in patients with malignant solid tumors driven by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alterations. The PRECISION 1 trial was opened for enrollment in the United States during the first quarter of 2022 and our first patient was dosed in March 2022.</w:t>
      </w:r>
    </w:p>
    <w:p>
      <w:pPr>
        <w:spacing w:after="0" w:line="60" w:lineRule="exact"/>
        <w:rPr>
          <w:rFonts w:ascii="Arial" w:cs="Arial" w:eastAsia="Arial" w:hAnsi="Arial"/>
          <w:sz w:val="13"/>
          <w:szCs w:val="13"/>
          <w:color w:val="auto"/>
        </w:rPr>
      </w:pPr>
    </w:p>
    <w:p>
      <w:pPr>
        <w:ind w:left="760" w:hanging="373"/>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Expand the application of FYARRO as a monotherapy and combination therapy with other agents.</w:t>
      </w:r>
    </w:p>
    <w:p>
      <w:pPr>
        <w:spacing w:after="0" w:line="93" w:lineRule="exact"/>
        <w:rPr>
          <w:rFonts w:ascii="Arial" w:cs="Arial" w:eastAsia="Arial" w:hAnsi="Arial"/>
          <w:sz w:val="14"/>
          <w:szCs w:val="14"/>
          <w:color w:val="auto"/>
        </w:rPr>
      </w:pPr>
    </w:p>
    <w:p>
      <w:pPr>
        <w:ind w:left="760"/>
        <w:spacing w:after="0" w:line="281" w:lineRule="auto"/>
        <w:rPr>
          <w:rFonts w:ascii="Arial" w:cs="Arial" w:eastAsia="Arial" w:hAnsi="Arial"/>
          <w:sz w:val="14"/>
          <w:szCs w:val="14"/>
          <w:color w:val="auto"/>
        </w:rPr>
      </w:pPr>
      <w:r>
        <w:rPr>
          <w:rFonts w:ascii="Arial" w:cs="Arial" w:eastAsia="Arial" w:hAnsi="Arial"/>
          <w:sz w:val="14"/>
          <w:szCs w:val="14"/>
          <w:color w:val="auto"/>
        </w:rPr>
        <w:t>We believe there is a significant opportunity to utilize FYARRO in other indications as a monotherapy as well as in combination with other targeted therapies, particularly in mTOR adjacent signaling pathways. These additional indications may be important drivers of commercial value and we believe that strategic</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760"/>
        <w:spacing w:after="0" w:line="243" w:lineRule="auto"/>
        <w:rPr>
          <w:sz w:val="20"/>
          <w:szCs w:val="20"/>
          <w:color w:val="auto"/>
        </w:rPr>
      </w:pPr>
      <w:r>
        <w:rPr>
          <w:rFonts w:ascii="Arial" w:cs="Arial" w:eastAsia="Arial" w:hAnsi="Arial"/>
          <w:sz w:val="14"/>
          <w:szCs w:val="14"/>
          <w:color w:val="auto"/>
        </w:rPr>
        <w:t>partnerships, particularly in combination therapies, may be an effective means of developing and commercializing these opportunities. While we are primarily focused on cancer, the mTOR pathway is also relevant in other indications and we may opportunistically study these indications to broaden the application of FYARRO or satisfy unmet medical needs. In October 2022, we entered into a collaboration and supply agreement with Mirati Therapeutics, Inc. (“Mirati”) to evaluate the combination of Mirati’s adagrasib, a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selective inhibitor, and FYARRO in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mutant non-small cell lung cancer ("NSCLC") and other solid tumors. Under the terms of the agreement, Mirati is responsible for sponsoring and operating the Phase 1/2 study and we will supply study drug and jointly share the cost of the study.</w:t>
      </w:r>
    </w:p>
    <w:p>
      <w:pPr>
        <w:spacing w:after="0" w:line="72" w:lineRule="exact"/>
        <w:rPr>
          <w:sz w:val="20"/>
          <w:szCs w:val="20"/>
          <w:color w:val="auto"/>
        </w:rPr>
      </w:pPr>
    </w:p>
    <w:p>
      <w:pPr>
        <w:ind w:left="760" w:hanging="373"/>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Establish capabilities and/or partnerships outside the United States to effectively commercialize and maximize the value of FYARRO.</w:t>
      </w:r>
    </w:p>
    <w:p>
      <w:pPr>
        <w:spacing w:after="0" w:line="93" w:lineRule="exact"/>
        <w:rPr>
          <w:rFonts w:ascii="Arial" w:cs="Arial" w:eastAsia="Arial" w:hAnsi="Arial"/>
          <w:sz w:val="14"/>
          <w:szCs w:val="14"/>
          <w:color w:val="auto"/>
        </w:rPr>
      </w:pPr>
    </w:p>
    <w:p>
      <w:pPr>
        <w:ind w:left="760"/>
        <w:spacing w:after="0" w:line="281" w:lineRule="auto"/>
        <w:rPr>
          <w:rFonts w:ascii="Arial" w:cs="Arial" w:eastAsia="Arial" w:hAnsi="Arial"/>
          <w:sz w:val="14"/>
          <w:szCs w:val="14"/>
          <w:color w:val="auto"/>
        </w:rPr>
      </w:pPr>
      <w:r>
        <w:rPr>
          <w:rFonts w:ascii="Arial" w:cs="Arial" w:eastAsia="Arial" w:hAnsi="Arial"/>
          <w:sz w:val="14"/>
          <w:szCs w:val="14"/>
          <w:color w:val="auto"/>
        </w:rPr>
        <w:t>We have built capabilities in the United States to commercialize our products. Outside the United States, we intend to selectively evaluate strategic partnerships with partners whose development and commercial capabilities complement our own.</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management team has extensive experience in the discovery, development, and commercialization of cancer therapeutics, including in senior roles at leading oncology companies. We are supported by our board of directors and specialized scientific advisors, who contribute their deep understanding of drug discovery and development, as well as expertise in building public companies and business development. We believe that our team is well positioned to execute on our strategy to develop and commercialize FYARRO and future pipeline assets to ultimately bring significant benefit to cancer patients worldwide.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Science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Importance of the mTOR Pathway in Cancer</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 xml:space="preserve">mTOR is a serine–threonine kinase that is the key component of two multi-subunit complexes with non-overlapping downstream targets: mTOR Complex 1 (“mTORC1”) and mTOR Complex 2 (“mTORC2”). mTORC1 plays a vital role in the regulation of cell growth and division by controlling the balance between anabolic and catabolic cellular processes and facilitates the progression of cell-cycle from G1 to S phase. Due to its key role in anabolic processes needed for cell division, the majority of cancer cells have activation of mTORC1 through one mechanism or another. Thus, the effective inhibition of mTORC1 in cancer cells may inhibit their proliferation. Activation of mTORC1 may occur downstream of the PI3K/AKT or Ras/MEK/ERK pathways, or through inactivating alterations in negative regulators of the mTORC1 pathway, including </w:t>
      </w:r>
      <w:r>
        <w:rPr>
          <w:rFonts w:ascii="Arial" w:cs="Arial" w:eastAsia="Arial" w:hAnsi="Arial"/>
          <w:sz w:val="13"/>
          <w:szCs w:val="13"/>
          <w:i w:val="1"/>
          <w:iCs w:val="1"/>
          <w:color w:val="auto"/>
        </w:rPr>
        <w:t>TSC1</w:t>
      </w:r>
      <w:r>
        <w:rPr>
          <w:rFonts w:ascii="Arial" w:cs="Arial" w:eastAsia="Arial" w:hAnsi="Arial"/>
          <w:sz w:val="13"/>
          <w:szCs w:val="13"/>
          <w:color w:val="auto"/>
        </w:rPr>
        <w:t xml:space="preserve"> or </w:t>
      </w:r>
      <w:r>
        <w:rPr>
          <w:rFonts w:ascii="Arial" w:cs="Arial" w:eastAsia="Arial" w:hAnsi="Arial"/>
          <w:sz w:val="13"/>
          <w:szCs w:val="13"/>
          <w:i w:val="1"/>
          <w:iCs w:val="1"/>
          <w:color w:val="auto"/>
        </w:rPr>
        <w:t>TSC2</w:t>
      </w:r>
      <w:r>
        <w:rPr>
          <w:rFonts w:ascii="Arial" w:cs="Arial" w:eastAsia="Arial" w:hAnsi="Arial"/>
          <w:sz w:val="13"/>
          <w:szCs w:val="13"/>
          <w:color w:val="auto"/>
        </w:rPr>
        <w:t>. Downstream signaling nodes of mTORC1, specifically S6K and 4EBP1, are key drivers of mTORC1 activity. Decreased phosphorylation of S6K leads to decreased activity, while decreased phosphorylation of 4EBP1 leads to increased activity. Sirolimus (also known as rapamycin) is an allosteric inhibitor of mTOR, which binds to the 12-kDa FK506-binding protein 12 ("FKBP12"), and the complex directly and strongly inhibits mTORC1.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68580</wp:posOffset>
            </wp:positionV>
            <wp:extent cx="2250440" cy="2694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50440"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Currently approved mTOR inhibitors are limited in their applicability due to poor and variable absorption of the oral drugs (sirolimus and everolimus) or variable conversion from prodrug to active drug (temsirolimus) and premedication requirements (temsirolimus). These drugs have a narrow therapeutic index and a reduction from the labelled dose can result in a decrease in efficacy. Preclinical study comparisons with FYARRO showed significantly higher tumor uptake, greater downstream mTOR target suppression and increased suppression of tumor growth for FYARRO compared to the oral mTOR inhibitors. A literature comparison of the clinical pharmacokinetic profiles of the drugs shows that FYARRO has a longer half-life, higher peak blood concentration and greater total exposure than the other approved mTOR inhibitors. FYARRO is administered in cycles that are given weekly for two weeks followed by a week off and does not require therapeutic monitoring to ensure adequate blood levels.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Nanoparticle Albumin-Bound (nab) Technology</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nanoparticle albumin-bound, or nab, technology was created and developed by Neil Desai, our founder and Executive Chairman, and former colleagues while at Abraxis Bioscience. This technology takes advantage of the protein albumin, a natural carrier of water insoluble molecules (e.g., various nutrients, vitamins and hormones) found in humans. Due to various active and passive transport processes in the body, albumin can accumulate preferentially in different tissues including tumors, areas of inflammation, or areas of tissue remodeling, i.e., at sites of disease. The nab technology takes advantage of these transport properties of albumin and its affinity of binding to certain drug molecules to increase the efficiency with which these molecules may be brought to these sites of disease. The first clinical and commercial validation of this technology is BMS's Abraxane</w:t>
      </w:r>
      <w:r>
        <w:rPr>
          <w:rFonts w:ascii="Arial" w:cs="Arial" w:eastAsia="Arial" w:hAnsi="Arial"/>
          <w:sz w:val="17"/>
          <w:szCs w:val="17"/>
          <w:color w:val="auto"/>
          <w:vertAlign w:val="superscript"/>
        </w:rPr>
        <w:t>®</w:t>
      </w:r>
      <w:r>
        <w:rPr>
          <w:rFonts w:ascii="Arial" w:cs="Arial" w:eastAsia="Arial" w:hAnsi="Arial"/>
          <w:sz w:val="13"/>
          <w:szCs w:val="13"/>
          <w:color w:val="auto"/>
        </w:rPr>
        <w:t>, which is approved in the United States and worldwide for the treatment of breast cancer, non-small cell lung cancer and pancreatic cancer. Abraxane has generated &gt;$1.0 billion of sales in the United States every year since 2018.</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applying the nab technology to the molecule sirolimus, a potent inhibitor of the mTOR pathway that is hindered in large part by a poor pharmacologic profile (e.g., poor and variable absorption with incomplete target suppression). The relevance of albumin transport in cancer has been extensively studied and albumin is known to accumulate in tumor tissues due to the leaky capillary system within the tumor, defective lymphatic drainage of tumors, and active caveolae-mediated transport across tumor blood vessel endothelium. In addition, albumin can be taken up by proliferating tumor cells via endocytosis and macropinocytosis, then catabolized by lysosomal degradation to support de novo protein synthesis, energy, and tumor growth. Ultimately, nab technology allows FYARRO to take advantage of albumin transport pathways to accumulate at high levels in tumors and deliver sirolimus directly to cancer cells where it can effectively inhibit mTOR. The accumulation of albumin in tumors can be easily visualized by using the dye evans blue which has a high affinity for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albumin. Intravenous injection of albumin-evans blue complex in animals bearing tumors resulted in rapid accumulation of the complex within the tumors which could be easily visualized in a few hours after injection. Similarly, a fluorescent labelled albumin when injected into human glioblastoma patients 24-48 hours before surgery resulted in excellent visualization of the tumors during surgery under fluorescent light and allowed the complete resection of the tumor margins in the majority of the patients treated.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Figure 2 </w:t>
      </w:r>
      <w:r>
        <w:rPr>
          <w:rFonts w:ascii="Arial" w:cs="Arial" w:eastAsia="Arial" w:hAnsi="Arial"/>
          <w:sz w:val="14"/>
          <w:szCs w:val="14"/>
          <w:color w:val="auto"/>
        </w:rPr>
        <w:t>– Albumin Accumulation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68580</wp:posOffset>
            </wp:positionV>
            <wp:extent cx="4446270" cy="1926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46270" cy="192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FYARRO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nab</w:t>
      </w:r>
      <w:r>
        <w:rPr>
          <w:rFonts w:ascii="Arial" w:cs="Arial" w:eastAsia="Arial" w:hAnsi="Arial"/>
          <w:sz w:val="14"/>
          <w:szCs w:val="14"/>
          <w:color w:val="auto"/>
        </w:rPr>
        <w:t>-sirolimus, sirolimus protein-bound particles for injectable suspension (albumin-bound))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FYARRO is a form of sirolimus bound to albumin. Sirolimus is a potent inhibitor of the mTOR biological pathway and inhibits downstream signaling from mTOR, which can promote tumor growth.</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FYARRO is composed of nanoparticles of sirolimus bound to human albumin with average size less than 100 nanometers. An artist’s impression of these nanoparticles is shown below.</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Figure 3 – </w:t>
      </w:r>
      <w:r>
        <w:rPr>
          <w:rFonts w:ascii="Arial" w:cs="Arial" w:eastAsia="Arial" w:hAnsi="Arial"/>
          <w:sz w:val="14"/>
          <w:szCs w:val="14"/>
          <w:color w:val="auto"/>
        </w:rPr>
        <w:t>Nanoparticle artist impression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68580</wp:posOffset>
            </wp:positionV>
            <wp:extent cx="3234055" cy="1677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4055" cy="167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orally available mTOR inhibitors have poor and variable absorption, often require therapeutic drug monitoring, and have incomplete target suppression. The combination of sirolimus with human albumin in FYARRO achieves higher area under the curve (AUC), Cmax and longer half-life in humans at its clinical dose when compared with published clinical data for other mTOR inhibitors, demonstrating FYARRO’s differentiated clinical pharmacologic and pharmacokinetic profile.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Figure 4 </w:t>
      </w:r>
      <w:r>
        <w:rPr>
          <w:rFonts w:ascii="Arial" w:cs="Arial" w:eastAsia="Arial" w:hAnsi="Arial"/>
          <w:sz w:val="14"/>
          <w:szCs w:val="14"/>
          <w:color w:val="auto"/>
        </w:rPr>
        <w:t>– FYARRO PK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68580</wp:posOffset>
            </wp:positionV>
            <wp:extent cx="4446270" cy="1233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46270" cy="123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These differences in pharmacology can result in advantageous differences in the clinical behavior of FYARRO when compared to the other mTOR inhibitors. This is effectively illustrated in comparative experiments in animals bearing bladder cancer tumors or liver cancer tumors. Data from these tumor-bearing animal models showed many-fold higher tumor drug levels for FYARRO at equal dose to the other mTOR inhibitors which was correlated with a greater degree of mTOR target suppression as indicated by inhibition of phosphorylation of S6 and 4EBP1 (downstream signaling nodes of mTORC1 that are known to play a role in downstream activity of mTOR as well as resistance to mTOR suppression), and a correspondingly higher suppression of tumor growth.</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believe that other mTOR inhibitors on the market or active in clinical development do not have the required favorable pharmacological profile to fully exploit the benefits of mTOR inhibition. We believe that FYARRO’s differentiated pharmacologic profile, high tumor accumulation, and ability to effectively inhibit important targets in the mTOR pathway make it a well-positioned drug to address resistance and suboptimal efficacy of existing mTOR inhibitors.</w:t>
      </w:r>
    </w:p>
    <w:p>
      <w:pPr>
        <w:spacing w:after="0" w:line="46"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We are studying FYARRO in cancers with known mTOR pathway activation, including tumor-agnostic indications targeting specific genomic alterations that activate the mTOR pathway. In addition, we have ongoing studies as well as studies in planning for testing the safety and efficacy of FYARRO in combination with other targeted agents, such as our current collaboration with Mirati to evaluate the combination of Mirati’s adagrasib, a KRASG12C selective inhibitor, and FYARRO in KRASG12C mutant non-small cell lung cancer (NSCLC) and other solid tumors. Our ongoing studies and studies in planning are summarized in the figure below.</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Figure 5 </w:t>
      </w:r>
      <w:r>
        <w:rPr>
          <w:rFonts w:ascii="Arial" w:cs="Arial" w:eastAsia="Arial" w:hAnsi="Arial"/>
          <w:sz w:val="14"/>
          <w:szCs w:val="14"/>
          <w:color w:val="auto"/>
        </w:rPr>
        <w: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68580</wp:posOffset>
            </wp:positionV>
            <wp:extent cx="4446270" cy="1960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4627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EAP was opened to bridge access to FYARRO until market authorization and has since been closed in the United States following the commercial availability of FYARRO. The EAP is available for advanced malignant PEComa patients in certain countries outside the United States.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FYARRO - Commercial</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i w:val="1"/>
          <w:iCs w:val="1"/>
          <w:color w:val="auto"/>
        </w:rPr>
        <w:t xml:space="preserve">Advanced Malignant PEComa. </w:t>
      </w:r>
      <w:r>
        <w:rPr>
          <w:rFonts w:ascii="Arial" w:cs="Arial" w:eastAsia="Arial" w:hAnsi="Arial"/>
          <w:sz w:val="13"/>
          <w:szCs w:val="13"/>
          <w:color w:val="auto"/>
        </w:rPr>
        <w:t>PEComas are mesenchymal neoplasms, composed of histologically and immunohistochemically distinctive cells, perivascular epithelioid cells (“PEC”s). Most</w:t>
      </w:r>
      <w:r>
        <w:rPr>
          <w:rFonts w:ascii="Arial" w:cs="Arial" w:eastAsia="Arial" w:hAnsi="Arial"/>
          <w:sz w:val="13"/>
          <w:szCs w:val="13"/>
          <w:i w:val="1"/>
          <w:iCs w:val="1"/>
          <w:color w:val="auto"/>
        </w:rPr>
        <w:t xml:space="preserve"> </w:t>
      </w:r>
      <w:r>
        <w:rPr>
          <w:rFonts w:ascii="Arial" w:cs="Arial" w:eastAsia="Arial" w:hAnsi="Arial"/>
          <w:sz w:val="13"/>
          <w:szCs w:val="13"/>
          <w:color w:val="auto"/>
        </w:rPr>
        <w:t>PEComas are clinically benign and do not metastasize, but malignant PEComas can demonstrate local invasion and aggressive metastatic spread. PEComas show a wide anatomical distribution, but most often arise in the retroperitoneum, abdominopelvic region, uterus and gastrointestinal tract, and have a 4:1 female predominance. Malignant PEComas are classified as one of the ultra-rare soft-tissue sarcomas with an estimated annual incidence of roughly 100-300 patients per year in the United States, although formal epidemiology studies have yet to be conducted.</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FYARRO is the first FDA approved treatment specifically for malignant PEComa. The disease is often treated with the cytotoxic chemotherapy regimens used in soft tissue sarcomas, which have shown only modest benefit for malignant PEComa. PEComas commonly show evidence of mTORC1 activation at least in part due to loss-of-function mutations in or deletions of the </w:t>
      </w:r>
      <w:r>
        <w:rPr>
          <w:rFonts w:ascii="Arial" w:cs="Arial" w:eastAsia="Arial" w:hAnsi="Arial"/>
          <w:sz w:val="13"/>
          <w:szCs w:val="13"/>
          <w:i w:val="1"/>
          <w:iCs w:val="1"/>
          <w:color w:val="auto"/>
        </w:rPr>
        <w:t>TSC1</w:t>
      </w:r>
      <w:r>
        <w:rPr>
          <w:rFonts w:ascii="Arial" w:cs="Arial" w:eastAsia="Arial" w:hAnsi="Arial"/>
          <w:sz w:val="13"/>
          <w:szCs w:val="13"/>
          <w:color w:val="auto"/>
        </w:rPr>
        <w:t xml:space="preserve"> or </w:t>
      </w:r>
      <w:r>
        <w:rPr>
          <w:rFonts w:ascii="Arial" w:cs="Arial" w:eastAsia="Arial" w:hAnsi="Arial"/>
          <w:sz w:val="13"/>
          <w:szCs w:val="13"/>
          <w:i w:val="1"/>
          <w:iCs w:val="1"/>
          <w:color w:val="auto"/>
        </w:rPr>
        <w:t>TSC2</w:t>
      </w:r>
      <w:r>
        <w:rPr>
          <w:rFonts w:ascii="Arial" w:cs="Arial" w:eastAsia="Arial" w:hAnsi="Arial"/>
          <w:sz w:val="13"/>
          <w:szCs w:val="13"/>
          <w:color w:val="auto"/>
        </w:rPr>
        <w:t xml:space="preserve"> genes. In a retrospective analysis, patients with malignant PEComa treated with available mTOR inhibitors (mTORi, sirolimus, everolimus, and temsirolimus) benefited from treatment suggesting that mTORC1 inhibition may be a promising therapeutic approach for malignant PEComa. As a result, available mTOR inhibitors may also be used to treat malignant PEComa.</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May 2021, we completed the filing of a rolling NDA for FYARRO to the U.S. Food and Drug Administration (the “FDA”), for approval to treat patients with advanced malignant PEComa. The NDA was based on results from our Phase 2 registration-directed study, Advanced Malignant PEComa Trial, (“AMPECT”), in advanced malignant PEComa for which there were, prior to FYARRO, no approved therapies in the United States and for which there had never been a prior prospective clinical trial.</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advanced malignant PEComa, other than FYARRO, there are no existing FDA approved therapies or drugs that have been studied in prospective clinical trials. Following FDA approval, the National Comprehensive Cancer Network (“NCCN”) Sarcoma panel included FYARRO as the only preferred regimen for treatment of malignant PEComa.</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February 22, 2022, we launched FYARRO in the United States for treatment of advanced malignant PEComa and recognized net product sales of $15.2 million for the year ended December 31, 2022.</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FYARRO - Clinical Development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Preclinical profile FYARRO</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demonstrated the antitumor activity of FYARRO in a series of nonclinical pharmacology studies. FYARRO exhibited antitumor activity as a single agent and in combination with other therapeutic agents in a wide range of tumor types. As a single agent, FYARRO significantly inhibited tumor growth of multiple human and mouse tumor models with known mTOR pathway activation including colon, breast, ovarian, bladder, and liver human tumor xenograft models, and in a melanoma mouse tumor model. In nonclinical PK studies, we have shown that FYARRO intravenous (“IV”) administration resulted in significant, rapid, and prolonged sirolimus distribution to different organs and in tumors. As a single agent monotherapy and in combination with other therapies, FYARRO was well tolerated with limited body weight loss.</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2019, at the American Association for Cancer Research Annual Meeting, we presented preclinical data that describes the tumor accumulation, mTOR target inhibition, and antitumor activity of FYARRO IV in comparison to oral sirolimus and oral everolimus in athymic mice bearing UMUC3 human bladder tumor xenografts. At a clinically relevant dose of 15 mg/kg/week for all agents, FYARRO resulted in higher drug accumulation in tumors and stronger suppression of mTOR target pS6, which correlated with significantly greater tumor growth inhibition and prolonged survival compared with equal weekly dose of oral sirolimus and everolimus.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also determined the antitumor activity of FYARRO in comparison to oral Rapamune against TSC2-null SNU-398 human liver tumor xenografts. At equal weekly dose of 15 mg/kg/week, FYARRO IV resulted in significantly greater tumor growth inhibition and longer animal survival, which correlated with stronger suppression of mTOR downstream targets pS6K, pS6, and p4EBP1 as measured by western blot.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68580</wp:posOffset>
            </wp:positionV>
            <wp:extent cx="4446270" cy="1064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46270" cy="1064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Both as a single agent and in combination, the nonclinical studies support the clinical development of FYARRO as an anticancer therapy.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Advanced Malignant PEComa Trial (AMPECT)</w:t>
      </w:r>
    </w:p>
    <w:p>
      <w:pPr>
        <w:spacing w:after="0" w:line="9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PEComa. </w:t>
      </w:r>
      <w:r>
        <w:rPr>
          <w:rFonts w:ascii="Arial" w:cs="Arial" w:eastAsia="Arial" w:hAnsi="Arial"/>
          <w:sz w:val="14"/>
          <w:szCs w:val="14"/>
          <w:color w:val="auto"/>
        </w:rPr>
        <w:t>AMPECT was the first prospective clinical trial in advanced malignant PEComa. Patients with metastatic or inoperable locally advanced disease were treated with FYARRO at 100</w:t>
      </w:r>
      <w:r>
        <w:rPr>
          <w:rFonts w:ascii="Arial" w:cs="Arial" w:eastAsia="Arial" w:hAnsi="Arial"/>
          <w:sz w:val="14"/>
          <w:szCs w:val="14"/>
          <w:i w:val="1"/>
          <w:iCs w:val="1"/>
          <w:color w:val="auto"/>
        </w:rPr>
        <w:t xml:space="preserve"> </w:t>
      </w:r>
      <w:r>
        <w:rPr>
          <w:rFonts w:ascii="Arial" w:cs="Arial" w:eastAsia="Arial" w:hAnsi="Arial"/>
          <w:sz w:val="14"/>
          <w:szCs w:val="14"/>
          <w:color w:val="auto"/>
        </w:rPr>
        <w:t>mg/m2 administered as an IV infusion over 30 minutes on Days 1 and 8 of a 21-day cycle. The primary endpoint for the study was ORR evaluated by independent radiology review. Secondary efficacy endpoints included duration of response (“DOR”), progression free survival (“PFS”) and overall survival (“OS”). The sample size estimation assumed an observed ORR of 30% for a sample size of 30 patients, which would exclude values less than 14.7% for the lower bound of the 95% confidence interval.</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This registrational trial met its primary endpoint demonstrating the efficacy of </w:t>
      </w:r>
      <w:r>
        <w:rPr>
          <w:rFonts w:ascii="Arial" w:cs="Arial" w:eastAsia="Arial" w:hAnsi="Arial"/>
          <w:sz w:val="14"/>
          <w:szCs w:val="14"/>
          <w:i w:val="1"/>
          <w:iCs w:val="1"/>
          <w:color w:val="auto"/>
        </w:rPr>
        <w:t>nab-</w:t>
      </w:r>
      <w:r>
        <w:rPr>
          <w:rFonts w:ascii="Arial" w:cs="Arial" w:eastAsia="Arial" w:hAnsi="Arial"/>
          <w:sz w:val="14"/>
          <w:szCs w:val="14"/>
          <w:color w:val="auto"/>
        </w:rPr>
        <w:t>sirolimus in this rare disease for which there was no FDA approved treatment, with an independently assessed ORR of 39% (95% CI: 22%, 58%). Disease control (defined as complete or partial response (“CR” or “PR”) + stable disease ≥12 weeks) was achieved in 71% of patients. FYARRO (</w:t>
      </w:r>
      <w:r>
        <w:rPr>
          <w:rFonts w:ascii="Arial" w:cs="Arial" w:eastAsia="Arial" w:hAnsi="Arial"/>
          <w:sz w:val="14"/>
          <w:szCs w:val="14"/>
          <w:i w:val="1"/>
          <w:iCs w:val="1"/>
          <w:color w:val="auto"/>
        </w:rPr>
        <w:t>nab-</w:t>
      </w:r>
      <w:r>
        <w:rPr>
          <w:rFonts w:ascii="Arial" w:cs="Arial" w:eastAsia="Arial" w:hAnsi="Arial"/>
          <w:sz w:val="14"/>
          <w:szCs w:val="14"/>
          <w:color w:val="auto"/>
        </w:rPr>
        <w:t>sirolimus) was subsequently approved by the FDA for the treatment of advanced malignant PEComa on November 22, 2021.</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Sixty-seven percent (8 of 12) of responses were seen at the first scan after baseline at week six (median time to response 1.4 months, 95% CI: 1.3 to 2.8 months). At the time of the primary analysis (predefined as when all patients had an opportunity to be treated for 6 months), the median for the key secondary endpoint of DOR was not yet reached, with 9 of 12 responders still on treatment (DOR range 4.2+, 27.7+ months). At 1.5-years of follow-up after the primary analysis date (i.e., 2-years after the last patient-initiated treatment), 7 of 12 responders were still receiving treatment and the median DOR was still not reached, with 50% of patients exceeding 2.5 years (DOR range 5.6, 47.2+ months).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Figure 6 shows the target tumor responses (waterfall plot). One patient with a primary renal PEComa metastatic to the lungs and lymph nodes had a PR for 10 months that converted to a CR. Responses were independent of the primary site and were observed in tumors originating in the uterus (3), kidney (3), retroperitoneum (2), pelvis (2), liver (1), and small bowel (1). Notably, 43% (3/7) of patients with uterine PEComa had a partial response. Responses were also observed in 3/4 patients who had previously received chemotherapy.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Figure 8 </w:t>
      </w:r>
      <w:r>
        <w:rPr>
          <w:rFonts w:ascii="Arial" w:cs="Arial" w:eastAsia="Arial" w:hAnsi="Arial"/>
          <w:sz w:val="14"/>
          <w:szCs w:val="14"/>
          <w:color w:val="auto"/>
        </w:rPr>
        <w:t>– Waterfall plot of Maximum Reduction in Target Lesions, Two-year Follow-up (Wagner et al., JCO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68580</wp:posOffset>
            </wp:positionV>
            <wp:extent cx="3637915" cy="2418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37915" cy="241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*A patient with unconfirmed PR is considered having SD as best response (trial required confirmation of responses per RECIST v1.1). Additionally, a patient with a complete response of target tumor reduction had a PR as best response because of unresolved nontarget lesions at the 2-year data cutoff (Wagner et al, JCO 2021); however, this patient later achieved a confirmed complete response (FYARRO Prescribing Information).</w:t>
      </w:r>
    </w:p>
    <w:p>
      <w:pPr>
        <w:spacing w:after="0" w:line="6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Treatment-related adverse events (“TRAE”) were consistent with those reported for other mTOR inhibitors. The most common hematologic events were anemia and thrombocytopenia, and the most common nonhematologic events were mucositis, rash and fatigue. The details are provided in Table 1 below. There were no grade 4 or 5 TRAEs. Noninfectious pneumonitis occurred in 6/34 (18%) patients and all were low grade (G1/G2). Patient discontinuation due to adverse events occurred on 3/34 (9%) patients (one grade 2 anemia and one grade 1 cystitis). Dose reductions occurred in 12/34 (35%) patients; 11 patients had a one dose reduction from 100 mg/m2 to 75 mg/m2 and 2 patients had two dose reductions to 56 mg/m2.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Table 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TRAE</w:t>
            </w:r>
          </w:p>
        </w:tc>
        <w:tc>
          <w:tcPr>
            <w:tcW w:w="2960" w:type="dxa"/>
            <w:vAlign w:val="bottom"/>
            <w:tcBorders>
              <w:bottom w:val="single" w:sz="8" w:color="auto"/>
            </w:tcBorders>
            <w:gridSpan w:val="2"/>
          </w:tcPr>
          <w:p>
            <w:pPr>
              <w:ind w:left="780"/>
              <w:spacing w:after="0"/>
              <w:rPr>
                <w:sz w:val="20"/>
                <w:szCs w:val="20"/>
                <w:color w:val="auto"/>
              </w:rPr>
            </w:pPr>
            <w:r>
              <w:rPr>
                <w:rFonts w:ascii="Arial" w:cs="Arial" w:eastAsia="Arial" w:hAnsi="Arial"/>
                <w:sz w:val="11"/>
                <w:szCs w:val="11"/>
                <w:b w:val="1"/>
                <w:bCs w:val="1"/>
                <w:color w:val="auto"/>
              </w:rPr>
              <w:t>Any Grade ≥ 25%, No. (%)</w:t>
            </w:r>
          </w:p>
        </w:tc>
        <w:tc>
          <w:tcPr>
            <w:tcW w:w="2980" w:type="dxa"/>
            <w:vAlign w:val="bottom"/>
            <w:tcBorders>
              <w:bottom w:val="single" w:sz="8" w:color="auto"/>
            </w:tcBorders>
            <w:gridSpan w:val="2"/>
          </w:tcPr>
          <w:p>
            <w:pPr>
              <w:ind w:left="1060"/>
              <w:spacing w:after="0"/>
              <w:rPr>
                <w:sz w:val="20"/>
                <w:szCs w:val="20"/>
                <w:color w:val="auto"/>
              </w:rPr>
            </w:pPr>
            <w:r>
              <w:rPr>
                <w:rFonts w:ascii="Arial" w:cs="Arial" w:eastAsia="Arial" w:hAnsi="Arial"/>
                <w:sz w:val="11"/>
                <w:szCs w:val="11"/>
                <w:b w:val="1"/>
                <w:bCs w:val="1"/>
                <w:color w:val="auto"/>
              </w:rPr>
              <w:t>Grade 3, No. (%)</w:t>
            </w:r>
          </w:p>
        </w:tc>
      </w:tr>
      <w:tr>
        <w:trPr>
          <w:trHeight w:val="175"/>
        </w:trPr>
        <w:tc>
          <w:tcPr>
            <w:tcW w:w="534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Patients with any TRAEs</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34</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(100)</w:t>
            </w:r>
          </w:p>
        </w:tc>
        <w:tc>
          <w:tcPr>
            <w:tcW w:w="1480" w:type="dxa"/>
            <w:vAlign w:val="bottom"/>
            <w:tcBorders>
              <w:bottom w:val="single" w:sz="8" w:color="auto"/>
            </w:tcBorders>
            <w:shd w:val="clear" w:color="auto" w:fill="E1E0DE"/>
          </w:tcPr>
          <w:p>
            <w:pPr>
              <w:spacing w:after="0"/>
              <w:rPr>
                <w:sz w:val="15"/>
                <w:szCs w:val="15"/>
                <w:color w:val="auto"/>
              </w:rPr>
            </w:pPr>
          </w:p>
        </w:tc>
        <w:tc>
          <w:tcPr>
            <w:tcW w:w="1500" w:type="dxa"/>
            <w:vAlign w:val="bottom"/>
            <w:tcBorders>
              <w:bottom w:val="single" w:sz="8" w:color="auto"/>
            </w:tcBorders>
            <w:shd w:val="clear" w:color="auto" w:fill="E1E0DE"/>
          </w:tcPr>
          <w:p>
            <w:pPr>
              <w:spacing w:after="0"/>
              <w:rPr>
                <w:sz w:val="15"/>
                <w:szCs w:val="15"/>
                <w:color w:val="auto"/>
              </w:rPr>
            </w:pPr>
          </w:p>
        </w:tc>
      </w:tr>
      <w:tr>
        <w:trPr>
          <w:trHeight w:val="171"/>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Hematologic TRAEs</w:t>
            </w:r>
          </w:p>
        </w:tc>
        <w:tc>
          <w:tcPr>
            <w:tcW w:w="1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71"/>
        </w:trPr>
        <w:tc>
          <w:tcPr>
            <w:tcW w:w="5340" w:type="dxa"/>
            <w:vAlign w:val="bottom"/>
            <w:tcBorders>
              <w:bottom w:val="single" w:sz="8" w:color="auto"/>
            </w:tcBorders>
          </w:tcPr>
          <w:p>
            <w:pPr>
              <w:ind w:left="180"/>
              <w:spacing w:after="0" w:line="171" w:lineRule="exact"/>
              <w:rPr>
                <w:sz w:val="20"/>
                <w:szCs w:val="20"/>
                <w:color w:val="auto"/>
              </w:rPr>
            </w:pPr>
            <w:r>
              <w:rPr>
                <w:rFonts w:ascii="Arial" w:cs="Arial" w:eastAsia="Arial" w:hAnsi="Arial"/>
                <w:sz w:val="14"/>
                <w:szCs w:val="14"/>
                <w:color w:val="auto"/>
              </w:rPr>
              <w:t>Anemia</w:t>
            </w:r>
            <w:r>
              <w:rPr>
                <w:rFonts w:ascii="Arial" w:cs="Arial" w:eastAsia="Arial" w:hAnsi="Arial"/>
                <w:sz w:val="18"/>
                <w:szCs w:val="18"/>
                <w:color w:val="auto"/>
                <w:vertAlign w:val="superscript"/>
              </w:rPr>
              <w:t>a</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w:t>
            </w:r>
          </w:p>
        </w:tc>
      </w:tr>
      <w:tr>
        <w:trPr>
          <w:trHeight w:val="171"/>
        </w:trPr>
        <w:tc>
          <w:tcPr>
            <w:tcW w:w="5340" w:type="dxa"/>
            <w:vAlign w:val="bottom"/>
            <w:tcBorders>
              <w:bottom w:val="single" w:sz="8" w:color="auto"/>
            </w:tcBorders>
          </w:tcPr>
          <w:p>
            <w:pPr>
              <w:ind w:left="180"/>
              <w:spacing w:after="0" w:line="171" w:lineRule="exact"/>
              <w:rPr>
                <w:sz w:val="20"/>
                <w:szCs w:val="20"/>
                <w:color w:val="auto"/>
              </w:rPr>
            </w:pPr>
            <w:r>
              <w:rPr>
                <w:rFonts w:ascii="Arial" w:cs="Arial" w:eastAsia="Arial" w:hAnsi="Arial"/>
                <w:sz w:val="14"/>
                <w:szCs w:val="14"/>
                <w:color w:val="auto"/>
              </w:rPr>
              <w:t>Thrombocytopenia</w:t>
            </w:r>
            <w:r>
              <w:rPr>
                <w:rFonts w:ascii="Arial" w:cs="Arial" w:eastAsia="Arial" w:hAnsi="Arial"/>
                <w:sz w:val="18"/>
                <w:szCs w:val="18"/>
                <w:color w:val="auto"/>
                <w:vertAlign w:val="superscript"/>
              </w:rPr>
              <w:t>a</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w:t>
            </w:r>
          </w:p>
        </w:tc>
      </w:tr>
      <w:tr>
        <w:trPr>
          <w:trHeight w:val="171"/>
        </w:trPr>
        <w:tc>
          <w:tcPr>
            <w:tcW w:w="534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Nonhematologic TRAEs</w:t>
            </w:r>
          </w:p>
        </w:tc>
        <w:tc>
          <w:tcPr>
            <w:tcW w:w="1480" w:type="dxa"/>
            <w:vAlign w:val="bottom"/>
            <w:tcBorders>
              <w:bottom w:val="single" w:sz="8" w:color="auto"/>
            </w:tcBorders>
            <w:shd w:val="clear" w:color="auto" w:fill="E1E0DE"/>
          </w:tcPr>
          <w:p>
            <w:pPr>
              <w:spacing w:after="0"/>
              <w:rPr>
                <w:sz w:val="14"/>
                <w:szCs w:val="14"/>
                <w:color w:val="auto"/>
              </w:rPr>
            </w:pPr>
          </w:p>
        </w:tc>
        <w:tc>
          <w:tcPr>
            <w:tcW w:w="1480" w:type="dxa"/>
            <w:vAlign w:val="bottom"/>
            <w:tcBorders>
              <w:bottom w:val="single" w:sz="8" w:color="auto"/>
            </w:tcBorders>
            <w:shd w:val="clear" w:color="auto" w:fill="E1E0DE"/>
          </w:tcPr>
          <w:p>
            <w:pPr>
              <w:spacing w:after="0"/>
              <w:rPr>
                <w:sz w:val="14"/>
                <w:szCs w:val="14"/>
                <w:color w:val="auto"/>
              </w:rPr>
            </w:pP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spacing w:after="0"/>
              <w:rPr>
                <w:sz w:val="14"/>
                <w:szCs w:val="14"/>
                <w:color w:val="auto"/>
              </w:rPr>
            </w:pPr>
          </w:p>
        </w:tc>
      </w:tr>
      <w:tr>
        <w:trPr>
          <w:trHeight w:val="171"/>
        </w:trPr>
        <w:tc>
          <w:tcPr>
            <w:tcW w:w="5340" w:type="dxa"/>
            <w:vAlign w:val="bottom"/>
            <w:tcBorders>
              <w:bottom w:val="single" w:sz="8" w:color="auto"/>
            </w:tcBorders>
            <w:shd w:val="clear" w:color="auto" w:fill="E1E0DE"/>
          </w:tcPr>
          <w:p>
            <w:pPr>
              <w:ind w:left="180"/>
              <w:spacing w:after="0" w:line="171" w:lineRule="exact"/>
              <w:rPr>
                <w:sz w:val="20"/>
                <w:szCs w:val="20"/>
                <w:color w:val="auto"/>
              </w:rPr>
            </w:pPr>
            <w:r>
              <w:rPr>
                <w:rFonts w:ascii="Arial" w:cs="Arial" w:eastAsia="Arial" w:hAnsi="Arial"/>
                <w:sz w:val="14"/>
                <w:szCs w:val="14"/>
                <w:color w:val="auto"/>
              </w:rPr>
              <w:t>Mucositis</w:t>
            </w:r>
            <w:r>
              <w:rPr>
                <w:rFonts w:ascii="Arial" w:cs="Arial" w:eastAsia="Arial" w:hAnsi="Arial"/>
                <w:sz w:val="18"/>
                <w:szCs w:val="18"/>
                <w:color w:val="auto"/>
                <w:vertAlign w:val="superscript"/>
              </w:rPr>
              <w:t>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27</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(79)</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6</w:t>
            </w: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(18)</w:t>
            </w:r>
          </w:p>
        </w:tc>
      </w:tr>
      <w:tr>
        <w:trPr>
          <w:trHeight w:val="171"/>
        </w:trPr>
        <w:tc>
          <w:tcPr>
            <w:tcW w:w="5340" w:type="dxa"/>
            <w:vAlign w:val="bottom"/>
            <w:tcBorders>
              <w:bottom w:val="single" w:sz="8" w:color="auto"/>
            </w:tcBorders>
            <w:shd w:val="clear" w:color="auto" w:fill="E1E0DE"/>
          </w:tcPr>
          <w:p>
            <w:pPr>
              <w:ind w:left="180"/>
              <w:spacing w:after="0" w:line="171" w:lineRule="exact"/>
              <w:rPr>
                <w:sz w:val="20"/>
                <w:szCs w:val="20"/>
                <w:color w:val="auto"/>
              </w:rPr>
            </w:pPr>
            <w:r>
              <w:rPr>
                <w:rFonts w:ascii="Arial" w:cs="Arial" w:eastAsia="Arial" w:hAnsi="Arial"/>
                <w:sz w:val="14"/>
                <w:szCs w:val="14"/>
                <w:color w:val="auto"/>
              </w:rPr>
              <w:t>Rash</w:t>
            </w:r>
            <w:r>
              <w:rPr>
                <w:rFonts w:ascii="Arial" w:cs="Arial" w:eastAsia="Arial" w:hAnsi="Arial"/>
                <w:sz w:val="18"/>
                <w:szCs w:val="18"/>
                <w:color w:val="auto"/>
                <w:vertAlign w:val="superscript"/>
              </w:rPr>
              <w:t>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19</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(56)</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tcBorders>
              <w:bottom w:val="single" w:sz="8" w:color="auto"/>
            </w:tcBorders>
            <w:shd w:val="clear" w:color="auto" w:fill="E1E0DE"/>
          </w:tcPr>
          <w:p>
            <w:pPr>
              <w:ind w:left="180"/>
              <w:spacing w:after="0"/>
              <w:rPr>
                <w:sz w:val="20"/>
                <w:szCs w:val="20"/>
                <w:color w:val="auto"/>
              </w:rPr>
            </w:pPr>
            <w:r>
              <w:rPr>
                <w:rFonts w:ascii="Arial" w:cs="Arial" w:eastAsia="Arial" w:hAnsi="Arial"/>
                <w:sz w:val="14"/>
                <w:szCs w:val="14"/>
                <w:color w:val="auto"/>
              </w:rPr>
              <w:t>Fatigue</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20</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(59)</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w:t>
            </w: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(3)</w:t>
            </w:r>
          </w:p>
        </w:tc>
      </w:tr>
      <w:tr>
        <w:trPr>
          <w:trHeight w:val="171"/>
        </w:trPr>
        <w:tc>
          <w:tcPr>
            <w:tcW w:w="5340" w:type="dxa"/>
            <w:vAlign w:val="bottom"/>
            <w:tcBorders>
              <w:bottom w:val="single" w:sz="8" w:color="auto"/>
            </w:tcBorders>
            <w:shd w:val="clear" w:color="auto" w:fill="E1E0DE"/>
          </w:tcPr>
          <w:p>
            <w:pPr>
              <w:ind w:left="180"/>
              <w:spacing w:after="0"/>
              <w:rPr>
                <w:sz w:val="20"/>
                <w:szCs w:val="20"/>
                <w:color w:val="auto"/>
              </w:rPr>
            </w:pPr>
            <w:r>
              <w:rPr>
                <w:rFonts w:ascii="Arial" w:cs="Arial" w:eastAsia="Arial" w:hAnsi="Arial"/>
                <w:sz w:val="14"/>
                <w:szCs w:val="14"/>
                <w:color w:val="auto"/>
              </w:rPr>
              <w:t>Nausea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16</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(47)</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tcBorders>
              <w:bottom w:val="single" w:sz="8" w:color="auto"/>
            </w:tcBorders>
            <w:shd w:val="clear" w:color="auto" w:fill="E1E0DE"/>
          </w:tcPr>
          <w:p>
            <w:pPr>
              <w:ind w:left="180"/>
              <w:spacing w:after="0"/>
              <w:rPr>
                <w:sz w:val="20"/>
                <w:szCs w:val="20"/>
                <w:color w:val="auto"/>
              </w:rPr>
            </w:pPr>
            <w:r>
              <w:rPr>
                <w:rFonts w:ascii="Arial" w:cs="Arial" w:eastAsia="Arial" w:hAnsi="Arial"/>
                <w:sz w:val="14"/>
                <w:szCs w:val="14"/>
                <w:color w:val="auto"/>
              </w:rPr>
              <w:t>Diarrhea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13</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(38)</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tcBorders>
              <w:bottom w:val="single" w:sz="8" w:color="auto"/>
            </w:tcBorders>
            <w:shd w:val="clear" w:color="auto" w:fill="E1E0DE"/>
          </w:tcPr>
          <w:p>
            <w:pPr>
              <w:ind w:left="180"/>
              <w:spacing w:after="0"/>
              <w:rPr>
                <w:sz w:val="20"/>
                <w:szCs w:val="20"/>
                <w:color w:val="auto"/>
              </w:rPr>
            </w:pPr>
            <w:r>
              <w:rPr>
                <w:rFonts w:ascii="Arial" w:cs="Arial" w:eastAsia="Arial" w:hAnsi="Arial"/>
                <w:sz w:val="14"/>
                <w:szCs w:val="14"/>
                <w:color w:val="auto"/>
              </w:rPr>
              <w:t>Weight decreased</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13</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(38)</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tcBorders>
              <w:bottom w:val="single" w:sz="8" w:color="auto"/>
            </w:tcBorders>
            <w:shd w:val="clear" w:color="auto" w:fill="E1E0DE"/>
          </w:tcPr>
          <w:p>
            <w:pPr>
              <w:ind w:left="180"/>
              <w:spacing w:after="0" w:line="171" w:lineRule="exact"/>
              <w:rPr>
                <w:sz w:val="20"/>
                <w:szCs w:val="20"/>
                <w:color w:val="auto"/>
              </w:rPr>
            </w:pPr>
            <w:r>
              <w:rPr>
                <w:rFonts w:ascii="Arial" w:cs="Arial" w:eastAsia="Arial" w:hAnsi="Arial"/>
                <w:sz w:val="14"/>
                <w:szCs w:val="14"/>
                <w:color w:val="auto"/>
              </w:rPr>
              <w:t>Hyperglycemia</w:t>
            </w:r>
            <w:r>
              <w:rPr>
                <w:rFonts w:ascii="Arial" w:cs="Arial" w:eastAsia="Arial" w:hAnsi="Arial"/>
                <w:sz w:val="18"/>
                <w:szCs w:val="18"/>
                <w:color w:val="auto"/>
                <w:vertAlign w:val="superscript"/>
              </w:rPr>
              <w:t>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12</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(35)</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3</w:t>
            </w: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(9)</w:t>
            </w:r>
          </w:p>
        </w:tc>
      </w:tr>
      <w:tr>
        <w:trPr>
          <w:trHeight w:val="171"/>
        </w:trPr>
        <w:tc>
          <w:tcPr>
            <w:tcW w:w="5340" w:type="dxa"/>
            <w:vAlign w:val="bottom"/>
            <w:tcBorders>
              <w:bottom w:val="single" w:sz="8" w:color="auto"/>
            </w:tcBorders>
            <w:shd w:val="clear" w:color="auto" w:fill="E1E0DE"/>
          </w:tcPr>
          <w:p>
            <w:pPr>
              <w:ind w:left="180"/>
              <w:spacing w:after="0" w:line="171" w:lineRule="exact"/>
              <w:rPr>
                <w:sz w:val="20"/>
                <w:szCs w:val="20"/>
                <w:color w:val="auto"/>
              </w:rPr>
            </w:pPr>
            <w:r>
              <w:rPr>
                <w:rFonts w:ascii="Arial" w:cs="Arial" w:eastAsia="Arial" w:hAnsi="Arial"/>
                <w:sz w:val="14"/>
                <w:szCs w:val="14"/>
                <w:color w:val="auto"/>
              </w:rPr>
              <w:t>Hypertriglyceridemia</w:t>
            </w:r>
            <w:r>
              <w:rPr>
                <w:rFonts w:ascii="Arial" w:cs="Arial" w:eastAsia="Arial" w:hAnsi="Arial"/>
                <w:sz w:val="18"/>
                <w:szCs w:val="18"/>
                <w:color w:val="auto"/>
                <w:vertAlign w:val="superscript"/>
              </w:rPr>
              <w:t>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11</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(32)</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w:t>
            </w: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(3)</w:t>
            </w:r>
          </w:p>
        </w:tc>
      </w:tr>
      <w:tr>
        <w:trPr>
          <w:trHeight w:val="171"/>
        </w:trPr>
        <w:tc>
          <w:tcPr>
            <w:tcW w:w="5340" w:type="dxa"/>
            <w:vAlign w:val="bottom"/>
            <w:tcBorders>
              <w:bottom w:val="single" w:sz="8" w:color="auto"/>
            </w:tcBorders>
            <w:shd w:val="clear" w:color="auto" w:fill="E1E0DE"/>
          </w:tcPr>
          <w:p>
            <w:pPr>
              <w:ind w:left="180"/>
              <w:spacing w:after="0" w:line="171" w:lineRule="exact"/>
              <w:rPr>
                <w:sz w:val="20"/>
                <w:szCs w:val="20"/>
                <w:color w:val="auto"/>
              </w:rPr>
            </w:pPr>
            <w:r>
              <w:rPr>
                <w:rFonts w:ascii="Arial" w:cs="Arial" w:eastAsia="Arial" w:hAnsi="Arial"/>
                <w:sz w:val="14"/>
                <w:szCs w:val="14"/>
                <w:color w:val="auto"/>
              </w:rPr>
              <w:t>Hypercholesterolemia</w:t>
            </w:r>
            <w:r>
              <w:rPr>
                <w:rFonts w:ascii="Arial" w:cs="Arial" w:eastAsia="Arial" w:hAnsi="Arial"/>
                <w:sz w:val="18"/>
                <w:szCs w:val="18"/>
                <w:color w:val="auto"/>
                <w:vertAlign w:val="superscript"/>
              </w:rPr>
              <w:t>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11</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(32)</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tcBorders>
              <w:bottom w:val="single" w:sz="8" w:color="auto"/>
            </w:tcBorders>
            <w:shd w:val="clear" w:color="auto" w:fill="E1E0DE"/>
          </w:tcPr>
          <w:p>
            <w:pPr>
              <w:ind w:left="180"/>
              <w:spacing w:after="0"/>
              <w:rPr>
                <w:sz w:val="20"/>
                <w:szCs w:val="20"/>
                <w:color w:val="auto"/>
              </w:rPr>
            </w:pPr>
            <w:r>
              <w:rPr>
                <w:rFonts w:ascii="Arial" w:cs="Arial" w:eastAsia="Arial" w:hAnsi="Arial"/>
                <w:sz w:val="14"/>
                <w:szCs w:val="14"/>
                <w:color w:val="auto"/>
              </w:rPr>
              <w:t>Decreased appetite</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11</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(32)</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tcBorders>
              <w:bottom w:val="single" w:sz="8" w:color="auto"/>
            </w:tcBorders>
            <w:shd w:val="clear" w:color="auto" w:fill="E1E0DE"/>
          </w:tcPr>
          <w:p>
            <w:pPr>
              <w:ind w:left="180"/>
              <w:spacing w:after="0" w:line="171" w:lineRule="exact"/>
              <w:rPr>
                <w:sz w:val="20"/>
                <w:szCs w:val="20"/>
                <w:color w:val="auto"/>
              </w:rPr>
            </w:pPr>
            <w:r>
              <w:rPr>
                <w:rFonts w:ascii="Arial" w:cs="Arial" w:eastAsia="Arial" w:hAnsi="Arial"/>
                <w:sz w:val="14"/>
                <w:szCs w:val="14"/>
                <w:color w:val="auto"/>
              </w:rPr>
              <w:t>Dermatitis</w:t>
            </w:r>
            <w:r>
              <w:rPr>
                <w:rFonts w:ascii="Arial" w:cs="Arial" w:eastAsia="Arial" w:hAnsi="Arial"/>
                <w:sz w:val="18"/>
                <w:szCs w:val="18"/>
                <w:color w:val="auto"/>
                <w:vertAlign w:val="superscript"/>
              </w:rPr>
              <w:t>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10</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(29)</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tcBorders>
              <w:bottom w:val="single" w:sz="8" w:color="auto"/>
            </w:tcBorders>
            <w:shd w:val="clear" w:color="auto" w:fill="E1E0DE"/>
          </w:tcPr>
          <w:p>
            <w:pPr>
              <w:ind w:left="180"/>
              <w:spacing w:after="0" w:line="171" w:lineRule="exact"/>
              <w:rPr>
                <w:sz w:val="20"/>
                <w:szCs w:val="20"/>
                <w:color w:val="auto"/>
              </w:rPr>
            </w:pPr>
            <w:r>
              <w:rPr>
                <w:rFonts w:ascii="Arial" w:cs="Arial" w:eastAsia="Arial" w:hAnsi="Arial"/>
                <w:sz w:val="14"/>
                <w:szCs w:val="14"/>
                <w:color w:val="auto"/>
              </w:rPr>
              <w:t>Dysgeusi</w:t>
            </w:r>
            <w:r>
              <w:rPr>
                <w:rFonts w:ascii="Arial" w:cs="Arial" w:eastAsia="Arial" w:hAnsi="Arial"/>
                <w:sz w:val="18"/>
                <w:szCs w:val="18"/>
                <w:color w:val="auto"/>
                <w:vertAlign w:val="superscript"/>
              </w:rPr>
              <w:t>a</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10</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(29)</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tcBorders>
              <w:bottom w:val="single" w:sz="8" w:color="auto"/>
            </w:tcBorders>
            <w:shd w:val="clear" w:color="auto" w:fill="E1E0DE"/>
          </w:tcPr>
          <w:p>
            <w:pPr>
              <w:ind w:left="180"/>
              <w:spacing w:after="0"/>
              <w:rPr>
                <w:sz w:val="20"/>
                <w:szCs w:val="20"/>
                <w:color w:val="auto"/>
              </w:rPr>
            </w:pPr>
            <w:r>
              <w:rPr>
                <w:rFonts w:ascii="Arial" w:cs="Arial" w:eastAsia="Arial" w:hAnsi="Arial"/>
                <w:sz w:val="14"/>
                <w:szCs w:val="14"/>
                <w:color w:val="auto"/>
              </w:rPr>
              <w:t>Headache</w:t>
            </w:r>
          </w:p>
        </w:tc>
        <w:tc>
          <w:tcPr>
            <w:tcW w:w="1480" w:type="dxa"/>
            <w:vAlign w:val="bottom"/>
            <w:tcBorders>
              <w:bottom w:val="single" w:sz="8" w:color="auto"/>
            </w:tcBorders>
            <w:shd w:val="clear" w:color="auto" w:fill="E1E0DE"/>
          </w:tcPr>
          <w:p>
            <w:pPr>
              <w:jc w:val="right"/>
              <w:spacing w:after="0"/>
              <w:rPr>
                <w:sz w:val="20"/>
                <w:szCs w:val="20"/>
                <w:color w:val="auto"/>
              </w:rPr>
            </w:pPr>
            <w:r>
              <w:rPr>
                <w:rFonts w:ascii="Arial" w:cs="Arial" w:eastAsia="Arial" w:hAnsi="Arial"/>
                <w:sz w:val="14"/>
                <w:szCs w:val="14"/>
                <w:color w:val="auto"/>
              </w:rPr>
              <w:t>10</w:t>
            </w:r>
          </w:p>
        </w:tc>
        <w:tc>
          <w:tcPr>
            <w:tcW w:w="148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(29)</w:t>
            </w:r>
          </w:p>
        </w:tc>
        <w:tc>
          <w:tcPr>
            <w:tcW w:w="1480" w:type="dxa"/>
            <w:vAlign w:val="bottom"/>
            <w:tcBorders>
              <w:bottom w:val="single" w:sz="8" w:color="auto"/>
            </w:tcBorders>
            <w:shd w:val="clear" w:color="auto" w:fill="E1E0DE"/>
          </w:tcPr>
          <w:p>
            <w:pPr>
              <w:spacing w:after="0"/>
              <w:rPr>
                <w:sz w:val="14"/>
                <w:szCs w:val="14"/>
                <w:color w:val="auto"/>
              </w:rPr>
            </w:pPr>
          </w:p>
        </w:tc>
        <w:tc>
          <w:tcPr>
            <w:tcW w:w="1500" w:type="dxa"/>
            <w:vAlign w:val="bottom"/>
            <w:tcBorders>
              <w:bottom w:val="single" w:sz="8" w:color="auto"/>
            </w:tcBorders>
            <w:shd w:val="clear" w:color="auto" w:fill="E1E0DE"/>
          </w:tcPr>
          <w:p>
            <w:pPr>
              <w:ind w:left="20"/>
              <w:spacing w:after="0"/>
              <w:rPr>
                <w:sz w:val="20"/>
                <w:szCs w:val="20"/>
                <w:color w:val="auto"/>
              </w:rPr>
            </w:pPr>
            <w:r>
              <w:rPr>
                <w:rFonts w:ascii="Arial" w:cs="Arial" w:eastAsia="Arial" w:hAnsi="Arial"/>
                <w:sz w:val="14"/>
                <w:szCs w:val="14"/>
                <w:color w:val="auto"/>
              </w:rPr>
              <w:t>—</w:t>
            </w:r>
          </w:p>
        </w:tc>
      </w:tr>
      <w:tr>
        <w:trPr>
          <w:trHeight w:val="171"/>
        </w:trPr>
        <w:tc>
          <w:tcPr>
            <w:tcW w:w="5340" w:type="dxa"/>
            <w:vAlign w:val="bottom"/>
            <w:shd w:val="clear" w:color="auto" w:fill="E1E0DE"/>
          </w:tcPr>
          <w:p>
            <w:pPr>
              <w:ind w:left="180"/>
              <w:spacing w:after="0"/>
              <w:rPr>
                <w:sz w:val="20"/>
                <w:szCs w:val="20"/>
                <w:color w:val="auto"/>
              </w:rPr>
            </w:pPr>
            <w:r>
              <w:rPr>
                <w:rFonts w:ascii="Arial" w:cs="Arial" w:eastAsia="Arial" w:hAnsi="Arial"/>
                <w:sz w:val="14"/>
                <w:szCs w:val="14"/>
                <w:color w:val="auto"/>
              </w:rPr>
              <w:t>Peripheral edema</w:t>
            </w:r>
          </w:p>
        </w:tc>
        <w:tc>
          <w:tcPr>
            <w:tcW w:w="1480" w:type="dxa"/>
            <w:vAlign w:val="bottom"/>
            <w:shd w:val="clear" w:color="auto" w:fill="E1E0DE"/>
          </w:tcPr>
          <w:p>
            <w:pPr>
              <w:jc w:val="right"/>
              <w:spacing w:after="0"/>
              <w:rPr>
                <w:sz w:val="20"/>
                <w:szCs w:val="20"/>
                <w:color w:val="auto"/>
              </w:rPr>
            </w:pPr>
            <w:r>
              <w:rPr>
                <w:rFonts w:ascii="Arial" w:cs="Arial" w:eastAsia="Arial" w:hAnsi="Arial"/>
                <w:sz w:val="14"/>
                <w:szCs w:val="14"/>
                <w:color w:val="auto"/>
              </w:rPr>
              <w:t>9</w:t>
            </w:r>
          </w:p>
        </w:tc>
        <w:tc>
          <w:tcPr>
            <w:tcW w:w="1480" w:type="dxa"/>
            <w:vAlign w:val="bottom"/>
            <w:shd w:val="clear" w:color="auto" w:fill="E1E0DE"/>
          </w:tcPr>
          <w:p>
            <w:pPr>
              <w:ind w:left="20"/>
              <w:spacing w:after="0"/>
              <w:rPr>
                <w:sz w:val="20"/>
                <w:szCs w:val="20"/>
                <w:color w:val="auto"/>
              </w:rPr>
            </w:pPr>
            <w:r>
              <w:rPr>
                <w:rFonts w:ascii="Arial" w:cs="Arial" w:eastAsia="Arial" w:hAnsi="Arial"/>
                <w:sz w:val="14"/>
                <w:szCs w:val="14"/>
                <w:color w:val="auto"/>
              </w:rPr>
              <w:t>(26)</w:t>
            </w:r>
          </w:p>
        </w:tc>
        <w:tc>
          <w:tcPr>
            <w:tcW w:w="1480" w:type="dxa"/>
            <w:vAlign w:val="bottom"/>
            <w:shd w:val="clear" w:color="auto" w:fill="E1E0DE"/>
          </w:tcPr>
          <w:p>
            <w:pPr>
              <w:spacing w:after="0"/>
              <w:rPr>
                <w:sz w:val="14"/>
                <w:szCs w:val="14"/>
                <w:color w:val="auto"/>
              </w:rPr>
            </w:pPr>
          </w:p>
        </w:tc>
        <w:tc>
          <w:tcPr>
            <w:tcW w:w="1500" w:type="dxa"/>
            <w:vAlign w:val="bottom"/>
            <w:shd w:val="clear" w:color="auto" w:fill="E1E0DE"/>
          </w:tcPr>
          <w:p>
            <w:pPr>
              <w:ind w:left="20"/>
              <w:spacing w:after="0"/>
              <w:rPr>
                <w:sz w:val="20"/>
                <w:szCs w:val="20"/>
                <w:color w:val="auto"/>
              </w:rPr>
            </w:pPr>
            <w:r>
              <w:rPr>
                <w:rFonts w:ascii="Arial" w:cs="Arial" w:eastAsia="Arial" w:hAnsi="Arial"/>
                <w:sz w:val="14"/>
                <w:szCs w:val="14"/>
                <w:color w:val="auto"/>
              </w:rPr>
              <w:t>—</w:t>
            </w:r>
          </w:p>
        </w:tc>
      </w:tr>
    </w:tbl>
    <w:p>
      <w:pPr>
        <w:spacing w:after="0" w:line="75" w:lineRule="exact"/>
        <w:rPr>
          <w:sz w:val="20"/>
          <w:szCs w:val="20"/>
          <w:color w:val="auto"/>
        </w:rPr>
      </w:pPr>
    </w:p>
    <w:p>
      <w:pPr>
        <w:ind w:left="1020" w:hanging="506"/>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1"/>
          <w:szCs w:val="11"/>
          <w:color w:val="auto"/>
        </w:rPr>
        <w:t>“a” Indicates groupings of preferred terms defined by standardized queries in the Medical Dictionary for Regulatory Activities.</w:t>
      </w:r>
    </w:p>
    <w:p>
      <w:pPr>
        <w:spacing w:after="0" w:line="8" w:lineRule="exact"/>
        <w:rPr>
          <w:rFonts w:ascii="Arial" w:cs="Arial" w:eastAsia="Arial" w:hAnsi="Arial"/>
          <w:sz w:val="14"/>
          <w:szCs w:val="14"/>
          <w:color w:val="auto"/>
        </w:rPr>
      </w:pPr>
    </w:p>
    <w:p>
      <w:pPr>
        <w:ind w:left="1020" w:hanging="506"/>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1"/>
          <w:szCs w:val="11"/>
          <w:color w:val="auto"/>
        </w:rPr>
        <w:t>Additional G3 TRAEs were 6% hypokalemia, and 3% each of AST/ALT, amylase, hypophosphatemia, insomnia, lipase, lymphocyte, skin infection, vomiting. No G4 TRAEs were reported.</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December 2017, we received Orphan Drug Designation (“ODD”) for FYARRO for the treatment of PEComa. In October 2018, the FDA granted Fast Track designation for FYARRO for the treatment of patients with advanced (metastatic or locally advanced) malignant PEComa. In December 2018, the FDA granted Breakthrough Therapy Designation (“BTD”) for FYARRO for the treatment of patients with advanced (metastatic or locally advanced) malignant PEComa. The FDA accepted the NDA in July 2021 and granted full approval on November 22, 2021. In January 2023, the FDA granted us orphan drug exclusivity ("ODE") for FYARRO for the treatment of patients with advanced malignant PEComa. As a result of ODE for FYARRO in the advanced malignant PEComa indication, the FDA may not approve any other application to market the same drug for the same indication for a period of seven years from NDA approval of FYARRO (November 22, 2028), except in limited circumstances, such as a showing of clinical superiority over the product with orphan exclusivity.</w:t>
      </w:r>
    </w:p>
    <w:p>
      <w:pPr>
        <w:spacing w:after="0" w:line="6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 xml:space="preserve">TSC1 and TSC2 Alterations. </w:t>
      </w:r>
      <w:r>
        <w:rPr>
          <w:rFonts w:ascii="Arial" w:cs="Arial" w:eastAsia="Arial" w:hAnsi="Arial"/>
          <w:sz w:val="14"/>
          <w:szCs w:val="14"/>
          <w:color w:val="auto"/>
        </w:rPr>
        <w:t>An exploratory mutational analysis was conducted on patients treated with FYARRO in the AMPECT study in advanced malignant PEComa. In 25 patients with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available mutational analysis,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alterations were found in 14 patients (56%). In this subset of patients with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alterations, the response rate was 64% (9/14) (Figure 8). In particular, </w:t>
      </w:r>
      <w:r>
        <w:rPr>
          <w:rFonts w:ascii="Arial" w:cs="Arial" w:eastAsia="Arial" w:hAnsi="Arial"/>
          <w:sz w:val="14"/>
          <w:szCs w:val="14"/>
          <w:i w:val="1"/>
          <w:iCs w:val="1"/>
          <w:color w:val="auto"/>
        </w:rPr>
        <w:t>TSC2</w:t>
      </w:r>
      <w:r>
        <w:rPr>
          <w:rFonts w:ascii="Arial" w:cs="Arial" w:eastAsia="Arial" w:hAnsi="Arial"/>
          <w:sz w:val="14"/>
          <w:szCs w:val="14"/>
          <w:color w:val="auto"/>
        </w:rPr>
        <w:t xml:space="preserve"> mutations were significantly associated with response (89% of patients) to FYARRO.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Figure 9 – </w:t>
      </w:r>
      <w:r>
        <w:rPr>
          <w:rFonts w:ascii="Arial" w:cs="Arial" w:eastAsia="Arial" w:hAnsi="Arial"/>
          <w:sz w:val="14"/>
          <w:szCs w:val="14"/>
          <w:color w:val="auto"/>
        </w:rPr>
        <w:t>Spider plot demonstrating change in the sum of target tumor measurements over time, based on mutation status</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68580</wp:posOffset>
            </wp:positionV>
            <wp:extent cx="4446270" cy="2230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46270" cy="223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Arrowheads indicate patients who were still on treatment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TSC1 and TSC2 Alterations in the Expanded Access Program</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The Expanded Access Program was opened to bridge access to FYARRO until market authorization for patients with advanced malignant PEComa; this program also included patients with various other malignancies having relevant genetic mutations in the mTOR pathway. Preliminary data was presented at American Society of Clinical Oncology (“ASCO”) Annual Meeting in 2021 showing the early results in tumors bearing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inactivating alterations in patients with histologies other than advanced malignant PEComa. Of the 8 patients treated with FYARRO, 7 patients were evaluable for response analysis and 1 patient progressed before the first scan. Five of 8 patients (63%, 95% CI: 25%-92%) achieved a confirmed PR. Amongst the patients who were mTOR inhibitor-naïve, 5 of 6 (83%, 95% CI: 36%-99+%) achieved a confirmed PR. Duration of response at data cutoff ranged from 3.1 to 9.7+ months and 3 of 5 responders continue on treatment. A waterfall plot of tumor response is provided below Figure 9. Figure 10 shows the prior therapy and duration of treatment for each patient. Patients with inactivating alterations in either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achieved tumor shrinkage and clinical benefit.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68580</wp:posOffset>
            </wp:positionV>
            <wp:extent cx="2788920" cy="3031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88920"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68580</wp:posOffset>
            </wp:positionV>
            <wp:extent cx="4446270" cy="2176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46270" cy="217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TEAEs (30%) included edema, infections, mucositis, and pain (71% each), nail changes and vomiting (57% each), and hypertension and nausea (43% each). The majority of the events were G1/G2. Treatment-related serious adverse events (“TESAE”) were reported in 2 patients and included hyperglycemia and infection (patients #4 and #5) and acute kidney injury (patient #7) possibly also related to administration of contrast. Dose reductions occurred in 3/8 patients (38%) from 100 mg/m2 to 75 mg/m2.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A recent published case report summarized the results of a patient with malignant PEComa patient with a </w:t>
      </w:r>
      <w:r>
        <w:rPr>
          <w:rFonts w:ascii="Arial" w:cs="Arial" w:eastAsia="Arial" w:hAnsi="Arial"/>
          <w:sz w:val="14"/>
          <w:szCs w:val="14"/>
          <w:i w:val="1"/>
          <w:iCs w:val="1"/>
          <w:color w:val="auto"/>
        </w:rPr>
        <w:t>TSC1</w:t>
      </w:r>
      <w:r>
        <w:rPr>
          <w:rFonts w:ascii="Arial" w:cs="Arial" w:eastAsia="Arial" w:hAnsi="Arial"/>
          <w:sz w:val="14"/>
          <w:szCs w:val="14"/>
          <w:color w:val="auto"/>
        </w:rPr>
        <w:t xml:space="preserve"> alteration who enrolled in the EAP after having progressed through treatment with the mTOR inhibitor everolimus. The patient demonstrated a rapid and durable response to FYARRO.</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FYARRO in patients with prior mTOR inhibitors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A post hoc electronic medical record review provided evidence of clinical benefit of </w:t>
      </w:r>
      <w:r>
        <w:rPr>
          <w:rFonts w:ascii="Arial" w:cs="Arial" w:eastAsia="Arial" w:hAnsi="Arial"/>
          <w:sz w:val="14"/>
          <w:szCs w:val="14"/>
          <w:i w:val="1"/>
          <w:iCs w:val="1"/>
          <w:color w:val="auto"/>
        </w:rPr>
        <w:t>nab</w:t>
      </w:r>
      <w:r>
        <w:rPr>
          <w:rFonts w:ascii="Arial" w:cs="Arial" w:eastAsia="Arial" w:hAnsi="Arial"/>
          <w:sz w:val="14"/>
          <w:szCs w:val="14"/>
          <w:color w:val="auto"/>
        </w:rPr>
        <w:t xml:space="preserve">-sirolimus in patients with malignant PEComa who had progressed or failed prior mTOR inhibitor treatment: 25% achieved a response (duration of response range: 1.3+–25.2+ months, 3 ongoing), and 50% had stable disease as best response as best response. Of patients with </w:t>
      </w:r>
      <w:r>
        <w:rPr>
          <w:rFonts w:ascii="Arial" w:cs="Arial" w:eastAsia="Arial" w:hAnsi="Arial"/>
          <w:sz w:val="14"/>
          <w:szCs w:val="14"/>
          <w:i w:val="1"/>
          <w:iCs w:val="1"/>
          <w:color w:val="auto"/>
        </w:rPr>
        <w:t>TSC1 or TSC2</w:t>
      </w:r>
      <w:r>
        <w:rPr>
          <w:rFonts w:ascii="Arial" w:cs="Arial" w:eastAsia="Arial" w:hAnsi="Arial"/>
          <w:sz w:val="14"/>
          <w:szCs w:val="14"/>
          <w:color w:val="auto"/>
        </w:rPr>
        <w:t xml:space="preserve"> inactivating alterations, 44% had a response.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PRECISION 1 Clinical Trial.</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PRECISION 1 is a registration-directed tumor-agnostic Phase 2 study of FYARRO in patients with </w:t>
      </w:r>
      <w:r>
        <w:rPr>
          <w:rFonts w:ascii="Arial" w:cs="Arial" w:eastAsia="Arial" w:hAnsi="Arial"/>
          <w:sz w:val="14"/>
          <w:szCs w:val="14"/>
          <w:i w:val="1"/>
          <w:iCs w:val="1"/>
          <w:color w:val="auto"/>
        </w:rPr>
        <w:t>TSC1</w:t>
      </w:r>
      <w:r>
        <w:rPr>
          <w:rFonts w:ascii="Arial" w:cs="Arial" w:eastAsia="Arial" w:hAnsi="Arial"/>
          <w:sz w:val="14"/>
          <w:szCs w:val="14"/>
          <w:color w:val="auto"/>
        </w:rPr>
        <w:t xml:space="preserve"> and </w:t>
      </w:r>
      <w:r>
        <w:rPr>
          <w:rFonts w:ascii="Arial" w:cs="Arial" w:eastAsia="Arial" w:hAnsi="Arial"/>
          <w:sz w:val="14"/>
          <w:szCs w:val="14"/>
          <w:i w:val="1"/>
          <w:iCs w:val="1"/>
          <w:color w:val="auto"/>
        </w:rPr>
        <w:t>TSC2</w:t>
      </w:r>
      <w:r>
        <w:rPr>
          <w:rFonts w:ascii="Arial" w:cs="Arial" w:eastAsia="Arial" w:hAnsi="Arial"/>
          <w:sz w:val="14"/>
          <w:szCs w:val="14"/>
          <w:color w:val="auto"/>
        </w:rPr>
        <w:t xml:space="preserve"> inactivating alterations that is based on evidence of activity seen in patients with </w:t>
      </w:r>
      <w:r>
        <w:rPr>
          <w:rFonts w:ascii="Arial" w:cs="Arial" w:eastAsia="Arial" w:hAnsi="Arial"/>
          <w:sz w:val="14"/>
          <w:szCs w:val="14"/>
          <w:i w:val="1"/>
          <w:iCs w:val="1"/>
          <w:color w:val="auto"/>
        </w:rPr>
        <w:t xml:space="preserve">TSC1 </w:t>
      </w:r>
      <w:r>
        <w:rPr>
          <w:rFonts w:ascii="Arial" w:cs="Arial" w:eastAsia="Arial" w:hAnsi="Arial"/>
          <w:sz w:val="14"/>
          <w:szCs w:val="14"/>
          <w:color w:val="auto"/>
        </w:rPr>
        <w:t>and</w:t>
      </w:r>
      <w:r>
        <w:rPr>
          <w:rFonts w:ascii="Arial" w:cs="Arial" w:eastAsia="Arial" w:hAnsi="Arial"/>
          <w:sz w:val="14"/>
          <w:szCs w:val="14"/>
          <w:i w:val="1"/>
          <w:iCs w:val="1"/>
          <w:color w:val="auto"/>
        </w:rPr>
        <w:t xml:space="preserve"> TSC2 </w:t>
      </w:r>
      <w:r>
        <w:rPr>
          <w:rFonts w:ascii="Arial" w:cs="Arial" w:eastAsia="Arial" w:hAnsi="Arial"/>
          <w:sz w:val="14"/>
          <w:szCs w:val="14"/>
          <w:color w:val="auto"/>
        </w:rPr>
        <w:t>inactivating alterations from the completed AMPECT trial (presented at the Connective Tissue Oncology Society (CTOS) Annual Meeting in 2020) and the Expanded Access</w:t>
      </w:r>
      <w:r>
        <w:rPr>
          <w:rFonts w:ascii="Arial" w:cs="Arial" w:eastAsia="Arial" w:hAnsi="Arial"/>
          <w:sz w:val="14"/>
          <w:szCs w:val="14"/>
          <w:i w:val="1"/>
          <w:iCs w:val="1"/>
          <w:color w:val="auto"/>
        </w:rPr>
        <w:t xml:space="preserve"> </w:t>
      </w:r>
      <w:r>
        <w:rPr>
          <w:rFonts w:ascii="Arial" w:cs="Arial" w:eastAsia="Arial" w:hAnsi="Arial"/>
          <w:sz w:val="14"/>
          <w:szCs w:val="14"/>
          <w:color w:val="auto"/>
        </w:rPr>
        <w:t>Program (presented at the ASCO Annual Meeting in 2021). We have completed a Type B meeting with the FDA in which we discussed the trial design with the FDA. The PRECISION 1 trial was opened for enrollment in the United States during the first quarter of 2022 and the first patient was dosed in March 2022. We anticipate having preliminary data on a meaningful number of patients in the PRECISION 1 trial during the second quarter of 2023.</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TSC1</w:t>
      </w:r>
      <w:r>
        <w:rPr>
          <w:rFonts w:ascii="Arial" w:cs="Arial" w:eastAsia="Arial" w:hAnsi="Arial"/>
          <w:sz w:val="14"/>
          <w:szCs w:val="14"/>
          <w:color w:val="auto"/>
        </w:rPr>
        <w:t xml:space="preserve"> and </w:t>
      </w:r>
      <w:r>
        <w:rPr>
          <w:rFonts w:ascii="Arial" w:cs="Arial" w:eastAsia="Arial" w:hAnsi="Arial"/>
          <w:sz w:val="14"/>
          <w:szCs w:val="14"/>
          <w:i w:val="1"/>
          <w:iCs w:val="1"/>
          <w:color w:val="auto"/>
        </w:rPr>
        <w:t>TSC2</w:t>
      </w:r>
      <w:r>
        <w:rPr>
          <w:rFonts w:ascii="Arial" w:cs="Arial" w:eastAsia="Arial" w:hAnsi="Arial"/>
          <w:sz w:val="14"/>
          <w:szCs w:val="14"/>
          <w:color w:val="auto"/>
        </w:rPr>
        <w:t xml:space="preserve"> genes encode for proteins that form a tumor suppressor complex that down regulates mTORC1 activity. Inactivating alterations in the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genes can result in activation of mTORC1.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alterations have been reported across a broad range of cancer types. Based on the SEER cancer statistics database and an analysis of mutation frequency by cancer type using the TCGA and cBioPortal databases, we believe there is a significant number of new patients with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inactivating alterations per year in the U.S (see chart titled “Projected Annual Incidence of Cancers with </w:t>
      </w:r>
      <w:r>
        <w:rPr>
          <w:rFonts w:ascii="Arial" w:cs="Arial" w:eastAsia="Arial" w:hAnsi="Arial"/>
          <w:sz w:val="14"/>
          <w:szCs w:val="14"/>
          <w:i w:val="1"/>
          <w:iCs w:val="1"/>
          <w:color w:val="auto"/>
        </w:rPr>
        <w:t>TSC1</w:t>
      </w:r>
      <w:r>
        <w:rPr>
          <w:rFonts w:ascii="Arial" w:cs="Arial" w:eastAsia="Arial" w:hAnsi="Arial"/>
          <w:sz w:val="14"/>
          <w:szCs w:val="14"/>
          <w:color w:val="auto"/>
        </w:rPr>
        <w:t xml:space="preserve"> and </w:t>
      </w:r>
      <w:r>
        <w:rPr>
          <w:rFonts w:ascii="Arial" w:cs="Arial" w:eastAsia="Arial" w:hAnsi="Arial"/>
          <w:sz w:val="14"/>
          <w:szCs w:val="14"/>
          <w:i w:val="1"/>
          <w:iCs w:val="1"/>
          <w:color w:val="auto"/>
        </w:rPr>
        <w:t>TSC2</w:t>
      </w:r>
      <w:r>
        <w:rPr>
          <w:rFonts w:ascii="Arial" w:cs="Arial" w:eastAsia="Arial" w:hAnsi="Arial"/>
          <w:sz w:val="14"/>
          <w:szCs w:val="14"/>
          <w:color w:val="auto"/>
        </w:rPr>
        <w:t xml:space="preserve"> Alterations” below). While there are no therapies approved specifically for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alterations, numerous case reports show durable responses to mTOR inhibition in patients with these alterations.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68580</wp:posOffset>
            </wp:positionV>
            <wp:extent cx="4446270" cy="2344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46270"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FYARRO in combination with KRAS</w:t>
      </w:r>
      <w:r>
        <w:rPr>
          <w:rFonts w:ascii="Arial" w:cs="Arial" w:eastAsia="Arial" w:hAnsi="Arial"/>
          <w:sz w:val="18"/>
          <w:szCs w:val="18"/>
          <w:i w:val="1"/>
          <w:iCs w:val="1"/>
          <w:color w:val="auto"/>
          <w:vertAlign w:val="superscript"/>
        </w:rPr>
        <w:t>G12C</w:t>
      </w:r>
      <w:r>
        <w:rPr>
          <w:rFonts w:ascii="Arial" w:cs="Arial" w:eastAsia="Arial" w:hAnsi="Arial"/>
          <w:sz w:val="14"/>
          <w:szCs w:val="14"/>
          <w:i w:val="1"/>
          <w:iCs w:val="1"/>
          <w:color w:val="auto"/>
        </w:rPr>
        <w:t xml:space="preserve"> inhibitors for KRAS</w:t>
      </w:r>
      <w:r>
        <w:rPr>
          <w:rFonts w:ascii="Arial" w:cs="Arial" w:eastAsia="Arial" w:hAnsi="Arial"/>
          <w:sz w:val="18"/>
          <w:szCs w:val="18"/>
          <w:i w:val="1"/>
          <w:iCs w:val="1"/>
          <w:color w:val="auto"/>
          <w:vertAlign w:val="superscript"/>
        </w:rPr>
        <w:t>G12C</w:t>
      </w:r>
      <w:r>
        <w:rPr>
          <w:rFonts w:ascii="Arial" w:cs="Arial" w:eastAsia="Arial" w:hAnsi="Arial"/>
          <w:sz w:val="14"/>
          <w:szCs w:val="14"/>
          <w:i w:val="1"/>
          <w:iCs w:val="1"/>
          <w:color w:val="auto"/>
        </w:rPr>
        <w:t>-mutated cancer xenografts</w:t>
      </w:r>
    </w:p>
    <w:p>
      <w:pPr>
        <w:spacing w:after="0" w:line="48"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2022, we conducted preclinical studies to investigate the antitumor activity of mTOR inhibitors, FYARRO or everolimus, in combination with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inhibitors, sotorasib or adagrasib, in KRAS G12C-mutated cancer xenografts. KRAS is frequently mutated in non-small cell lung cancer (NSCLC) and other tumor types, with the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present in approximately 9% of NSCLC patients. The mTOR pathway is often activated in patients with the KRAS mutation and contributes to adaptive resistance to KRAS inhibitors. We conducted these studies to determine the utility of a combination of the mTOR inhibitor nab-sirolimus and KRAS inhibitors, which could have synergistic potential in the treatment of</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KRAS mutated cancers. Results of these studies showed that combining FYARRO with either of the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inhibitors significantly improved response against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mutant lung cancer and bladder cancer tumors in vivo and FYARRO also showed significantly greater potency in the combination compared to everolimus.</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FYARRO for other indications</w:t>
      </w:r>
    </w:p>
    <w:p>
      <w:pPr>
        <w:spacing w:after="0" w:line="9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FYARRO is planned to be investigated in additional cancer indications as both single-agent or in combination with other drugs. We believe there is a significant opportunity to utilize FYARRO in other indications as a monotherapy, e.g., in other mTOR pathway mutations, as well as in combination with other targeted therapies, particularly in mTOR adjacent signaling pathways. For example, we currently are collaborating with Mirati to evaluate the combination of Mirati’s adagrasib, a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selective inhibitor, and FYARRO in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mutant NSCLC and other solid tumors. These additional indications may be important drivers of commercial value and will continue to be evaluated.</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strive to protect the proprietary technologies that we believe are important to our business, including pursuing and maintaining patent protection intended to cover formulations of FYARRO, its methods of use, related technologies, and other inventions that are important to our business. In addition to patent protection, we also rely on trade secrets to protect aspects of our business that are not amenable to, or that we do not consider appropriate for, patent protection, including our proprietary method of manufacturing FYARRO.</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commercial success depends in part upon our ability to obtain and maintain patent and other proprietary protection for FYARRO and other commercially important technologies, inventions, and know-how related to our business, defend and enforce our intellectual property rights, in particular, our patent rights, preserve the confidentiality of our trade secrets, and operate without infringing valid and enforceable intellectual property rights of others.</w:t>
      </w:r>
    </w:p>
    <w:p>
      <w:pPr>
        <w:spacing w:after="0" w:line="5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patent positions for biotechnology and pharmaceutical companies like us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In addition, the coverage claimed in a patent application can be significantly reduced before a patent is issued, and its scope can be reinterpreted and even challenged after issuance. As a result, we cannot guarantee that FYARRO will be protected or remain protectable by enforceable patents. Moreover, any patents that we hold may be challenged, circumvented, or invalidated by third parties. For more information regarding the risks related to our intellectual property please see “Risk Factors— Risks Related to Our Intellectual Property”.</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We own or exclusively license twelve (12) </w:t>
      </w:r>
      <w:r>
        <w:rPr>
          <w:rFonts w:ascii="Arial" w:cs="Arial" w:eastAsia="Arial" w:hAnsi="Arial"/>
          <w:sz w:val="14"/>
          <w:szCs w:val="14"/>
          <w:color w:val="231F20"/>
        </w:rPr>
        <w:t>issued patents in the United States as well as issued patents in other countries. With respect to our licensed patents, we have</w:t>
      </w:r>
      <w:r>
        <w:rPr>
          <w:rFonts w:ascii="Arial" w:cs="Arial" w:eastAsia="Arial" w:hAnsi="Arial"/>
          <w:sz w:val="14"/>
          <w:szCs w:val="14"/>
          <w:color w:val="auto"/>
        </w:rPr>
        <w:t xml:space="preserve"> exclusive, sublicensable rights to certain patents and patent applications relating to FYARRO </w:t>
      </w:r>
      <w:r>
        <w:rPr>
          <w:rFonts w:ascii="Arial" w:cs="Arial" w:eastAsia="Arial" w:hAnsi="Arial"/>
          <w:sz w:val="14"/>
          <w:szCs w:val="14"/>
          <w:color w:val="231F20"/>
        </w:rPr>
        <w:t>under our license agreement with BMS</w:t>
      </w:r>
      <w:r>
        <w:rPr>
          <w:rFonts w:ascii="Arial" w:cs="Arial" w:eastAsia="Arial" w:hAnsi="Arial"/>
          <w:sz w:val="14"/>
          <w:szCs w:val="14"/>
          <w:color w:val="auto"/>
        </w:rPr>
        <w:t>. As of December 31, 2022, we licensed five (5) issued U.S. patents with composition of matter and method of use claims covering FYARRO. The first issued U.S. patent is expected to expire in 2029, and the other four are expected to expire in 2030, 2036, 2036 and 2040, respectively. In addition, we licensed related patents in Europe, Australia, North America, South America, and Asia that are expected to expire between 2023 and 2037. We also licensed many pending U.S. applications and related pending applications in Europe, Australia, North America, South America, Africa, and Asia.</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United States, the term of a patent covering an FDA approved drug may, in certain cases, be eligible for a patent term extension under the Drug Price Competition and Patent Term Restoration Act of 1984, commonly referred to as the Hatch-Waxman Act, as compensation for the loss of patent term during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In January 2022, we filed an application for patent term extension based on the approval of FYARRO.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to patent protection, we also rely on trade secret protection for our proprietary information that is not amenable to, or that we do not consider appropriate for, patent protection, including, for example, certain aspects of our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manufacturing processes for the nanoparticle compositions.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 Operations</w:t>
      </w:r>
    </w:p>
    <w:p>
      <w:pPr>
        <w:spacing w:after="0" w:line="9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We have built a cross-functional commercial organization and infrastructure to support the commercialization of FYARRO for advanced malignant PEComa in the United States and will continue to evaluate potential partners in markets outside the United States. We have an experienced oncology commercial team including marketing, market access, commercial operations and sales personnel to educate physicians who are prescribers of treatments for advanced malignant PEComa. Our sales team is supported by marketing, commercial operations, and market access functions. We have assembled a network of specialty distributors and a specialty pharmacy to distribute FYARRO across multiple sites of care in the United States. Additionally, the sales and marketing teams manage relationships with key accounts such as managed care organizations, group purchasing organizations, hospital systems, physician group networks, and government accounts.</w:t>
      </w:r>
    </w:p>
    <w:p>
      <w:pPr>
        <w:spacing w:after="0" w:line="3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For future approvals of FYARRO in other oncology indications, if any, we intend to retain commercialization rights in the United States and leverage our commercial and marketing organization for FYARRO, with appropriate additions or modifications as necessitated by the specific indications pursued, assuming we obtain regulatory approval in the United States, and consider whether to build our own commercial and marketing organization in select markets outside the United States, or selectively establish partnerships. Accordingly, we will consider entering into relationships with strategic partners that enable the expansion of the ongoing clinical development and/or licenses for development and commercialization or distribution, while retaining significant value for our shareholders. These partnerships could focus on specific patient populations and their caregivers, on regional development, or on distribution and sales.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 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4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Many of the companies against which we are competing against or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could see a reduction or elimination in our commercial opportunity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FYARRO are likely to be its efficacy, safety, convenience, price, the effectiveness of companion diagnostics, the level of generic competition, and the availability of reimbursement from government and other third-party payors.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 for FYARRO in Advanced Malignant PEComa</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advanced malignant PEComa, other than FYARRO, there are no existing FDA approved therapies or drugs that have been studied in prospective clinical trials. Following FDA approval, the National Comprehensive Cancer Network (“NCCN”) Sarcoma panel included FYARRO as the only preferred regimen for treatment of malignant PEComa. FYARRO may face competition from available mTOR inhibitors including sirolimus, everolimus, and temsirolimus or other drug candidates in clinical trials. As of today, we are not aware of any other companies pursuing FDA approval for drugs to treat advanced malignant PEComa.</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 for FYARRO in Truncating TSC1 and TSC2 Inactivating Alterations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For truncating </w:t>
      </w:r>
      <w:r>
        <w:rPr>
          <w:rFonts w:ascii="Arial" w:cs="Arial" w:eastAsia="Arial" w:hAnsi="Arial"/>
          <w:sz w:val="14"/>
          <w:szCs w:val="14"/>
          <w:i w:val="1"/>
          <w:iCs w:val="1"/>
          <w:color w:val="auto"/>
        </w:rPr>
        <w:t>TSC1</w:t>
      </w:r>
      <w:r>
        <w:rPr>
          <w:rFonts w:ascii="Arial" w:cs="Arial" w:eastAsia="Arial" w:hAnsi="Arial"/>
          <w:sz w:val="14"/>
          <w:szCs w:val="14"/>
          <w:color w:val="auto"/>
        </w:rPr>
        <w:t xml:space="preserve"> or </w:t>
      </w:r>
      <w:r>
        <w:rPr>
          <w:rFonts w:ascii="Arial" w:cs="Arial" w:eastAsia="Arial" w:hAnsi="Arial"/>
          <w:sz w:val="14"/>
          <w:szCs w:val="14"/>
          <w:i w:val="1"/>
          <w:iCs w:val="1"/>
          <w:color w:val="auto"/>
        </w:rPr>
        <w:t>TSC2</w:t>
      </w:r>
      <w:r>
        <w:rPr>
          <w:rFonts w:ascii="Arial" w:cs="Arial" w:eastAsia="Arial" w:hAnsi="Arial"/>
          <w:sz w:val="14"/>
          <w:szCs w:val="14"/>
          <w:color w:val="auto"/>
        </w:rPr>
        <w:t xml:space="preserve"> inactivating alterations, there are no existing FDA approved drugs. If FYARRO receives marketing approval, it may face competition from available mTOR inhibitors including sirolimus, everolimus, and temsirolimus or other drug candidates in clinical trials that target the mTOR pathway, such as dual mTORC1/2 inhibitors or other next-generation mTOR inhibitors.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do not own or operate, and have no plans to establish, any manufacturing facilities. We currently rely on third parties to manufacture FYARRO for preclinical and clinical testing, as well as for our commercial supply of FYARRO.</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Amended and Restated License Agreement for FYARRO with BMS, dated November 2019, transferred the responsibility for manufacturing of FYARRO to us. FYARRO was previously manufactured for us by BMS through their third-party manufacturer, Fresenius-Kabi, USA. As a result of the amendment to the License Agreement, we now obtain FYARRO directly from Fresenius-Kabi, USA.</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To date, we have obtained drug substance and drug product from third-party manufacturers to support pre-clinical and clinical testing of FYARRO. On January 13, 2022, we entered into a Negotiated Purchase Order Terms and Conditions for Clinical and Commercial Product, as amended effective as of August 1, 2022 (the “Fresenius Agreement”), with Fresenius Kabi, LLC (“Fresenius Kabi”) pursuant to which Fresenius Kabi will manufacture FYARRO for us, and we will purchase FYARRO as a finished drug product from Fresenius Kabi, on a purchase-order basis. Under the Fresenius Agreement, which is effective through March 31, 2024 (or such later date as may be agreed between the parties in writing), we may purchase FYARRO for either clinical or commercial purposes for use in the United States and Canada. We have a fully validated commercial manufacturing process in place for FYARRO at the Fresenius Kabi's Grand Island Manufacturing facility. We are evaluating options with Fresenius Kabi to create redundant supply of FYARRO. In addition to manufacturing, Fresenius Kabi will perform specified labeling, packaging and serialization activities in respect of FYARRO for our benefit. The price of FYARRO will be fixed, subject to the ability of Fresenius Kabi to increase pricing under specified circumstances. We have an obligation to purchase certain minimum quantities of FYARRO. Failure to purchase those minimum quantities will result in an additional payment from us to Fresenius Kabi.</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supply agreements in place for key raw materials used in the manufacture of FYARRO such as the drug substance sirolimus and for human albumin, which are key ingredients in the drug product. We do not currently have arrangements in place for redundant supply of the key raw materials used in the manufacture of FYARRO. We expect to continue to evaluate options to cost-effectively produce FYARRO at contract manufacturing facilities.</w:t>
      </w:r>
    </w:p>
    <w:p>
      <w:pPr>
        <w:spacing w:after="0" w:line="57" w:lineRule="exact"/>
        <w:rPr>
          <w:sz w:val="20"/>
          <w:szCs w:val="20"/>
          <w:color w:val="auto"/>
        </w:rPr>
      </w:pPr>
    </w:p>
    <w:p>
      <w:pPr>
        <w:ind w:right="1960"/>
        <w:spacing w:after="0" w:line="379" w:lineRule="auto"/>
        <w:rPr>
          <w:sz w:val="20"/>
          <w:szCs w:val="20"/>
          <w:color w:val="auto"/>
        </w:rPr>
      </w:pPr>
      <w:r>
        <w:rPr>
          <w:rFonts w:ascii="Arial" w:cs="Arial" w:eastAsia="Arial" w:hAnsi="Arial"/>
          <w:sz w:val="14"/>
          <w:szCs w:val="14"/>
          <w:color w:val="auto"/>
        </w:rPr>
        <w:t xml:space="preserve">We generally expect to rely on third parties for the manufacture or development of any companion diagnostics if we are required to do so in the future for FYARRO. </w:t>
      </w:r>
      <w:r>
        <w:rPr>
          <w:rFonts w:ascii="Arial" w:cs="Arial" w:eastAsia="Arial" w:hAnsi="Arial"/>
          <w:sz w:val="14"/>
          <w:szCs w:val="14"/>
          <w:b w:val="1"/>
          <w:bCs w:val="1"/>
          <w:color w:val="auto"/>
        </w:rPr>
        <w:t>Government Regulation</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Regulation</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Drug Development</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U.S., the FDA regulates drugs under the Federal Food, Drug, and Cosmetic Act (“FDCA”) and its implementing regulations. Drugs are also subject to other federal, state, and local statutes and regulations. Drugs must be approved by the FDA through the NDA process before they may be legally marketed in the U.S. The process required by the FDA before a drug may be marketed in the U.S. generally involves the following:</w:t>
      </w:r>
    </w:p>
    <w:p>
      <w:pPr>
        <w:spacing w:after="0" w:line="57" w:lineRule="exact"/>
        <w:rPr>
          <w:sz w:val="20"/>
          <w:szCs w:val="20"/>
          <w:color w:val="auto"/>
        </w:rPr>
      </w:pPr>
    </w:p>
    <w:p>
      <w:pPr>
        <w:ind w:left="760" w:hanging="373"/>
        <w:spacing w:after="0" w:line="281"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completion of extensive preclinical, sometimes referred to as nonclinical, laboratory tests, animal studies, and formulation studies all performed in accordance with applicable regulations, including the FDA’s good laboratory practice (“GLP”) regulations;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submission to the FDA of an investigational new drug application (“IND”), which must become effective before human clinical trials may begin and must be updated annually and amended in accordance with the regulations;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in accordance with applicable IND and other clinical trial-related regulations, sometimes referred to as good clinical practices (“GCPs”), to establish the safety and efficacy of the proposed drug for its proposed indication(s);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submission to the FDA of an NDA for a new drug;</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determination by the FDA within 60 days of its receipt of an NDA to file the NDA for review;</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satisfactory completion of an FDA pre-approval inspection of the manufacturing facility or facilities at which the active pharmaceutical ingredient (“API”) and finished drug product are produced to assess compliance with the FDA’s current good manufacturing practice requirements (“cGMP”);</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potential FDA audit of the testing laboratories and clinical trial sites that generated the data in support of the NDA;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FDA review and approval of the NDA prior to any commercial marketing or sale of the drug in the U.S.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Prior to beginning a clinical trial with a product candidate in the United States, companies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new IND, or a separate submission to the existing IND must be made for each successive clinical trial conducted during product development and for any subsequent protocol amendments. Furthermore, an independent review board ("IRB") for each site proposing to conduct the clinical trial must review and approve the plan for any clinical trial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Human clinical trials are typically conducted in three sequential phases that may overlap or be combined:</w:t>
      </w:r>
    </w:p>
    <w:p>
      <w:pPr>
        <w:spacing w:after="0" w:line="94" w:lineRule="exact"/>
        <w:rPr>
          <w:sz w:val="20"/>
          <w:szCs w:val="20"/>
          <w:color w:val="auto"/>
        </w:rPr>
      </w:pPr>
    </w:p>
    <w:p>
      <w:pPr>
        <w:jc w:val="both"/>
        <w:ind w:left="760" w:hanging="373"/>
        <w:spacing w:after="0" w:line="262"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60"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56"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 pivotal study is a clinical study that adequately meets regulatory agency requirements for the evaluation of a drug candidate’s efficacy and safety such that it can serve as the primary basis for approval of the drug. Generally, pivotal studies are also Phase 3 studies but may be Phase 2 studies if the trial design provides a well-controlled and reliable assessment of clinical benefit, particularly in situations where there is an unmet medical need. 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in vitro testing that suggests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trials may not be completed successfully within any specified period, if at all. 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investigational drug or, as applicable, 15 days after the drug receives a designation as a breakthrough therapy, fast track product, or regenerative advanced therapy.</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If our clinical trials continue to be impacted by COVID-19, we may be required to develop and implement additional clinical trial policies and procedures designed to help protect subjects from the COVID-19 virus. For example, since the start of the pandemic, the FDA has issued various COVID-19 related guidance documents, including guidance on conducting clinical trials during the COVID-19 pandemic, good manufacturing practice considerations for responding to COVID-19 infection in employees in drug products manufacturing; manufacturing, supply chain, and drug and biological product inspections during COVID-19 public health emergency; and remote interactive evaluations of drug manufacturing and bioresearch monitoring facilities during the COVID-19 public health emergency. Changes in FDA’s operations and policies, including delays in providing regulatory review or feedback to sponsors or delays in pre-approval inspections, as a result of the COVID-19 public health emergency can materially impact our clinical development plans and regulatory approval. Recently, President Biden announced that the administration intends to end the COVID-19 national and public health emergencies on May 11, 2023. The full impact of the termination of the public health emergencies on FDA and other regulatory policies and operations are unclear.</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NDA and the FDA Review Process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Following trial completion, trial data are analyzed to assess safety and efficacy. The results of preclinical studies and clinical trials are then submitted to the FDA as part of a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sufficient evidence of drug product quality, safety and efficacy, which is demonstrated by extensive analytical, preclinical and clinical testing.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for a particular indication or indications to the satisfaction of the FDA. FDA approval of an NDA must be obtained before a drug may be offered for sale in the United States.</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does not always meet its PDUFA goal dates for standard and priority NDAs, and the review process is often significantly extended by FDA requests for additional information or clarification. In such event, the NDA must be resubmitted with the additional information. The resubmitted application is also subject to review before the FDA accepts it for filing.</w:t>
      </w:r>
    </w:p>
    <w:p>
      <w:pPr>
        <w:spacing w:after="0" w:line="6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In the course of its review, the FDA may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3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Before approving an NDA, the FDA typically conducts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to ensure compliance with GCP requirements. After the FDA evaluates the application, manufacturing process, and manufacturing facilities where the drug product and/or its API will be produced, it may issue an approval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challenge the determination set forth in the letter by requesting a hearing, or withdraw the application. Even if such data and information are submitted, the FDA may ultimately decide that the NDA does not satisfy the criteria for approval. Data obtained from clinical trials are not always conclusive and the FDA may interpret data differently than we interpret the same data.</w:t>
      </w:r>
    </w:p>
    <w:p>
      <w:pPr>
        <w:spacing w:after="0" w:line="3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dosages, or patient subgroups, or the indications for use may otherwise be limited, which could restrict the commercial value of the drug. Further, the FDA may require that certain contraindications, warnings, precautions, or adverse events be included in the drug labeling or may condition the approval of the NDA on other changes to the proposed labeling, development of adequate controls and specifications, or a commitment to conduct post-marketing testing or clinical trials, and surveillance to monitor the effects of approved drugs.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4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November 2021, we received approval for the commercial sale of FYARRO from the FDA to treat patients with advanced (metastatic or locally advanced) PEComas. The NDA submission was based on results from our Phase 2 registrational study, AMPECT, in patients with advanced malignant PEComa, for whom there were no approved therapies in the U.S.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FDA Expedited Development and Review Programs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FDA has various programs, including fast track designation, priority review, accelerated approval, and breakthrough therapy designation,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3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to submit promotional materials for preapproval and pre-use review, which could adversely impact the timing of the commercial launch of the product. In addition, the drug may be subject to accelerated withdrawal procedures.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4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addition, the FDA may review new drug applications under the Oncology Center of Excellence Real-Time Oncology Review (“RTOR”), which, according to the FDA, aims to explore a more efficient review process to ensure that safe and effective treatments are available to patients as early as possible, while maintaining and improving review quality. Drugs considered for review under RTOR must be likely to demonstrate substantial improvements over available therapy, which may include drugs previously granted breakthrough therapy designation for the same or other indications, and must have straight-forward study designs and endpoints that can be easily interpreted. RTOR allows the FDA to review much of the data in an NDA earlier, before the applicant formally submits the complete application. This analysis of the pre-submission package gives the FDA and applicants an early opportunity to address data quality and potential review issues and allows the FDA to provide early feedback regarding the most effective way to analyze data to properly address key regulatory questions.</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FYARRO as appropriate.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Post-Marketing Requirements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Following approval of a new drug, a 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limitations on industry-sponsored scientific and educational activities, and requirements for promotional activities involving the internet.</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particular, the FDA closely regulates the marketing, labeling, advertising, and promotion of drug products. A company can make only those claims relating to safety and efficacy that are approved by the FDA and in accordance with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 Modifications or enhancements to the drug or its labeling or changes of the site or process of manufacture are often subject to the approval of the FDA and other regulators, which may or may not be received or may result in a lengthy review process.</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(“PDMA”), a part of the FDCA. The Drug Supply Chain Security Act (“DSCSA”), enacted in 2013, aims to build an electronic system to identify and trace certain prescription drugs distributed in the U.S. The DSCSA mandates phased-in and resource-intensive obligations for pharmaceutical manufacturers, wholesale distributors, and dispensers over a 10-year period that is expected to culminate in November 2023.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This identifier consists of the National Drug Code, serial number, lot number, and expiration date, in the form of a 2-dimensional data matrix barcode that can be read by humans and machines.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the U.S., once a drug is approved, its manufacture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its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5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FDA also may require post-approval testing, sometimes referred to as Phase 4 testing, risk minimization action plans, and post- 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actions. Other potential consequences include, among other things:</w:t>
      </w:r>
    </w:p>
    <w:p>
      <w:pPr>
        <w:spacing w:after="0" w:line="39" w:lineRule="exact"/>
        <w:rPr>
          <w:sz w:val="20"/>
          <w:szCs w:val="20"/>
          <w:color w:val="auto"/>
        </w:rPr>
      </w:pPr>
    </w:p>
    <w:p>
      <w:pPr>
        <w:ind w:left="760" w:hanging="373"/>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fines, warning letters, or untitled letters;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clinical holds on post-approval or Phase 4 clinical studies, if applicable;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refusal of the FDA to approve pending applications or supplements to approved applications, or suspension or revocation of product license approvals;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consent decrees, corporate integrity agreements, debarment, or exclusion from federal healthcare programs;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mandated modification of promotional materials and labeling and the issuance of corrective information;</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issuance of safety alerts, Dear Healthcare Provider letters, press releases, and other communications containing warnings or other safety information about the product; or</w:t>
      </w:r>
    </w:p>
    <w:p>
      <w:pPr>
        <w:spacing w:after="0" w:line="105" w:lineRule="exact"/>
        <w:rPr>
          <w:rFonts w:ascii="Arial" w:cs="Arial" w:eastAsia="Arial" w:hAnsi="Arial"/>
          <w:sz w:val="13"/>
          <w:szCs w:val="13"/>
          <w:color w:val="auto"/>
        </w:rPr>
      </w:pPr>
    </w:p>
    <w:p>
      <w:pPr>
        <w:ind w:left="760" w:hanging="37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FDA may withdraw approval if compliance with regulatory requirements and standards is not maintained or if problems occur after the product reaches the market.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drugs under development.</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a condition of the approval of the NDA for FYARRO, we are required to conduct certain post-marketing requirements (“PMR”) and post-marketing commitments (“PMC”), which are ongoing. If we fail to comply with the PMR and PMC, the FDA may take enforcement actions, which may include, among other things, the issuance of a Warning Letter and assessing civil monetary penalties. The product may also be deemed misbranded.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94"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Orphan drug designation must be requested before submitting an application for marketing approval. Orphan drug designation does not convey any advantage in, or shorten the duration of, the regulatory review and approval process. After the grant of an orphan drug designation, FDA may revoke the designation if FDA finds that the request for designation contained an untrue statement of material fact, omitted required material information, or if FDA subsequently finds that the drug had not been eligible for the orphan drug designation at the time of the submission of the request.</w:t>
      </w:r>
    </w:p>
    <w:p>
      <w:pPr>
        <w:spacing w:after="0" w:line="3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("ODE"), which means the FDA may not approve any other application to market the same drug for the same indication for a period of seven years, except in limited circumstances, such as a showing of clinical superiority over the product with orphan exclusivity. In January 2023, the FDA granted us ODE for FYARRO for the treatment of patients with advanced malignant PEComa.</w:t>
      </w:r>
    </w:p>
    <w:p>
      <w:pPr>
        <w:spacing w:after="0" w:line="46"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 xml:space="preserve">In </w:t>
      </w:r>
      <w:r>
        <w:rPr>
          <w:rFonts w:ascii="Arial" w:cs="Arial" w:eastAsia="Arial" w:hAnsi="Arial"/>
          <w:sz w:val="12"/>
          <w:szCs w:val="12"/>
          <w:i w:val="1"/>
          <w:iCs w:val="1"/>
          <w:color w:val="auto"/>
        </w:rPr>
        <w:t>Catalyst Pharms., Inc. v. Becerra</w:t>
      </w:r>
      <w:r>
        <w:rPr>
          <w:rFonts w:ascii="Arial" w:cs="Arial" w:eastAsia="Arial" w:hAnsi="Arial"/>
          <w:sz w:val="12"/>
          <w:szCs w:val="12"/>
          <w:color w:val="auto"/>
        </w:rPr>
        <w:t xml:space="preserve">, 14 F.4th 1299 (11th Cir. 2021), the court disagreed with the FDA’s longstanding position that the ODE only applies to the approved use or indication within an eligible disease. This decision created uncertainty in the application of the ODE. On January 24, 2023, the FDA published a notice in the Federal Register to clarify that while the agency complies with the court’s order in </w:t>
      </w:r>
      <w:r>
        <w:rPr>
          <w:rFonts w:ascii="Arial" w:cs="Arial" w:eastAsia="Arial" w:hAnsi="Arial"/>
          <w:sz w:val="12"/>
          <w:szCs w:val="12"/>
          <w:i w:val="1"/>
          <w:iCs w:val="1"/>
          <w:color w:val="auto"/>
        </w:rPr>
        <w:t>Catalyst</w:t>
      </w:r>
      <w:r>
        <w:rPr>
          <w:rFonts w:ascii="Arial" w:cs="Arial" w:eastAsia="Arial" w:hAnsi="Arial"/>
          <w:sz w:val="12"/>
          <w:szCs w:val="12"/>
          <w:color w:val="auto"/>
        </w:rPr>
        <w:t xml:space="preserve">, FDA intends to continue to apply its longstanding interpretation of the regulations to matters outside of the scope of the </w:t>
      </w:r>
      <w:r>
        <w:rPr>
          <w:rFonts w:ascii="Arial" w:cs="Arial" w:eastAsia="Arial" w:hAnsi="Arial"/>
          <w:sz w:val="12"/>
          <w:szCs w:val="12"/>
          <w:i w:val="1"/>
          <w:iCs w:val="1"/>
          <w:color w:val="auto"/>
        </w:rPr>
        <w:t>Catalyst</w:t>
      </w:r>
      <w:r>
        <w:rPr>
          <w:rFonts w:ascii="Arial" w:cs="Arial" w:eastAsia="Arial" w:hAnsi="Arial"/>
          <w:sz w:val="12"/>
          <w:szCs w:val="12"/>
          <w:color w:val="auto"/>
        </w:rPr>
        <w:t xml:space="preserve"> order – that is, the agency will continue tying the scope of ODE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ODE.</w:t>
      </w:r>
    </w:p>
    <w:p>
      <w:pPr>
        <w:spacing w:after="0" w:line="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European Union, the European Commission, after receiving the opinion of the European Medicines Agency’s (“EMA”) Committee for Orphan Medicinal Products (“COMP”), grants orphan drug designation to also promote the development of products. The relevant European legislation provides that a product can be designated as an orphan drug by the European Commission if its sponsor can establish: that the product is intended for the diagnosis, prevention, or treatment of (1) a life-threatening or chronically debilitating condition affecting not more than 5 in 10,000 persons in the European Union when the application is made, or (2)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applicant must also demonstrate that there exists no satisfactory method of diagnosis, prevention, or treatment of the condition in question that has been authorized in the European Union or, if such method exists, the product has to be of significant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benefit compared to products available for the condition.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the European Union, orphan drug designation also entitles a party to financial incentives such as reduction of fees or fee waivers and ten years of market exclusivity is granted following drug or biological product approval. During this market exclusivity period, neither the EMA nor the European Commission or the 27 member states that comprise the European Union can accept an application or grant a marketing authorization for the same therapeutic indication in respect of a “similar medicinal product.” A “similar medicinal product” is defined as a medicinal product containing a similar active substance or substances as contained in an authorized orphan medicinal product, and which is intended for the same therapeutic indication. This period may be reduced to six years if, after five years, the orphan drug designation criteria are no longer met, including where it is shown that the product is sufficiently profitable not to justify maintenance of market exclusivity.</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Patent Term Restoration and Marketing Exclusivity</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Depending upon the timing, duration, and specifics of the FDA approval of our drug candidate, some of our United States patents may be eligible for limited patent term extension under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The U.S. Patent and Trademark Office (“USPTO”), in consultation with the FDA, reviews and approves the application for any patent term extension or restoration.</w:t>
      </w:r>
    </w:p>
    <w:p>
      <w:pPr>
        <w:spacing w:after="0" w:line="4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Marketing exclusivity provisions under the FDCA can also delay the submission or the approval of certain marketing applications for competing products.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drug based on the same active moiety, regardless of whether the drug is intended for the same indication as the original innovator drug or for another indication. However, an application may be submitted after four years if it contains a certification of patent invalidity or non-infringement to one of the patents listed with the FDA by the innovator NDA holder.</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applications for drugs containing the active agent for the original indication or condition of use.</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These five-year and three-year exclusivities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ODE, as described above, may offer a seven-year period of marketing exclusivity, except in certain circumstances.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a pediatric trial.</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U.S. Regulatory Matters</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Manufacturing, sales, promotion, and other activities following drug approval are also subject to regulation by numerous regulatory authorities in addition to the FDA, including, in the United States, the Centers for Medicare &amp; Medicaid Services (“CMS”), other divisions of the U.S. Department of Health and Human Services (“HHS”),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Health Care and Education Reconciliation Act of 2010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6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distribution of pharmaceutical drugs is subject to additional requirements and regulations, including extensive record-keeping, licensing, storage, and security requirements intended to prevent the unauthorized sale of pharmaceutical drugs. 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Coverage and Reimbursement</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Sales of our drugs will depend, in part, on the extent to which our drugs will be covered by third-party payors, such as government health programs, commercial insurers, and managed healthcare organizations, as well as the level of reimbursement such third-party payors provide for our products. Patients and providers are unlikely to use our products unless coverage is provided and reimbursement is adequate to cover a significant portion of the cost of our products in which our products are used. These third-party payors are increasingly reducing reimbursements for medical drugs and services.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Accordingly, decisions regarding the extent of coverage and amount of reimbursement to be provided for FYARRO will be made on a payor-by-payor basis. As a result, the coverage determination process may be a time-consuming and costly process that will require us to provide scientific and clinical support for the use of our products to each payor separately,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FYARRO or a decision by a third-party payor to not cover FYARRO could reduce physician usage of such drug and have a material adverse effect on our sales, results of operations and financial condition.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The Medicaid Drug Rebate Program (“MDRP”) requires pharmaceutical manufacturers to enter into and have in effect a national rebate agreement with the Secretary of the HHS as a condition for states to receive federal matching funds for the manufacturer’s outpatient drugs furnished to Medicaid patients. The ACA made several changes to the MDRP, including increasing pharmaceutical manufacturers’ rebate liability by raising the minimum basic Medicaid rebate percentage on most branded prescription drugs of average manufacturer price (“AMP”) and adding a new rebate calculation for “line extensions” (i.e., new formulations, such as extended release formulations) of solid oral dosage forms of branded products, creating a new methodology by which rebates owed are calculated for drugs that are inhaled, infused, instilled, implanted, or injected,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Pricing and rebate programs must also comply with the Medicaid rebate requirements of the U.S. Omnibus Budget Reconciliation Act of 1990. Under the American Rescue Plan Act of 2021, effective January 1, 2024, the statutory cap on Medicaid Drug Rebate Program rebates that manufactures pay to state Medicaid programs will be eliminated. Elimination of this cap may require pharmaceutical manufacturers to pay more in rebates than it receives on the sale of products, which could have a material impact on our business.</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These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may obtain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49"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The American Recovery and Reinvestment Act of 2009 provides funding for the federal government to compare the effectiveness of different treatments for the same illness. The plan for the research was published in 2012 by the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FYARRO, if any such drug or the condition that such drug is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as a benefit under their plans or, if they do, the level of payment may not be sufficient to allow us to sell our drugs on a profitable basis.</w:t>
      </w:r>
    </w:p>
    <w:p>
      <w:pPr>
        <w:spacing w:after="0" w:line="3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recent years, additional laws have resulted in direct or indirect reimbursement reductions for certain Medicare providers. For example, the Budget Control Act of 2011, among other things, created measures for spending reductions by Congress. These changes included aggregate reductions to Medicare payments to providers of up to 2% per fiscal year, which went into effect in April 2013 and will remain in effect through 2031, with the exception of a temporary suspension implemented under various COVID-19 relief legislation from May 1, 2020 through March 31, 2022, unless additional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congressional action is taken. Under current legislation, the actual reduction in Medicare payments can vary from 1% in 2022 to up to 4% in the final fiscal year of this sequester. The American Taxpayer Relief Act of 2012, among other things, reduced Medicare payments to several providers, and increased the statute of limitations period for the government to recover overpayments to providers from three to five years. These laws, and future state and federal healthcare reform measures, as discussed further below, may be adopted in the future, any of which may result in additional reductions in Medicare and other healthcare funding and otherwise affect the prices we may obtain for any indication of FYARRO for which it may obtain regulatory approval or the frequency with which any such product candidate is prescribed or used.</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noted above, the marketability of any products for which we receive regulatory approval for commercial sale may suffer if the government and other third-party payors fail to provide adequate coverage and reimbursement. We expect that an increasing emphasis on cost containment measures in the U.S.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U.S. and generally tend to be significantly lower.</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Healthcare Reform</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ACA has had a significant impact on the healthcare industry. The ACA expanded coverage for the uninsured while at the same time containing overall healthcare costs. With regard to pharmaceutical products, the ACA, among other things, addressed a new methodology by which rebates owed by manufacturers under the MDRP are calculated for drugs that are inhaled, infused, instilled, implanted, or injected, increased the minimum Medicaid rebates owed by manufacturers under the MDRP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they receive on the sale of products, which could have a material impact on our business.</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ACA requires pharmaceutical manufacturers of branded prescription drugs to pay a branded prescription drug fee to the federal government. Each such manufacturer is required to pay a prorated share of the branded prescription drug fee based on the dollar value of its branded prescription drug sales to certain federal programs identified in the law. The ACA also expanded the 340B program to include additional types of covered entities. Federal law requires that any company that participates in the Medicaid rebate program also participate in the 340B program in order for federal funds to be available for the manufacturer’s drugs under Medicaid. The 340B program requires participating manufacturers to agree to charge statutorily defined covered entities no more than the 340B “ceiling price” for the manufacturer’s covered outpatient drugs. In addition, in order to be eligible to have its products paid for with federal funds under the Medicaid programs and purchased by certain federal grantees and agencies, a manufacturer also must participate in the Department of Veterans Affairs Federal Supply Schedule (“FSS”) pricing program, established by Section 603 of the Veterans Health Care Act of 1992. Under this program, the manufacturer is obligated to make products available for procurement on an FSS contract and charge a price to four federal agencies—the Department of Veterans Affairs, the Department of Defense, the Public Health Service, and the Coast Guard—that is at least 24% less than the Non-Federal Average Manufacturing Price for the prior fiscal year.</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Since the enactment of the ACA, there have been judicial and Congressional challenges to certain aspects of the ACA. In June 2021, the Supreme Court held that Texas and other challengers had no legal standing to challenge the ACA, upholding the ACA. In January 2021, President Biden also issued an executive order to initiate a special enrollment period to allow people to obtain health insurance coverage through the ACA marketplace and instructs certain governmental agencies to review and reconsider their existing policies and rules that limit access to healthcare, among others. We cannot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predict how future litigation, healthcare reform measures of the Biden administration, or what other regulations will ultimately be implemented at the federal or state level, or the effect of any future legislation or regulation may have on our business.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for example, in September 2018, CMS announced that it will allow Medicare Advantage Plans the option to use step therapy for Part B drugs beginning January 1, 2019. Additionally, CMS issued a final rule, effective on July 9, 2019, that requires direct-to-consumer television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There are important exemptions to Maximum Fair Price including medications that are orphan drug designated and approved, for only one rare disease, and drugs with low Medicare spend as defined by CMS. In an effort to curb Medicare patients’ out-of-pocket costs for prescription drugs, the Part D redesign legislation requires manufacturers to contribute to the catastrophic coverage phase for Part D Drugs, as discounts through a manufacturer discount program. Furthermore,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any of the product candidates for which we receive approval.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6"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We expect that additional federal and state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 and may increase our regulatory burdens and operating costs.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Moreover,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Healthcare Laws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our product and any product candidates that obtain regulatory approval and are marketed in the United States, our arrangements, directly or indirectly, with third-party payors, healthcare providers,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Our employees, consultants, and commercial partners may engage in misconduct or other improper activities, including non-compliance with regulatory standards and requirements. Federal and state healthcare laws and regulations that may affect our ability to conduct business, include, without limitation:</w:t>
      </w:r>
    </w:p>
    <w:p>
      <w:pPr>
        <w:spacing w:after="0" w:line="62" w:lineRule="exact"/>
        <w:rPr>
          <w:sz w:val="20"/>
          <w:szCs w:val="20"/>
          <w:color w:val="auto"/>
        </w:rPr>
      </w:pPr>
    </w:p>
    <w:p>
      <w:pPr>
        <w:ind w:left="760" w:hanging="373"/>
        <w:spacing w:after="0" w:line="281" w:lineRule="auto"/>
        <w:tabs>
          <w:tab w:leader="none" w:pos="7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FDA, Department of Justice, and other government authority prohibitions against the advertisement, promotion and labeling of our products for off-label uses, or uses outside the specific indications approved by the FDA;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760" w:hanging="373"/>
        <w:spacing w:after="0" w:line="262"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federal Anti-Kickback Statute, which broadly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Medicare or Medicaid. A person or entity does not need to have actual knowledge of the statute or specific intent to violate it to have committed a violation;</w:t>
      </w:r>
    </w:p>
    <w:p>
      <w:pPr>
        <w:spacing w:after="0" w:line="60" w:lineRule="exact"/>
        <w:rPr>
          <w:rFonts w:ascii="Arial" w:cs="Arial" w:eastAsia="Arial" w:hAnsi="Arial"/>
          <w:sz w:val="14"/>
          <w:szCs w:val="14"/>
          <w:color w:val="auto"/>
        </w:rPr>
      </w:pPr>
    </w:p>
    <w:p>
      <w:pPr>
        <w:jc w:val="both"/>
        <w:ind w:left="760" w:hanging="373"/>
        <w:spacing w:after="0" w:line="257" w:lineRule="auto"/>
        <w:tabs>
          <w:tab w:leader="none" w:pos="7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federal False Claims Act, which prohibits, among other things, individuals or entities from knowingly presenting, or causing to be presented, false claims, or knowingly using false statements, to obtain payment from the federal government. These laws have been interpreted to apply to arrangements between manufacturers, on the one hand, and prescribers, purchasers, and other healthcare-related professionals on the other. They can apply to manufacturers who provide inaccurate information on coverage, coding, and reimbursement of their products to persons who bill third-party payers. In addition, manufacturers have been prosecuted or faced civil and criminal liability under these laws for a variety of alleged promotional and marketing activities, including violations of the federal Anti-Kickback Statute and engaging in off-label promotion that caused claims to be submitted for non-covered off-label uses. Private individuals can bring False Claims Act “qui tam” actions, on behalf of the government and such individuals, commonly known as “whistleblowers,” may share in amounts paid by the entity to the government in fines or settlement;</w:t>
      </w:r>
    </w:p>
    <w:p>
      <w:pPr>
        <w:spacing w:after="0" w:line="66" w:lineRule="exact"/>
        <w:rPr>
          <w:rFonts w:ascii="Arial" w:cs="Arial" w:eastAsia="Arial" w:hAnsi="Arial"/>
          <w:sz w:val="14"/>
          <w:szCs w:val="14"/>
          <w:color w:val="auto"/>
        </w:rPr>
      </w:pPr>
    </w:p>
    <w:p>
      <w:pPr>
        <w:jc w:val="both"/>
        <w:ind w:left="760" w:hanging="373"/>
        <w:spacing w:after="0" w:line="297" w:lineRule="auto"/>
        <w:tabs>
          <w:tab w:leader="none" w:pos="756"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Health Insurance Portability and Accountability Act of 1996 (“HIPAA”), as amended, which among other things, also created criminal liability for knowingly and willfully falsifying or concealing a material fact or making a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39" w:lineRule="exact"/>
        <w:rPr>
          <w:rFonts w:ascii="Arial" w:cs="Arial" w:eastAsia="Arial" w:hAnsi="Arial"/>
          <w:sz w:val="13"/>
          <w:szCs w:val="13"/>
          <w:color w:val="auto"/>
        </w:rPr>
      </w:pPr>
    </w:p>
    <w:p>
      <w:pPr>
        <w:ind w:left="760" w:hanging="373"/>
        <w:spacing w:after="0"/>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Federal criminal laws that prohibit executing a scheme to defraud any healthcare benefit program or making, or causing to be made, false statements relating to healthcare matters;</w:t>
      </w:r>
    </w:p>
    <w:p>
      <w:pPr>
        <w:spacing w:after="0" w:line="105" w:lineRule="exact"/>
        <w:rPr>
          <w:rFonts w:ascii="Arial" w:cs="Arial" w:eastAsia="Arial" w:hAnsi="Arial"/>
          <w:sz w:val="13"/>
          <w:szCs w:val="13"/>
          <w:color w:val="auto"/>
        </w:rPr>
      </w:pPr>
    </w:p>
    <w:p>
      <w:pPr>
        <w:ind w:left="760" w:hanging="373"/>
        <w:spacing w:after="0" w:line="321" w:lineRule="auto"/>
        <w:tabs>
          <w:tab w:leader="none" w:pos="756"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4" w:lineRule="exact"/>
        <w:rPr>
          <w:rFonts w:ascii="Arial" w:cs="Arial" w:eastAsia="Arial" w:hAnsi="Arial"/>
          <w:sz w:val="13"/>
          <w:szCs w:val="13"/>
          <w:color w:val="auto"/>
        </w:rPr>
      </w:pPr>
    </w:p>
    <w:p>
      <w:pPr>
        <w:ind w:left="760" w:hanging="373"/>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Foreign Corrupt Practices Act, the U.K. Bribery Act of 2010, and other local anti-corruption laws that apply to our international activities;</w:t>
      </w:r>
    </w:p>
    <w:p>
      <w:pPr>
        <w:spacing w:after="0" w:line="93" w:lineRule="exact"/>
        <w:rPr>
          <w:rFonts w:ascii="Arial" w:cs="Arial" w:eastAsia="Arial" w:hAnsi="Arial"/>
          <w:sz w:val="14"/>
          <w:szCs w:val="14"/>
          <w:color w:val="auto"/>
        </w:rPr>
      </w:pPr>
    </w:p>
    <w:p>
      <w:pPr>
        <w:jc w:val="both"/>
        <w:ind w:left="760" w:hanging="373"/>
        <w:spacing w:after="0" w:line="284" w:lineRule="auto"/>
        <w:tabs>
          <w:tab w:leader="none" w:pos="756"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federal Physician Payment Sunshine Act (“Open Payments”), and implementing regulations, which require applicable group purchasing organizations and manufacturers of covered drugs, medical devices, biologicals and medical supplies for which payment is available under Medicare, Medicaid, or the Children’s Health Insurance Program to report annually to the CMS information related to certain payments and other transfers of value made to covered recipients, including licensed physicians (defined to include doctors, dentists, optometrists, podiatrists and chiropractors), certain non-physician healthcare professionals (such as physician assistants and nurse practitioners, among others), and teaching hospitals, and information regarding ownership and investment interests held by physicians and their immediate family members;</w:t>
      </w:r>
    </w:p>
    <w:p>
      <w:pPr>
        <w:spacing w:after="0" w:line="49" w:lineRule="exact"/>
        <w:rPr>
          <w:rFonts w:ascii="Arial" w:cs="Arial" w:eastAsia="Arial" w:hAnsi="Arial"/>
          <w:sz w:val="13"/>
          <w:szCs w:val="13"/>
          <w:color w:val="auto"/>
        </w:rPr>
      </w:pPr>
    </w:p>
    <w:p>
      <w:pPr>
        <w:jc w:val="both"/>
        <w:ind w:left="760" w:hanging="373"/>
        <w:spacing w:after="0" w:line="280" w:lineRule="auto"/>
        <w:tabs>
          <w:tab w:leader="none" w:pos="756"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pharmaceutical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E.U. General Data Protection Regulation (“GDPR”),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scope and enforcement of each of these laws are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may not comply with current or future statutes, regulations, or case law involving applicable fraud and abuse or other healthcare laws and regulations. If our operations, including those of our contractors or agents who conduct business for or on our behalf, are found to be in violation of any of these laws or any other related governmental regulations that may apply to us, we may be subject to significant civil, criminal, and administrative penalties, damages, fines, imprisonment, disgorgement, exclusion of drugs from government funded healthcare programs, such as Medicare and Medicaid, reputational harm, additional oversight, and reporting obligations if we becomes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and Data Protection Laws</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We are subject to laws and regulations covering data privacy and the protection of health-related and other personal information. Federal, state, and foreign laws also govern the privacy and security of health information in some circumstances. For example, 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 State data privacy and security laws may differ from each other in significant ways and often are not pre-empted by HIPAA, which may complicate compliance efforts in states or jurisdictions we conduct business. For example, California recently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became enforceable by the California Attorney General on July 1, 2020. While there is currently an exception for protected health information that is subject to HIPAA and clinical trial regulations, as currently written, the CCPA may impact our business activities. California also passed the California Privacy Rights Act, which imposes additional data protection obligations on companies doing business in California. These and other applicable state and foreign privacy laws, as well as uncertain changes in future regulation and legislation, could impact our business strategies, increase our potential liability, increase our compliance costs, and adversely affect our business.</w:t>
      </w:r>
    </w:p>
    <w:p>
      <w:pPr>
        <w:spacing w:after="0" w:line="66"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The collection and use of personal health data in the European Union are governed by the provisions of the Data Protection Directive, and as of May 2018, the General Data Protection Regulation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and GDPR also impose strict rules on the transfer of personal data out of the European Union to the U.S.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 new data protection rules. This may be onerous and adversely affect our business, financial condition, results of operations, and prospects.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Regulatory Matters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Drug Development</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Europe, any future drug products for which we receive marketing authorization will also be subject to extensive regulatory requirements. As in the United States, medicinal products can only be marketed if a marketing authorization from the competent regulatory agencies has been obtained. Similar to the United States, the various phases of preclinical and clinical research in Europe are subject to significant regulatory controls. Although the European Union Clinical Trials Directive 2001/20/EC (“Clinical Trials Directive”) has sought to harmonize the EU clinical trials regulatory framework, setting out common rules for the control and authorization of clinical trials in the EU, the EU member states have transposed and applied the provisions of the Clinical Trials Directive differently. This has led to significant variations in the member state regimes. Under the current regime, before a clinical trial can be initiated, it must be approved in each of the EU member states where the trial is to be conducted by two distinct bodies: the National Competent Authority (“NCA”) and one or more Ethics Committees (“ECs”). Under the current regime, all suspected unexpected serious adverse reactions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to the investigated drug that occur during the clinical trial have to be reported to the NCA and ECs of the member state where they occurred.</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In 2014, a new Clinical Trials Regulation 536/2014 (“Clinical Trials Regulation”), replacing the current Directive, was adopted. The Clinical Trials Regulation will become directly applicable in all EU member states (without national implementation) once the EU Portal and Database are fully functional. The implementation of the Clinical Trials Regulation depends on confirmation of full functionality of the Clinical Trials Information System through an independent audit, which commenced in September 2020. This system went into application in first quarter of 2022. The Clinical Trials Regulation seeks to simplify and streamline the approval of clinical trials in the European Union. For example, the sponsor can submit a single application for approval of a clinical trial via the EU Portal. As part of the application process, the sponsor will propose a reporting member state, which will coordinate the validation and evaluation of the application. The reporting member state shall consult and coordinate with the other member states in which the clinical trial will take place, also referred to as the Member States Concerned. If an application is rejected, it can be amended and resubmitted through the EU Portal. If an approval is issued, the sponsor can start the clinical trial in all Member States Concerned. However, a Member State Concerned can in limited circumstances declare an “opt-out” from an approval. In such a case, the clinical trial cannot be conducted in that member state. The Clinical Trials Regulation also aims to streamline and simplify the rules on safety reporting and introduces enhanced transparency requirements such as mandatory submission of a summary of the clinical trial results to the EU Database.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Drug Review and Approval</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European Economic Area (“EEA”), which is comprised of the 27 EU member states plus Norway, Iceland, and Liechtenstein, medicinal products can only be commercialized after obtaining approval of an EU marketing authorization application (“MAA”). There are two types of marketing authorizations. The first is the community or centralized EU MAA, which is issued by the European Commission through the Centralized Procedure, based on the opinion of the Committee for Medicinal Products for Human Use (“CHMP”) of the European Medicines Agency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National EU MAAs,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EU MAA can be recognized in another member states through the Mutual Recognition Procedure. If the drug has not received a National EU MAA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EU MAA is sought, one of which is selected by the applicant as the Reference Member State (“RMS”). The competent authority of the RMS prepares a draft assessment report, a draft summary of the drug characteristics (“SPC”), and a draft of the labeling and package leaflet, which are sent to the other member states, or the Member States Concerned, for their approval. If the Member States Concerned raise no objections, based on a potential serious risk to public health, to the assessment, SPC, labeling, or packaging proposed by the RMS, the drug is subsequently granted a national EU MAA in all the member states, i.e., in the RMS and the Member States Concerned.</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Under the above-described procedures, before granting the EU MAA, the EMA or the competent authorities of the member states of the EEA make an assessment of the risk-benefit balance of the drug on the basis of scientific criteria concerning its quality, safety, and efficacy.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Chemical Entity Exclusivity</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Europe,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Brexit and the Regulatory Framework in the United Kingdom</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On June 23, 2016, the electorate in the United Kingdom voted in favor of leaving the EU, commonly referred to as Brexit. Thereafter, on March 29, 2017, the country formally notified the EU of its intention to withdraw pursuant to Article 50 of the Lisbon Treaty. The United Kingdom formally left the EU on January 31, 2020. A transition period began on February 1, 2020, during which EU pharmaceutical law remains applicable to the United Kingdom and ended on December 31, 2020. Although the United Kingdom is no longer a member of the EU, EU law remains applicable in Northern Ireland. There are a number of new marketing authorization routes available in the United Kingdom, Great Britain (England, Scotland and Wales) or Northern Ireland, in addition to the national procedure. As with the EU position, a company can only start to market a medicine in the United Kingdom once it has received a marketing authorization. The main legislation that applies to clinical trials in the United Kingdom is the United Kingdom Medicines for Human Use (Clinical Trials) Regulations 2004, which transposes the Clinical Trials Directive into domestic law. Consequently, the requirements and obligations that relate to the conduct of clinical trials in the UK currently remain largely aligned with the EU position. It is unclear how future regulatory regime in the United Kingdom will impact regulations of products, manufacturers, and approval of product candidates in the United Kingdom.</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Foreign Countries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other countries outside of the United States and the European Union, the requirements governing the conduct of clinical trials, drug approval or marketing authorization, pricing, and reimbursement vary from country to country. In all cases, clinical trials must be conducted in accordance with GCP requirements and the applicable regulatory requirements and the ethical principles that have their origin in the Declaration of Helsinki, which is a statement of ethical principles for medical research involving human subjects, including research on identifiable human material and data, developed by the World Medical Association.</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 and Human Capital</w:t>
      </w:r>
    </w:p>
    <w:p>
      <w:pPr>
        <w:spacing w:after="0" w:line="9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We have operated by leveraging skilled experts, consultants, contract research organizations, and contractors to manage our clinical operations, manufacturing, research and development, and other functions under the leadership and direction of our management. We will continue to expand our infrastructure to manage our operations, including commercial with additional full-time employees.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December 31, 2022, we had 79 full-time or part-time employees. Of these employees, 47 employees are engaged in research and development activities and 32 employees are engaged in general and administrative activities. None of our employees are represented by labor unions or covered by collective bargaining agreements. We consider the relationship with our employees to be good.</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Our human capital resources objectives include, as applicable, identifying, recruiting, retaining, incentivizing and integrating our existing and additional employees, advisors and consultants, while being committed to a diverse and dynamic workplace.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Information</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were originally incorporated in the State of Delaware in November 2007 under the name “Zeta Acquisition Corp. II.” Zeta Acquisition Corp. II was a “shell” company registered under the Exchange Act with no specific business plan or purpose until it began operating the business of Aerpio Pharmaceuticals, Inc. through a merger in March 2017. In August 2021, we effected a reverse merger pursuant to which a wholly owned subsidiary of ours, merged with and into Aadi Subsidiary, Inc. (formerly Aadi Bioscience, Inc.) (“Private Aadi”), with Private Aadi surviving as a wholly owned subsidiary of ours (the "Merger"). Upon the closing of the Merger, we changed our name from “Aerpio Pharmaceuticals, Inc.” to “Aadi Bioscience, Inc.” and the name of Private Aadi was changed from “Aadi Bioscience, Inc.” to “Aadi Subsidiary, Inc.”</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principal executive offices are located at 17383 Sunset Boulevard, Suite A250, Pacific Palisades, California 90272. We maintain a website at www.aadibio.com, to which we regularly post copies of our press releases as well as additional information about us. Our filings with the Securities and Exchange Commission (the “SEC”) will be available free of charge through the website as soon as reasonably practicable after being electronically filed with or furnished to the SEC. Information contained in our website does not constitute a part of this Annual Report on Form 10-K or any of our other filings with the SEC unless specifically incorporated herein by reference. In addition, our filings with the SEC may be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accessed through the SEC’s Electronic Data Gathering, Analysis, and Retrieval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Please see page 2 of this Annual Report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 Summary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business is subject to numerous risks and uncertainties that you should be aware of in evaluating our business, including those described in Part I, Item 1A. “Risk Factors” in this Annual Report on Form 10-K. These risks include, but are not limited to, the following:</w:t>
      </w:r>
    </w:p>
    <w:p>
      <w:pPr>
        <w:spacing w:after="0" w:line="47" w:lineRule="exact"/>
        <w:rPr>
          <w:sz w:val="20"/>
          <w:szCs w:val="20"/>
          <w:color w:val="auto"/>
        </w:rPr>
      </w:pPr>
    </w:p>
    <w:p>
      <w:pPr>
        <w:ind w:left="760" w:hanging="373"/>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a commercial-stage biopharmaceutical company, have a limited operating history and have a single product approved for commercial sale, which may make it difficult for you to evaluate our current business and likelihood of success and viability.</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incurred significant net losses since our inception, and we expect to continue to incur significant net losses for the foreseeable future.</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generate revenue and achieve profitability depends significantly on our ability to achieve several objectives relating to the discovery, development and commercialization of FYARRO and any future product candidates.</w:t>
      </w:r>
    </w:p>
    <w:p>
      <w:pPr>
        <w:spacing w:after="0" w:line="47"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or any future product candidates and our business will be substantially harmed.</w:t>
      </w:r>
    </w:p>
    <w:p>
      <w:pPr>
        <w:spacing w:after="0" w:line="56"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Even following approval and commercialization of FYARRO for the advanced malignant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6" w:lineRule="exact"/>
        <w:rPr>
          <w:rFonts w:ascii="Arial" w:cs="Arial" w:eastAsia="Arial" w:hAnsi="Arial"/>
          <w:sz w:val="14"/>
          <w:szCs w:val="14"/>
          <w:color w:val="auto"/>
        </w:rPr>
      </w:pPr>
    </w:p>
    <w:p>
      <w:pPr>
        <w:ind w:left="760" w:hanging="373"/>
        <w:spacing w:after="0" w:line="321" w:lineRule="auto"/>
        <w:tabs>
          <w:tab w:leader="none" w:pos="756"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are substantially dependent on the success of our lead product candidate, FYARRO. If we are unable to successfully commercialize FYARRO for the advanced malignant PEComa indication or complete development of, obtain approval for and commercialize FYARRO for one or more other indications in a timely manner, our business will be harmed.</w:t>
      </w:r>
    </w:p>
    <w:p>
      <w:pPr>
        <w:spacing w:after="0" w:line="24" w:lineRule="exact"/>
        <w:rPr>
          <w:rFonts w:ascii="Arial" w:cs="Arial" w:eastAsia="Arial" w:hAnsi="Arial"/>
          <w:sz w:val="13"/>
          <w:szCs w:val="13"/>
          <w:color w:val="auto"/>
        </w:rPr>
      </w:pPr>
    </w:p>
    <w:p>
      <w:pPr>
        <w:ind w:left="760" w:hanging="373"/>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any of our third-party manufacturers encounter difficulties in production, our ability to provide adequate supply of FYARRO for patients or for clinical trials or any other product candidate that we may develop in the future, if approved, could be delayed or prevented.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dependent on a single-source supplier for the drug product FYARRO, and the loss of such supplier could harm our business.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we experience delays or difficulties in the enrollment and/or maintenance of patients in clinical trials, our regulatory submissions or receipt of necessary regulatory approvals could be delayed or prevented.</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market opportunities for FYARRO and any other product candidates we may develop in the future, if approved, may be limited to certain smaller patient subsets.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760" w:hanging="373"/>
        <w:spacing w:after="0" w:line="267"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or any future product candidates and our business will be substantially harmed.</w:t>
      </w:r>
    </w:p>
    <w:p>
      <w:pPr>
        <w:spacing w:after="0" w:line="56"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56" w:lineRule="exact"/>
        <w:rPr>
          <w:rFonts w:ascii="Arial" w:cs="Arial" w:eastAsia="Arial" w:hAnsi="Arial"/>
          <w:sz w:val="14"/>
          <w:szCs w:val="14"/>
          <w:color w:val="auto"/>
        </w:rPr>
      </w:pPr>
    </w:p>
    <w:p>
      <w:pPr>
        <w:ind w:left="760" w:hanging="373"/>
        <w:spacing w:after="0" w:line="321" w:lineRule="auto"/>
        <w:tabs>
          <w:tab w:leader="none" w:pos="756"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spacing w:after="0" w:line="24" w:lineRule="exact"/>
        <w:rPr>
          <w:rFonts w:ascii="Arial" w:cs="Arial" w:eastAsia="Arial" w:hAnsi="Arial"/>
          <w:sz w:val="13"/>
          <w:szCs w:val="13"/>
          <w:color w:val="auto"/>
        </w:rPr>
      </w:pPr>
    </w:p>
    <w:p>
      <w:pPr>
        <w:ind w:left="760" w:hanging="373"/>
        <w:spacing w:after="0" w:line="281"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success depends on our ability to protect our intellectual property and our proprietary technologies.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we do not obtain patent term extension for our product or any future product candidates, our business may be materially harmed.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depend on intellectual property licensed from third parties and termination of any of these licenses could result in the loss of significant rights, which would harm our business.</w:t>
      </w:r>
    </w:p>
    <w:p>
      <w:pPr>
        <w:spacing w:after="0" w:line="105" w:lineRule="exact"/>
        <w:rPr>
          <w:rFonts w:ascii="Arial" w:cs="Arial" w:eastAsia="Arial" w:hAnsi="Arial"/>
          <w:sz w:val="13"/>
          <w:szCs w:val="13"/>
          <w:color w:val="auto"/>
        </w:rPr>
      </w:pPr>
    </w:p>
    <w:p>
      <w:pPr>
        <w:jc w:val="both"/>
        <w:ind w:left="760" w:hanging="373"/>
        <w:spacing w:after="0" w:line="267"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or such quantities at an acceptable cost, which could delay, prevent or impair our development or commercialization efforts.</w:t>
      </w:r>
    </w:p>
    <w:p>
      <w:pPr>
        <w:spacing w:after="0" w:line="56" w:lineRule="exact"/>
        <w:rPr>
          <w:rFonts w:ascii="Arial" w:cs="Arial" w:eastAsia="Arial" w:hAnsi="Arial"/>
          <w:sz w:val="14"/>
          <w:szCs w:val="14"/>
          <w:color w:val="auto"/>
        </w:rPr>
      </w:pPr>
    </w:p>
    <w:p>
      <w:pPr>
        <w:ind w:left="760" w:hanging="373"/>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rely, and expect to continue to rely, on third parties to conduct our preclinical studies and clinical trials and those third parties may not perform satisfactorily.</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Litigation and legal proceedings, including the EOC dispute, may substantially increase our costs and harm our business, irrespective of outcome.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Risks Related to Our Business, Financial Condition and Capital Requirements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are a commercial-stage biopharmaceutical company, have a limited operating history and have a single product approved for commercial sale, which may make it difficult for you to evaluate our current business and likelihood of success and viability.</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 xml:space="preserve">We are a commercial-stage biopharmaceutical company with a limited operating history upon which you can evaluate our business and prospects. We have a single product, FYARRO, approved for commercial sale by the FDA in November 2021 and launched commercially in the United States </w:t>
      </w:r>
      <w:r>
        <w:rPr>
          <w:rFonts w:ascii="Arial" w:cs="Arial" w:eastAsia="Arial" w:hAnsi="Arial"/>
          <w:sz w:val="14"/>
          <w:szCs w:val="14"/>
          <w:color w:val="000000"/>
        </w:rPr>
        <w:t>for treatment of</w:t>
      </w:r>
      <w:r>
        <w:rPr>
          <w:rFonts w:ascii="Arial" w:cs="Arial" w:eastAsia="Arial" w:hAnsi="Arial"/>
          <w:sz w:val="14"/>
          <w:szCs w:val="14"/>
          <w:color w:val="231F20"/>
        </w:rPr>
        <w:t xml:space="preserve"> advanced malignant perivascular epithelioid cell tumor (“PEComa”) in February 2022. We generated net product sales for FYARRO of $15.2 million for the year ended December 31, 2022.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 xml:space="preserve">To date, we have devoted substantially all of our resources to research and development activities, business planning, establishing and maintaining our intellectual property portfolio, preparing for commercialization of FYARRO, hiring personnel, raising capital and providing general and administrative support for these operations. We conducted a Phase 2 registrational study of </w:t>
      </w:r>
      <w:r>
        <w:rPr>
          <w:rFonts w:ascii="Arial" w:cs="Arial" w:eastAsia="Arial" w:hAnsi="Arial"/>
          <w:sz w:val="14"/>
          <w:szCs w:val="14"/>
          <w:color w:val="000000"/>
        </w:rPr>
        <w:t>FYARRO</w:t>
      </w:r>
      <w:r>
        <w:rPr>
          <w:rFonts w:ascii="Arial" w:cs="Arial" w:eastAsia="Arial" w:hAnsi="Arial"/>
          <w:sz w:val="14"/>
          <w:szCs w:val="14"/>
          <w:color w:val="231F20"/>
        </w:rPr>
        <w:t xml:space="preserve"> (the “AMPECT" trial) for PEComa and completed a rolling New Drug Application (an “NDA”) submission for </w:t>
      </w:r>
      <w:r>
        <w:rPr>
          <w:rFonts w:ascii="Arial" w:cs="Arial" w:eastAsia="Arial" w:hAnsi="Arial"/>
          <w:sz w:val="14"/>
          <w:szCs w:val="14"/>
          <w:color w:val="000000"/>
        </w:rPr>
        <w:t>FYARRO</w:t>
      </w:r>
      <w:r>
        <w:rPr>
          <w:rFonts w:ascii="Arial" w:cs="Arial" w:eastAsia="Arial" w:hAnsi="Arial"/>
          <w:sz w:val="14"/>
          <w:szCs w:val="14"/>
          <w:color w:val="231F20"/>
        </w:rPr>
        <w:t xml:space="preserve"> in May 2021. The U.S. Food and Drug Administration (the “FDA”) accepted our NDA in July 2021 and approved FYARRO for the treatment of advanced malignant PEComa in November 2021.</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 xml:space="preserve">Based on the AMPECT trial and emerging data for </w:t>
      </w:r>
      <w:r>
        <w:rPr>
          <w:rFonts w:ascii="Arial" w:cs="Arial" w:eastAsia="Arial" w:hAnsi="Arial"/>
          <w:sz w:val="14"/>
          <w:szCs w:val="14"/>
          <w:color w:val="000000"/>
        </w:rPr>
        <w:t>FYARRO</w:t>
      </w:r>
      <w:r>
        <w:rPr>
          <w:rFonts w:ascii="Arial" w:cs="Arial" w:eastAsia="Arial" w:hAnsi="Arial"/>
          <w:sz w:val="14"/>
          <w:szCs w:val="14"/>
          <w:color w:val="231F20"/>
        </w:rPr>
        <w:t xml:space="preserve"> in other solid tumors with truncating Tuberous Sclerosis Complex 1 and 2 (“</w:t>
      </w:r>
      <w:r>
        <w:rPr>
          <w:rFonts w:ascii="Arial" w:cs="Arial" w:eastAsia="Arial" w:hAnsi="Arial"/>
          <w:sz w:val="14"/>
          <w:szCs w:val="14"/>
          <w:i w:val="1"/>
          <w:iCs w:val="1"/>
          <w:color w:val="231F20"/>
        </w:rPr>
        <w:t>TSC1 &amp; TSC2”)</w:t>
      </w:r>
      <w:r>
        <w:rPr>
          <w:rFonts w:ascii="Arial" w:cs="Arial" w:eastAsia="Arial" w:hAnsi="Arial"/>
          <w:sz w:val="14"/>
          <w:szCs w:val="14"/>
          <w:color w:val="231F20"/>
        </w:rPr>
        <w:t xml:space="preserve"> alterations, and following discussions with the FDA, we opened enrollment for our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 xml:space="preserve">registration-directed tumor-agnostic Phase 2 trial (“PRECISION 1”) in malignant solid tumors harboring </w:t>
      </w:r>
      <w:r>
        <w:rPr>
          <w:rFonts w:ascii="Arial" w:cs="Arial" w:eastAsia="Arial" w:hAnsi="Arial"/>
          <w:sz w:val="13"/>
          <w:szCs w:val="13"/>
          <w:i w:val="1"/>
          <w:iCs w:val="1"/>
          <w:color w:val="231F20"/>
        </w:rPr>
        <w:t>TSC1 &amp; TSC2</w:t>
      </w:r>
      <w:r>
        <w:rPr>
          <w:rFonts w:ascii="Arial" w:cs="Arial" w:eastAsia="Arial" w:hAnsi="Arial"/>
          <w:sz w:val="13"/>
          <w:szCs w:val="13"/>
          <w:color w:val="231F20"/>
        </w:rPr>
        <w:t xml:space="preserve"> inactivating alterations in the first quarter of 2022. In addition, in October 2022 we entered into a collaboration and supply agreement with Mirati Therapeutics, Inc. (“Mirati”) to evaluate the combination of Mirati’s adagrasib (KRAZATI™), a KRASG12C selective inhibitor, and FYARRO in KRAS G12C mutant non-small cell lung cancer (NSCLC) and other solid tumors. Under the terms of the agreement, Mirati will be responsible for sponsoring and operating the Phase 1/2 study and we will supply study drug and jointly share the cost of the study. Our other programs are in early preclinical research stages.</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have incurred significant net losses since our inception, and we expect to continue to incur significant net losses for the foreseeable future.</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231F20"/>
        </w:rPr>
        <w:t>We have incurred significant net losses since our inception, have only recently begun to generate revenue from product sales and have financed our operations principally through private placements and public offerings of our securities, federal grants and proceeds from licenses. Our net losses were $60.5 million and $110.1 million for the years ended December 31, 2022 and 2021, respectively. We had an accumulated deficit of $203.2 million and $142.7 million as of December 31, 2022 and 2021, respectively.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$15.2 million for the year ended December 31, 2022,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 xml:space="preserve">Even if we succeed in commercializing FYARRO for its approved </w:t>
      </w:r>
      <w:r>
        <w:rPr>
          <w:rFonts w:ascii="Arial" w:cs="Arial" w:eastAsia="Arial" w:hAnsi="Arial"/>
          <w:sz w:val="14"/>
          <w:szCs w:val="14"/>
          <w:color w:val="000000"/>
        </w:rPr>
        <w:t>advanced malignant</w:t>
      </w:r>
      <w:r>
        <w:rPr>
          <w:rFonts w:ascii="Arial" w:cs="Arial" w:eastAsia="Arial" w:hAnsi="Arial"/>
          <w:sz w:val="14"/>
          <w:szCs w:val="14"/>
          <w:color w:val="231F20"/>
        </w:rPr>
        <w:t xml:space="preserve"> 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commercialization of FYARRO, the development of FYARRO for additional indications and any future product candidates, our ability to achieve and maintain profitability and the performance of our stock.</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Our ability to generate revenue and achieve profitability depends significantly on our ability to achieve several objectives relating to the discovery, development and commercialization of our product candidates.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 xml:space="preserve">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successfully complete discovery, development and eventual commercialization of additional indications (such as </w:t>
      </w:r>
      <w:r>
        <w:rPr>
          <w:rFonts w:ascii="Arial" w:cs="Arial" w:eastAsia="Arial" w:hAnsi="Arial"/>
          <w:sz w:val="14"/>
          <w:szCs w:val="14"/>
          <w:i w:val="1"/>
          <w:iCs w:val="1"/>
          <w:color w:val="231F20"/>
        </w:rPr>
        <w:t xml:space="preserve">TSC1 </w:t>
      </w:r>
      <w:r>
        <w:rPr>
          <w:rFonts w:ascii="Arial" w:cs="Arial" w:eastAsia="Arial" w:hAnsi="Arial"/>
          <w:sz w:val="14"/>
          <w:szCs w:val="14"/>
          <w:color w:val="231F20"/>
        </w:rPr>
        <w:t>&amp;</w:t>
      </w:r>
      <w:r>
        <w:rPr>
          <w:rFonts w:ascii="Arial" w:cs="Arial" w:eastAsia="Arial" w:hAnsi="Arial"/>
          <w:sz w:val="14"/>
          <w:szCs w:val="14"/>
          <w:i w:val="1"/>
          <w:iCs w:val="1"/>
          <w:color w:val="231F20"/>
        </w:rPr>
        <w:t xml:space="preserve"> TSC2</w:t>
      </w:r>
      <w:r>
        <w:rPr>
          <w:rFonts w:ascii="Arial" w:cs="Arial" w:eastAsia="Arial" w:hAnsi="Arial"/>
          <w:sz w:val="14"/>
          <w:szCs w:val="14"/>
          <w:color w:val="231F20"/>
        </w:rPr>
        <w:t>), commercialize FYARRO in foreign jurisdictions or any future product candidates. We do not anticipate generating revenue from product sales significant enough to achieve</w:t>
      </w:r>
      <w:r>
        <w:rPr>
          <w:rFonts w:ascii="Arial" w:cs="Arial" w:eastAsia="Arial" w:hAnsi="Arial"/>
          <w:sz w:val="14"/>
          <w:szCs w:val="14"/>
          <w:i w:val="1"/>
          <w:iCs w:val="1"/>
          <w:color w:val="231F20"/>
        </w:rPr>
        <w:t xml:space="preserve"> </w:t>
      </w:r>
      <w:r>
        <w:rPr>
          <w:rFonts w:ascii="Arial" w:cs="Arial" w:eastAsia="Arial" w:hAnsi="Arial"/>
          <w:sz w:val="14"/>
          <w:szCs w:val="14"/>
          <w:color w:val="231F20"/>
        </w:rPr>
        <w:t>profitability for the foreseeable future. Our ability to generate future revenue and achieve profitability depends significantly on our ability, or any current or future collaborator’s ability, to achieve several objectives, including, but not limited to:</w:t>
      </w:r>
    </w:p>
    <w:p>
      <w:pPr>
        <w:spacing w:after="0" w:line="65" w:lineRule="exact"/>
        <w:rPr>
          <w:sz w:val="20"/>
          <w:szCs w:val="20"/>
          <w:color w:val="auto"/>
        </w:rPr>
      </w:pPr>
    </w:p>
    <w:p>
      <w:pPr>
        <w:ind w:left="760" w:hanging="373"/>
        <w:spacing w:after="0" w:line="281" w:lineRule="auto"/>
        <w:tabs>
          <w:tab w:leader="none" w:pos="756" w:val="left"/>
        </w:tabs>
        <w:numPr>
          <w:ilvl w:val="0"/>
          <w:numId w:val="16"/>
        </w:numPr>
        <w:rPr>
          <w:rFonts w:ascii="Arial" w:cs="Arial" w:eastAsia="Arial" w:hAnsi="Arial"/>
          <w:sz w:val="14"/>
          <w:szCs w:val="14"/>
          <w:color w:val="auto"/>
        </w:rPr>
      </w:pPr>
      <w:r>
        <w:rPr>
          <w:rFonts w:ascii="Arial" w:cs="Arial" w:eastAsia="Arial" w:hAnsi="Arial"/>
          <w:sz w:val="14"/>
          <w:szCs w:val="14"/>
          <w:color w:val="231F20"/>
        </w:rPr>
        <w:t xml:space="preserve">demonstrating the safety and efficacy of </w:t>
      </w:r>
      <w:r>
        <w:rPr>
          <w:rFonts w:ascii="Arial" w:cs="Arial" w:eastAsia="Arial" w:hAnsi="Arial"/>
          <w:sz w:val="14"/>
          <w:szCs w:val="14"/>
          <w:color w:val="000000"/>
        </w:rPr>
        <w:t>FYARRO</w:t>
      </w:r>
      <w:r>
        <w:rPr>
          <w:rFonts w:ascii="Arial" w:cs="Arial" w:eastAsia="Arial" w:hAnsi="Arial"/>
          <w:sz w:val="14"/>
          <w:szCs w:val="14"/>
          <w:color w:val="231F20"/>
        </w:rPr>
        <w:t xml:space="preserve"> to the satisfaction of the FDA and obtaining regulatory approval for </w:t>
      </w:r>
      <w:r>
        <w:rPr>
          <w:rFonts w:ascii="Arial" w:cs="Arial" w:eastAsia="Arial" w:hAnsi="Arial"/>
          <w:sz w:val="14"/>
          <w:szCs w:val="14"/>
          <w:color w:val="000000"/>
        </w:rPr>
        <w:t>FYARRO for other indications</w:t>
      </w:r>
      <w:r>
        <w:rPr>
          <w:rFonts w:ascii="Arial" w:cs="Arial" w:eastAsia="Arial" w:hAnsi="Arial"/>
          <w:sz w:val="14"/>
          <w:szCs w:val="14"/>
          <w:color w:val="231F20"/>
        </w:rPr>
        <w:t xml:space="preserve"> and for any future product candidates, if any, for which there is a commercial market;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launching and successfully commercializing FYARRO or any product candidates following any regulatory approval, including the development of a commercial infrastructure, whether in-house or with one or more collaborators;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maintaining commercially viable supply and manufacturing relationships with third parties that can provide adequate, in both amount and quality, products and services to support clinical development and meet the market demand for FYARRO or any other product candidates we may develop, if approved;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 xml:space="preserve">completing development activities, including clinical trials for </w:t>
      </w:r>
      <w:r>
        <w:rPr>
          <w:rFonts w:ascii="Arial" w:cs="Arial" w:eastAsia="Arial" w:hAnsi="Arial"/>
          <w:sz w:val="14"/>
          <w:szCs w:val="14"/>
          <w:color w:val="000000"/>
        </w:rPr>
        <w:t>FYARRO for</w:t>
      </w:r>
      <w:r>
        <w:rPr>
          <w:rFonts w:ascii="Arial" w:cs="Arial" w:eastAsia="Arial" w:hAnsi="Arial"/>
          <w:sz w:val="14"/>
          <w:szCs w:val="14"/>
          <w:color w:val="231F20"/>
        </w:rPr>
        <w:t xml:space="preserve"> </w:t>
      </w:r>
      <w:r>
        <w:rPr>
          <w:rFonts w:ascii="Arial" w:cs="Arial" w:eastAsia="Arial" w:hAnsi="Arial"/>
          <w:sz w:val="14"/>
          <w:szCs w:val="14"/>
          <w:i w:val="1"/>
          <w:iCs w:val="1"/>
          <w:color w:val="000000"/>
        </w:rPr>
        <w:t>TSC1 &amp; TSC2</w:t>
      </w:r>
      <w:r>
        <w:rPr>
          <w:rFonts w:ascii="Arial" w:cs="Arial" w:eastAsia="Arial" w:hAnsi="Arial"/>
          <w:sz w:val="14"/>
          <w:szCs w:val="14"/>
          <w:color w:val="231F20"/>
        </w:rPr>
        <w:t>, successfully and on a timely basis;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obtaining additional regulatory and marketing approvals for FYARRO for additional indications;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future product candidates;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 xml:space="preserve">establishing and maintaining relationships with contract research organizations (“CROs”) and clinical sites for the clinical development of </w:t>
      </w:r>
      <w:r>
        <w:rPr>
          <w:rFonts w:ascii="Arial" w:cs="Arial" w:eastAsia="Arial" w:hAnsi="Arial"/>
          <w:sz w:val="14"/>
          <w:szCs w:val="14"/>
          <w:color w:val="000000"/>
        </w:rPr>
        <w:t>FYARRO in other indications</w:t>
      </w:r>
      <w:r>
        <w:rPr>
          <w:rFonts w:ascii="Arial" w:cs="Arial" w:eastAsia="Arial" w:hAnsi="Arial"/>
          <w:sz w:val="14"/>
          <w:szCs w:val="14"/>
          <w:color w:val="231F20"/>
        </w:rPr>
        <w:t xml:space="preserve"> and any other future product candidates that we may develop;</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timely receipt of regulatory approvals from applicable regulatory authorities for any product candidates for which we successfully complete clinical development;</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developing or contracting for an efficient and scalable manufacturing process for future product candidates, including obtaining finished products that are appropriately packaged for sale;</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negotiating and maintaining an adequate price for our product or any future product candidates, both in the United States and in foreign countries where our products are commercialized;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a continued acceptable safety profile following any regulatory approval of product candidates;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commercial acceptance of product candidates by patients, the medical community and third-party payors;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obtaining coverage and adequate reimbursement by third-party payors for product candidates;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satisfying any required post-regulatory approval commitments to applicable regulatory authorities;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identifying, assessing and developing new product candidates;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obtaining, maintaining and expanding patent protection, trade secret protection and regulatory exclusivity, both in the United States and internationally;</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protecting our rights in our intellectual property portfolio;</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defending against third-party interference or infringement claims, if any;</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entering into and maintaining, on favorable terms, any collaboration, licensing or other arrangements that may be necessary or desirable to develop, manufacture or commercialize our product and any future product candidates;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231F20"/>
        </w:rPr>
        <w:t>addressing any competing therapies and technological and market developments; and attracting, hiring and retaining qualified personnel.</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231F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39"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231F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additional regulatory approval of FYARRO for additional indications, and the commercialization of </w:t>
      </w:r>
      <w:r>
        <w:rPr>
          <w:rFonts w:ascii="Arial" w:cs="Arial" w:eastAsia="Arial" w:hAnsi="Arial"/>
          <w:sz w:val="14"/>
          <w:szCs w:val="14"/>
          <w:color w:val="000000"/>
        </w:rPr>
        <w:t>FYARRO</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for its approved indication (PEComa)</w:t>
      </w:r>
      <w:r>
        <w:rPr>
          <w:rFonts w:ascii="Arial" w:cs="Arial" w:eastAsia="Arial" w:hAnsi="Arial"/>
          <w:sz w:val="12"/>
          <w:szCs w:val="12"/>
          <w:color w:val="231F20"/>
        </w:rPr>
        <w:t>. Our expenses could increase beyond our current expectations if we are required by the FDA, the European Medicines Agency (the “EMA”) or other regulatory</w:t>
      </w:r>
      <w:r>
        <w:rPr>
          <w:rFonts w:ascii="Arial" w:cs="Arial" w:eastAsia="Arial" w:hAnsi="Arial"/>
          <w:sz w:val="12"/>
          <w:szCs w:val="12"/>
          <w:color w:val="auto"/>
        </w:rPr>
        <w:t xml:space="preserve"> </w:t>
      </w:r>
      <w:r>
        <w:rPr>
          <w:rFonts w:ascii="Arial" w:cs="Arial" w:eastAsia="Arial" w:hAnsi="Arial"/>
          <w:sz w:val="12"/>
          <w:szCs w:val="12"/>
          <w:color w:val="231F20"/>
        </w:rPr>
        <w:t xml:space="preserve">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any of other product candidates, including additional indications for </w:t>
      </w:r>
      <w:r>
        <w:rPr>
          <w:rFonts w:ascii="Arial" w:cs="Arial" w:eastAsia="Arial" w:hAnsi="Arial"/>
          <w:sz w:val="12"/>
          <w:szCs w:val="12"/>
          <w:color w:val="000000"/>
        </w:rPr>
        <w:t>FYARRO</w:t>
      </w:r>
      <w:r>
        <w:rPr>
          <w:rFonts w:ascii="Arial" w:cs="Arial" w:eastAsia="Arial" w:hAnsi="Arial"/>
          <w:sz w:val="12"/>
          <w:szCs w:val="12"/>
          <w:color w:val="231F20"/>
        </w:rPr>
        <w:t xml:space="preserve">, we expect to incur significant commercialization expenses related to sales, marketing, manufacturing and distribution activities and ongoing compliance activities. We cannot reasonably estimate the actual amount of resources and funding that will be necessary to successfully commercialize </w:t>
      </w:r>
      <w:r>
        <w:rPr>
          <w:rFonts w:ascii="Arial" w:cs="Arial" w:eastAsia="Arial" w:hAnsi="Arial"/>
          <w:sz w:val="12"/>
          <w:szCs w:val="12"/>
          <w:color w:val="000000"/>
        </w:rPr>
        <w:t>FYARRO</w:t>
      </w:r>
      <w:r>
        <w:rPr>
          <w:rFonts w:ascii="Arial" w:cs="Arial" w:eastAsia="Arial" w:hAnsi="Arial"/>
          <w:sz w:val="12"/>
          <w:szCs w:val="12"/>
          <w:color w:val="231F20"/>
        </w:rPr>
        <w:t xml:space="preserve"> for the </w:t>
      </w:r>
      <w:r>
        <w:rPr>
          <w:rFonts w:ascii="Arial" w:cs="Arial" w:eastAsia="Arial" w:hAnsi="Arial"/>
          <w:sz w:val="12"/>
          <w:szCs w:val="12"/>
          <w:color w:val="000000"/>
        </w:rPr>
        <w:t>advanced malignant</w:t>
      </w:r>
      <w:r>
        <w:rPr>
          <w:rFonts w:ascii="Arial" w:cs="Arial" w:eastAsia="Arial" w:hAnsi="Arial"/>
          <w:sz w:val="12"/>
          <w:szCs w:val="12"/>
          <w:color w:val="231F20"/>
        </w:rPr>
        <w:t xml:space="preserve"> PEComa indication or complete the development and, if approved, commercialize FYARRO for any other additional indications, or any other product candidates or other indications we may develop. Upon receiving regulatory approval for FYARRO from the FDA in November 2021, we are only permitted to market or promote </w:t>
      </w:r>
      <w:r>
        <w:rPr>
          <w:rFonts w:ascii="Arial" w:cs="Arial" w:eastAsia="Arial" w:hAnsi="Arial"/>
          <w:sz w:val="12"/>
          <w:szCs w:val="12"/>
          <w:color w:val="000000"/>
        </w:rPr>
        <w:t>FYARRO for the advanced malignant PEComa indication</w:t>
      </w:r>
      <w:r>
        <w:rPr>
          <w:rFonts w:ascii="Arial" w:cs="Arial" w:eastAsia="Arial" w:hAnsi="Arial"/>
          <w:sz w:val="12"/>
          <w:szCs w:val="12"/>
          <w:color w:val="231F20"/>
        </w:rPr>
        <w:t>, and not for any other indication, or any other product candidate, in the United States. In addition, we will incur additional costs associated with operating as a public company. Accordingly, we will need to obtain substantial additional funding in order to continue our operations.</w:t>
      </w:r>
    </w:p>
    <w:p>
      <w:pPr>
        <w:spacing w:after="0" w:line="4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As of December 31, 2022, we had $172.6 million in cash, cash equivalents and short-term investments. Based on our current operating plan, we believe that our cash, cash equivalents and short-term investments will enable us to fund our planned operating expenses and capital expenditures into 2025. Our estimate as to how long we expect our cash, cash equivalents and short-term investments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 xml:space="preserve">We plan to use our cash, cash equivalents and short-term investments to fund the commercialization of </w:t>
      </w:r>
      <w:r>
        <w:rPr>
          <w:rFonts w:ascii="Arial" w:cs="Arial" w:eastAsia="Arial" w:hAnsi="Arial"/>
          <w:sz w:val="13"/>
          <w:szCs w:val="13"/>
          <w:color w:val="000000"/>
        </w:rPr>
        <w:t>FYARRO</w:t>
      </w:r>
      <w:r>
        <w:rPr>
          <w:rFonts w:ascii="Arial" w:cs="Arial" w:eastAsia="Arial" w:hAnsi="Arial"/>
          <w:sz w:val="13"/>
          <w:szCs w:val="13"/>
          <w:color w:val="231F20"/>
        </w:rPr>
        <w:t xml:space="preserve"> for the </w:t>
      </w:r>
      <w:r>
        <w:rPr>
          <w:rFonts w:ascii="Arial" w:cs="Arial" w:eastAsia="Arial" w:hAnsi="Arial"/>
          <w:sz w:val="13"/>
          <w:szCs w:val="13"/>
          <w:color w:val="000000"/>
        </w:rPr>
        <w:t>advanced malignant</w:t>
      </w:r>
      <w:r>
        <w:rPr>
          <w:rFonts w:ascii="Arial" w:cs="Arial" w:eastAsia="Arial" w:hAnsi="Arial"/>
          <w:sz w:val="13"/>
          <w:szCs w:val="13"/>
          <w:color w:val="231F20"/>
        </w:rPr>
        <w:t xml:space="preserve"> PEComa indication, ongoing and planned clinical trials of </w:t>
      </w:r>
      <w:r>
        <w:rPr>
          <w:rFonts w:ascii="Arial" w:cs="Arial" w:eastAsia="Arial" w:hAnsi="Arial"/>
          <w:sz w:val="13"/>
          <w:szCs w:val="13"/>
          <w:color w:val="000000"/>
        </w:rPr>
        <w:t>FYARRO</w:t>
      </w:r>
      <w:r>
        <w:rPr>
          <w:rFonts w:ascii="Arial" w:cs="Arial" w:eastAsia="Arial" w:hAnsi="Arial"/>
          <w:sz w:val="13"/>
          <w:szCs w:val="13"/>
          <w:color w:val="231F20"/>
        </w:rPr>
        <w:t xml:space="preserve"> for other indications such as the </w:t>
      </w:r>
      <w:r>
        <w:rPr>
          <w:rFonts w:ascii="Arial" w:cs="Arial" w:eastAsia="Arial" w:hAnsi="Arial"/>
          <w:sz w:val="13"/>
          <w:szCs w:val="13"/>
          <w:i w:val="1"/>
          <w:iCs w:val="1"/>
          <w:color w:val="231F20"/>
        </w:rPr>
        <w:t>TSC1 &amp; TSC2</w:t>
      </w:r>
      <w:r>
        <w:rPr>
          <w:rFonts w:ascii="Arial" w:cs="Arial" w:eastAsia="Arial" w:hAnsi="Arial"/>
          <w:sz w:val="13"/>
          <w:szCs w:val="13"/>
          <w:color w:val="231F20"/>
        </w:rPr>
        <w:t xml:space="preserve"> indications, for manufacturing operations and to fund our other research for other product candidates and development activities, as well as for working capital and other general corporate purposes. Advancing the development of </w:t>
      </w:r>
      <w:r>
        <w:rPr>
          <w:rFonts w:ascii="Arial" w:cs="Arial" w:eastAsia="Arial" w:hAnsi="Arial"/>
          <w:sz w:val="13"/>
          <w:szCs w:val="13"/>
          <w:color w:val="000000"/>
        </w:rPr>
        <w:t>FYARRO</w:t>
      </w:r>
      <w:r>
        <w:rPr>
          <w:rFonts w:ascii="Arial" w:cs="Arial" w:eastAsia="Arial" w:hAnsi="Arial"/>
          <w:sz w:val="13"/>
          <w:szCs w:val="13"/>
          <w:color w:val="231F20"/>
        </w:rPr>
        <w:t xml:space="preserve"> and any future product candidate will require a significant amount of capital. Our existing cash, cash equivalents and short-term investments will not be sufficient to fund all of the activities that are necessary to complete the development of </w:t>
      </w:r>
      <w:r>
        <w:rPr>
          <w:rFonts w:ascii="Arial" w:cs="Arial" w:eastAsia="Arial" w:hAnsi="Arial"/>
          <w:sz w:val="13"/>
          <w:szCs w:val="13"/>
          <w:color w:val="000000"/>
        </w:rPr>
        <w:t>FYARRO and any future product candidates</w:t>
      </w:r>
      <w:r>
        <w:rPr>
          <w:rFonts w:ascii="Arial" w:cs="Arial" w:eastAsia="Arial" w:hAnsi="Arial"/>
          <w:sz w:val="13"/>
          <w:szCs w:val="13"/>
          <w:color w:val="231F20"/>
        </w:rPr>
        <w:t>.</w:t>
      </w:r>
    </w:p>
    <w:p>
      <w:pPr>
        <w:spacing w:after="0" w:line="46" w:lineRule="exact"/>
        <w:rPr>
          <w:sz w:val="20"/>
          <w:szCs w:val="20"/>
          <w:color w:val="auto"/>
        </w:rPr>
      </w:pPr>
    </w:p>
    <w:p>
      <w:pPr>
        <w:jc w:val="both"/>
        <w:spacing w:after="0" w:line="171" w:lineRule="exact"/>
        <w:rPr>
          <w:sz w:val="20"/>
          <w:szCs w:val="20"/>
          <w:color w:val="auto"/>
        </w:rPr>
      </w:pPr>
      <w:r>
        <w:rPr>
          <w:rFonts w:ascii="Arial" w:cs="Arial" w:eastAsia="Arial" w:hAnsi="Arial"/>
          <w:sz w:val="12"/>
          <w:szCs w:val="12"/>
          <w:color w:val="231F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2"/>
          <w:szCs w:val="12"/>
          <w:color w:val="231F20"/>
        </w:rPr>
        <w:t>‑</w:t>
      </w:r>
      <w:r>
        <w:rPr>
          <w:rFonts w:ascii="Arial" w:cs="Arial" w:eastAsia="Arial" w:hAnsi="Arial"/>
          <w:sz w:val="12"/>
          <w:szCs w:val="12"/>
          <w:color w:val="231F20"/>
        </w:rPr>
        <w:t>19 pandemic, the conflicts in Eastern Europe, and otherwise. In addition, we may seek additional capital due to favorable market conditions or strategic considerations even if we believe we have sufficient funds for our current or future operating plans.</w:t>
      </w:r>
    </w:p>
    <w:p>
      <w:pPr>
        <w:spacing w:after="0" w:line="8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Risks Related to the Discovery, Development and Commercialization of Our Product Candidates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 xml:space="preserve">We have only one product, FYARRO, which has completed development and obtained regulatory approval by the FDA for a single indication. We are substantially dependent on the success of </w:t>
      </w:r>
      <w:r>
        <w:rPr>
          <w:rFonts w:ascii="Arial" w:cs="Arial" w:eastAsia="Arial" w:hAnsi="Arial"/>
          <w:sz w:val="14"/>
          <w:szCs w:val="14"/>
          <w:b w:val="1"/>
          <w:bCs w:val="1"/>
          <w:i w:val="1"/>
          <w:iCs w:val="1"/>
          <w:color w:val="000000"/>
        </w:rPr>
        <w:t>FYARRO</w:t>
      </w:r>
      <w:r>
        <w:rPr>
          <w:rFonts w:ascii="Arial" w:cs="Arial" w:eastAsia="Arial" w:hAnsi="Arial"/>
          <w:sz w:val="14"/>
          <w:szCs w:val="14"/>
          <w:b w:val="1"/>
          <w:bCs w:val="1"/>
          <w:i w:val="1"/>
          <w:iCs w:val="1"/>
          <w:color w:val="231F20"/>
        </w:rPr>
        <w:t>. If we are unable to successfully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 xml:space="preserve">commercialize </w:t>
      </w:r>
      <w:r>
        <w:rPr>
          <w:rFonts w:ascii="Arial" w:cs="Arial" w:eastAsia="Arial" w:hAnsi="Arial"/>
          <w:sz w:val="14"/>
          <w:szCs w:val="14"/>
          <w:b w:val="1"/>
          <w:bCs w:val="1"/>
          <w:i w:val="1"/>
          <w:iCs w:val="1"/>
          <w:color w:val="000000"/>
        </w:rPr>
        <w:t>FYARRO for the advanced malignant PEComa indication or complete development of, obtain approval for and commercialize FYARRO</w:t>
      </w:r>
      <w:r>
        <w:rPr>
          <w:rFonts w:ascii="Arial" w:cs="Arial" w:eastAsia="Arial" w:hAnsi="Arial"/>
          <w:sz w:val="14"/>
          <w:szCs w:val="14"/>
          <w:b w:val="1"/>
          <w:bCs w:val="1"/>
          <w:i w:val="1"/>
          <w:iCs w:val="1"/>
          <w:color w:val="231F20"/>
        </w:rPr>
        <w:t xml:space="preserve"> for one or more other indications in a timely manner, our business will be harmed.</w:t>
      </w:r>
    </w:p>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231F20"/>
        </w:rPr>
        <w:t xml:space="preserve">We have only one commercial product that has launched, completed development and been approved by the FDA, FYARRO, our lead product. Our future success is dependent on our ability to successfully commercialize FYARRO, and to timely and successfully obtain regulatory approval for additional indications for FYARRO. We are investing the majority of our efforts and financial resources to commercialize FYARRO for the advanced malignant PEComa indication and in the research and development of </w:t>
      </w:r>
      <w:r>
        <w:rPr>
          <w:rFonts w:ascii="Arial" w:cs="Arial" w:eastAsia="Arial" w:hAnsi="Arial"/>
          <w:sz w:val="13"/>
          <w:szCs w:val="13"/>
          <w:color w:val="000000"/>
        </w:rPr>
        <w:t>FYARRO</w:t>
      </w:r>
      <w:r>
        <w:rPr>
          <w:rFonts w:ascii="Arial" w:cs="Arial" w:eastAsia="Arial" w:hAnsi="Arial"/>
          <w:sz w:val="13"/>
          <w:szCs w:val="13"/>
          <w:color w:val="231F20"/>
        </w:rPr>
        <w:t xml:space="preserve"> for multiple additional indications.</w:t>
      </w:r>
    </w:p>
    <w:p>
      <w:pPr>
        <w:spacing w:after="0" w:line="3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 xml:space="preserve">In May 2021, we completed the filing of a rolling NDA for </w:t>
      </w:r>
      <w:r>
        <w:rPr>
          <w:rFonts w:ascii="Arial" w:cs="Arial" w:eastAsia="Arial" w:hAnsi="Arial"/>
          <w:sz w:val="14"/>
          <w:szCs w:val="14"/>
          <w:color w:val="000000"/>
        </w:rPr>
        <w:t>FYARRO</w:t>
      </w:r>
      <w:r>
        <w:rPr>
          <w:rFonts w:ascii="Arial" w:cs="Arial" w:eastAsia="Arial" w:hAnsi="Arial"/>
          <w:sz w:val="14"/>
          <w:szCs w:val="14"/>
          <w:color w:val="231F20"/>
        </w:rPr>
        <w:t xml:space="preserve"> to the FDA for approval to treat patients with advanced malignant PEComa, and the FDA accepted our NDA in July 2021 and approved FYARRO for advanced malignant PEComa in November 2021. Our NDA was based on results from our AMPECT trial, involving patients for whom there were no approved therapies in the United States. </w:t>
      </w:r>
      <w:r>
        <w:rPr>
          <w:rFonts w:ascii="Arial" w:cs="Arial" w:eastAsia="Arial" w:hAnsi="Arial"/>
          <w:sz w:val="14"/>
          <w:szCs w:val="14"/>
          <w:color w:val="000000"/>
        </w:rPr>
        <w:t>FYARRO</w:t>
      </w:r>
      <w:r>
        <w:rPr>
          <w:rFonts w:ascii="Arial" w:cs="Arial" w:eastAsia="Arial" w:hAnsi="Arial"/>
          <w:sz w:val="14"/>
          <w:szCs w:val="14"/>
          <w:color w:val="231F20"/>
        </w:rPr>
        <w:t xml:space="preserve"> will require additional clinical development, expansion of manufacturing capabilities, regulatory approval from foreign regulatory authorities in jurisdictions outside of the United States where we plan to market </w:t>
      </w:r>
      <w:r>
        <w:rPr>
          <w:rFonts w:ascii="Arial" w:cs="Arial" w:eastAsia="Arial" w:hAnsi="Arial"/>
          <w:sz w:val="14"/>
          <w:szCs w:val="14"/>
          <w:color w:val="000000"/>
        </w:rPr>
        <w:t>FYARRO for advanced malignant PEComa and potentially in additional indications</w:t>
      </w:r>
      <w:r>
        <w:rPr>
          <w:rFonts w:ascii="Arial" w:cs="Arial" w:eastAsia="Arial" w:hAnsi="Arial"/>
          <w:sz w:val="14"/>
          <w:szCs w:val="14"/>
          <w:color w:val="231F20"/>
        </w:rPr>
        <w:t xml:space="preserve">, if approved, substantial investment and significant marketing efforts before we can generate any revenues from product sales. We are not permitted to market or promote </w:t>
      </w:r>
      <w:r>
        <w:rPr>
          <w:rFonts w:ascii="Arial" w:cs="Arial" w:eastAsia="Arial" w:hAnsi="Arial"/>
          <w:sz w:val="14"/>
          <w:szCs w:val="14"/>
          <w:color w:val="000000"/>
        </w:rPr>
        <w:t>FYARRO for non-PEComa indications</w:t>
      </w:r>
      <w:r>
        <w:rPr>
          <w:rFonts w:ascii="Arial" w:cs="Arial" w:eastAsia="Arial" w:hAnsi="Arial"/>
          <w:sz w:val="14"/>
          <w:szCs w:val="14"/>
          <w:color w:val="231F20"/>
        </w:rPr>
        <w:t>, before we receive regulatory approval from the FDA and comparable foreign regulatory authorities, and we may never receive such regulatory approvals.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231F20"/>
        </w:rPr>
        <w:t xml:space="preserve">The success of </w:t>
      </w:r>
      <w:r>
        <w:rPr>
          <w:rFonts w:ascii="Arial" w:cs="Arial" w:eastAsia="Arial" w:hAnsi="Arial"/>
          <w:sz w:val="14"/>
          <w:szCs w:val="14"/>
          <w:color w:val="000000"/>
        </w:rPr>
        <w:t>FYARRO</w:t>
      </w:r>
      <w:r>
        <w:rPr>
          <w:rFonts w:ascii="Arial" w:cs="Arial" w:eastAsia="Arial" w:hAnsi="Arial"/>
          <w:sz w:val="14"/>
          <w:szCs w:val="14"/>
          <w:color w:val="231F20"/>
        </w:rPr>
        <w:t xml:space="preserve"> will depend on several factors, including the following:</w:t>
      </w:r>
    </w:p>
    <w:p>
      <w:pPr>
        <w:spacing w:after="0" w:line="94" w:lineRule="exact"/>
        <w:rPr>
          <w:sz w:val="20"/>
          <w:szCs w:val="20"/>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efficacy and safety of FYARRO in a larger number of patients in a non-clinical trial setting that those demonstrated in our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effectiveness of our sales, marketing and distribution efforts;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the maintenance of existing or the establishment of new supply arrangements with third-party drug product suppliers and manufacturers for sufficient commercial supplies and additional clinical development of FYARRO;</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the success of our commercial sales, including the ongoing development of a commercial infrastructure, whether in-house or with one or more collaborators;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 xml:space="preserve">the timely receipt of regulatory approval for </w:t>
      </w:r>
      <w:r>
        <w:rPr>
          <w:rFonts w:ascii="Arial" w:cs="Arial" w:eastAsia="Arial" w:hAnsi="Arial"/>
          <w:sz w:val="14"/>
          <w:szCs w:val="14"/>
          <w:color w:val="000000"/>
        </w:rPr>
        <w:t>FYARRO</w:t>
      </w:r>
      <w:r>
        <w:rPr>
          <w:rFonts w:ascii="Arial" w:cs="Arial" w:eastAsia="Arial" w:hAnsi="Arial"/>
          <w:sz w:val="14"/>
          <w:szCs w:val="14"/>
          <w:color w:val="231F20"/>
        </w:rPr>
        <w:t xml:space="preserve"> from applicable foreign regulatory authorities for advanced malignant PEComa;</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the successful </w:t>
      </w:r>
      <w:r>
        <w:rPr>
          <w:rFonts w:ascii="Arial" w:cs="Arial" w:eastAsia="Arial" w:hAnsi="Arial"/>
          <w:sz w:val="14"/>
          <w:szCs w:val="14"/>
          <w:color w:val="231F20"/>
        </w:rPr>
        <w:t>completion of any clinical trials, regulatory approval and commercialization of FYARRO for one or more label expansion indications;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the extent of any required post-regulatory approval commitments to applicable regulatory authorities;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willingness of medical professionals to prescribe and patients to use FYARRO and continue to use FYARRO;</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availability of coverage and adequate reimbursement and pricing by private and government payors;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prevalence and severity of adverse side effects;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convenience of prescribing, administrating and initiating patients on FYARRO;</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potential and perceived value and relative cost of FYARRO;</w:t>
      </w:r>
    </w:p>
    <w:p>
      <w:pPr>
        <w:spacing w:after="0" w:line="93" w:lineRule="exact"/>
        <w:rPr>
          <w:rFonts w:ascii="Arial" w:cs="Arial" w:eastAsia="Arial" w:hAnsi="Arial"/>
          <w:sz w:val="14"/>
          <w:szCs w:val="14"/>
          <w:color w:val="auto"/>
        </w:rPr>
      </w:pPr>
    </w:p>
    <w:p>
      <w:pPr>
        <w:ind w:left="800" w:hanging="413"/>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 xml:space="preserve">the successful and timely completion of the required preclinical studies and clinical trials of </w:t>
      </w:r>
      <w:r>
        <w:rPr>
          <w:rFonts w:ascii="Arial" w:cs="Arial" w:eastAsia="Arial" w:hAnsi="Arial"/>
          <w:sz w:val="14"/>
          <w:szCs w:val="14"/>
          <w:color w:val="000000"/>
        </w:rPr>
        <w:t>FYARRO</w:t>
      </w:r>
      <w:r>
        <w:rPr>
          <w:rFonts w:ascii="Arial" w:cs="Arial" w:eastAsia="Arial" w:hAnsi="Arial"/>
          <w:sz w:val="14"/>
          <w:szCs w:val="14"/>
          <w:color w:val="231F20"/>
        </w:rPr>
        <w:t xml:space="preserve"> for current and future indications;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INDs going into effect with the FDA for our planned and future clinical trials;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 xml:space="preserve">the initiation and successful patient enrollment and completion of additional clinical trials of </w:t>
      </w:r>
      <w:r>
        <w:rPr>
          <w:rFonts w:ascii="Arial" w:cs="Arial" w:eastAsia="Arial" w:hAnsi="Arial"/>
          <w:sz w:val="14"/>
          <w:szCs w:val="14"/>
          <w:color w:val="000000"/>
        </w:rPr>
        <w:t>FYARRO</w:t>
      </w:r>
      <w:r>
        <w:rPr>
          <w:rFonts w:ascii="Arial" w:cs="Arial" w:eastAsia="Arial" w:hAnsi="Arial"/>
          <w:sz w:val="14"/>
          <w:szCs w:val="14"/>
          <w:color w:val="231F20"/>
        </w:rPr>
        <w:t xml:space="preserve"> on a timely basis, including our PRECISION 1 trial, a registration-directed tumor-agnostic Phase 2 study of </w:t>
      </w:r>
      <w:r>
        <w:rPr>
          <w:rFonts w:ascii="Arial" w:cs="Arial" w:eastAsia="Arial" w:hAnsi="Arial"/>
          <w:sz w:val="14"/>
          <w:szCs w:val="14"/>
          <w:color w:val="000000"/>
        </w:rPr>
        <w:t>FYARRO</w:t>
      </w:r>
      <w:r>
        <w:rPr>
          <w:rFonts w:ascii="Arial" w:cs="Arial" w:eastAsia="Arial" w:hAnsi="Arial"/>
          <w:sz w:val="14"/>
          <w:szCs w:val="14"/>
          <w:color w:val="231F20"/>
        </w:rPr>
        <w:t xml:space="preserve"> in patients with truncating </w:t>
      </w:r>
      <w:r>
        <w:rPr>
          <w:rFonts w:ascii="Arial" w:cs="Arial" w:eastAsia="Arial" w:hAnsi="Arial"/>
          <w:sz w:val="14"/>
          <w:szCs w:val="14"/>
          <w:i w:val="1"/>
          <w:iCs w:val="1"/>
          <w:color w:val="231F20"/>
        </w:rPr>
        <w:t>TSC1 &amp; TSC2</w:t>
      </w:r>
      <w:r>
        <w:rPr>
          <w:rFonts w:ascii="Arial" w:cs="Arial" w:eastAsia="Arial" w:hAnsi="Arial"/>
          <w:sz w:val="14"/>
          <w:szCs w:val="14"/>
          <w:color w:val="231F20"/>
        </w:rPr>
        <w:t xml:space="preserve"> alterations;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maintaining and establishing relationships with CROs and clinical sites for the development of FYARRO both in the United States and internationally;</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231F20"/>
        </w:rPr>
        <w:t>the type, frequency and severity of adverse events in clinical trials;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line="281"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231F20"/>
        </w:rPr>
        <w:t>demonstrating efficacy and safety profiles that are satisfactory to the FDA and any comparable foreign regulatory authority for regulatory approval obtaining and maintaining patent protection, trade secret protection and regulatory exclusivity, both in the United States and internationally;</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231F20"/>
        </w:rPr>
        <w:t>a continued acceptable safety profile following our current and future regulatory approval;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231F20"/>
        </w:rPr>
        <w:t>our ability to compete with other therapies.</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 xml:space="preserve">In addition to advanced malignant PEComa, based on exploratory data from the completed AMPECT and our Expanded Access Program, we have initiated a registration-directed tumor-agnostic Phase 2 study, PRECISION 1, of </w:t>
      </w:r>
      <w:r>
        <w:rPr>
          <w:rFonts w:ascii="Arial" w:cs="Arial" w:eastAsia="Arial" w:hAnsi="Arial"/>
          <w:sz w:val="14"/>
          <w:szCs w:val="14"/>
          <w:color w:val="000000"/>
        </w:rPr>
        <w:t>FYARRO</w:t>
      </w:r>
      <w:r>
        <w:rPr>
          <w:rFonts w:ascii="Arial" w:cs="Arial" w:eastAsia="Arial" w:hAnsi="Arial"/>
          <w:sz w:val="14"/>
          <w:szCs w:val="14"/>
          <w:color w:val="231F20"/>
        </w:rPr>
        <w:t xml:space="preserve"> in patients with malignant solid tumors harboring </w:t>
      </w:r>
      <w:r>
        <w:rPr>
          <w:rFonts w:ascii="Arial" w:cs="Arial" w:eastAsia="Arial" w:hAnsi="Arial"/>
          <w:sz w:val="14"/>
          <w:szCs w:val="14"/>
          <w:i w:val="1"/>
          <w:iCs w:val="1"/>
          <w:color w:val="231F20"/>
        </w:rPr>
        <w:t>TSC1 &amp; TSC2</w:t>
      </w:r>
      <w:r>
        <w:rPr>
          <w:rFonts w:ascii="Arial" w:cs="Arial" w:eastAsia="Arial" w:hAnsi="Arial"/>
          <w:sz w:val="14"/>
          <w:szCs w:val="14"/>
          <w:color w:val="231F20"/>
        </w:rPr>
        <w:t xml:space="preserve"> alterations. We completed a Type B meeting with the FDA in which we discussed the trial design. The PRECISION 1 trial is now open for enrollment in the United States and the first patient in the trial was dosed in March 2022. Our product development costs could increase if we experience delays. Significant trial delays also could shorten any periods during which we may have the exclusive right to commercialize </w:t>
      </w:r>
      <w:r>
        <w:rPr>
          <w:rFonts w:ascii="Arial" w:cs="Arial" w:eastAsia="Arial" w:hAnsi="Arial"/>
          <w:sz w:val="14"/>
          <w:szCs w:val="14"/>
          <w:color w:val="000000"/>
        </w:rPr>
        <w:t>FYARRO</w:t>
      </w:r>
      <w:r>
        <w:rPr>
          <w:rFonts w:ascii="Arial" w:cs="Arial" w:eastAsia="Arial" w:hAnsi="Arial"/>
          <w:sz w:val="14"/>
          <w:szCs w:val="14"/>
          <w:color w:val="231F20"/>
        </w:rPr>
        <w:t xml:space="preserve"> or allow our competitors to bring products to market before we do, which would impair our ability to successfully capitalize on </w:t>
      </w:r>
      <w:r>
        <w:rPr>
          <w:rFonts w:ascii="Arial" w:cs="Arial" w:eastAsia="Arial" w:hAnsi="Arial"/>
          <w:sz w:val="14"/>
          <w:szCs w:val="14"/>
          <w:color w:val="000000"/>
        </w:rPr>
        <w:t>FYARRO</w:t>
      </w:r>
      <w:r>
        <w:rPr>
          <w:rFonts w:ascii="Arial" w:cs="Arial" w:eastAsia="Arial" w:hAnsi="Arial"/>
          <w:sz w:val="14"/>
          <w:szCs w:val="14"/>
          <w:color w:val="231F20"/>
        </w:rPr>
        <w:t xml:space="preserve"> and may harm our business, results of operations and prospects. Events that may result in a delay or unsuccessful completion of additional clinical development of FYARRO include, among other things:</w:t>
      </w:r>
    </w:p>
    <w:p>
      <w:pPr>
        <w:spacing w:after="0" w:line="65" w:lineRule="exact"/>
        <w:rPr>
          <w:sz w:val="20"/>
          <w:szCs w:val="20"/>
          <w:color w:val="auto"/>
        </w:rPr>
      </w:pPr>
    </w:p>
    <w:p>
      <w:pPr>
        <w:ind w:left="760" w:hanging="373"/>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unexpectedly high rate of patients withdrawing consent or being lost to follow-up;</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feedback from the FDA and foreign regulatory authorities, institutional review boards (“IRBs”), or a data safety monitoring board, or results from clinical trials that might require modification to a clinical trial protocol;</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deviations from the trial protocol by clinical trial sites and investigators or failure to conduct the trial in accordance with regulatory requirements;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failure of third parties, such as CROs, to satisfy their contractual duties or meet expected deadlines;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delays in the testing, validation, manufacturing and delivery of FYARRO to customers or the clinical trial sites;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delays caused by patients dropping out of a trial due to side effects, disease progression or other reasons;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unacceptable risk-benefit profile or unforeseen safety issues or adverse drug reactions;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failure to demonstrate the efficacy of FYARRO in this clinical trial;</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changes in government regulations or administrative actions or lack of adequate funding to continue the trials; or</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231F20"/>
        </w:rPr>
        <w:t>business interruptions resulting from geo-political actions, including war and terrorism, such as the Russia-Ukraine conflict, or natural disasters and public health epidemics, such as the COVID-19 pandemic.</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spacing w:after="0" w:line="4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We do not have complete control over many of these factors, including certain aspects of clinical development and the regulatory submission process, potential threats to our intellectual property rights and the manufacturing, marketing, distribution and sales efforts of our current or any future collaborators. If we are not successful with respect to one or more of these factors in a timely manner or at all, we could experience significant delays or an inability to successfully commercialize FYARRO for multiple indications, which would materially harm our business. If we do not receive regulatory approvals for FYARRO in additional indications or for other product candidates, we may not be able to continue our operations.</w:t>
      </w:r>
    </w:p>
    <w:p>
      <w:pPr>
        <w:spacing w:after="0" w:line="46"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231F20"/>
        </w:rPr>
        <w:t>In addition to FYARRO, our prospects depend in part upon discovering, developing and commercializing additional product candidates, which may fail in development or suffer delays that adversely affect their commercial viability.</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Our future operating results are dependent on our ability to successfully discover, develop, obtain regulatory approval for and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231F20"/>
        </w:rPr>
        <w:t>The success of other product candidates we may develop will depend on many factors, including the following:</w:t>
      </w:r>
    </w:p>
    <w:p>
      <w:pPr>
        <w:spacing w:after="0" w:line="94" w:lineRule="exact"/>
        <w:rPr>
          <w:sz w:val="20"/>
          <w:szCs w:val="20"/>
          <w:color w:val="auto"/>
        </w:rPr>
      </w:pPr>
    </w:p>
    <w:p>
      <w:pPr>
        <w:ind w:left="760" w:hanging="373"/>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231F20"/>
        </w:rPr>
        <w:t>generating sufficient preclinical data to support the initiation of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231F20"/>
        </w:rPr>
        <w:t>obtaining regulatory permission to initiate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231F20"/>
        </w:rPr>
        <w:t>contracting with the necessary parties to conduct preclinical studies and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231F20"/>
        </w:rPr>
        <w:t>successful enrollment of patients in, and the completion of, clinical trials on a timely basis;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231F20"/>
        </w:rPr>
        <w:t>the timely manufacture of sufficient quantities of a product candidate for use in clinical trials;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231F20"/>
        </w:rPr>
        <w:t>generating sufficient safety and efficacy data to warrant continued development and which are satisfactory to the FDA or any other regulatory authority for marketing approval.</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57" w:lineRule="exact"/>
        <w:rPr>
          <w:sz w:val="20"/>
          <w:szCs w:val="20"/>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efficacy and safety profile as demonstrated in clinical trials compared to alternative treatments;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timing of market introduction of the product candidate as well as competitive products;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clinical indications for which a product candidate is approved;</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potential and perceived advantages of our product candidates over alternative treatments;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of treatment in relation to alternative treatments;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availability of coverage and adequate reimbursement by third-party payors, including government authorities or the willingness of patients to pay out-of-pocket in the absence of third-party payor coverage;</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availability of an approved product candidate for use as a combination therapy;</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prevalence and severity of any adverse effects associated with any approved product candidate;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restrictions on the use of our product candidates together with other medications;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relative convenience and ease of administration;</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undergo required diagnostic screening to determine treatment eligibility and of physicians to prescribe these therapies and diagnostic tests;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effectiveness of sales and marketing efforts;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unfavorable publicity relating to our product candidates;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approval of other new therapies for the same indications.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our product candidates, in addition to treating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opportunities for FYARRO and any other product candidates we may develop in the future, if approved, may be limited to certain smaller patient subsets.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Even if we obtain significant market share for any approved product, if the potential target populations are small, we may never achieve profitability without obtaining regulatory approval for additional indications.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product candidates we develop may become subject to unfavorable third-party coverage and reimbursement practices, as well as pricing regulations.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spacing w:after="0" w:line="5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49"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such as FYARRO.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 “ASP”)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Moreover, FYARRO or any other product candidate we may develop in the future may not be considered medically necessary or cost effective. We cannot be sure that coverage and reimbursement will be available for FYARRO or any other product that we may commercialize and, if reimbursement is available, what the level of reimbursement will be.</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“American Rescue Plan”),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A number of states are considering or have recently enacted state drug price transparency and reporting laws that could substantially increase our compliance burdens and expose us to greater liability under such laws once we begin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6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Coverage policies and third-party payor reimbursement rates may change at any time. It is unclear what effect these legislative, executive, and administrative actions and any, future healthcare measures and agency rules will have on the number of covered individuals. Even if favorable coverage and reimbursement status is attained for FYARRO or one or more product candidates that we may develop in the future for which we receive regulatory approval, less favorable coverage policies and reimbursement rates may be implemented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obtain FDA approval of any future NDA for FYARRO or any other product candidates we may develop in the future.</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recent approval of our NDA for FYARRO for advanced malignant PEComa, we had not submitted an application for approval or obtained FDA approval for any product.</w:t>
      </w:r>
    </w:p>
    <w:p>
      <w:pPr>
        <w:spacing w:after="0" w:line="5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obtain marketing approval in international jurisdictions would prevent FYARRO and any other product candidates we may develop in the future from being marketed abroad.</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variety of risks associated with marketing FYARRO and any other product candidates we may develop in the future internationally could affect our business.</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spacing w:after="0" w:line="47" w:lineRule="exact"/>
        <w:rPr>
          <w:sz w:val="20"/>
          <w:szCs w:val="20"/>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differing regulatory requirements in foreign countries;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the potential for so-called parallel importing, which is what happens when a local seller, faced with high or higher local prices, opts to import goods from a foreign market with low or lower prices rather than buying them locally;</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unexpected changes in tariffs, trade barriers, price and exchange controls and other regulatory requirements;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economic weakness, including inflation, or political instability in particular foreign economies and markets;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compliance with tax, employment, immigration and labor laws for employees living or traveling abroad;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foreign taxes, including withholding of payroll taxes;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231F20"/>
        </w:rPr>
        <w:t>foreign currency fluctuations, which could result in increased operating expenses and reduced revenue, and other obligations incident to doing business in another country;</w:t>
      </w:r>
    </w:p>
    <w:p>
      <w:pPr>
        <w:spacing w:after="0" w:line="105" w:lineRule="exact"/>
        <w:rPr>
          <w:rFonts w:ascii="Arial" w:cs="Arial" w:eastAsia="Arial" w:hAnsi="Arial"/>
          <w:sz w:val="13"/>
          <w:szCs w:val="13"/>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difficulties staffing and managing foreign operations;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workforce uncertainty in countries where labor unrest is more common than in the United States;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potential liability under the United States Foreign Corrupt Practices Act (</w:t>
      </w:r>
      <w:r>
        <w:rPr>
          <w:rFonts w:ascii="Arial" w:cs="Arial" w:eastAsia="Arial" w:hAnsi="Arial"/>
          <w:sz w:val="14"/>
          <w:szCs w:val="14"/>
          <w:color w:val="000000"/>
        </w:rPr>
        <w:t>“FCPA”)</w:t>
      </w:r>
      <w:r>
        <w:rPr>
          <w:rFonts w:ascii="Arial" w:cs="Arial" w:eastAsia="Arial" w:hAnsi="Arial"/>
          <w:sz w:val="14"/>
          <w:szCs w:val="14"/>
          <w:color w:val="231F20"/>
        </w:rPr>
        <w:t xml:space="preserve"> or comparable foreign regulations;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challenges enforcing our contractual and intellectual property rights, especially in those foreign countries that do not respect and protect intellectual property rights to the same extent as the United States;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production shortages resulting from any events affecting raw material supply or manufacturing capabilities abroad;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231F20"/>
        </w:rPr>
        <w:t>business interruptions resulting from geo-political actions, including war and terrorism.</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In addition, the conflict between Russia and Ukraine has led to, and could continue to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231F20"/>
        </w:rPr>
        <w:t>These and other risks associated with our international operations may compromise our ability to achieve or maintain profitability.</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Before obtaining regulatory approval from the EMA or other foreign regulatory authorities for the sale of FYARRO for advanced malignant PEComa or any additional indications that we may seek approval for, or other product candidates when approved,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spacing w:after="0" w:line="47" w:lineRule="exact"/>
        <w:rPr>
          <w:sz w:val="20"/>
          <w:szCs w:val="20"/>
          <w:color w:val="auto"/>
        </w:rPr>
      </w:pPr>
    </w:p>
    <w:p>
      <w:pPr>
        <w:ind w:left="760" w:hanging="373"/>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231F20"/>
        </w:rPr>
        <w:t>receipt of feedback from regulatory authorities that require us to modify the design of our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231F20"/>
        </w:rPr>
        <w:t>negative or inconclusive clinical trial results that may require us to conduct additional clinical trials or abandon certain drug development programs;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231F20"/>
        </w:rPr>
        <w:t>clinical trial sites or our CRO failing to comply with regulatory requirements or meet their contractual obligations to us in a timely manner, or at all;</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231F20"/>
        </w:rPr>
        <w:t>the suspension or termination of our clinical trials for various reasons, including non-compliance with regulatory requirements or a finding that our product candidates have undesirable side effects or other unexpected characteristics;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5"/>
        </w:numPr>
        <w:rPr>
          <w:rFonts w:ascii="Arial" w:cs="Arial" w:eastAsia="Arial" w:hAnsi="Arial"/>
          <w:sz w:val="14"/>
          <w:szCs w:val="14"/>
          <w:color w:val="231F20"/>
        </w:rPr>
      </w:pPr>
      <w:r>
        <w:rPr>
          <w:rFonts w:ascii="Arial" w:cs="Arial" w:eastAsia="Arial" w:hAnsi="Arial"/>
          <w:sz w:val="14"/>
          <w:szCs w:val="14"/>
          <w:color w:val="231F20"/>
        </w:rPr>
        <w:t>the cost of clinical trials of our product candidates being greater than anticipated;</w:t>
      </w:r>
    </w:p>
    <w:p>
      <w:pPr>
        <w:spacing w:after="0" w:line="93" w:lineRule="exact"/>
        <w:rPr>
          <w:rFonts w:ascii="Arial" w:cs="Arial" w:eastAsia="Arial" w:hAnsi="Arial"/>
          <w:sz w:val="14"/>
          <w:szCs w:val="14"/>
          <w:color w:val="231F20"/>
        </w:rPr>
      </w:pPr>
    </w:p>
    <w:p>
      <w:pPr>
        <w:ind w:left="760" w:hanging="373"/>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231F20"/>
        </w:rPr>
        <w:t>the supply or quality of our product candidates or other materials necessary to conduct clinical trials of our product candidates being insufficient or inadequate;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231F20"/>
        </w:rPr>
        <w:t>delays due to health epidemics, such as the COVID-19 pandemic, including starting any clinical trials for other indications or programs.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4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our product beyond those that we currently contemplate, if we are unable to successfully complete clinical trials of our product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after obtaining regulatory approval. Even if regulatory approval is secured for any of our product candidates, the terms of such approval may limit the scope and use of our product candidates, which may also limit their commercial potential.</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 product candidates’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 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the affected product candidate, could substantially increase the costs of commercializing our product(s) and significantly impact our ability to successfully commercialize our product(s)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oncology and PAH trials of FYARRO included thrombocytopenia, diarrhea, fatigue, mucosal inflammation, nausea, anemia, and rash. Additionally, in our first- in-human study of FYARRO in solid tumors, one patient died of dyspnea which was deemed possibly related to FYARRO.</w:t>
      </w:r>
    </w:p>
    <w:p>
      <w:pPr>
        <w:spacing w:after="0" w:line="5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Patients in our completed and planned clinical trials may in the future suffer other significant adverse events or other side effects not observed or anticipated based on our preclinical studies or previous clinical trials. FYARRO or other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spacing w:after="0" w:line="5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Further, for FYARRO for advanced malignant PEComa, or if FYARRO receives regulatory approval for any other indication, or if any other product candidate that we may develop in the future if any of our product candidates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Arial" w:cs="Arial" w:eastAsia="Arial" w:hAnsi="Arial"/>
          <w:sz w:val="14"/>
          <w:szCs w:val="14"/>
          <w:color w:val="231F20"/>
        </w:rPr>
        <w:t>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our product candidates will cause toxicities in humans that would preclude or lead to the revocation of regulatory approval based on preclinical studies or early-stage clinical trials.</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Results from early preclinical studies and clinical trials of FYARRO or other product candidates that we may develop in the future are not necessarily predictive of the results of later preclinical studies and clinical trials of FYARRO or such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 the results from such preclinical studies and clinical trials may not be replicated in subsequent preclinical studies or clinical trial results.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relating to open-label clinical trials.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of our product candidates when studied in a controlled environment with a placebo or active control.</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Interim, topline and preliminary data from our clinical trials that we announce or publish from time to time may change as more patient data become available or as additional analyses are conducted and are subject to audit and verification procedures that could result in material changes in the final data.</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231F20"/>
        </w:rPr>
        <w:t>From time to time, we may publicly disclose preliminary, interim or topline data from our clinical trials.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6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Adverse results of clinical trials conducted by third parties investigating the same product candidates as us in different territories could adversely affect our development of such product candidate.</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further development of FYARRO.</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If we experience delays or difficulties in the enrollment and/or maintenance of patients in clinical trials, our regulatory submissions or receipt of necessary regulatory approvals could be delayed or prevented.</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231F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Arial" w:cs="Arial" w:eastAsia="Arial" w:hAnsi="Arial"/>
          <w:sz w:val="14"/>
          <w:szCs w:val="14"/>
          <w:i w:val="1"/>
          <w:iCs w:val="1"/>
          <w:color w:val="231F20"/>
        </w:rPr>
        <w:t>TSC1 &amp; TSC2</w:t>
      </w:r>
      <w:r>
        <w:rPr>
          <w:rFonts w:ascii="Arial" w:cs="Arial" w:eastAsia="Arial" w:hAnsi="Arial"/>
          <w:sz w:val="14"/>
          <w:szCs w:val="14"/>
          <w:color w:val="231F20"/>
        </w:rPr>
        <w:t xml:space="preserve"> study are screened using genomic information to identify alterations in the </w:t>
      </w:r>
      <w:r>
        <w:rPr>
          <w:rFonts w:ascii="Arial" w:cs="Arial" w:eastAsia="Arial" w:hAnsi="Arial"/>
          <w:sz w:val="14"/>
          <w:szCs w:val="14"/>
          <w:i w:val="1"/>
          <w:iCs w:val="1"/>
          <w:color w:val="231F20"/>
        </w:rPr>
        <w:t>TSC1 &amp; TSC2</w:t>
      </w:r>
      <w:r>
        <w:rPr>
          <w:rFonts w:ascii="Arial" w:cs="Arial" w:eastAsia="Arial" w:hAnsi="Arial"/>
          <w:sz w:val="14"/>
          <w:szCs w:val="14"/>
          <w:color w:val="231F20"/>
        </w:rPr>
        <w:t xml:space="preserve"> 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Arial" w:cs="Arial" w:eastAsia="Arial" w:hAnsi="Arial"/>
          <w:sz w:val="14"/>
          <w:szCs w:val="14"/>
          <w:i w:val="1"/>
          <w:iCs w:val="1"/>
          <w:color w:val="231F20"/>
        </w:rPr>
        <w:t>TSC1 &amp; TSC2</w:t>
      </w:r>
      <w:r>
        <w:rPr>
          <w:rFonts w:ascii="Arial" w:cs="Arial" w:eastAsia="Arial" w:hAnsi="Arial"/>
          <w:sz w:val="14"/>
          <w:szCs w:val="14"/>
          <w:color w:val="231F20"/>
        </w:rPr>
        <w:t xml:space="preserve"> 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spacing w:after="0" w:line="47" w:lineRule="exact"/>
        <w:rPr>
          <w:sz w:val="20"/>
          <w:szCs w:val="20"/>
          <w:color w:val="auto"/>
        </w:rPr>
      </w:pPr>
    </w:p>
    <w:p>
      <w:pPr>
        <w:ind w:left="760" w:hanging="373"/>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size and nature of the patient population;</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severity of the disease under investigation;</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availability and efficacy of approved drugs for the disease under investigation;</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patient eligibility criteria for the trial in question as defined in the protocol or as mandated by regulatory agencies;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perceived risks and benefits of the product candidate under study;</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the ability to recruit clinical study investigators with the appropriate competencies and experience;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clinicians’ willingness to screen their patients for biomarkers to indicate which patients may be eligible for enrollment in our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231F20"/>
        </w:rPr>
        <w:t>patient referral practices of physicians;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231F20"/>
        </w:rPr>
        <w:t>the ability to obtain and maintain patient consents;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231F20"/>
        </w:rPr>
        <w:t>the ability to monitor patients adequately during and after treatment;</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231F20"/>
        </w:rPr>
        <w:t>proximity and availability of clinical trial sites for prospective patients; and</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231F20"/>
        </w:rPr>
        <w:t>factors we may not be able to control, such as current or potential pandemics that may limit patients, principal investigators or staff or clinical site availability (e.g., the COVID-19 pandemic).</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Our inability to enroll a sufficient number of patients for our clinical trials could result in significant delays or may require us to abandon one or more clinical trials altogether. Furthermore, any negative results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expect to develop FYARRO and potentially other product candidates in combination with other therapies, which exposes us to additional risks.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We intend to develop FYARRO and potentially other product candidates, in combination with one or more currently approved or unapproved therapies to treat cancer or other diseases. For example, in October 2022 we entered into a collaboration and supply agreement with Mirati to evaluate the combination of Mirati’s adagrasib (KRAZATI™), a KRASG12C selective inhibitor, and FYARRO in KRAS G12C mutant non-small cell lung cancer (NSCLC) and other solid tumors. Patients may not be able to tolerate FYARRO or any of our future product candidates in combination with other therapies or dosing of FYARRO in combination with other therapies may have unexpected consequences. Even though FYARRO has received FDA approval for advanced malignant PEComa, and even if FYARRO receives regulatory approval for additional indications,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the FDA, EMA or comparable foreign regulatory authorities in other jurisdictions requiring additional clinical trials, or our own products being removed from the market or being less successful commercially.</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We may also evaluate future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regulatory approval.</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any one or all of the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We are currently focusing our resources and efforts on developing and commercializing FYARRO for particular indications. As a result, because we have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that product candidate or program through collaboration, licensing or other strategic or royalty arrangements in cases in which we would have been more advantageous for us to retain sole development and commercialization rights to such product candidate or program.</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4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that physicians currently use to treat the indications for which we seek approval. This may make it difficult for us to replace existing therapies with our products.</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For truncating </w:t>
      </w:r>
      <w:r>
        <w:rPr>
          <w:rFonts w:ascii="Arial" w:cs="Arial" w:eastAsia="Arial" w:hAnsi="Arial"/>
          <w:sz w:val="13"/>
          <w:szCs w:val="13"/>
          <w:i w:val="1"/>
          <w:iCs w:val="1"/>
          <w:color w:val="231F20"/>
        </w:rPr>
        <w:t>TSC1 &amp; TSC2</w:t>
      </w:r>
      <w:r>
        <w:rPr>
          <w:rFonts w:ascii="Arial" w:cs="Arial" w:eastAsia="Arial" w:hAnsi="Arial"/>
          <w:sz w:val="13"/>
          <w:szCs w:val="13"/>
          <w:color w:val="231F20"/>
        </w:rPr>
        <w:t xml:space="preserve"> inactivating alterations, there are no existing FDA or EMA approved products indicated for such use. If FYARRO receives additional regulatory approval for these </w:t>
      </w:r>
      <w:r>
        <w:rPr>
          <w:rFonts w:ascii="Arial" w:cs="Arial" w:eastAsia="Arial" w:hAnsi="Arial"/>
          <w:sz w:val="13"/>
          <w:szCs w:val="13"/>
          <w:i w:val="1"/>
          <w:iCs w:val="1"/>
          <w:color w:val="231F20"/>
        </w:rPr>
        <w:t>TSC1 &amp; TSC2</w:t>
      </w:r>
      <w:r>
        <w:rPr>
          <w:rFonts w:ascii="Arial" w:cs="Arial" w:eastAsia="Arial" w:hAnsi="Arial"/>
          <w:sz w:val="13"/>
          <w:szCs w:val="13"/>
          <w:color w:val="231F20"/>
        </w:rPr>
        <w:t xml:space="preserve"> 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of all of these factors, our competitors may succeed in obtaining approval from the FDA, EMA or other comparable foreign regulatory authorities or in discovering, developing and commercializing products in the field before us.</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Changes in methods of product candidate manufacturing or formulation may result in additional costs or delay.</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may not be successful in growing our product pipeline through acquisitions and in-licenses.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Our business entails a significant risk of product liability and if we are unable to obtain sufficient insurance coverage such inability could have a material adverse effect on our business and financial condition.</w:t>
      </w:r>
    </w:p>
    <w:p>
      <w:pPr>
        <w:spacing w:after="0" w:line="4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231F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recent global COVID-19 outbreak has affected and is expected to continue to affect our business and operations.</w:t>
      </w:r>
    </w:p>
    <w:p>
      <w:pPr>
        <w:spacing w:after="0" w:line="94"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231F20"/>
        </w:rPr>
        <w:t xml:space="preserve">Broad-based business or economic disruptions could adversely affect our ongoing or planned research and development activities. To date, the COVID-19 pandemic has caused significant disruptions to the United States and global economy. 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 For example, we have experienced, and continue to experience, some clinical development disruptions due to the pandemic, including closures at certain lab facilities, which have led, and continue to lead, to longer than anticipated clinical development times. </w:t>
      </w:r>
      <w:r>
        <w:rPr>
          <w:rFonts w:ascii="Arial" w:cs="Arial" w:eastAsia="Arial" w:hAnsi="Arial"/>
          <w:sz w:val="12"/>
          <w:szCs w:val="12"/>
          <w:color w:val="000000"/>
        </w:rPr>
        <w:t>In addition, our clinical trials have been, and may continue to be, affected by the closure of offices, or country borders.</w:t>
      </w:r>
      <w:r>
        <w:rPr>
          <w:rFonts w:ascii="Arial" w:cs="Arial" w:eastAsia="Arial" w:hAnsi="Arial"/>
          <w:sz w:val="12"/>
          <w:szCs w:val="12"/>
          <w:color w:val="231F20"/>
        </w:rPr>
        <w:t xml:space="preserve"> </w:t>
      </w:r>
      <w:r>
        <w:rPr>
          <w:rFonts w:ascii="Arial" w:cs="Arial" w:eastAsia="Arial" w:hAnsi="Arial"/>
          <w:sz w:val="12"/>
          <w:szCs w:val="12"/>
          <w:color w:val="000000"/>
        </w:rPr>
        <w:t>Constraints surrounding hospital resources, infrastructure, staff and other resources, can also make it more difficult to enroll new patients in ongoing or planned clinical trials.</w:t>
      </w:r>
    </w:p>
    <w:p>
      <w:pPr>
        <w:spacing w:after="0" w:line="3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a result of the evolving COVID-19 pandemic, we have experienced and expect to continue to experience disruptions that could severely impact our business, preclinical studies and clinical trials, including:</w:t>
      </w:r>
    </w:p>
    <w:p>
      <w:pPr>
        <w:spacing w:after="0" w:line="47" w:lineRule="exact"/>
        <w:rPr>
          <w:sz w:val="20"/>
          <w:szCs w:val="20"/>
          <w:color w:val="auto"/>
        </w:rPr>
      </w:pPr>
    </w:p>
    <w:p>
      <w:pPr>
        <w:ind w:left="760" w:hanging="373"/>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continued delays or difficulties in enrolling and retaining and adequate number of patients in our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continued delays or difficulties in clinical site initiation, including difficulties in recruiting clinical site investigators and clinical site staff;</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delays in receiving authorizations from regulatory authorities to initiate our planned clinical trials;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diversion of healthcare resources away from the conduct of clinical trials, including the diversion of hospitals serving as our clinical trial sites and hospital staff supporting the conduct of our clinical trials;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interruption or delays in the operations of the FDA or other regulatory authorities, which may impact review and approval timelines;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interruption of, or delays in receiving, supplies of our product candidates from our contract manufacturing organizations (“CMOs”) due to staffing shortages, production slowdowns or stoppages and disruptions in delivery systems, including as a result of the COVID-19 pandemic;</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interruptions in preclinical studies due to restricted or limited operations at our laboratory facility;</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delays in necessary interactions with local regulators, ethics committees and other important agencies and contractors due to limitations in employee resources or forced furlough of government employees;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local regulations as part of a response to the COVID-19 pandemic, which may require changes in the ways in which our clinical trials are conducted, which may result in unexpected costs, or to discontinue such clinical trials altogether;</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interruption or delays to our sourced discovery and clinical activities;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refusal of the FDA to accept data from clinical </w:t>
      </w:r>
      <w:r>
        <w:rPr>
          <w:rFonts w:ascii="Arial" w:cs="Arial" w:eastAsia="Arial" w:hAnsi="Arial"/>
          <w:sz w:val="14"/>
          <w:szCs w:val="14"/>
          <w:color w:val="231F20"/>
        </w:rPr>
        <w:t>trials in affected geographies outside the United States.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The extent of the impact of the COVID-19 pandemic on our future liquidity and operational performance will depend on certain developments, including the duration and spread of further outbreaks, the availability, acceptance and effectiveness of vaccines, the impact on our clinical trials, patients, and collaboration partners, and the effect on our suppliers.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Risks Related to Regulatory Approval and Other Legal Compliance Matters</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b w:val="1"/>
          <w:bCs w:val="1"/>
          <w:i w:val="1"/>
          <w:iCs w:val="1"/>
          <w:color w:val="231F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spacing w:after="0" w:line="3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We submitted a Section 505(b)(2) NDA to the FDA in May 2021 for FYARRO for the treatment of advanced malignant PEComa, and the FDA approved the NDA on November 22, 2021. We may not be successful in obtaining FDA approval under 505(b)(2) regulatory pathway for other indications or product candidates that we may develop.</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We may be unable to obtain United States approval for FYARRO for additional indications or other product candidates that we may develop in the future or foreign regulatory approval for FYARRO or such product candidates that we may develop in the future and, as a result, may be unable to commercialize FYARRO or other product candidates and our business will be substantially harmed.</w:t>
      </w:r>
    </w:p>
    <w:p>
      <w:pPr>
        <w:spacing w:after="0" w:line="5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49"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231F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3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Disruptions at the FDA and other agencies, including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to work through its backlog of foreign inspections. However, the FDA may not be able to continue its current pace and approval timelines could be extended, including where a pre-approval inspection or an inspection of clinical sites is required and due to the COVID-19 pandemic and travel restrictions the FDA is unable to complete such required inspections during the review period.</w:t>
      </w:r>
    </w:p>
    <w:p>
      <w:pPr>
        <w:spacing w:after="0" w:line="2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4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3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spacing w:after="0" w:line="57"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231F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additional product candidates will ever obtain regulatory approval.</w:t>
      </w:r>
    </w:p>
    <w:p>
      <w:pPr>
        <w:spacing w:after="0" w:line="4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Further, regulatory approval may be delayed for reasons beyond our control. For example, a United States federal government shutdown or budget sequestration, such as ones that occurred during 2013, 2018 and 2019, or the current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231F20"/>
        </w:rPr>
        <w:t>Applications for any future product candidates could fail to receive regulatory approval for many reasons, including the following:</w:t>
      </w:r>
    </w:p>
    <w:p>
      <w:pPr>
        <w:spacing w:after="0" w:line="94" w:lineRule="exact"/>
        <w:rPr>
          <w:sz w:val="20"/>
          <w:szCs w:val="20"/>
          <w:color w:val="auto"/>
        </w:rPr>
      </w:pPr>
    </w:p>
    <w:p>
      <w:pPr>
        <w:ind w:left="760" w:hanging="373"/>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231F20"/>
        </w:rPr>
        <w:t>the FDA, EMA or other comparable foreign regulatory authorities may disagree with the design, implementation or results of our clinical trials;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231F20"/>
        </w:rPr>
        <w:t>the FDA, EMA or other comparable foreign regulatory authorities may determine that our product candidates are not safe or effective, are only moderately effective or have undesirable or unintended side effects,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spacing w:after="0"/>
        <w:rPr>
          <w:sz w:val="20"/>
          <w:szCs w:val="20"/>
          <w:color w:val="auto"/>
        </w:rPr>
      </w:pPr>
      <w:r>
        <w:rPr>
          <w:rFonts w:ascii="Arial" w:cs="Arial" w:eastAsia="Arial" w:hAnsi="Arial"/>
          <w:sz w:val="14"/>
          <w:szCs w:val="14"/>
          <w:color w:val="231F20"/>
        </w:rPr>
        <w:t>toxicities or other characteristics that preclude us from obtaining regulatory approval or prevent or limit commercial use;</w:t>
      </w:r>
    </w:p>
    <w:p>
      <w:pPr>
        <w:spacing w:after="0" w:line="94" w:lineRule="exact"/>
        <w:rPr>
          <w:sz w:val="20"/>
          <w:szCs w:val="20"/>
          <w:color w:val="auto"/>
        </w:rPr>
      </w:pPr>
    </w:p>
    <w:p>
      <w:pPr>
        <w:ind w:left="760" w:hanging="373"/>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231F20"/>
        </w:rPr>
        <w:t>the population studied in the clinical trial may not be sufficiently broad or representative to assure efficacy and safety in the full population for which we seek approval;</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231F20"/>
        </w:rPr>
        <w:t>the FDA, EMA or other comparable foreign regulatory authorities may disagree with our interpretation of data from preclinical studies or clinical trials;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231F20"/>
        </w:rPr>
        <w:t>we may be unable to demonstrate to the FDA, EMA or other comparable foreign regulatory authorities that our product candidate’s risk-benefit ratio for our proposed indication is acceptable;</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231F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231F20"/>
        </w:rPr>
        <w:t>the FDA, EMA or other comparable regulatory authorities may fail to approve companion diagnostic tests for our product candidates, if required; and</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231F20"/>
        </w:rPr>
        <w:t>the approval policies or regulations of the FDA, EMA or other comparable foreign regulatory authorities may significantly change in a manner rendering our clinical data insufficient for approval.</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FDA, EMA and other comparable foreign regulatory authorities may not accept data from trials conducted in locations outside of their jurisdiction.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Our clinical trials have been and may in the future be undertaken in the United States. We may choose to conduct additional clinical trials internationally as well. For example, we are currently conducting our PRECISION 1 trial of FYARRO in the United States, but we may conduct the trial in other countries in the future.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relating to regulatory uncertainty in foreign jurisdictions.</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4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231F20"/>
        </w:rPr>
        <w:t>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2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5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62" w:lineRule="exact"/>
        <w:rPr>
          <w:sz w:val="20"/>
          <w:szCs w:val="20"/>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adverse inspection findings;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additional warnings or otherwise restrict the product’s indicated use, label, or marketing;</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restrictions on our FYARRO products, distribution, manufacturers or manufacturing processes;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issuance of warning letters, safety alerts, dear-healthcare-provider letters, press releases or other communications containing warnings regarding the product that would result in adverse publicity;</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voluntary or mandatory product recalls and publicity requirements or withdrawal of FYARRO from the market;</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suspension or withdrawal of marketing or regulatory approvals or other permits or voluntary;</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product seizures, detentions or import bans;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total or partial suspension of production;</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imposition of restrictions on operations, including costly new manufacturing requirements;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requirement to establish or modify a REMS;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requirement to conduct post-marketing studies or surveillance;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restrictions on drug distribution or use;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requirements to conduct post-marketing studies or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refusal to approve pending applications or supplements to approved applications that we submit and other delays;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delays in or the rejection of approvals of additional indications for FYARRO;</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restrictions on our ability to conduct clinical trials, including full or partial clinical holds on, or the suspension or termination of, ongoing or planned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fines, restitution or disgorgement of profits or revenue;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231F20"/>
        </w:rPr>
        <w:t>reputational harm;</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231F20"/>
        </w:rPr>
        <w:t>refusal of government contracts or future orders under existing contracts, exclusion from participation in federal health care programs; or</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231F20"/>
        </w:rPr>
        <w:t>injunctions or the imposition of civil or criminal penalties, including False Claims Act liability.</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2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FDA and other regulatory agencies actively enforce the laws and regulations prohibiting the promotion of off-label uses.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spacing w:after="0" w:line="5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231F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spacing w:after="0" w:line="57"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231F20"/>
        </w:rPr>
        <w:t xml:space="preserve">In March 2022 and October 2018, we announced that the FDA granted Fast Track designation for FYARRO for the investigation of the treatment of adult and adolescent patients with malignant solid tumors harboring </w:t>
      </w:r>
      <w:r>
        <w:rPr>
          <w:rFonts w:ascii="Arial" w:cs="Arial" w:eastAsia="Arial" w:hAnsi="Arial"/>
          <w:sz w:val="12"/>
          <w:szCs w:val="12"/>
          <w:i w:val="1"/>
          <w:iCs w:val="1"/>
          <w:color w:val="231F20"/>
        </w:rPr>
        <w:t>TSC1 &amp; TSC2</w:t>
      </w:r>
      <w:r>
        <w:rPr>
          <w:rFonts w:ascii="Arial" w:cs="Arial" w:eastAsia="Arial" w:hAnsi="Arial"/>
          <w:sz w:val="12"/>
          <w:szCs w:val="12"/>
          <w:color w:val="231F20"/>
        </w:rPr>
        <w:t xml:space="preserve"> alterations and of patients with advanced malignant PEComa, respectively. While the FDA granted us Priority Review of our NDA for FYARRO in patients with advanced malignant PEComa, there is no guarantee that this Fast Track designation for the </w:t>
      </w:r>
      <w:r>
        <w:rPr>
          <w:rFonts w:ascii="Arial" w:cs="Arial" w:eastAsia="Arial" w:hAnsi="Arial"/>
          <w:sz w:val="12"/>
          <w:szCs w:val="12"/>
          <w:i w:val="1"/>
          <w:iCs w:val="1"/>
          <w:color w:val="231F20"/>
        </w:rPr>
        <w:t>TSC1 &amp; TSC2</w:t>
      </w:r>
      <w:r>
        <w:rPr>
          <w:rFonts w:ascii="Arial" w:cs="Arial" w:eastAsia="Arial" w:hAnsi="Arial"/>
          <w:sz w:val="12"/>
          <w:szCs w:val="12"/>
          <w:color w:val="231F20"/>
        </w:rPr>
        <w:t xml:space="preserve"> 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spacing w:after="0" w:line="3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patients with malignant solid tumors harboring </w:t>
      </w:r>
      <w:r>
        <w:rPr>
          <w:rFonts w:ascii="Arial" w:cs="Arial" w:eastAsia="Arial" w:hAnsi="Arial"/>
          <w:sz w:val="13"/>
          <w:szCs w:val="13"/>
          <w:i w:val="1"/>
          <w:iCs w:val="1"/>
          <w:color w:val="231F20"/>
        </w:rPr>
        <w:t>TSC1 &amp; TSC2</w:t>
      </w:r>
      <w:r>
        <w:rPr>
          <w:rFonts w:ascii="Arial" w:cs="Arial" w:eastAsia="Arial" w:hAnsi="Arial"/>
          <w:sz w:val="13"/>
          <w:szCs w:val="13"/>
          <w:color w:val="231F20"/>
        </w:rPr>
        <w:t xml:space="preserve"> 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5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6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 xml:space="preserve">In </w:t>
      </w:r>
      <w:r>
        <w:rPr>
          <w:rFonts w:ascii="Arial" w:cs="Arial" w:eastAsia="Arial" w:hAnsi="Arial"/>
          <w:sz w:val="13"/>
          <w:szCs w:val="13"/>
          <w:i w:val="1"/>
          <w:iCs w:val="1"/>
          <w:color w:val="231F20"/>
        </w:rPr>
        <w:t>Catalyst Pharms., Inc. v. Becerra</w:t>
      </w:r>
      <w:r>
        <w:rPr>
          <w:rFonts w:ascii="Arial" w:cs="Arial" w:eastAsia="Arial" w:hAnsi="Arial"/>
          <w:sz w:val="13"/>
          <w:szCs w:val="13"/>
          <w:color w:val="231F20"/>
        </w:rPr>
        <w:t>, 14 F.4th 1299 (11th Cir. 2021), the court disagreed with the FDA’s longstanding position that the orphan drug exclusivity only applies to the approved use or indication within an eligible disease, and not to all uses or indications within the entire disease or condition. In particular, the circuit court held that the orphan-drug exclusivity for Catalyst’s drug blocked FDA’s approval of another drug for all uses or indications within the same orphan-designated disease, or Lambert-Eaton myasthenic syndrome (LEMS), even though Catalyst’s drug was approved at that time only for use in the treatment of LEMS in adults. Accordingly, the court ordered the FDA to set aside the approval of a drug indicated for LEMS in children. This decision created uncertainty in the application of the orphan drug exclusivity. On January 24, 2023, the FDA published a notice in the Federal Register to clarify that while the agency complies with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 xml:space="preserve">court’s order in </w:t>
      </w:r>
      <w:r>
        <w:rPr>
          <w:rFonts w:ascii="Arial" w:cs="Arial" w:eastAsia="Arial" w:hAnsi="Arial"/>
          <w:sz w:val="14"/>
          <w:szCs w:val="14"/>
          <w:i w:val="1"/>
          <w:iCs w:val="1"/>
          <w:color w:val="231F20"/>
        </w:rPr>
        <w:t>Catalyst</w:t>
      </w:r>
      <w:r>
        <w:rPr>
          <w:rFonts w:ascii="Arial" w:cs="Arial" w:eastAsia="Arial" w:hAnsi="Arial"/>
          <w:sz w:val="14"/>
          <w:szCs w:val="14"/>
          <w:color w:val="231F20"/>
        </w:rPr>
        <w:t xml:space="preserve">, the FDA intends to continue to apply its longstanding interpretation of the regulations to matters outside of the scope of the </w:t>
      </w:r>
      <w:r>
        <w:rPr>
          <w:rFonts w:ascii="Arial" w:cs="Arial" w:eastAsia="Arial" w:hAnsi="Arial"/>
          <w:sz w:val="14"/>
          <w:szCs w:val="14"/>
          <w:i w:val="1"/>
          <w:iCs w:val="1"/>
          <w:color w:val="231F20"/>
        </w:rPr>
        <w:t>Catalyst</w:t>
      </w:r>
      <w:r>
        <w:rPr>
          <w:rFonts w:ascii="Arial" w:cs="Arial" w:eastAsia="Arial" w:hAnsi="Arial"/>
          <w:sz w:val="14"/>
          <w:szCs w:val="14"/>
          <w:color w:val="231F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61"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231F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5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We received orphan drug designation and orphan drug exclusivity from the FDA for FYARRO for the treatment of advanced malignant PEComa. We may be unable to obtain orphan drug designation or orphan drug exclusivity for any other indication or regulatory approval for FYARRO for any other orphan population, or we may be unable to successfully commercialize FYARRO for such orphan population due to risks that include:</w:t>
      </w:r>
    </w:p>
    <w:p>
      <w:pPr>
        <w:spacing w:after="0" w:line="57" w:lineRule="exact"/>
        <w:rPr>
          <w:sz w:val="20"/>
          <w:szCs w:val="20"/>
          <w:color w:val="auto"/>
        </w:rPr>
      </w:pPr>
    </w:p>
    <w:p>
      <w:pPr>
        <w:ind w:left="760" w:hanging="37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231F20"/>
        </w:rPr>
        <w:t>the orphan patient populations may change in size;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231F20"/>
        </w:rPr>
        <w:t>there may be changes in the treatment options for patients that may provide alternative treatments to FYARRO;</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231F20"/>
        </w:rPr>
        <w:t>the development costs may be greater than projected revenue of drug sales for the orphan indications;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231F20"/>
        </w:rPr>
        <w:t>the regulatory agencies may disagree with the design or implementation of our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231F20"/>
        </w:rPr>
        <w:t>there may be difficulties in enrolling patients for clinical trials;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231F20"/>
        </w:rPr>
        <w:t>FYARRO may not prove to be efficacious in the respective orphan patient populations;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231F20"/>
        </w:rPr>
        <w:t>clinical trial results may not meet the level of statistical significance required by the regulatory agencies;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231F20"/>
        </w:rPr>
        <w:t>FYARRO may not have a favorable risk/benefit assessment in the respective orphan indication.</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231F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may face difficulties from changes to current regulations and future legislation.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Some of the provisions of the ACA have yet to be implemented, and there have been judicial and Congressional challenges to certain aspects of the ACA, as well as recent efforts by the former Trump administration to repeal or replace certain aspects of the ACA. In June 2021, the Supreme Court held that Texas and other challengers had no legal standing to challenge the ACA, dismissing the case without specifically ruling on the constitutionality of the ACA. Accordingly, the ACA remains in effect in its current form. It is unclear how this decision and other healthcare reforms will impact our business.</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w:t>
      </w:r>
      <w:r>
        <w:rPr>
          <w:rFonts w:ascii="Arial" w:cs="Arial" w:eastAsia="Arial" w:hAnsi="Arial"/>
          <w:sz w:val="13"/>
          <w:szCs w:val="13"/>
          <w:color w:val="000000"/>
        </w:rPr>
        <w:t>In</w:t>
      </w:r>
      <w:r>
        <w:rPr>
          <w:rFonts w:ascii="Arial" w:cs="Arial" w:eastAsia="Arial" w:hAnsi="Arial"/>
          <w:sz w:val="13"/>
          <w:szCs w:val="13"/>
          <w:color w:val="231F20"/>
        </w:rPr>
        <w:t xml:space="preserve"> </w:t>
      </w:r>
      <w:r>
        <w:rPr>
          <w:rFonts w:ascii="Arial" w:cs="Arial" w:eastAsia="Arial" w:hAnsi="Arial"/>
          <w:sz w:val="13"/>
          <w:szCs w:val="13"/>
          <w:color w:val="000000"/>
        </w:rPr>
        <w:t>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w:t>
      </w:r>
      <w:r>
        <w:rPr>
          <w:rFonts w:ascii="Arial" w:cs="Arial" w:eastAsia="Arial" w:hAnsi="Arial"/>
          <w:sz w:val="13"/>
          <w:szCs w:val="13"/>
          <w:color w:val="231F20"/>
        </w:rPr>
        <w:t>ented by the Biden administration on us and the pharmaceutical industry as a whole is unclear. The implementation of cost</w:t>
      </w:r>
      <w:r>
        <w:rPr>
          <w:rFonts w:ascii="Arial" w:cs="Arial" w:eastAsia="Arial" w:hAnsi="Arial"/>
          <w:sz w:val="13"/>
          <w:szCs w:val="13"/>
          <w:color w:val="000000"/>
        </w:rPr>
        <w:t xml:space="preserve"> </w:t>
      </w:r>
      <w:r>
        <w:rPr>
          <w:rFonts w:ascii="Arial" w:cs="Arial" w:eastAsia="Arial" w:hAnsi="Arial"/>
          <w:sz w:val="13"/>
          <w:szCs w:val="13"/>
          <w:color w:val="231F20"/>
        </w:rPr>
        <w:t>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6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4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w:t>
      </w:r>
    </w:p>
    <w:p>
      <w:pPr>
        <w:spacing w:after="0" w:line="6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w:t>
      </w:r>
    </w:p>
    <w:p>
      <w:pPr>
        <w:spacing w:after="0" w:line="5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United States, which could increase our potential liability and adversely affect our business.</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Inadequate funding for the FDA, the Securities and Exchange Commission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Disruptions at the FDA and other agencies, including delays or disruptions due to the COVID-19 pandemic, travel restrictions, and staffing shortages, may also slow the time necessary for new product candidates to be reviewed and/or approved by necessary government agencies, which would adversely affect our business. For example, in recent years,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Separately, in response to the COVID-19 pandemic, since March 2020 when foreign and domestic inspections of facilities were largely placed on hold, the FDA has been working to resume routine surveillance, bioresearch monitoring and pre-approval inspections on a prioritized basis. While the FDA has largely caught up with domestic preapproval inspections, it continues to work through its backlog of foreign inspections. Further, in our operations as a public company, future government shutdowns could impact our ability to access the public markets and obtain necessary capital in order to properly capitalize and continue our operations.</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b w:val="1"/>
          <w:bCs w:val="1"/>
          <w:i w:val="1"/>
          <w:iCs w:val="1"/>
          <w:color w:val="231F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231F20"/>
        </w:rPr>
        <w:t>which we market, sell and distribute our products for which we obtain regulatory approval. Restrictions under applicable federal and state healthcare laws and regulations may include the following:</w:t>
      </w:r>
    </w:p>
    <w:p>
      <w:pPr>
        <w:spacing w:after="0" w:line="105" w:lineRule="exact"/>
        <w:rPr>
          <w:sz w:val="20"/>
          <w:szCs w:val="20"/>
          <w:color w:val="auto"/>
        </w:rPr>
      </w:pPr>
    </w:p>
    <w:p>
      <w:pPr>
        <w:jc w:val="both"/>
        <w:ind w:left="760" w:hanging="373"/>
        <w:spacing w:after="0" w:line="282" w:lineRule="auto"/>
        <w:tabs>
          <w:tab w:leader="none" w:pos="756" w:val="left"/>
        </w:tabs>
        <w:numPr>
          <w:ilvl w:val="0"/>
          <w:numId w:val="35"/>
        </w:numPr>
        <w:rPr>
          <w:rFonts w:ascii="Arial" w:cs="Arial" w:eastAsia="Arial" w:hAnsi="Arial"/>
          <w:sz w:val="13"/>
          <w:szCs w:val="13"/>
          <w:color w:val="auto"/>
        </w:rPr>
      </w:pPr>
      <w:r>
        <w:rPr>
          <w:rFonts w:ascii="Arial" w:cs="Arial" w:eastAsia="Arial" w:hAnsi="Arial"/>
          <w:sz w:val="13"/>
          <w:szCs w:val="13"/>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49" w:lineRule="exact"/>
        <w:rPr>
          <w:rFonts w:ascii="Arial" w:cs="Arial" w:eastAsia="Arial" w:hAnsi="Arial"/>
          <w:sz w:val="13"/>
          <w:szCs w:val="13"/>
          <w:color w:val="auto"/>
        </w:rPr>
      </w:pPr>
    </w:p>
    <w:p>
      <w:pPr>
        <w:jc w:val="both"/>
        <w:ind w:left="760" w:hanging="373"/>
        <w:spacing w:after="0" w:line="258" w:lineRule="auto"/>
        <w:tabs>
          <w:tab w:leader="none" w:pos="756" w:val="left"/>
        </w:tabs>
        <w:numPr>
          <w:ilvl w:val="0"/>
          <w:numId w:val="35"/>
        </w:numPr>
        <w:rPr>
          <w:rFonts w:ascii="Arial" w:cs="Arial" w:eastAsia="Arial" w:hAnsi="Arial"/>
          <w:sz w:val="14"/>
          <w:szCs w:val="14"/>
          <w:color w:val="auto"/>
        </w:rPr>
      </w:pPr>
      <w:r>
        <w:rPr>
          <w:rFonts w:ascii="Arial" w:cs="Arial" w:eastAsia="Arial" w:hAnsi="Arial"/>
          <w:sz w:val="14"/>
          <w:szCs w:val="14"/>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65" w:lineRule="exact"/>
        <w:rPr>
          <w:rFonts w:ascii="Arial" w:cs="Arial" w:eastAsia="Arial" w:hAnsi="Arial"/>
          <w:sz w:val="14"/>
          <w:szCs w:val="14"/>
          <w:color w:val="auto"/>
        </w:rPr>
      </w:pPr>
    </w:p>
    <w:p>
      <w:pPr>
        <w:ind w:left="760" w:hanging="373"/>
        <w:spacing w:after="0"/>
        <w:tabs>
          <w:tab w:leader="none" w:pos="760" w:val="left"/>
        </w:tabs>
        <w:numPr>
          <w:ilvl w:val="0"/>
          <w:numId w:val="35"/>
        </w:numPr>
        <w:rPr>
          <w:rFonts w:ascii="Arial" w:cs="Arial" w:eastAsia="Arial" w:hAnsi="Arial"/>
          <w:sz w:val="13"/>
          <w:szCs w:val="13"/>
          <w:color w:val="auto"/>
        </w:rPr>
      </w:pPr>
      <w:r>
        <w:rPr>
          <w:rFonts w:ascii="Arial" w:cs="Arial" w:eastAsia="Arial" w:hAnsi="Arial"/>
          <w:sz w:val="13"/>
          <w:szCs w:val="13"/>
          <w:color w:val="231F20"/>
        </w:rPr>
        <w:t>federal criminal laws that prohibit executing a scheme to defraud any healthcare benefit program or making, or causing to be made, false statements relating to healthcare matters;</w:t>
      </w:r>
    </w:p>
    <w:p>
      <w:pPr>
        <w:spacing w:after="0" w:line="105" w:lineRule="exact"/>
        <w:rPr>
          <w:rFonts w:ascii="Arial" w:cs="Arial" w:eastAsia="Arial" w:hAnsi="Arial"/>
          <w:sz w:val="13"/>
          <w:szCs w:val="13"/>
          <w:color w:val="auto"/>
        </w:rPr>
      </w:pPr>
    </w:p>
    <w:p>
      <w:pPr>
        <w:ind w:left="760" w:hanging="373"/>
        <w:spacing w:after="0" w:line="321" w:lineRule="auto"/>
        <w:tabs>
          <w:tab w:leader="none" w:pos="756" w:val="left"/>
        </w:tabs>
        <w:numPr>
          <w:ilvl w:val="0"/>
          <w:numId w:val="35"/>
        </w:numPr>
        <w:rPr>
          <w:rFonts w:ascii="Arial" w:cs="Arial" w:eastAsia="Arial" w:hAnsi="Arial"/>
          <w:sz w:val="13"/>
          <w:szCs w:val="13"/>
          <w:color w:val="auto"/>
        </w:rPr>
      </w:pPr>
      <w:r>
        <w:rPr>
          <w:rFonts w:ascii="Arial" w:cs="Arial" w:eastAsia="Arial" w:hAnsi="Arial"/>
          <w:sz w:val="13"/>
          <w:szCs w:val="13"/>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4" w:lineRule="exact"/>
        <w:rPr>
          <w:rFonts w:ascii="Arial" w:cs="Arial" w:eastAsia="Arial" w:hAnsi="Arial"/>
          <w:sz w:val="13"/>
          <w:szCs w:val="13"/>
          <w:color w:val="auto"/>
        </w:rPr>
      </w:pPr>
    </w:p>
    <w:p>
      <w:pPr>
        <w:ind w:left="760" w:hanging="373"/>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231F20"/>
        </w:rPr>
        <w:t>the FCPA, the U.K. Bribery Act of 2010, and other local anti-corruption laws that apply to our international activities;</w:t>
      </w:r>
    </w:p>
    <w:p>
      <w:pPr>
        <w:spacing w:after="0" w:line="93" w:lineRule="exact"/>
        <w:rPr>
          <w:rFonts w:ascii="Arial" w:cs="Arial" w:eastAsia="Arial" w:hAnsi="Arial"/>
          <w:sz w:val="14"/>
          <w:szCs w:val="14"/>
          <w:color w:val="auto"/>
        </w:rPr>
      </w:pPr>
    </w:p>
    <w:p>
      <w:pPr>
        <w:jc w:val="both"/>
        <w:ind w:left="760" w:hanging="373"/>
        <w:spacing w:after="0" w:line="258" w:lineRule="auto"/>
        <w:tabs>
          <w:tab w:leader="none" w:pos="756" w:val="left"/>
        </w:tabs>
        <w:numPr>
          <w:ilvl w:val="0"/>
          <w:numId w:val="35"/>
        </w:numPr>
        <w:rPr>
          <w:rFonts w:ascii="Arial" w:cs="Arial" w:eastAsia="Arial" w:hAnsi="Arial"/>
          <w:sz w:val="14"/>
          <w:szCs w:val="14"/>
          <w:color w:val="auto"/>
        </w:rPr>
      </w:pPr>
      <w:r>
        <w:rPr>
          <w:rFonts w:ascii="Arial" w:cs="Arial" w:eastAsia="Arial" w:hAnsi="Arial"/>
          <w:sz w:val="14"/>
          <w:szCs w:val="14"/>
          <w:color w:val="231F20"/>
        </w:rPr>
        <w:t xml:space="preserve">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w:t>
      </w:r>
      <w:r>
        <w:rPr>
          <w:rFonts w:ascii="Arial" w:cs="Arial" w:eastAsia="Arial" w:hAnsi="Arial"/>
          <w:sz w:val="14"/>
          <w:szCs w:val="14"/>
          <w:color w:val="000000"/>
        </w:rPr>
        <w:t>matters; similar to the federal Anti-Kickback Statute, a person or entity does not need to have actual knowledge of the statute or specific intent to violate it in order to have</w:t>
      </w:r>
      <w:r>
        <w:rPr>
          <w:rFonts w:ascii="Arial" w:cs="Arial" w:eastAsia="Arial" w:hAnsi="Arial"/>
          <w:sz w:val="14"/>
          <w:szCs w:val="14"/>
          <w:color w:val="231F20"/>
        </w:rPr>
        <w:t xml:space="preserve"> </w:t>
      </w:r>
      <w:r>
        <w:rPr>
          <w:rFonts w:ascii="Arial" w:cs="Arial" w:eastAsia="Arial" w:hAnsi="Arial"/>
          <w:sz w:val="14"/>
          <w:szCs w:val="14"/>
          <w:color w:val="000000"/>
        </w:rPr>
        <w:t>committed a violation;</w:t>
      </w:r>
    </w:p>
    <w:p>
      <w:pPr>
        <w:spacing w:after="0" w:line="65" w:lineRule="exact"/>
        <w:rPr>
          <w:rFonts w:ascii="Arial" w:cs="Arial" w:eastAsia="Arial" w:hAnsi="Arial"/>
          <w:sz w:val="14"/>
          <w:szCs w:val="14"/>
          <w:color w:val="auto"/>
        </w:rPr>
      </w:pPr>
    </w:p>
    <w:p>
      <w:pPr>
        <w:jc w:val="both"/>
        <w:ind w:left="760" w:hanging="373"/>
        <w:spacing w:after="0" w:line="279" w:lineRule="auto"/>
        <w:tabs>
          <w:tab w:leader="none" w:pos="756" w:val="left"/>
        </w:tabs>
        <w:numPr>
          <w:ilvl w:val="0"/>
          <w:numId w:val="35"/>
        </w:numPr>
        <w:rPr>
          <w:rFonts w:ascii="Arial" w:cs="Arial" w:eastAsia="Arial" w:hAnsi="Arial"/>
          <w:sz w:val="13"/>
          <w:szCs w:val="13"/>
          <w:color w:val="auto"/>
        </w:rPr>
      </w:pPr>
      <w:r>
        <w:rPr>
          <w:rFonts w:ascii="Arial" w:cs="Arial" w:eastAsia="Arial" w:hAnsi="Arial"/>
          <w:sz w:val="13"/>
          <w:szCs w:val="13"/>
          <w:color w:val="231F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w:t>
      </w:r>
    </w:p>
    <w:p>
      <w:pPr>
        <w:spacing w:after="0" w:line="52" w:lineRule="exact"/>
        <w:rPr>
          <w:rFonts w:ascii="Arial" w:cs="Arial" w:eastAsia="Arial" w:hAnsi="Arial"/>
          <w:sz w:val="13"/>
          <w:szCs w:val="13"/>
          <w:color w:val="auto"/>
        </w:rPr>
      </w:pPr>
    </w:p>
    <w:p>
      <w:pPr>
        <w:ind w:left="760" w:hanging="373"/>
        <w:spacing w:after="0" w:line="281" w:lineRule="auto"/>
        <w:tabs>
          <w:tab w:leader="none" w:pos="756" w:val="left"/>
        </w:tabs>
        <w:numPr>
          <w:ilvl w:val="0"/>
          <w:numId w:val="35"/>
        </w:numPr>
        <w:rPr>
          <w:rFonts w:ascii="Arial" w:cs="Arial" w:eastAsia="Arial" w:hAnsi="Arial"/>
          <w:sz w:val="14"/>
          <w:szCs w:val="14"/>
          <w:color w:val="auto"/>
        </w:rPr>
      </w:pPr>
      <w:r>
        <w:rPr>
          <w:rFonts w:ascii="Arial" w:cs="Arial" w:eastAsia="Arial" w:hAnsi="Arial"/>
          <w:sz w:val="14"/>
          <w:szCs w:val="14"/>
          <w:color w:val="231F20"/>
        </w:rPr>
        <w:t>the federal Physician Payments Sunshine Act requires applicable manufacturers of covered drugs, devices, biologics and medical supplies for which payment is available under Medicare, Medicaid or the Children’s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760"/>
        <w:spacing w:after="0" w:line="260" w:lineRule="auto"/>
        <w:rPr>
          <w:sz w:val="20"/>
          <w:szCs w:val="20"/>
          <w:color w:val="auto"/>
        </w:rPr>
      </w:pPr>
      <w:r>
        <w:rPr>
          <w:rFonts w:ascii="Arial" w:cs="Arial" w:eastAsia="Arial" w:hAnsi="Arial"/>
          <w:sz w:val="14"/>
          <w:szCs w:val="14"/>
          <w:color w:val="231F20"/>
        </w:rPr>
        <w:t>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62" w:lineRule="exact"/>
        <w:rPr>
          <w:sz w:val="20"/>
          <w:szCs w:val="20"/>
          <w:color w:val="auto"/>
        </w:rPr>
      </w:pPr>
    </w:p>
    <w:p>
      <w:pPr>
        <w:jc w:val="both"/>
        <w:ind w:left="760" w:hanging="373"/>
        <w:spacing w:after="0" w:line="277" w:lineRule="auto"/>
        <w:tabs>
          <w:tab w:leader="none" w:pos="756" w:val="left"/>
        </w:tabs>
        <w:numPr>
          <w:ilvl w:val="0"/>
          <w:numId w:val="36"/>
        </w:numPr>
        <w:rPr>
          <w:rFonts w:ascii="Arial" w:cs="Arial" w:eastAsia="Arial" w:hAnsi="Arial"/>
          <w:sz w:val="13"/>
          <w:szCs w:val="13"/>
          <w:color w:val="auto"/>
        </w:rPr>
      </w:pPr>
      <w:r>
        <w:rPr>
          <w:rFonts w:ascii="Arial" w:cs="Arial" w:eastAsia="Arial" w:hAnsi="Arial"/>
          <w:sz w:val="13"/>
          <w:szCs w:val="13"/>
          <w:color w:val="231F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61"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231F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between Russia and Ukraine. The impact of these measures, as well as potential responses to them by Russia, is currently unknown and they could adversely affect our business, supply chain, business partners or customers.</w:t>
      </w:r>
    </w:p>
    <w:p>
      <w:pPr>
        <w:spacing w:after="0" w:line="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6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or escalation in conflict between Russia and Ukraine,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Risks Related to Our Reliance on Third Parties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 manufacturer, Fresenius Kabi, LLC (“Fresenius Kabi”), and currently have no alternative manufacturer in place. On January 13, 2022, we entered into a Negotiated Purchase Order Terms and Conditions for Clinical and Commercial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Product, as amended effective as of August 1, 2022 (the “Fresenius Agreement”), with Fresenius Kabi pursuant to which Fresenius Kabi will manufacture FYARRO for intravenous use for us, and we will purchase FYARRO as a finished drug product from Fresenius Kabi, on a purchase-order basis. The Fresenius Agreement, as amended in January 2023, will be effective through March 31, 2024 (or such later date as may be agreed between the parties in writing), and we may purchase FYARRO for either clinical or commercial purposes for use in the United States and Canada. The price of FYARRO will be fixed, subject to the ability of Fresenius Kabi to increase pricing under specified circumstances. We also have an obligation to purchase certain minimum quantities of FYARRO and any failure to purchase those minimum quantities will result in an additional payment from us to Fresenius 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231F20"/>
        </w:rPr>
        <w:t>We may be unable to maintain or establish required agreements with third-party manufacturers or to do so on acceptable terms. Further, any delay in identifying and qualifying a manufacturer for commercial production could negatively impact the 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spacing w:after="0" w:line="39" w:lineRule="exact"/>
        <w:rPr>
          <w:sz w:val="20"/>
          <w:szCs w:val="20"/>
          <w:color w:val="auto"/>
        </w:rPr>
      </w:pPr>
    </w:p>
    <w:p>
      <w:pPr>
        <w:jc w:val="both"/>
        <w:ind w:left="760" w:hanging="373"/>
        <w:spacing w:after="0" w:line="267"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231F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56" w:lineRule="exact"/>
        <w:rPr>
          <w:rFonts w:ascii="Arial" w:cs="Arial" w:eastAsia="Arial" w:hAnsi="Arial"/>
          <w:sz w:val="14"/>
          <w:szCs w:val="14"/>
          <w:color w:val="auto"/>
        </w:rPr>
      </w:pPr>
    </w:p>
    <w:p>
      <w:pPr>
        <w:ind w:left="760" w:hanging="373"/>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231F20"/>
        </w:rPr>
        <w:t>the termination or nonrenewal of arrangements or agreements by our third-party contractors at a time that is costly or inconvenient for us;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231F20"/>
        </w:rPr>
        <w:t>the breach by the third-party contractors of our agreements with them;</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231F20"/>
        </w:rPr>
        <w:t>the failure of third-party contractors to comply with applicable regulatory requirements, including manufacturing drug supply pursuant to strictly enforced cGMPs;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231F20"/>
        </w:rPr>
        <w:t>the failure of the third-party contractor to manufacture FYARRO or any of our other product candidates that we may develop in the future according to our specifications;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231F20"/>
        </w:rPr>
        <w:t>the mislabeling of clinical supplies, potentially resulting in the wrong dose amounts being supplied or active drug or placebo not being properly identified;</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7"/>
        </w:numPr>
        <w:rPr>
          <w:rFonts w:ascii="Arial" w:cs="Arial" w:eastAsia="Arial" w:hAnsi="Arial"/>
          <w:sz w:val="14"/>
          <w:szCs w:val="14"/>
          <w:color w:val="auto"/>
        </w:rPr>
      </w:pPr>
      <w:r>
        <w:rPr>
          <w:rFonts w:ascii="Arial" w:cs="Arial" w:eastAsia="Arial" w:hAnsi="Arial"/>
          <w:sz w:val="14"/>
          <w:szCs w:val="14"/>
          <w:color w:val="231F20"/>
        </w:rPr>
        <w:t>clinical supplies not being delivered to clinical sites on time, leading to clinical trial interruptions, or of drug supplies not being distributed to commercial vendors in a timely manner, resulting in lost sales;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231F20"/>
        </w:rPr>
        <w:t>the misappropriation of our proprietary information, including our trade secrets and know-how.</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spacing w:after="0" w:line="6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231F20"/>
        </w:rPr>
        <w:t>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5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are dependent on a single-source supplier for the drug product FYARRO, and the loss of such supplier could harm our business.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We rely on a single-source supplier, Fresenius Kabi, for our drug product FYARRO. In January 2022, we entered into the Fresenius Agreement, which we amended in January 2023 to, among other things, extend the term of the Fresenius Agreement to March 31, 2024 (or such later date as may be agreed upon between the parties), and amend certain terms related to pricing and the Company’s obligation to purchase certain minimum quantities of FYARRO from Fresenius Kabi. We also have supply agreements in place for key raw materials used in the manufacture of FYARRO such as for the drug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substance 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spacing w:after="0" w:line="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spacing w:after="0" w:line="49"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231F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231F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We depend on intellectual property licensed from third parties and termination of any of these licenses could result in the loss of significant rights, which would harm our business.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We are dependent on patents, know-how and proprietary technology, both our own and licensed from others. We entered into a license agreement with Abraxis BioScience, LLC, a wholly owned subsidiary of Celgene Corporation, which is a wholly owned subsidiary of Bristol-Myers Squibb Company (“BMS”) pursuant to which we have licensed exclusive global rights to intellectual property and know-how related to FYARRO (the “BMS License”). We are required to use commercially reasonable efforts or diligent efforts to commercialize products based on the licensed rights and to pay certain royalties based off our net sales, certain sublicense fees and certain other fees. We may not meet these requirements,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which could result in a loss or termination of any rights under such agreements. Any termination of these licenses will result in the loss of significant rights and will restrict our ability to commercialize FYARRO.</w:t>
      </w:r>
    </w:p>
    <w:p>
      <w:pPr>
        <w:spacing w:after="0" w:line="4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4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231F20"/>
        </w:rPr>
        <w:t>We may form or seek strategic alliances or collaborations in the future. Such alliances and collaborations may inhibit future opportunities, or we may not realize the benefits of such collaborations or alliances.</w:t>
      </w:r>
    </w:p>
    <w:p>
      <w:pPr>
        <w:spacing w:after="0" w:line="47" w:lineRule="exact"/>
        <w:rPr>
          <w:sz w:val="20"/>
          <w:szCs w:val="20"/>
          <w:color w:val="auto"/>
        </w:rPr>
      </w:pPr>
    </w:p>
    <w:p>
      <w:pPr>
        <w:spacing w:after="0" w:line="321" w:lineRule="auto"/>
        <w:rPr>
          <w:sz w:val="20"/>
          <w:szCs w:val="20"/>
          <w:color w:val="auto"/>
        </w:rPr>
      </w:pPr>
      <w:r>
        <w:rPr>
          <w:rFonts w:ascii="Arial" w:cs="Arial" w:eastAsia="Arial" w:hAnsi="Arial"/>
          <w:sz w:val="13"/>
          <w:szCs w:val="13"/>
          <w:color w:val="231F20"/>
        </w:rPr>
        <w:t>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We are at risk that any such future collaborations may not be successful.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231F20"/>
        </w:rPr>
        <w:t>Factors that may affect the success of our collaborations include the following:</w:t>
      </w:r>
    </w:p>
    <w:p>
      <w:pPr>
        <w:spacing w:after="0" w:line="94" w:lineRule="exact"/>
        <w:rPr>
          <w:sz w:val="20"/>
          <w:szCs w:val="20"/>
          <w:color w:val="auto"/>
        </w:rPr>
      </w:pPr>
    </w:p>
    <w:p>
      <w:pPr>
        <w:ind w:left="760" w:hanging="373"/>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231F20"/>
        </w:rPr>
        <w:t>our collaboration partners may incur financial and cash flow difficulties that force them to limit or reduce their efforts under their collaboration agreement with us;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231F20"/>
        </w:rPr>
        <w:t>our collaboration partners may be pursuing alternative technologies or developing alternative products that are competitive to our technology and products, either on their own or in partnership with others;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231F20"/>
        </w:rPr>
        <w:t>our collaboration partners may terminate their collaboration with us, which could make it difficult for us to attract new partners or adversely affect perception of us in the business and financial communities;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231F20"/>
        </w:rPr>
        <w:t>our collaboration partners may pursue higher priority programs or change the focus of their development programs, which could affect their commitment to us.</w:t>
      </w:r>
    </w:p>
    <w:p>
      <w:pPr>
        <w:spacing w:after="0" w:line="94"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(as defined herein) exclusive rights to develop and commercialize FYARRO in the EOC Territory (as defined below). Under the EOC License Agreement (as defined herein), we received an upfront payment and were eligible to receive regulatory and sales-based milestone payments upon the occurrence of certain milestone events totaling $257 million, as well as tiered royalties based on annual net sales of FYARRO. In addition, EOC was responsible for development, regulatory submissions, and commercialization in China, Hong Kong, Macau and Taiwan (collectively, the “EOC Territory”). The EOC License Agreement was terminated effective June 27, 2022, and EOC initiated a Request for Arbitration with the International Chamber of Commerce's International Court of Arbitration against us on the same date.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 See Notes 9 and 16 to the audited financial statements for more information about the EOC License Agreement, its termination and resulting arbitration.</w:t>
      </w:r>
    </w:p>
    <w:p>
      <w:pPr>
        <w:spacing w:after="0" w:line="4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231F20"/>
        </w:rPr>
        <w:t>If we cannot maintain successful collaborations, our business, financial condition, and operating results may be adversely affected.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47" w:lineRule="exact"/>
        <w:rPr>
          <w:sz w:val="20"/>
          <w:szCs w:val="20"/>
          <w:color w:val="auto"/>
        </w:rPr>
      </w:pPr>
    </w:p>
    <w:p>
      <w:pPr>
        <w:spacing w:after="0" w:line="281" w:lineRule="auto"/>
        <w:rPr>
          <w:sz w:val="20"/>
          <w:szCs w:val="20"/>
          <w:color w:val="auto"/>
        </w:rPr>
      </w:pPr>
      <w:r>
        <w:rPr>
          <w:rFonts w:ascii="Arial" w:cs="Arial" w:eastAsia="Arial" w:hAnsi="Arial"/>
          <w:sz w:val="14"/>
          <w:szCs w:val="14"/>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47" w:lineRule="exact"/>
        <w:rPr>
          <w:sz w:val="20"/>
          <w:szCs w:val="20"/>
          <w:color w:val="auto"/>
        </w:rPr>
      </w:pPr>
    </w:p>
    <w:p>
      <w:pPr>
        <w:ind w:left="760" w:hanging="373"/>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231F20"/>
        </w:rPr>
        <w:t>increased operating expenses and cash requirements;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231F20"/>
        </w:rPr>
        <w:t>the assumption of additional indebtedness or contingent liabilities;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231F20"/>
        </w:rPr>
        <w:t>the issuance of our equity securities;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231F20"/>
        </w:rPr>
        <w:t>assimilation of operations, intellectual property, and products of an acquired company, including difficulties associated with integrating new personnel;</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231F20"/>
        </w:rPr>
        <w:t>the diversion of our management’s attention from our existing programs and initiatives in pursuing such a strategic transaction;</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231F20"/>
        </w:rPr>
        <w:t>retention of key employees, the loss of key personnel and uncertainties in our ability to maintain key business relationships;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231F20"/>
        </w:rPr>
        <w:t>risks and uncertainties associated with the other party to such a transaction, including the prospects of that party and their existing products or product candidates and regulatory approvals; and</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39"/>
        </w:numPr>
        <w:rPr>
          <w:rFonts w:ascii="Arial" w:cs="Arial" w:eastAsia="Arial" w:hAnsi="Arial"/>
          <w:sz w:val="14"/>
          <w:szCs w:val="14"/>
          <w:color w:val="auto"/>
        </w:rPr>
      </w:pPr>
      <w:r>
        <w:rPr>
          <w:rFonts w:ascii="Arial" w:cs="Arial" w:eastAsia="Arial" w:hAnsi="Arial"/>
          <w:sz w:val="14"/>
          <w:szCs w:val="14"/>
          <w:color w:val="231F20"/>
        </w:rPr>
        <w:t>our inability to generate revenue from acquired technology and/or products sufficient to meet our objectives in undertaking the acquisition or even to offset the associated acquisition and maintenance costs.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231F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231F20"/>
        </w:rPr>
        <w:t>available to us on acceptable terms or at all. If we do not have sufficient funds, we may not be able to further develop our product candidates or bring them to market and generate product revenue.</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57" w:lineRule="exact"/>
        <w:rPr>
          <w:sz w:val="20"/>
          <w:szCs w:val="20"/>
          <w:color w:val="auto"/>
        </w:rPr>
      </w:pPr>
    </w:p>
    <w:p>
      <w:pPr>
        <w:ind w:left="760" w:hanging="373"/>
        <w:spacing w:after="0"/>
        <w:tabs>
          <w:tab w:leader="none" w:pos="760" w:val="left"/>
        </w:tabs>
        <w:numPr>
          <w:ilvl w:val="0"/>
          <w:numId w:val="40"/>
        </w:numPr>
        <w:rPr>
          <w:rFonts w:ascii="Arial" w:cs="Arial" w:eastAsia="Arial" w:hAnsi="Arial"/>
          <w:sz w:val="13"/>
          <w:szCs w:val="13"/>
          <w:color w:val="auto"/>
        </w:rPr>
      </w:pPr>
      <w:r>
        <w:rPr>
          <w:rFonts w:ascii="Arial" w:cs="Arial" w:eastAsia="Arial" w:hAnsi="Arial"/>
          <w:sz w:val="13"/>
          <w:szCs w:val="13"/>
          <w:color w:val="231F20"/>
        </w:rPr>
        <w:t>collaborators have significant discretion in determining the efforts and resources that they will apply to these collaborations and may not perform their obligations as expected;</w:t>
      </w:r>
    </w:p>
    <w:p>
      <w:pPr>
        <w:spacing w:after="0" w:line="105" w:lineRule="exact"/>
        <w:rPr>
          <w:rFonts w:ascii="Arial" w:cs="Arial" w:eastAsia="Arial" w:hAnsi="Arial"/>
          <w:sz w:val="13"/>
          <w:szCs w:val="13"/>
          <w:color w:val="auto"/>
        </w:rPr>
      </w:pPr>
    </w:p>
    <w:p>
      <w:pPr>
        <w:jc w:val="both"/>
        <w:ind w:left="760" w:hanging="373"/>
        <w:spacing w:after="0" w:line="297" w:lineRule="auto"/>
        <w:tabs>
          <w:tab w:leader="none" w:pos="756" w:val="left"/>
        </w:tabs>
        <w:numPr>
          <w:ilvl w:val="0"/>
          <w:numId w:val="40"/>
        </w:numPr>
        <w:rPr>
          <w:rFonts w:ascii="Arial" w:cs="Arial" w:eastAsia="Arial" w:hAnsi="Arial"/>
          <w:sz w:val="13"/>
          <w:szCs w:val="13"/>
          <w:color w:val="auto"/>
        </w:rPr>
      </w:pPr>
      <w:r>
        <w:rPr>
          <w:rFonts w:ascii="Arial" w:cs="Arial" w:eastAsia="Arial" w:hAnsi="Arial"/>
          <w:sz w:val="13"/>
          <w:szCs w:val="13"/>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39" w:lineRule="exact"/>
        <w:rPr>
          <w:rFonts w:ascii="Arial" w:cs="Arial" w:eastAsia="Arial" w:hAnsi="Arial"/>
          <w:sz w:val="13"/>
          <w:szCs w:val="13"/>
          <w:color w:val="auto"/>
        </w:rPr>
      </w:pPr>
    </w:p>
    <w:p>
      <w:pPr>
        <w:ind w:left="760" w:hanging="373"/>
        <w:spacing w:after="0" w:line="281"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we may grant exclusive rights to our collaborators that would prevent us from collaborating with others;</w:t>
      </w:r>
    </w:p>
    <w:p>
      <w:pPr>
        <w:spacing w:after="0" w:line="93"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6"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40"/>
        </w:numPr>
        <w:rPr>
          <w:rFonts w:ascii="Arial" w:cs="Arial" w:eastAsia="Arial" w:hAnsi="Arial"/>
          <w:sz w:val="12"/>
          <w:szCs w:val="12"/>
          <w:color w:val="auto"/>
        </w:rPr>
      </w:pPr>
      <w:r>
        <w:rPr>
          <w:rFonts w:ascii="Arial" w:cs="Arial" w:eastAsia="Arial" w:hAnsi="Arial"/>
          <w:sz w:val="12"/>
          <w:szCs w:val="12"/>
          <w:color w:val="231F20"/>
        </w:rPr>
        <w:t>collaborations may be terminated and, if terminated, may result in a need for additional capital to pursue further development or commercialization of the applicable product candidates;</w:t>
      </w:r>
    </w:p>
    <w:p>
      <w:pPr>
        <w:spacing w:after="0" w:line="116" w:lineRule="exact"/>
        <w:rPr>
          <w:rFonts w:ascii="Arial" w:cs="Arial" w:eastAsia="Arial" w:hAnsi="Arial"/>
          <w:sz w:val="12"/>
          <w:szCs w:val="12"/>
          <w:color w:val="auto"/>
        </w:rPr>
      </w:pPr>
    </w:p>
    <w:p>
      <w:pPr>
        <w:ind w:left="760" w:hanging="373"/>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collaboration agreements may not lead to development or commercialization of product candidates in the most efficient manner or at all;</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231F20"/>
        </w:rPr>
        <w:t>a collaborator’s sales and marketing activities or other operations may not be in compliance with applicable laws, resulting in civil or criminal proceedings.</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Disputes between us and our collaborators may result in litigation or arbitration which would increase our expenses and divert the attention of our management. Further, these transactions and arrangements are contractual in nature and may be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terminated or dissolved under the terms of the applicable agreements. For example, on June 27, 2022, EOC elected to terminate the EOC License Agreement, effective immediately, due to alleged material breaches by us. We disagree with, and continue to dispute, EOC’s allegations of material breach and do not believe that EOC had a right to terminate the EOC License Agreement for material breach, and accordingly believe that the termination of the EOC License Agreement is a termination for convenience. EOC had the right to terminate the agreement for convenience upon 120 days advance written notice. We waived such notice period in connection with EOC's termination notice and, as a result, the EOC License Agreement was terminated effective June 27, 2022.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Risks Related to Employee Matters, Managing Our Growth and Other Risks Related to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Our success is highly dependent on our ability to attract and retain highly skilled executive officers, key scientific personnel and employees.</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On November 9, 2022, we announced the transition of Neil Desai, our founder, director, President and Chief Executive Officer to Executive Chairman, and the appointment of Brendan Delaney, our Chief Operating Officer, to President and Chief Executive Officer, each effective January 1, 2023. In addition, on March 3, 2023, we announced Mr. Delaney’s resignation as President and CEO, effective March 14, 2023, and the appointment of Scott Giacobello, our Chief Financial Officer to Interim CEO and President, effective March 15, 2023, while our Board conducts an executive search for a successor CEO. These leadership transitions, as well as future other senior management changes, could disrupt and have a detrimental effect on our business.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when approved, we may not be able to successfully sell or market our product candidates that obtain regulatory approval.</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In order to commercialize FYARRO for advanced malignant PEComa or any additional indications that we may seek approval for, or any other product candidate that we may develop in the future, if approved, we must build and maintain marketing, sales, distribution, managerial and other non-technical capabilities or make arrangements with third parties to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In order to successfully implement our plans and strategies, we will need to grow the size of our organization, and we may experience difficulties in managing this growth.</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As of December 31, 2022, we had 79 full-time employees, including 47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spacing w:after="0" w:line="57" w:lineRule="exact"/>
        <w:rPr>
          <w:sz w:val="20"/>
          <w:szCs w:val="20"/>
          <w:color w:val="auto"/>
        </w:rPr>
      </w:pPr>
    </w:p>
    <w:p>
      <w:pPr>
        <w:ind w:left="760" w:hanging="373"/>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231F20"/>
        </w:rPr>
        <w:t>identifying, recruiting, integrating, maintaining and motivating additional employees;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231F20"/>
        </w:rPr>
        <w:t>managing our internal development efforts effectively, including the clinical, FDA, EMA and other comparable foreign regulatory agencies’ review process for FYARRO and any other product candidates, while complying with any contractual obligations to contractors and other third parties we may have; and</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231F20"/>
        </w:rPr>
        <w:t>improving our operational, financial and management controls, reporting systems and procedures.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currently rely, and for the foreseeable future will continue to rely, in substantial part on certain independent organizations, advisors and consultants to provide certain services, including key aspects of clinical development and manufacturing.</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If we are not able to effectively expand our organization by hiring new employees and/or engaging additional third-party service providers, we may not be able to successfully implement the tasks necessary to further develop and commercialize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231F20"/>
        </w:rPr>
        <w:t>FYARRO and other product candidates that we may develop in the future and, accordingly, may not achieve our research, development and commercialization goals.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231F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regulatory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5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231F20"/>
        </w:rPr>
        <w:t>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spacing w:after="0" w:line="5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Our insurance policies may not be adequate to compensate us for the potential losses arising from any such disruption, failure or security breach of our systems or third-party systems where information important to our business operations or commercial development is stored. In addition, such insurance may not be available to us in the future on economically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reasonable terms, or at all. Further, our insurance may not cover all claims made against us and could have high deductibles in any event, and defending a suit, regardless of its merit, could be costly and divert management attention.</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or the third parties upon whom we depend, may be adversely affected by earthquakes, wildfires and other natural disasters, and our business continuity and disaster recovery plans may not adequately protect us from a serious disaster.</w:t>
      </w:r>
    </w:p>
    <w:p>
      <w:pPr>
        <w:spacing w:after="0" w:line="4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Any unplanned event, such as flood, fire, explosion, earthquake, extreme weather condition, medical epidemics, such as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Our ability to utilize our net operating loss (“NOL”) carryforwards and certain other tax attributes to offset future taxable income may be limited.</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federal NOLs in tax years beginning after December 31, 2020 is limited to 80% of our current year taxable income. It is uncertain if and to what extent various states will conform to the Tax Act. As of December 31, 2022, after consideration of the NOLs that have been estimated to expire unused under Section 382 of the Internal Revenue Code of 1986, as amended (the “Code”), we had federal NOL carryforwards of approximately $167.5 million, $44.1 million of which will begin to expire in 2030, and the remaining $123.4 million do not expire. We also have state NOL carryforwards of approximately $72.0 million available as of December 31, 2022, which begin to expire in 2037.</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are outside our control. </w:t>
      </w:r>
      <w:r>
        <w:rPr>
          <w:rFonts w:ascii="Arial" w:cs="Arial" w:eastAsia="Arial" w:hAnsi="Arial"/>
          <w:sz w:val="14"/>
          <w:szCs w:val="14"/>
          <w:color w:val="000000"/>
        </w:rPr>
        <w:t>To the extent such limitations will cause NOL and research and development credit carryforwards to expire unused,</w:t>
      </w:r>
      <w:r>
        <w:rPr>
          <w:rFonts w:ascii="Arial" w:cs="Arial" w:eastAsia="Arial" w:hAnsi="Arial"/>
          <w:sz w:val="14"/>
          <w:szCs w:val="14"/>
          <w:color w:val="231F20"/>
        </w:rPr>
        <w:t xml:space="preserve"> </w:t>
      </w:r>
      <w:r>
        <w:rPr>
          <w:rFonts w:ascii="Arial" w:cs="Arial" w:eastAsia="Arial" w:hAnsi="Arial"/>
          <w:sz w:val="14"/>
          <w:szCs w:val="14"/>
          <w:color w:val="000000"/>
        </w:rPr>
        <w:t xml:space="preserve">these tax attributes have been removed from our deferred tax asset. </w:t>
      </w:r>
      <w:r>
        <w:rPr>
          <w:rFonts w:ascii="Arial" w:cs="Arial" w:eastAsia="Arial" w:hAnsi="Arial"/>
          <w:sz w:val="14"/>
          <w:szCs w:val="14"/>
          <w:color w:val="231F20"/>
        </w:rPr>
        <w:t>Our ability to utilize our NOLs and certain other tax attributes could be limited by an “ownership change” as described above and</w:t>
      </w:r>
      <w:r>
        <w:rPr>
          <w:rFonts w:ascii="Arial" w:cs="Arial" w:eastAsia="Arial" w:hAnsi="Arial"/>
          <w:sz w:val="14"/>
          <w:szCs w:val="14"/>
          <w:color w:val="000000"/>
        </w:rPr>
        <w:t xml:space="preserve"> </w:t>
      </w:r>
      <w:r>
        <w:rPr>
          <w:rFonts w:ascii="Arial" w:cs="Arial" w:eastAsia="Arial" w:hAnsi="Arial"/>
          <w:sz w:val="14"/>
          <w:szCs w:val="14"/>
          <w:color w:val="231F20"/>
        </w:rPr>
        <w:t>consequently, we may not be able to utilize a material portion of our NOLs and certain other tax attributes, which could have a material adverse effect on our cash flows and results of operations. Limitations may also apply to state NOLs under state law.</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United States federal income tax reform could materially adversely affect our financial condition.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Legislation or other changes in United States and international tax laws could increase our tax liability and adversely affect after-tax profitability. For example, the United States recently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A variety of risks associated with marketing FYARRO or any product candidates that we may develop in the future, if approved, internationally could materially adversely affect our business.</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4"/>
          <w:szCs w:val="14"/>
          <w:color w:val="231F20"/>
        </w:rPr>
        <w:t>We may seek regulatory approval of FYARRO or any of our product candidates that we may develop in the future outside of the United States and, accordingly, we expect that we will be subject to additional risks related to operating in foreign countries if we obtain the necessary approvals, including:</w:t>
      </w:r>
    </w:p>
    <w:p>
      <w:pPr>
        <w:spacing w:after="0" w:line="47" w:lineRule="exact"/>
        <w:rPr>
          <w:sz w:val="20"/>
          <w:szCs w:val="20"/>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differing regulatory requirements and reimbursement regimes in foreign countries;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unexpected changes in tariffs, trade barriers, price and exchange controls and other regulatory requirements;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economic weakness, including inflation, or political instability in particular foreign economies and markets;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compliance with tax, employment, immigration and labor laws for employees living or traveling abroad;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foreign taxes, including withholding of payroll taxes;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3"/>
          <w:szCs w:val="13"/>
          <w:color w:val="auto"/>
        </w:rPr>
      </w:pPr>
      <w:r>
        <w:rPr>
          <w:rFonts w:ascii="Arial" w:cs="Arial" w:eastAsia="Arial" w:hAnsi="Arial"/>
          <w:sz w:val="13"/>
          <w:szCs w:val="13"/>
          <w:color w:val="231F20"/>
        </w:rPr>
        <w:t>foreign currency fluctuations, which could result in increased operating expenses and reduced revenue, and other obligations incident to doing business in another country;</w:t>
      </w:r>
    </w:p>
    <w:p>
      <w:pPr>
        <w:spacing w:after="0" w:line="105" w:lineRule="exact"/>
        <w:rPr>
          <w:rFonts w:ascii="Arial" w:cs="Arial" w:eastAsia="Arial" w:hAnsi="Arial"/>
          <w:sz w:val="13"/>
          <w:szCs w:val="13"/>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difficulties staffing and managing foreign operations;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workforce uncertainty in countries where labor unrest is more common than in the United States;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potential liability under the FCPA or comparable foreign regulations;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challenges enforcing our contractual and intellectual property rights, especially in those foreign countries that do not respect and protect intellectual property rights to the same extent as the United States;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production shortages resulting from any events affecting raw material supply or manufacturing capabilities abroad;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231F20"/>
        </w:rPr>
        <w:t>business interruptions resulting from geo-political actions, including war and terrorism.</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231F20"/>
        </w:rPr>
        <w:t>These and other risks associated with our international operations may materially adversely affect our ability to attain or maintain profitable 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Risks Related to Our Intellectual Property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Our success depends on our ability to protect our intellectual property and our proprietary technologies.</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Although we own or license twelve (12)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Arial" w:cs="Arial" w:eastAsia="Arial" w:hAnsi="Arial"/>
          <w:sz w:val="14"/>
          <w:szCs w:val="14"/>
          <w:color w:val="231F20"/>
        </w:rPr>
        <w:t>Trademark Office (the “USPTO”), courts in the United States or by the patent offices and courts in foreign countries, nor can we be certain that the claims in our issued patent will not be found invalid or unenforceable if challenged.</w:t>
      </w:r>
    </w:p>
    <w:p>
      <w:pPr>
        <w:spacing w:after="0" w:line="47" w:lineRule="exact"/>
        <w:rPr>
          <w:sz w:val="20"/>
          <w:szCs w:val="20"/>
          <w:color w:val="auto"/>
        </w:rPr>
      </w:pPr>
    </w:p>
    <w:p>
      <w:pPr>
        <w:spacing w:after="0" w:line="281" w:lineRule="auto"/>
        <w:rPr>
          <w:sz w:val="20"/>
          <w:szCs w:val="20"/>
          <w:color w:val="auto"/>
        </w:rPr>
      </w:pPr>
      <w:r>
        <w:rPr>
          <w:rFonts w:ascii="Arial" w:cs="Arial" w:eastAsia="Arial" w:hAnsi="Arial"/>
          <w:sz w:val="14"/>
          <w:szCs w:val="14"/>
          <w:color w:val="231F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spacing w:after="0" w:line="47" w:lineRule="exact"/>
        <w:rPr>
          <w:sz w:val="20"/>
          <w:szCs w:val="20"/>
          <w:color w:val="auto"/>
        </w:rPr>
      </w:pPr>
    </w:p>
    <w:p>
      <w:pPr>
        <w:ind w:left="760" w:hanging="373"/>
        <w:spacing w:after="0" w:line="321" w:lineRule="auto"/>
        <w:tabs>
          <w:tab w:leader="none" w:pos="756" w:val="left"/>
        </w:tabs>
        <w:numPr>
          <w:ilvl w:val="0"/>
          <w:numId w:val="43"/>
        </w:numPr>
        <w:rPr>
          <w:rFonts w:ascii="Arial" w:cs="Arial" w:eastAsia="Arial" w:hAnsi="Arial"/>
          <w:sz w:val="13"/>
          <w:szCs w:val="13"/>
          <w:color w:val="auto"/>
        </w:rPr>
      </w:pPr>
      <w:r>
        <w:rPr>
          <w:rFonts w:ascii="Arial" w:cs="Arial" w:eastAsia="Arial" w:hAnsi="Arial"/>
          <w:sz w:val="13"/>
          <w:szCs w:val="13"/>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4" w:lineRule="exact"/>
        <w:rPr>
          <w:rFonts w:ascii="Arial" w:cs="Arial" w:eastAsia="Arial" w:hAnsi="Arial"/>
          <w:sz w:val="13"/>
          <w:szCs w:val="13"/>
          <w:color w:val="auto"/>
        </w:rPr>
      </w:pPr>
    </w:p>
    <w:p>
      <w:pPr>
        <w:ind w:left="760" w:hanging="373"/>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231F20"/>
        </w:rPr>
        <w:t>patent applications may not result in any patents being issued;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231F20"/>
        </w:rPr>
        <w:t>if clinical trials encounter delays, the period of time during which we could market our current or future product candidates under patent protection would be reduced;</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231F20"/>
        </w:rPr>
        <w:t>patents may be challenged, invalidated, modified, narrowed, revoked, circumvented, found to be unenforceable, found to be not infringed or otherwise may not provide any competitive advantage;</w:t>
      </w:r>
    </w:p>
    <w:p>
      <w:pPr>
        <w:spacing w:after="0" w:line="47"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231F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56"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231F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47" w:lineRule="exact"/>
        <w:rPr>
          <w:rFonts w:ascii="Arial" w:cs="Arial" w:eastAsia="Arial" w:hAnsi="Arial"/>
          <w:sz w:val="14"/>
          <w:szCs w:val="14"/>
          <w:color w:val="auto"/>
        </w:rPr>
      </w:pPr>
    </w:p>
    <w:p>
      <w:pPr>
        <w:ind w:left="760" w:hanging="373"/>
        <w:spacing w:after="0" w:line="321" w:lineRule="auto"/>
        <w:tabs>
          <w:tab w:leader="none" w:pos="756" w:val="left"/>
        </w:tabs>
        <w:numPr>
          <w:ilvl w:val="0"/>
          <w:numId w:val="43"/>
        </w:numPr>
        <w:rPr>
          <w:rFonts w:ascii="Arial" w:cs="Arial" w:eastAsia="Arial" w:hAnsi="Arial"/>
          <w:sz w:val="13"/>
          <w:szCs w:val="13"/>
          <w:color w:val="auto"/>
        </w:rPr>
      </w:pPr>
      <w:r>
        <w:rPr>
          <w:rFonts w:ascii="Arial" w:cs="Arial" w:eastAsia="Arial" w:hAnsi="Arial"/>
          <w:sz w:val="13"/>
          <w:szCs w:val="13"/>
          <w:color w:val="231F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24" w:lineRule="exact"/>
        <w:rPr>
          <w:rFonts w:ascii="Arial" w:cs="Arial" w:eastAsia="Arial" w:hAnsi="Arial"/>
          <w:sz w:val="13"/>
          <w:szCs w:val="13"/>
          <w:color w:val="auto"/>
        </w:rPr>
      </w:pPr>
    </w:p>
    <w:p>
      <w:pPr>
        <w:ind w:left="760" w:hanging="373"/>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231F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47"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231F20"/>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4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62"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231F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3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4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3"/>
          <w:szCs w:val="13"/>
          <w:i w:val="1"/>
          <w:iCs w:val="1"/>
          <w:color w:val="231F20"/>
        </w:rPr>
        <w:t>inter partes</w:t>
      </w:r>
      <w:r>
        <w:rPr>
          <w:rFonts w:ascii="Arial" w:cs="Arial" w:eastAsia="Arial" w:hAnsi="Arial"/>
          <w:sz w:val="13"/>
          <w:szCs w:val="13"/>
          <w:color w:val="231F20"/>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Intellectual property rights do not necessarily address all potential threats to our competitive advantage.</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7" w:lineRule="exact"/>
        <w:rPr>
          <w:sz w:val="20"/>
          <w:szCs w:val="20"/>
          <w:color w:val="auto"/>
        </w:rPr>
      </w:pPr>
    </w:p>
    <w:p>
      <w:pPr>
        <w:ind w:left="760" w:hanging="373"/>
        <w:spacing w:after="0"/>
        <w:tabs>
          <w:tab w:leader="none" w:pos="760" w:val="left"/>
        </w:tabs>
        <w:numPr>
          <w:ilvl w:val="0"/>
          <w:numId w:val="44"/>
        </w:numPr>
        <w:rPr>
          <w:rFonts w:ascii="Arial" w:cs="Arial" w:eastAsia="Arial" w:hAnsi="Arial"/>
          <w:sz w:val="13"/>
          <w:szCs w:val="13"/>
          <w:color w:val="auto"/>
        </w:rPr>
      </w:pPr>
      <w:r>
        <w:rPr>
          <w:rFonts w:ascii="Arial" w:cs="Arial" w:eastAsia="Arial" w:hAnsi="Arial"/>
          <w:sz w:val="13"/>
          <w:szCs w:val="13"/>
          <w:color w:val="231F20"/>
        </w:rPr>
        <w:t>others may be able to develop products that are similar to FYARRO or any future product candidates but that are not covered by the claims of the patents that we own or license;</w:t>
      </w:r>
    </w:p>
    <w:p>
      <w:pPr>
        <w:spacing w:after="0" w:line="105" w:lineRule="exact"/>
        <w:rPr>
          <w:rFonts w:ascii="Arial" w:cs="Arial" w:eastAsia="Arial" w:hAnsi="Arial"/>
          <w:sz w:val="13"/>
          <w:szCs w:val="13"/>
          <w:color w:val="auto"/>
        </w:rPr>
      </w:pPr>
    </w:p>
    <w:p>
      <w:pPr>
        <w:ind w:left="760" w:hanging="373"/>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231F20"/>
        </w:rPr>
        <w:t>we or our licensors or collaborators might not have been the first to make the inventions covered by the issued patents or patent application that we own or license;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231F20"/>
        </w:rPr>
        <w:t>we or our licensors or collaborators might not have been the first to file patent applications covering certain of our inventions;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231F20"/>
        </w:rPr>
        <w:t>others may independently develop similar or alternative technologies or duplicate any of our technologies without infringing our intellectual property rights;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231F20"/>
        </w:rPr>
        <w:t>it is possible that the pending patent applications we own or license will not lead to issued patents;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231F20"/>
        </w:rPr>
        <w:t>issued patents that we own or license may be held invalid or unenforceable, as a result of legal challenges by our competitors;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line="281"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231F20"/>
        </w:rPr>
        <w:t>we may not develop additional proprietary technologies that are patentable;</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231F20"/>
        </w:rPr>
        <w:t>the patents of others may have an adverse effect on our business;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5"/>
        </w:numPr>
        <w:rPr>
          <w:rFonts w:ascii="Arial" w:cs="Arial" w:eastAsia="Arial" w:hAnsi="Arial"/>
          <w:sz w:val="13"/>
          <w:szCs w:val="13"/>
          <w:color w:val="auto"/>
        </w:rPr>
      </w:pPr>
      <w:r>
        <w:rPr>
          <w:rFonts w:ascii="Arial" w:cs="Arial" w:eastAsia="Arial" w:hAnsi="Arial"/>
          <w:sz w:val="13"/>
          <w:szCs w:val="13"/>
          <w:color w:val="231F20"/>
        </w:rPr>
        <w:t>we may choose not to file a patent in order to maintain certain trade secrets or know-how, and a third party may subsequently file a patent covering such intellectual property.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231F20"/>
        </w:rPr>
        <w:t>Should any of these events occur, it could significantly harm our business, financial condition, results of operations and prospects.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231F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54" w:lineRule="exact"/>
        <w:rPr>
          <w:sz w:val="20"/>
          <w:szCs w:val="20"/>
          <w:color w:val="auto"/>
        </w:rPr>
      </w:pPr>
    </w:p>
    <w:p>
      <w:pPr>
        <w:ind w:left="760" w:hanging="373"/>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231F20"/>
        </w:rPr>
        <w:t>result in costly litigation that may cause negative publicity;</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231F20"/>
        </w:rPr>
        <w:t>divert the time and attention of our technical personnel and management;</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231F20"/>
        </w:rPr>
        <w:t>cause development delays;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231F20"/>
        </w:rPr>
        <w:t>prevent us from commercializing any of our product candidates until the asserted patent expires or is held finally invalid or not infringed in a court of law;</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231F20"/>
        </w:rPr>
        <w:t>require us to develop non-infringing technology, which may not be possible on a cost-effective basis;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231F20"/>
        </w:rPr>
        <w:t>subject us to significant liability to third parties; or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line="281"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4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231F20"/>
        </w:rPr>
        <w:t>Although no third party has asserted a claim of patent infringement against us as of the date of this Annual Report, others may hold proprietary rights that could prevent FYARRO or our product candidates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one of our products or product candidates.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spacing w:after="0" w:line="5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We may not be successful in obtaining or maintaining necessary rights to our product or product candidates that we may develop in the future through acquisitions and in-licenses.</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5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231F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2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61"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231F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spacing w:after="0" w:line="2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Intellectual property litigation may lead to unfavorable publicity that harms our reputation and causes the market price of our common shares to decline.</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Patent reform legislation could increase the uncertainties and costs surrounding the prosecution of our patent applications or those of our licensors and the enforcement or defense of our issued patents or those of our licensors.</w:t>
      </w:r>
    </w:p>
    <w:p>
      <w:pPr>
        <w:spacing w:after="0" w:line="47"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231F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or product candidates or (2) invent any of the inventions claimed in the patents or patent applications.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 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Changes in United States patent law, or laws in other countries, could diminish the value of patents in general, thereby impairing our ability to protect our product or product candidates.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may be subject to claims challenging the inventorship or ownership of our patents and other intellectual property.</w:t>
      </w:r>
    </w:p>
    <w:p>
      <w:pPr>
        <w:spacing w:after="0" w:line="94"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231F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Patent terms may be inadequate to protect our competitive position on our product or product candidates that we may develop in the future for an adequate amount of time.</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If we do not obtain patent term extension for our product or product candidates that we may develop in the future, our business may be materially harmed.</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In January 2022, we filed an application for patent term extension based on the approval of FYARRO. Depending upon the timing, duration and specifics of FDA regulatory approval of our product 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may not be able to protect our intellectual property rights throughout the world.</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Although we own, co-own, or have exclusively licensed at least twelve (12)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231F20"/>
        </w:rPr>
        <w:t>deadlines for pursuing patent protection in individual foreign jurisdictions are based on the priority date of each of our patent applications and we may not timely file foreign patent applications.</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Further, the complexity and uncertainty of European patent laws have increased in recent years. In Europe, a new unitary patent system will likely be introduced by the end of 2023, which would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17"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231F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If we are unable to protect the confidentiality of our trade secrets, our business and competitive position would be harmed.</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Arial" w:cs="Arial" w:eastAsia="Arial" w:hAnsi="Arial"/>
          <w:sz w:val="13"/>
          <w:szCs w:val="13"/>
          <w:color w:val="000000"/>
        </w:rPr>
        <w:t>a</w:t>
      </w:r>
      <w:r>
        <w:rPr>
          <w:rFonts w:ascii="Arial" w:cs="Arial" w:eastAsia="Arial" w:hAnsi="Arial"/>
          <w:sz w:val="13"/>
          <w:szCs w:val="13"/>
          <w:color w:val="231F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may be subject to claims that we or our employees, consultants or advisors have wrongfully used or disclosed alleged confidential information or trade secrets.</w:t>
      </w:r>
    </w:p>
    <w:p>
      <w:pPr>
        <w:spacing w:after="0" w:line="94"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231F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candidates and technology. Failure to defend against any such claim could subject us to significant liability for monetary damages or prevent or delay our developmental and commercialization efforts, which could adversely affect our business.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may be subject to claims that we have wrongfully hired an employee from a competitor or that we or our employees have wrongfully used or disclosed alleged confidential information or trade secrets of their former employers.</w:t>
      </w:r>
    </w:p>
    <w:p>
      <w:pPr>
        <w:spacing w:after="0" w:line="4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As is common in the pharmaceutical industry, in addition to our employees, we engage the services of consultants to assist us in the development of our product or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rights to develop and commercialize our technology, product and product candidates that we may develop in the future may be subject, in part, to the terms and conditions of licenses granted to us by others.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fail to comply with our obligations in the agreements under which we license intellectual property rights from third parties or otherwise experiences disruptions to our business relationships with our licensors, we could lose license rights that are important to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Disputes may arise between us and our licensors regarding intellectual property subject to a license agreement, including:</w:t>
      </w:r>
    </w:p>
    <w:p>
      <w:pPr>
        <w:spacing w:after="0" w:line="94" w:lineRule="exact"/>
        <w:rPr>
          <w:sz w:val="20"/>
          <w:szCs w:val="20"/>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on intellectual property of the licensor that is not subject to the licensing agreement;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right to sublicense patents and other rights to third parties;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right to transfer or assign the license;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us and our licensors and partners;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patent protection and patent prosecution for our product and product candidates that we may develop in the future may be dependent on third parties.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While we normally seek to obtain the right to control prosecution, maintenance and enforcement of the patents relating to our product or product candidates,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5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231F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2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General Risks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and legal proceedings, including the EOC dispute, may substantially increase our costs and harm our business.</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As described in Note 16 (Commitments and contingencies) to the consolidated financial statements in Part II, Item 8 of this Annual Report on Form 10-K, we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 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and clinical development information to EOC. As a result, EOC is seeking monetary damages. The arbitration process is ongoing.</w:t>
      </w:r>
    </w:p>
    <w:p>
      <w:pPr>
        <w:spacing w:after="0" w:line="4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Our stock price is volatile.</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The market price of our common stock could be subject to significant fluctuations. From the completion of the Merger on August 26, 2021 through December 31, 2022, the market price for our common stock ranged from a low of $11.57 to a high of $33.00.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57" w:lineRule="exact"/>
        <w:rPr>
          <w:sz w:val="20"/>
          <w:szCs w:val="20"/>
          <w:color w:val="auto"/>
        </w:rPr>
      </w:pPr>
    </w:p>
    <w:p>
      <w:pPr>
        <w:ind w:left="760" w:hanging="373"/>
        <w:spacing w:after="0" w:line="281" w:lineRule="auto"/>
        <w:tabs>
          <w:tab w:leader="none" w:pos="756" w:val="left"/>
        </w:tabs>
        <w:numPr>
          <w:ilvl w:val="0"/>
          <w:numId w:val="50"/>
        </w:numPr>
        <w:rPr>
          <w:rFonts w:ascii="Arial" w:cs="Arial" w:eastAsia="Arial" w:hAnsi="Arial"/>
          <w:sz w:val="14"/>
          <w:szCs w:val="14"/>
          <w:color w:val="auto"/>
        </w:rPr>
      </w:pPr>
      <w:r>
        <w:rPr>
          <w:rFonts w:ascii="Arial" w:cs="Arial" w:eastAsia="Arial" w:hAnsi="Arial"/>
          <w:sz w:val="14"/>
          <w:szCs w:val="14"/>
          <w:color w:val="231F20"/>
        </w:rPr>
        <w:t>our ability to obtain regulatory approvals for FYARRO in other indications or for any other product candidates that we may develop in the future, and delays or failures to obtain such approvals;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50"/>
        </w:numPr>
        <w:rPr>
          <w:rFonts w:ascii="Arial" w:cs="Arial" w:eastAsia="Arial" w:hAnsi="Arial"/>
          <w:sz w:val="14"/>
          <w:szCs w:val="14"/>
          <w:color w:val="231F20"/>
        </w:rPr>
      </w:pPr>
      <w:r>
        <w:rPr>
          <w:rFonts w:ascii="Arial" w:cs="Arial" w:eastAsia="Arial" w:hAnsi="Arial"/>
          <w:sz w:val="14"/>
          <w:szCs w:val="14"/>
          <w:color w:val="231F20"/>
        </w:rPr>
        <w:t>the results of current, and any future, nonclinical or clinical trials of FYARRO or any of our product candidates that we may develop in the future;</w:t>
      </w:r>
    </w:p>
    <w:p>
      <w:pPr>
        <w:spacing w:after="0" w:line="93" w:lineRule="exact"/>
        <w:rPr>
          <w:rFonts w:ascii="Arial" w:cs="Arial" w:eastAsia="Arial" w:hAnsi="Arial"/>
          <w:sz w:val="14"/>
          <w:szCs w:val="14"/>
          <w:color w:val="231F20"/>
        </w:rPr>
      </w:pPr>
    </w:p>
    <w:p>
      <w:pPr>
        <w:ind w:left="760" w:hanging="373"/>
        <w:spacing w:after="0"/>
        <w:tabs>
          <w:tab w:leader="none" w:pos="760" w:val="left"/>
        </w:tabs>
        <w:numPr>
          <w:ilvl w:val="0"/>
          <w:numId w:val="50"/>
        </w:numPr>
        <w:rPr>
          <w:rFonts w:ascii="Arial" w:cs="Arial" w:eastAsia="Arial" w:hAnsi="Arial"/>
          <w:sz w:val="14"/>
          <w:szCs w:val="14"/>
          <w:color w:val="231F20"/>
        </w:rPr>
      </w:pPr>
      <w:r>
        <w:rPr>
          <w:rFonts w:ascii="Arial" w:cs="Arial" w:eastAsia="Arial" w:hAnsi="Arial"/>
          <w:sz w:val="14"/>
          <w:szCs w:val="14"/>
          <w:color w:val="231F20"/>
        </w:rPr>
        <w:t>the failure of FYARRO or any product candidates that we may develop in the future, if approved for marketing and commercialization, to achieve commercial success;</w:t>
      </w:r>
    </w:p>
    <w:p>
      <w:pPr>
        <w:spacing w:after="0" w:line="93" w:lineRule="exact"/>
        <w:rPr>
          <w:rFonts w:ascii="Arial" w:cs="Arial" w:eastAsia="Arial" w:hAnsi="Arial"/>
          <w:sz w:val="14"/>
          <w:szCs w:val="14"/>
          <w:color w:val="231F20"/>
        </w:rPr>
      </w:pPr>
    </w:p>
    <w:p>
      <w:pPr>
        <w:ind w:left="760" w:hanging="373"/>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231F20"/>
        </w:rPr>
        <w:t>any inability to obtain adequate supply of FYARRO or any of our product candidates that we may develop in the future or the inability to do so at acceptable prices;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231F20"/>
        </w:rPr>
        <w:t>the entry into, or termination of, key agreements, including key licensing, supply or collaboration agreements;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231F20"/>
        </w:rPr>
        <w:t>adverse regulatory authority decisions;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50"/>
        </w:numPr>
        <w:rPr>
          <w:rFonts w:ascii="Arial" w:cs="Arial" w:eastAsia="Arial" w:hAnsi="Arial"/>
          <w:sz w:val="14"/>
          <w:szCs w:val="14"/>
          <w:color w:val="auto"/>
        </w:rPr>
      </w:pPr>
      <w:r>
        <w:rPr>
          <w:rFonts w:ascii="Arial" w:cs="Arial" w:eastAsia="Arial" w:hAnsi="Arial"/>
          <w:sz w:val="14"/>
          <w:szCs w:val="14"/>
          <w:color w:val="231F20"/>
        </w:rPr>
        <w:t>the initiation of material developments in, or conclusion of, disputes or litigation to enforce or defend any of our intellectual property rights or defend against the intellectual property rights of others;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changes in laws or regulations applicable to FYARRO or any of our product candidates that we may develop in the future;</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announcements by commercial partners or competitors of new commercial products, clinical progress (or the lack thereof), significant contracts, commercial relationships, or capital commitments;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failure to meet or exceed financial and development projections we may provide to the public;</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failure to meet or exceed the financial and development projections of the investment community;</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the perception of the pharmaceutical industry by the public, legislatures, regulators and the investment community;</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general market conditions and other factors unrelated to our operating performance or the operating performance of our competitors, including deteriorating market conditions due to investor concerns regarding inflation and hostilities between Russia and Ukraine;</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adverse publicity relating to our markets, including with respect to other products and potential products in such markets;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the introduction of technological innovations or new therapies competing with our products and potential products;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announcements of significant acquisitions, strategic collaborations, joint ventures or capital commitments by us or our competitors;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disputes or other developments relating to proprietary rights, including patents, litigation matters, and our ability to obtain patent protection for our technologies;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the loss of key employees;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significant lawsuits, including patent or stockholder litigation;</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if securities or industry analysts do not publish research or reports about our business, or if they issue an adverse or misleading opinion regarding our business and stock;</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changes in the market valuations of similar companies;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general and industry-specific economic conditions potentially affecting our research and development expenditures;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sales of our common stock by us or our stockholders in the future, or the anticipation thereof;</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trading volume of our common stock;</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changes in the structure of health care payment systems;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adverse regulatory decisions;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trading volume of our common stock;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231F20"/>
        </w:rPr>
        <w:t>period-to-period fluctuations in our financial results.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Arial" w:cs="Arial" w:eastAsia="Arial" w:hAnsi="Arial"/>
          <w:sz w:val="14"/>
          <w:szCs w:val="14"/>
          <w:color w:val="000000"/>
        </w:rPr>
        <w:t>We rely heavily on direct management oversight of transactions, along with the use of legal and outsourced accounting professionals. As we grow, we plan to</w:t>
      </w:r>
      <w:r>
        <w:rPr>
          <w:rFonts w:ascii="Arial" w:cs="Arial" w:eastAsia="Arial" w:hAnsi="Arial"/>
          <w:sz w:val="14"/>
          <w:szCs w:val="14"/>
          <w:color w:val="231F20"/>
        </w:rPr>
        <w:t xml:space="preserve"> </w:t>
      </w:r>
      <w:r>
        <w:rPr>
          <w:rFonts w:ascii="Arial" w:cs="Arial" w:eastAsia="Arial" w:hAnsi="Arial"/>
          <w:sz w:val="14"/>
          <w:szCs w:val="14"/>
          <w:color w:val="000000"/>
        </w:rPr>
        <w:t>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spacing w:after="0" w:line="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231F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management makes judgments and assumptions regarding our product sales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will continue to incur significant increased costs and management resources as a result of operating as a public company.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As a public company, we will continue to incur significant legal, accounting, compliance and other expenses that we did not incur as a private company and these expenses may increase even more since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 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There can be no assurance that we will be able to comply with the continued listing standards of Nasdaq.</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231F20"/>
        </w:rPr>
        <w:t>If Nasdaq delists our shares of common stock from trading on its exchange for failure to meet Nasdaq’s listing standards, we and our stockholders could face significant material adverse consequences including:</w:t>
      </w:r>
    </w:p>
    <w:p>
      <w:pPr>
        <w:spacing w:after="0" w:line="47" w:lineRule="exact"/>
        <w:rPr>
          <w:sz w:val="20"/>
          <w:szCs w:val="20"/>
          <w:color w:val="auto"/>
        </w:rPr>
      </w:pPr>
    </w:p>
    <w:p>
      <w:pPr>
        <w:ind w:left="760" w:hanging="373"/>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231F20"/>
        </w:rPr>
        <w:t>a limited availability of market quotations for our securities;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231F20"/>
        </w:rPr>
        <w:t>reduced liquidity for our securities;</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231F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231F20"/>
        </w:rPr>
        <w:t>a limited amount of new and analyst coverage;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231F20"/>
        </w:rPr>
        <w:t>a decreased ability to issue additional securities or obtain additional financing in the future.</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Sales of a substantial number of shares of our common stock in the public market, including by our existing stockholders, could cause our stock price to fall.</w:t>
      </w:r>
    </w:p>
    <w:p>
      <w:pPr>
        <w:spacing w:after="0" w:line="94"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231F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On April 15, 2021, we filed a universal shelf registration statement on Form S-3 (the “Shelf Registration Statement”) to offer up to $150 million of our securities, which expires on April 15, 2024. We have established, and may in the future establish, “at-the-market” programs pursuant to which we may offer and sell shares of our common stock pursuant to the Shelf Registration Statement.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the Shelf Registration Statement or any future registration statement on Form S-3 that we may file with the SEC will be limited to raising an aggregate of one-third of our public float in any 12-month period.</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Our principal stockholders and management own a significant percentage of our common stock and will be able to exert significant control over matters subject to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231F20"/>
        </w:rPr>
        <w:t>Our executive officers, directors, holders of 5% or more of our capital stock and their respective affiliates beneficially owned a significant portion of our outstanding voting stock.</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62" w:lineRule="exact"/>
        <w:rPr>
          <w:sz w:val="20"/>
          <w:szCs w:val="20"/>
          <w:color w:val="auto"/>
        </w:rPr>
      </w:pPr>
    </w:p>
    <w:p>
      <w:pPr>
        <w:ind w:right="100"/>
        <w:spacing w:after="0" w:line="321" w:lineRule="auto"/>
        <w:rPr>
          <w:sz w:val="20"/>
          <w:szCs w:val="20"/>
          <w:color w:val="auto"/>
        </w:rPr>
      </w:pPr>
      <w:r>
        <w:rPr>
          <w:rFonts w:ascii="Arial" w:cs="Arial" w:eastAsia="Arial" w:hAnsi="Arial"/>
          <w:sz w:val="13"/>
          <w:szCs w:val="13"/>
          <w:b w:val="1"/>
          <w:bCs w:val="1"/>
          <w:i w:val="1"/>
          <w:iCs w:val="1"/>
          <w:color w:val="231F20"/>
        </w:rPr>
        <w:t>Unfavorable market and global economic conditions as a result of multiple global events, including the COVID-19 pandemic, adverse developments affecting the financial services industry, the conflict in Eastern Europe, increasing interest rates and general economic downturns, could adversely affect our business, financial condition or results of operations.</w:t>
      </w:r>
    </w:p>
    <w:p>
      <w:pPr>
        <w:spacing w:after="0" w:line="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While the potential economic impact brought by multiple adverse global circumstances, such as the COVID-19 pandemic, conflicts in Eastern Europe, potential uncertainty related to Taiwan and its relationship with China, increasing interest rates, adverse developments affecting the financial services industry and general economic downturns are difficult to assess or predict, both as to magnitude and duration, these events have resulted in, and may continue to result in, extreme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FYARRO or our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was closed by the California Department of Financial Protection and Innovation, which appointed the Federal Deposit Insurance Corporation (the “FDIC”), as receiver. Similarly, on March 12, 2023, Signature Bank and Silvergate Capital Corp. were each swept into receivership.</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6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231F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Our operations and performance may be affected by political or civil unrest or military action, including the current conflict between Russia and Ukraine,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6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2022, we had cash, cash equivalents and short-term investments of </w:t>
      </w:r>
      <w:r>
        <w:rPr>
          <w:rFonts w:ascii="Arial" w:cs="Arial" w:eastAsia="Arial" w:hAnsi="Arial"/>
          <w:sz w:val="13"/>
          <w:szCs w:val="13"/>
          <w:color w:val="231F20"/>
        </w:rPr>
        <w:t>$172.6 million</w:t>
      </w:r>
      <w:r>
        <w:rPr>
          <w:rFonts w:ascii="Arial" w:cs="Arial" w:eastAsia="Arial" w:hAnsi="Arial"/>
          <w:sz w:val="13"/>
          <w:szCs w:val="13"/>
          <w:color w:val="auto"/>
        </w:rPr>
        <w:t>, consisting of United States Government, commercial paper, corporate debt securities, and agency bonds. Any default by the U.S. government or credit downgrade of the securities we hold could impact the liquidity or valuation of our investments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4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231F20"/>
        </w:rPr>
        <w:t>We are a “smaller reporting company” under applicable securities regulations. A smaller reporting company is a company that, as of the last business day of its most recently completed second fiscal quarter, has (i) an aggregate market value of the company’s voting stock held by non-affiliates, or public float, of less than $250 million or (ii) less than $100 million in revenue and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do not anticipate that we will pay any cash dividends in the foreseeable future.</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Anti-takeover provisions in our charter documents and under Delaware law could make an acquisition of us more difficult and may prevent attempts our stockholders to replace or remove our management.</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231F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corporate headquarters consist of 2,760 square feet of leased office space in Pacific Palisades, California. Our Pacific Palisades lease expires on February 28, 2025. We also lease 10,615 square feet of office space in Morristown, New Jersey. The Morristown lease expires on May 19, 2028.</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believe our existing facilities are adequate to meet our current needs, and that suitable additional alternative spaces will be available in the future on commercially reasonable terms for our future growth.</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For discussion of legal proceedings, see Note 16 (Commitments and contingencies) to the consolidated financial statements in Part II, Item 8 of this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has traded since the Merger on the Nasdaq Capital Market on August 27, 2021, under the symbol “AADI.”</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Stockholders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As of March 23, 2023, there were 86 stockholders of record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never declared nor paid any cash dividends to stockholders. We do not intend to pay cash dividends on our common stock for the foreseeable future, and currently intend to retain any future earnings to fund our operations and the development and growth of our business. The declaration of any future cash dividends, if any, would be at the discretion of our board of directors (subject to limitations imposed under applicable Delaware law) and would depend on our earnings, if any, our capital requirements and financial position, our general economic conditions and other pertinent conditions.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unregistered sales of securities other than previously disclosed by us on Form 10-Q or Form 8-K.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There were no repurchases of shares of common stock made during the year ended </w:t>
      </w:r>
      <w:r>
        <w:rPr>
          <w:rFonts w:ascii="Arial" w:cs="Arial" w:eastAsia="Arial" w:hAnsi="Arial"/>
          <w:sz w:val="14"/>
          <w:szCs w:val="14"/>
          <w:color w:val="231F20"/>
        </w:rPr>
        <w:t>December 31, 2022</w:t>
      </w:r>
      <w:r>
        <w:rPr>
          <w:rFonts w:ascii="Arial" w:cs="Arial" w:eastAsia="Arial" w:hAnsi="Arial"/>
          <w:sz w:val="14"/>
          <w:szCs w:val="14"/>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r>
        <w:rPr>
          <w:rFonts w:ascii="Arial" w:cs="Arial" w:eastAsia="Arial" w:hAnsi="Arial"/>
          <w:sz w:val="14"/>
          <w:szCs w:val="14"/>
          <w:color w:val="auto"/>
        </w:rPr>
        <w: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9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i w:val="1"/>
          <w:iCs w:val="1"/>
          <w:color w:val="auto"/>
        </w:rPr>
        <w:t xml:space="preserve">The following discussion of our financial condition and results of operations should be read in conjunction with the consolidated financial statements and the related notes to those statements thereto appearing elsewhere in this Annual Report on Form 10-K filed with the SEC for the year ending </w:t>
      </w:r>
      <w:r>
        <w:rPr>
          <w:rFonts w:ascii="Arial" w:cs="Arial" w:eastAsia="Arial" w:hAnsi="Arial"/>
          <w:sz w:val="13"/>
          <w:szCs w:val="13"/>
          <w:color w:val="231F20"/>
        </w:rPr>
        <w:t>December 31, 2022</w:t>
      </w:r>
      <w:r>
        <w:rPr>
          <w:rFonts w:ascii="Arial" w:cs="Arial" w:eastAsia="Arial" w:hAnsi="Arial"/>
          <w:sz w:val="13"/>
          <w:szCs w:val="13"/>
          <w:i w:val="1"/>
          <w:iCs w:val="1"/>
          <w:color w:val="auto"/>
        </w:rPr>
        <w:t>.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Annual Report. You should read this Annual Report completely, including Part I, Item 1A (Risk Factors) of this Annual Report and the “Cautionary Statement Regarding Forward-Looking Statements” sections of this Annual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a biopharmaceutical company focused on developing and commercializing precision therapies for genetically defined cancers with alterations in mTOR pathway genes. Our lead drug product, FYARRO</w:t>
      </w:r>
      <w:r>
        <w:rPr>
          <w:rFonts w:ascii="Arial" w:cs="Arial" w:eastAsia="Arial" w:hAnsi="Arial"/>
          <w:sz w:val="17"/>
          <w:szCs w:val="17"/>
          <w:color w:val="auto"/>
          <w:vertAlign w:val="superscript"/>
        </w:rPr>
        <w:t>®</w:t>
      </w:r>
      <w:r>
        <w:rPr>
          <w:rFonts w:ascii="Arial" w:cs="Arial" w:eastAsia="Arial" w:hAnsi="Arial"/>
          <w:sz w:val="13"/>
          <w:szCs w:val="13"/>
          <w:color w:val="auto"/>
        </w:rPr>
        <w:t>, is a form of sirolimus bound to albumin. Sirolimus is a potent inhibitor of the mTOR biological pathway, the activation of which pathway can promote tumor growth. We believe our approach to utilizing albumin bound sirolimus has the potential to produce transformational therapies to cancer patients with mTOR pathway driver alterations where other mTOR inhibitors have not or cannot be effectively exploited due to problems of pharmacology, effective drug delivery, safety, or effective targeting to the disease site.</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(“PEComa”). On February 22, 2022, we launched FYARRO in the United States for treatment of advanced malignant PEComa. For the fiscal year ended </w:t>
      </w:r>
      <w:r>
        <w:rPr>
          <w:rFonts w:ascii="Arial" w:cs="Arial" w:eastAsia="Arial" w:hAnsi="Arial"/>
          <w:sz w:val="14"/>
          <w:szCs w:val="14"/>
          <w:color w:val="231F20"/>
        </w:rPr>
        <w:t>December 31, 2022</w:t>
      </w:r>
      <w:r>
        <w:rPr>
          <w:rFonts w:ascii="Arial" w:cs="Arial" w:eastAsia="Arial" w:hAnsi="Arial"/>
          <w:sz w:val="14"/>
          <w:szCs w:val="14"/>
          <w:color w:val="auto"/>
        </w:rPr>
        <w:t>, we recorded net revenue from product sales of $15.2 million and net loss of $60.5 million. See “Results of Consolidated Operations” for further discussion of our results.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advanced malignant PEComa, based on exploratory data from our completed Phase 2 registrational study, Advanced Malignant PEComa Trial (“AMPECT”), and our expanded access program for FYARRO, we have initiated a registration-directed tumor-agnostic Phase 2 study (“PRECISION 1”) of FYARRO in patients with Tuberous Sclerosis Complex 1 and 2 (“</w:t>
      </w:r>
      <w:r>
        <w:rPr>
          <w:rFonts w:ascii="Arial" w:cs="Arial" w:eastAsia="Arial" w:hAnsi="Arial"/>
          <w:sz w:val="14"/>
          <w:szCs w:val="14"/>
          <w:i w:val="1"/>
          <w:iCs w:val="1"/>
          <w:color w:val="auto"/>
        </w:rPr>
        <w:t>TSC1</w:t>
      </w:r>
      <w:r>
        <w:rPr>
          <w:rFonts w:ascii="Arial" w:cs="Arial" w:eastAsia="Arial" w:hAnsi="Arial"/>
          <w:sz w:val="14"/>
          <w:szCs w:val="14"/>
          <w:color w:val="auto"/>
        </w:rPr>
        <w:t xml:space="preserve"> &amp; </w:t>
      </w:r>
      <w:r>
        <w:rPr>
          <w:rFonts w:ascii="Arial" w:cs="Arial" w:eastAsia="Arial" w:hAnsi="Arial"/>
          <w:sz w:val="14"/>
          <w:szCs w:val="14"/>
          <w:i w:val="1"/>
          <w:iCs w:val="1"/>
          <w:color w:val="auto"/>
        </w:rPr>
        <w:t>TSC2</w:t>
      </w:r>
      <w:r>
        <w:rPr>
          <w:rFonts w:ascii="Arial" w:cs="Arial" w:eastAsia="Arial" w:hAnsi="Arial"/>
          <w:sz w:val="14"/>
          <w:szCs w:val="14"/>
          <w:color w:val="auto"/>
        </w:rPr>
        <w:t>”) alterations. We have completed a Type B meeting with the FDA in which we discussed the trial design and the PRECISION 1 trial was opened for enrollment in the United States during the first quarter of 2022, with dosing of our first patient in March 2022. We anticipate having preliminary data on a meaningful number of patients in the PRECISION 1 trial during the second quarter of 2023.</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regarding our business, including FYARRO, AMPECT and the PRECISION 1 trial, see Part I, Item 1 (Business).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4" w:lineRule="exact"/>
        <w:rPr>
          <w:sz w:val="20"/>
          <w:szCs w:val="20"/>
          <w:color w:val="auto"/>
        </w:rPr>
      </w:pPr>
    </w:p>
    <w:p>
      <w:pPr>
        <w:jc w:val="both"/>
        <w:ind w:left="760" w:hanging="373"/>
        <w:spacing w:after="0" w:line="295" w:lineRule="auto"/>
        <w:tabs>
          <w:tab w:leader="none" w:pos="756"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Leadership Transition</w:t>
      </w:r>
      <w:r>
        <w:rPr>
          <w:rFonts w:ascii="Arial" w:cs="Arial" w:eastAsia="Arial" w:hAnsi="Arial"/>
          <w:sz w:val="12"/>
          <w:szCs w:val="12"/>
          <w:color w:val="auto"/>
        </w:rPr>
        <w:t>. Effective January 1, 2023, our board of directors appointed Brendan Delaney, our former Chief Operating Officer, to President and Chief Executive Officer and</w:t>
      </w:r>
      <w:r>
        <w:rPr>
          <w:rFonts w:ascii="Arial" w:cs="Arial" w:eastAsia="Arial" w:hAnsi="Arial"/>
          <w:sz w:val="12"/>
          <w:szCs w:val="12"/>
          <w:i w:val="1"/>
          <w:iCs w:val="1"/>
          <w:color w:val="auto"/>
        </w:rPr>
        <w:t xml:space="preserve"> </w:t>
      </w:r>
      <w:r>
        <w:rPr>
          <w:rFonts w:ascii="Arial" w:cs="Arial" w:eastAsia="Arial" w:hAnsi="Arial"/>
          <w:sz w:val="12"/>
          <w:szCs w:val="12"/>
          <w:color w:val="auto"/>
        </w:rPr>
        <w:t>Neil Desai, our founder, director, and former-President and Chief Executive Officer, to Executive Chairman. Mr. Delaney was also appointed to serve on our board of directors. Effective March 14, 2023, Mr. Delaney resigned from his position as President and Chief Executive Officer and as a member of our board of directors, and, effective March 15, 2023, our board of directors appointed Scott Giacobello, our Chief Financial Officer, as Interim Chief Executive Officer and President. Mr. Giacobello will continue to serve in his role as Chief Financial Officer in addition to his role as Interim Chief Executive Officer and President. In addition, Dr. Desai, the founder of the company and our President and Chief Executive Officer prior to Mr. Delaney, continues to serve as the Executive Chairman and a member of our board of directors and will assist with the leadership transition. The Board has also initiated an executive search for a successor chief executive officer, and, as such, Mr. Giacobello’s position of Interim Chief Executive Officer and President will end when a successor is appointed.</w:t>
      </w:r>
    </w:p>
    <w:p>
      <w:pPr>
        <w:spacing w:after="0" w:line="2" w:lineRule="exact"/>
        <w:rPr>
          <w:rFonts w:ascii="Arial" w:cs="Arial" w:eastAsia="Arial" w:hAnsi="Arial"/>
          <w:sz w:val="12"/>
          <w:szCs w:val="12"/>
          <w:color w:val="auto"/>
        </w:rPr>
      </w:pPr>
    </w:p>
    <w:p>
      <w:pPr>
        <w:jc w:val="both"/>
        <w:ind w:left="760" w:hanging="373"/>
        <w:spacing w:after="0" w:line="242" w:lineRule="auto"/>
        <w:tabs>
          <w:tab w:leader="none" w:pos="756"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2022 Private Investment in Public Equity (PIPE) Financing</w:t>
      </w:r>
      <w:r>
        <w:rPr>
          <w:rFonts w:ascii="Arial" w:cs="Arial" w:eastAsia="Arial" w:hAnsi="Arial"/>
          <w:sz w:val="14"/>
          <w:szCs w:val="14"/>
          <w:color w:val="auto"/>
        </w:rPr>
        <w:t>. On September 22, 2022, we entered into a securities purchase agreement (“Purchase Agreement”) for a private placement</w:t>
      </w:r>
      <w:r>
        <w:rPr>
          <w:rFonts w:ascii="Arial" w:cs="Arial" w:eastAsia="Arial" w:hAnsi="Arial"/>
          <w:sz w:val="14"/>
          <w:szCs w:val="14"/>
          <w:i w:val="1"/>
          <w:iCs w:val="1"/>
          <w:color w:val="auto"/>
        </w:rPr>
        <w:t xml:space="preserve"> </w:t>
      </w:r>
      <w:r>
        <w:rPr>
          <w:rFonts w:ascii="Arial" w:cs="Arial" w:eastAsia="Arial" w:hAnsi="Arial"/>
          <w:sz w:val="14"/>
          <w:szCs w:val="14"/>
          <w:color w:val="auto"/>
        </w:rPr>
        <w:t>(the “2022 PIPE Financing”) with certain investors (“2022 PIPE Investors”). Upon closing the 2022 PIPE Financing on September 26, 2022, we sold (i) 3,373,526 shares of our common stock, at a purchase price of $12.50 per share, and (ii)</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left="760"/>
        <w:spacing w:after="0" w:line="242" w:lineRule="auto"/>
        <w:rPr>
          <w:sz w:val="20"/>
          <w:szCs w:val="20"/>
          <w:color w:val="auto"/>
        </w:rPr>
      </w:pPr>
      <w:r>
        <w:rPr>
          <w:rFonts w:ascii="Arial" w:cs="Arial" w:eastAsia="Arial" w:hAnsi="Arial"/>
          <w:sz w:val="14"/>
          <w:szCs w:val="14"/>
          <w:color w:val="auto"/>
        </w:rPr>
        <w:t>2,426,493 pre-funded warrants (the “Pre-Funded Warrants”) to purchase shares of our common stock, at a purchase price of $12.4999 per Pre-Funded Warrant. The Pre-Funded Warrants will have an exercise price of $0.0001 per share of common stock, be immediately exercisable and remain exercisable until exercised in full. In connection with the 2022 PIPE Financing, we entered into a Registration Rights Agreement, dated September 22, 2022 (“2022 PIPE Registration Rights Agreement”), with the 2022 PIPE Investors. Pursuant to the 2022 PIPE Registration Rights Agreement, on October 26, 2022, we filed a registration statement with the Securities and Exchange Commission (the "SEC") for the registration for resale of the securities sold under the Purchase Agreement, including the shares issuable upon the exercise of the Pre-Funded Warrants, which such registration statement was declared effective on November 4, 2022.</w:t>
      </w:r>
    </w:p>
    <w:p>
      <w:pPr>
        <w:spacing w:after="0" w:line="76" w:lineRule="exact"/>
        <w:rPr>
          <w:sz w:val="20"/>
          <w:szCs w:val="20"/>
          <w:color w:val="auto"/>
        </w:rPr>
      </w:pPr>
    </w:p>
    <w:p>
      <w:pPr>
        <w:jc w:val="both"/>
        <w:ind w:left="760"/>
        <w:spacing w:after="0" w:line="281" w:lineRule="auto"/>
        <w:rPr>
          <w:sz w:val="20"/>
          <w:szCs w:val="20"/>
          <w:color w:val="auto"/>
        </w:rPr>
      </w:pPr>
      <w:r>
        <w:rPr>
          <w:rFonts w:ascii="Arial" w:cs="Arial" w:eastAsia="Arial" w:hAnsi="Arial"/>
          <w:sz w:val="14"/>
          <w:szCs w:val="14"/>
          <w:color w:val="auto"/>
        </w:rPr>
        <w:t>At the closing of the 2022 PIPE Financing, the total purchase price paid by the 2022 PIPE Investors was approximately $72.2 million, after deducting $0.3 million of our offering expenses. We intend to use the net proceeds from the 2022 PIPE Financing to fund working capital and other general corporate purposes.</w:t>
      </w:r>
    </w:p>
    <w:p>
      <w:pPr>
        <w:spacing w:after="0" w:line="47" w:lineRule="exact"/>
        <w:rPr>
          <w:sz w:val="20"/>
          <w:szCs w:val="20"/>
          <w:color w:val="auto"/>
        </w:rPr>
      </w:pPr>
    </w:p>
    <w:p>
      <w:pPr>
        <w:jc w:val="both"/>
        <w:ind w:left="760" w:hanging="373"/>
        <w:spacing w:after="0" w:line="235" w:lineRule="auto"/>
        <w:tabs>
          <w:tab w:leader="none" w:pos="756"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Mirati Collaboration</w:t>
      </w:r>
      <w:r>
        <w:rPr>
          <w:rFonts w:ascii="Arial" w:cs="Arial" w:eastAsia="Arial" w:hAnsi="Arial"/>
          <w:sz w:val="14"/>
          <w:szCs w:val="14"/>
          <w:color w:val="auto"/>
        </w:rPr>
        <w:t>. In October 2022, we entered into a collaboration and supply agreement with Mirati Therapeutics, Inc. (“Mirati”) to evaluate the combination of Mirati’s adagrasib,</w:t>
      </w:r>
      <w:r>
        <w:rPr>
          <w:rFonts w:ascii="Arial" w:cs="Arial" w:eastAsia="Arial" w:hAnsi="Arial"/>
          <w:sz w:val="14"/>
          <w:szCs w:val="14"/>
          <w:i w:val="1"/>
          <w:iCs w:val="1"/>
          <w:color w:val="auto"/>
        </w:rPr>
        <w:t xml:space="preserve"> </w:t>
      </w:r>
      <w:r>
        <w:rPr>
          <w:rFonts w:ascii="Arial" w:cs="Arial" w:eastAsia="Arial" w:hAnsi="Arial"/>
          <w:sz w:val="14"/>
          <w:szCs w:val="14"/>
          <w:color w:val="auto"/>
        </w:rPr>
        <w:t>a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selective inhibitor, and FYARRO in KRAS </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mutant non-small cell lung cancer (NSCLC) and other solid tumors. Under the terms of the agreement, Mirati will be responsible for sponsoring and operating the Phase 1/2 study and we will supply study drug and jointly share the cost of the study.</w:t>
      </w:r>
    </w:p>
    <w:p>
      <w:pPr>
        <w:spacing w:after="0" w:line="76" w:lineRule="exact"/>
        <w:rPr>
          <w:rFonts w:ascii="Arial" w:cs="Arial" w:eastAsia="Arial" w:hAnsi="Arial"/>
          <w:sz w:val="14"/>
          <w:szCs w:val="14"/>
          <w:color w:val="auto"/>
        </w:rPr>
      </w:pPr>
    </w:p>
    <w:p>
      <w:pPr>
        <w:jc w:val="both"/>
        <w:ind w:left="760"/>
        <w:spacing w:after="0" w:line="224" w:lineRule="auto"/>
        <w:rPr>
          <w:rFonts w:ascii="Arial" w:cs="Arial" w:eastAsia="Arial" w:hAnsi="Arial"/>
          <w:sz w:val="14"/>
          <w:szCs w:val="14"/>
          <w:color w:val="auto"/>
        </w:rPr>
      </w:pPr>
      <w:r>
        <w:rPr>
          <w:rFonts w:ascii="Arial" w:cs="Arial" w:eastAsia="Arial" w:hAnsi="Arial"/>
          <w:sz w:val="14"/>
          <w:szCs w:val="14"/>
          <w:color w:val="auto"/>
        </w:rPr>
        <w:t>The primary objective of this multi-center, single-arm, open-label Phase 1/2 trial is to determine the optimal dose and recommended Phase 2 dose for the combination of adagrasib and FYARRO in patients with KRAS</w:t>
      </w:r>
      <w:r>
        <w:rPr>
          <w:rFonts w:ascii="Arial" w:cs="Arial" w:eastAsia="Arial" w:hAnsi="Arial"/>
          <w:sz w:val="18"/>
          <w:szCs w:val="18"/>
          <w:color w:val="auto"/>
          <w:vertAlign w:val="superscript"/>
        </w:rPr>
        <w:t>G12C-</w:t>
      </w:r>
      <w:r>
        <w:rPr>
          <w:rFonts w:ascii="Arial" w:cs="Arial" w:eastAsia="Arial" w:hAnsi="Arial"/>
          <w:sz w:val="14"/>
          <w:szCs w:val="14"/>
          <w:color w:val="auto"/>
        </w:rPr>
        <w:t>mutant solid tumors. In addition, the study will investigate the safety, tolerability and efficacy of adagrasib and FYARRO in combination in patients both with and without prior exposure to a KRAS</w:t>
      </w:r>
      <w:r>
        <w:rPr>
          <w:rFonts w:ascii="Arial" w:cs="Arial" w:eastAsia="Arial" w:hAnsi="Arial"/>
          <w:sz w:val="18"/>
          <w:szCs w:val="18"/>
          <w:color w:val="auto"/>
          <w:vertAlign w:val="superscript"/>
        </w:rPr>
        <w:t>G12C</w:t>
      </w:r>
      <w:r>
        <w:rPr>
          <w:rFonts w:ascii="Arial" w:cs="Arial" w:eastAsia="Arial" w:hAnsi="Arial"/>
          <w:sz w:val="14"/>
          <w:szCs w:val="14"/>
          <w:color w:val="auto"/>
        </w:rPr>
        <w:t xml:space="preserve"> inhibitor. The trial will build on preclinical data showing enhanced anti-tumor efficacy with the combination of adagrasib and FYARRO relative to either agent alone.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BMS License Agreement</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have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Bristol-Myers Squibb Company (“BMS”). Under the BMS License Agreement, BMS is entitled to receive certain development milestone payments, royalties on net sales from licensed products under the agreement and any sublicense fees. During the year ended December 31, 2022</w:t>
      </w:r>
      <w:r>
        <w:rPr>
          <w:rFonts w:ascii="Arial" w:cs="Arial" w:eastAsia="Arial" w:hAnsi="Arial"/>
          <w:sz w:val="13"/>
          <w:szCs w:val="13"/>
          <w:color w:val="231F20"/>
        </w:rPr>
        <w:t>, we recorded royalties of</w:t>
      </w:r>
      <w:r>
        <w:rPr>
          <w:rFonts w:ascii="Arial" w:cs="Arial" w:eastAsia="Arial" w:hAnsi="Arial"/>
          <w:sz w:val="13"/>
          <w:szCs w:val="13"/>
          <w:color w:val="auto"/>
        </w:rPr>
        <w:t xml:space="preserve"> $1.1 million </w:t>
      </w:r>
      <w:r>
        <w:rPr>
          <w:rFonts w:ascii="Arial" w:cs="Arial" w:eastAsia="Arial" w:hAnsi="Arial"/>
          <w:sz w:val="13"/>
          <w:szCs w:val="13"/>
          <w:color w:val="231F20"/>
        </w:rPr>
        <w:t>under the terms</w:t>
      </w:r>
      <w:r>
        <w:rPr>
          <w:rFonts w:ascii="Arial" w:cs="Arial" w:eastAsia="Arial" w:hAnsi="Arial"/>
          <w:sz w:val="13"/>
          <w:szCs w:val="13"/>
          <w:color w:val="auto"/>
        </w:rPr>
        <w:t xml:space="preserve"> </w:t>
      </w:r>
      <w:r>
        <w:rPr>
          <w:rFonts w:ascii="Arial" w:cs="Arial" w:eastAsia="Arial" w:hAnsi="Arial"/>
          <w:sz w:val="13"/>
          <w:szCs w:val="13"/>
          <w:color w:val="231F20"/>
        </w:rPr>
        <w:t xml:space="preserve">of this agreement, of which </w:t>
      </w:r>
      <w:r>
        <w:rPr>
          <w:rFonts w:ascii="Arial" w:cs="Arial" w:eastAsia="Arial" w:hAnsi="Arial"/>
          <w:sz w:val="13"/>
          <w:szCs w:val="13"/>
          <w:color w:val="000000"/>
        </w:rPr>
        <w:t>$0.4 million in royalties were accrued as of December 31, 2022</w:t>
      </w:r>
      <w:r>
        <w:rPr>
          <w:rFonts w:ascii="Arial" w:cs="Arial" w:eastAsia="Arial" w:hAnsi="Arial"/>
          <w:sz w:val="13"/>
          <w:szCs w:val="13"/>
          <w:color w:val="231F20"/>
        </w:rPr>
        <w:t xml:space="preserve">. </w:t>
      </w:r>
      <w:r>
        <w:rPr>
          <w:rFonts w:ascii="Arial" w:cs="Arial" w:eastAsia="Arial" w:hAnsi="Arial"/>
          <w:sz w:val="13"/>
          <w:szCs w:val="13"/>
          <w:color w:val="000000"/>
        </w:rPr>
        <w:t>No payments related to milestones under this agreement were paid during the year ended December 31,</w:t>
      </w:r>
      <w:r>
        <w:rPr>
          <w:rFonts w:ascii="Arial" w:cs="Arial" w:eastAsia="Arial" w:hAnsi="Arial"/>
          <w:sz w:val="13"/>
          <w:szCs w:val="13"/>
          <w:color w:val="231F20"/>
        </w:rPr>
        <w:t xml:space="preserve"> </w:t>
      </w:r>
      <w:r>
        <w:rPr>
          <w:rFonts w:ascii="Arial" w:cs="Arial" w:eastAsia="Arial" w:hAnsi="Arial"/>
          <w:sz w:val="13"/>
          <w:szCs w:val="13"/>
          <w:color w:val="000000"/>
        </w:rPr>
        <w:t>2022. See Note 9 to the consolidated financial statements for more information about the BMS License Agreement.</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Under the terms of an August 2021 amendment to the license agreement, we paid BMS $5.8 million, representing 50% of the previously outstanding payment obligation under the agreement, following the effective time of the 2021 Private Investment in Public Equity (PIPE) Financing ("2021 PIPE Financing") that occurred in connection with the closing of the reverse acquisition of Aerpio Pharmaceuticals, Inc. Pursuant to the terms of the amendment, the remaining portion of the previously outstanding payment obligation ($5.8 million), which is recorded on our balance sheet as due to licensor, is due on the third anniversary of the effective time of such 2021 PIPE Financing plus any accrued and unpaid interest due thereon.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EOC License Agreement</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December 2020, we entered into the EOC License Agreement with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accordance with the BMS License Agreement, we are required to pay 20% of all sublicense fees to BMS. As such, we recognized $2.8 million of license expense in the fourth quarter of 2020 and had a corresponding $2.8 million sublicense payable to BMS on the balance sheet as of December 31, 2020, which was paid in 2021.</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fourth quarter of 2021, we recognized license revenue and received $1.0 million from EOC for achieving the FDA approval milestone in November 2021. In accordance with the BMS License Agreement, we recognized $0.2 million of license expense in the fourth quarter of 2021 and had a corresponding $0.2 million sublicense payable to BMS on the balance sheet as of December 31, 2021, which was paid in 2022.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June 27, 2022, we received written notice from EOC that EOC has elected to terminate the EOC License Agreement, effective immediately. On June 27, 2022, EOC filed a Request for Arbitration with the International Chamber of Commerce’s International Court of Arbitration against us. The arbitration process is ongoing. We intend to defend ourselves vigorously in this matter and pursue all relief to which we are entitled. We are unable to estimate the possible loss or range of loss, therefore no amounts have been accrued as of December 31, 2022. See Notes 9 and 16 to the audited financial statements for more information about the EOC License Agreement, its termination and resulting arbitration.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Negative Global or National Events</w:t>
      </w:r>
    </w:p>
    <w:p>
      <w:pPr>
        <w:spacing w:after="0" w:line="94"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Businesses have been and will continue to be impacted by a number of challenging global and national events and circumstances that continue to evolve, including the COVID-19 pandemic, extreme weather conditions, increased economic uncertainty, inflation, rising interest rates, and conflicts in Eastern Europe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While we have largely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have been and continue to actively monitor our supply chain in light of these challenging global and national events and circumstances, including our third-party materials suppliers. To date, we have experienced some supply disruptions due to the COVID-19 pandemic, including closures at certain chip manufacturers, which led to extended lead times for FYARRO and diversion of certain lab materials needed to support COVID-19 relief efforts.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ultimate impact of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 during the COVID-19 pandemic, our clinical trials have been, and may continue to be, affected by the closure of offices, lack of resources or closure of borders, among other measures being put in place around the world and we made certain modifications to employee travel, with masking and vaccination requirements in our offices, and with our employees working remotely fully or intermittently. Any continued inability to travel and conduct face-to-face meetings, as well as constraints surrounding hospital infrastructure and staff, can also make it more difficult to enroll and maintain patients in ongoing or planned clinical trials.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fiscal year 2023.</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August 2021 Reverse Merger</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 May 16, 2021, at which time we were operating as “Aerpio Pharmaceuticals, Inc.,” we entered into: (i) an Agreement and Plan of Merger (“Merger Agreement”) with Aspen Merger Subsidiary, Inc., our wholly-owned subsidiary (“Merger Sub”), and Aadi Subsidiary, Inc. (formerly known as Aadi Bioscience, Inc. (“Private Aadi”)); and (ii) a subscription agreement (“Subscription Agreement”) with certain investors (the “2021 PIPE Investors”), pursuant to which we agreed to sell shares of our common stock to the 2021 PIPE Investors concurrently with the closing of the Merger (as defined below). See Note 1 to our audited financial statements for more information about the Merger Agreement and the Subscription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On August 26, 2021, pursuant to the terms of the Merger Agreement and the Subscription Agreement: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Merger Sub merged with and into Private Aadi, with Private Aadi surviving as our wholly-owned subsidiary (the “Merger”);</w:t>
      </w:r>
    </w:p>
    <w:p>
      <w:pPr>
        <w:spacing w:after="0" w:line="93"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connection with and immediately prior to the Merger, we effected a reverse stock split of our common stock at a ratio of 15:1 and changed our name from “Aerpio Pharmaceuticals, Inc.” to “Aadi Bioscience, Inc”;</w:t>
      </w:r>
    </w:p>
    <w:p>
      <w:pPr>
        <w:spacing w:after="0" w:line="47" w:lineRule="exact"/>
        <w:rPr>
          <w:rFonts w:ascii="Arial" w:cs="Arial" w:eastAsia="Arial" w:hAnsi="Arial"/>
          <w:sz w:val="14"/>
          <w:szCs w:val="14"/>
          <w:color w:val="auto"/>
        </w:rPr>
      </w:pPr>
    </w:p>
    <w:p>
      <w:pPr>
        <w:jc w:val="both"/>
        <w:ind w:left="760" w:hanging="373"/>
        <w:spacing w:after="0" w:line="297" w:lineRule="auto"/>
        <w:tabs>
          <w:tab w:leader="none" w:pos="756" w:val="left"/>
        </w:tabs>
        <w:numPr>
          <w:ilvl w:val="0"/>
          <w:numId w:val="55"/>
        </w:numPr>
        <w:rPr>
          <w:rFonts w:ascii="Arial" w:cs="Arial" w:eastAsia="Arial" w:hAnsi="Arial"/>
          <w:sz w:val="13"/>
          <w:szCs w:val="13"/>
          <w:color w:val="auto"/>
        </w:rPr>
      </w:pPr>
      <w:r>
        <w:rPr>
          <w:rFonts w:ascii="Arial" w:cs="Arial" w:eastAsia="Arial" w:hAnsi="Arial"/>
          <w:sz w:val="13"/>
          <w:szCs w:val="13"/>
          <w:color w:val="auto"/>
        </w:rPr>
        <w:t>at the effective time of the Merger, based on an exchange ratio of 0.3172 (after taking into account the Reverse Stock Split), as calculated under the Merger Agreement (the “Exchange Ratio”), we issued an aggregate of 5,776,660 shares of common stock to the holders of Private Aadi common stock immediately prior to the Merger, including shares of Private Aadi common stock issuable upon the conversion of all shares of preferred stock and convertible promissory notes outstanding immediately prior to the Effective Time;</w:t>
      </w:r>
    </w:p>
    <w:p>
      <w:pPr>
        <w:spacing w:after="0" w:line="39" w:lineRule="exact"/>
        <w:rPr>
          <w:rFonts w:ascii="Arial" w:cs="Arial" w:eastAsia="Arial" w:hAnsi="Arial"/>
          <w:sz w:val="13"/>
          <w:szCs w:val="13"/>
          <w:color w:val="auto"/>
        </w:rPr>
      </w:pPr>
    </w:p>
    <w:p>
      <w:pPr>
        <w:ind w:left="760" w:hanging="373"/>
        <w:spacing w:after="0" w:line="281" w:lineRule="auto"/>
        <w:tabs>
          <w:tab w:leader="none" w:pos="756" w:val="left"/>
        </w:tabs>
        <w:numPr>
          <w:ilvl w:val="0"/>
          <w:numId w:val="55"/>
        </w:numPr>
        <w:rPr>
          <w:rFonts w:ascii="Arial" w:cs="Arial" w:eastAsia="Arial" w:hAnsi="Arial"/>
          <w:sz w:val="14"/>
          <w:szCs w:val="14"/>
          <w:color w:val="auto"/>
        </w:rPr>
      </w:pPr>
      <w:r>
        <w:rPr>
          <w:rFonts w:ascii="Arial" w:cs="Arial" w:eastAsia="Arial" w:hAnsi="Arial"/>
          <w:sz w:val="14"/>
          <w:szCs w:val="14"/>
          <w:color w:val="auto"/>
        </w:rPr>
        <w:t>at the closing of the Merger, we assumed all of the outstanding and unexercised options to purchase shares of Private Aadi common stock, which options were converted into options to purchase shares of our common stock, as adjusted pursuant to the Merger Agreement based on the Exchange Ratio;</w:t>
      </w:r>
    </w:p>
    <w:p>
      <w:pPr>
        <w:spacing w:after="0" w:line="47" w:lineRule="exact"/>
        <w:rPr>
          <w:rFonts w:ascii="Arial" w:cs="Arial" w:eastAsia="Arial" w:hAnsi="Arial"/>
          <w:sz w:val="14"/>
          <w:szCs w:val="14"/>
          <w:color w:val="auto"/>
        </w:rPr>
      </w:pPr>
    </w:p>
    <w:p>
      <w:pPr>
        <w:jc w:val="both"/>
        <w:ind w:left="760" w:hanging="373"/>
        <w:spacing w:after="0" w:line="267" w:lineRule="auto"/>
        <w:tabs>
          <w:tab w:leader="none" w:pos="756"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concurrently with the Closing of the Merger, we issued and sold 11,852,862 shares of common stock to the 2021 PIPE Investors for total gross proceeds of $155 million and, immediately after the closing of the Merger and the 2021 PIPE Financing, the 2021 PIPE Investors and the Private Aadi investors as of immediately prior to the effective time of the Merger owned 55.6% and 29.2%, respectively, of our outstanding common stock on a fully-diluted basis; and</w:t>
      </w:r>
    </w:p>
    <w:p>
      <w:pPr>
        <w:spacing w:after="0" w:line="56" w:lineRule="exact"/>
        <w:rPr>
          <w:rFonts w:ascii="Arial" w:cs="Arial" w:eastAsia="Arial" w:hAnsi="Arial"/>
          <w:sz w:val="14"/>
          <w:szCs w:val="14"/>
          <w:color w:val="auto"/>
        </w:rPr>
      </w:pPr>
    </w:p>
    <w:p>
      <w:pPr>
        <w:jc w:val="both"/>
        <w:ind w:left="760" w:hanging="373"/>
        <w:spacing w:after="0" w:line="260" w:lineRule="auto"/>
        <w:tabs>
          <w:tab w:leader="none" w:pos="756"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entered into a contingent value rights agreement (“CVR Agreement”) pursuant to which each of our stockholders as of immediately prior to the effective time of the Merger became entitled to certain contingent value rights entitling them to receive 90% of the net proceeds (calculated as gross consideration minus certain permitted deductions), if any, received by us under the license agreement, dated June 24, 2018, with Gossamer Bio, Inc., as amended (the “Gossamer License Agreement”), and certain other covered agreements, as specified in the CVR Agreement (see Note 1 to our audited financial statements for more information about the CVR Agreement). The CVR Agreement automatically terminated effective July 24, 2022, the date the Gossamer License Agreement terminated.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Trends and Factors Affecting Comparability Between Periods</w:t>
      </w:r>
    </w:p>
    <w:p>
      <w:pPr>
        <w:spacing w:after="0" w:line="94" w:lineRule="exact"/>
        <w:rPr>
          <w:sz w:val="20"/>
          <w:szCs w:val="20"/>
          <w:color w:val="auto"/>
        </w:rPr>
      </w:pPr>
    </w:p>
    <w:p>
      <w:pPr>
        <w:ind w:left="760" w:hanging="373"/>
        <w:spacing w:after="0" w:line="281" w:lineRule="auto"/>
        <w:tabs>
          <w:tab w:leader="none" w:pos="756"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Commercial sale of FYARRO was launched on February 22, 2022, for the treatment of patients with advanced malignant PEComa. We recorded net product sales of $15.2 million during the year ended December 31, 2022.</w:t>
      </w:r>
    </w:p>
    <w:p>
      <w:pPr>
        <w:spacing w:after="0" w:line="47" w:lineRule="exact"/>
        <w:rPr>
          <w:rFonts w:ascii="Arial" w:cs="Arial" w:eastAsia="Arial" w:hAnsi="Arial"/>
          <w:sz w:val="14"/>
          <w:szCs w:val="14"/>
          <w:color w:val="auto"/>
        </w:rPr>
      </w:pPr>
    </w:p>
    <w:p>
      <w:pPr>
        <w:jc w:val="both"/>
        <w:ind w:left="760" w:hanging="373"/>
        <w:spacing w:after="0" w:line="288" w:lineRule="auto"/>
        <w:tabs>
          <w:tab w:leader="none" w:pos="756"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 launch including personnel expenses, sales support, and marketing are included in selling, general and administrative expenses for the year ended December 31, 2022. We expect these expenses will continue to increase in 2023, as compared to 2022, with the ongoing commercialization of FYARRO and preparation for potential future launches.</w:t>
      </w:r>
    </w:p>
    <w:p>
      <w:pPr>
        <w:spacing w:after="0" w:line="46" w:lineRule="exact"/>
        <w:rPr>
          <w:rFonts w:ascii="Arial" w:cs="Arial" w:eastAsia="Arial" w:hAnsi="Arial"/>
          <w:sz w:val="13"/>
          <w:szCs w:val="13"/>
          <w:color w:val="auto"/>
        </w:rPr>
      </w:pPr>
    </w:p>
    <w:p>
      <w:pPr>
        <w:ind w:left="760" w:hanging="373"/>
        <w:spacing w:after="0" w:line="321" w:lineRule="auto"/>
        <w:tabs>
          <w:tab w:leader="none" w:pos="756"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continue to build out our research and development team and we expect our research and development costs will increase in 2023, relative to 2022, as a result of significant expenses related to the PRECISION 1 trial which was open to enrollment during the year ended December 31, 2022, with the first patient dosed in March 2022.</w:t>
      </w:r>
    </w:p>
    <w:p>
      <w:pPr>
        <w:spacing w:after="0" w:line="24" w:lineRule="exact"/>
        <w:rPr>
          <w:rFonts w:ascii="Arial" w:cs="Arial" w:eastAsia="Arial" w:hAnsi="Arial"/>
          <w:sz w:val="13"/>
          <w:szCs w:val="13"/>
          <w:color w:val="auto"/>
        </w:rPr>
      </w:pPr>
    </w:p>
    <w:p>
      <w:pPr>
        <w:jc w:val="both"/>
        <w:ind w:left="760" w:hanging="373"/>
        <w:spacing w:after="0" w:line="267" w:lineRule="auto"/>
        <w:tabs>
          <w:tab w:leader="none" w:pos="756" w:val="left"/>
        </w:tabs>
        <w:numPr>
          <w:ilvl w:val="0"/>
          <w:numId w:val="56"/>
        </w:numPr>
        <w:rPr>
          <w:rFonts w:ascii="Arial" w:cs="Arial" w:eastAsia="Arial" w:hAnsi="Arial"/>
          <w:sz w:val="14"/>
          <w:szCs w:val="14"/>
          <w:color w:val="auto"/>
        </w:rPr>
      </w:pPr>
      <w:r>
        <w:rPr>
          <w:rFonts w:ascii="Arial" w:cs="Arial" w:eastAsia="Arial" w:hAnsi="Arial"/>
          <w:sz w:val="14"/>
          <w:szCs w:val="14"/>
          <w:color w:val="auto"/>
        </w:rPr>
        <w:t>As a public company our expenses have increased from prior year as a privately held company, including (i) costs to comply with the rules and regulations of the SEC and those of the Nasdaq Capital Market (“Nasdaq”), (ii) legal, accounting and other professional services, (iii) insurance, (iv) investor relations activities, and (v) other administrative and professional services.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 and Capital Resources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As of </w:t>
      </w:r>
      <w:r>
        <w:rPr>
          <w:rFonts w:ascii="Arial" w:cs="Arial" w:eastAsia="Arial" w:hAnsi="Arial"/>
          <w:sz w:val="14"/>
          <w:szCs w:val="14"/>
          <w:color w:val="231F20"/>
        </w:rPr>
        <w:t>December 31, 2022, we had $172.6 million of cash, cash equivalents and short-term investments. Based on our current plans, we believe our existing cash, cash equivalents and short-term</w:t>
      </w:r>
      <w:r>
        <w:rPr>
          <w:rFonts w:ascii="Arial" w:cs="Arial" w:eastAsia="Arial" w:hAnsi="Arial"/>
          <w:sz w:val="14"/>
          <w:szCs w:val="14"/>
          <w:color w:val="auto"/>
        </w:rPr>
        <w:t xml:space="preserve"> </w:t>
      </w:r>
      <w:r>
        <w:rPr>
          <w:rFonts w:ascii="Arial" w:cs="Arial" w:eastAsia="Arial" w:hAnsi="Arial"/>
          <w:sz w:val="14"/>
          <w:szCs w:val="14"/>
          <w:color w:val="231F20"/>
        </w:rPr>
        <w:t xml:space="preserve">investments will enable us to conduct our planned operations into 2025. </w:t>
      </w:r>
      <w:r>
        <w:rPr>
          <w:rFonts w:ascii="Arial" w:cs="Arial" w:eastAsia="Arial" w:hAnsi="Arial"/>
          <w:sz w:val="14"/>
          <w:szCs w:val="14"/>
          <w:color w:val="000000"/>
        </w:rPr>
        <w:t>We have incurred net losses in each year since inception and as of</w:t>
      </w:r>
      <w:r>
        <w:rPr>
          <w:rFonts w:ascii="Arial" w:cs="Arial" w:eastAsia="Arial" w:hAnsi="Arial"/>
          <w:sz w:val="14"/>
          <w:szCs w:val="14"/>
          <w:color w:val="231F20"/>
        </w:rPr>
        <w:t xml:space="preserve"> December 31, 2022 </w:t>
      </w:r>
      <w:r>
        <w:rPr>
          <w:rFonts w:ascii="Arial" w:cs="Arial" w:eastAsia="Arial" w:hAnsi="Arial"/>
          <w:sz w:val="14"/>
          <w:szCs w:val="14"/>
          <w:color w:val="000000"/>
        </w:rPr>
        <w:t>we had an accumulated deficit of</w:t>
      </w:r>
      <w:r>
        <w:rPr>
          <w:rFonts w:ascii="Arial" w:cs="Arial" w:eastAsia="Arial" w:hAnsi="Arial"/>
          <w:sz w:val="14"/>
          <w:szCs w:val="14"/>
          <w:color w:val="231F20"/>
        </w:rPr>
        <w:t xml:space="preserve"> </w:t>
      </w:r>
      <w:r>
        <w:rPr>
          <w:rFonts w:ascii="Arial" w:cs="Arial" w:eastAsia="Arial" w:hAnsi="Arial"/>
          <w:sz w:val="14"/>
          <w:szCs w:val="14"/>
          <w:color w:val="000000"/>
        </w:rPr>
        <w:t>$203.2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designing product candidates, the regulatory approval process for FYARRO outside the United States and in additional indications and any other product candidates we may develop in the future and the commercial launch of FYARRO.</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statements of operations and comprehensive loss presented herein. The following discussion and analysis are based on our consolidated financial statements contained in this Annual Report, which we have prepared in accordance with U.S. generally accepted accounting principles (“GAAP”). You should read the discussion and analysis together with such consolidated financial statements and the related notes thereto.</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Statements of Operations and Comprehensive Loss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Sales, Net</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FYARRO was approved by the FDA in November 2021.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57" w:lineRule="exact"/>
        <w:rPr>
          <w:sz w:val="20"/>
          <w:szCs w:val="20"/>
          <w:color w:val="auto"/>
        </w:rPr>
      </w:pPr>
    </w:p>
    <w:p>
      <w:pPr>
        <w:ind w:left="760" w:hanging="373"/>
        <w:spacing w:after="0" w:line="281" w:lineRule="auto"/>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Distribution Fees</w:t>
      </w:r>
      <w:r>
        <w:rPr>
          <w:rFonts w:ascii="Arial" w:cs="Arial" w:eastAsia="Arial" w:hAnsi="Arial"/>
          <w:sz w:val="14"/>
          <w:szCs w:val="14"/>
          <w:color w:val="auto"/>
        </w:rPr>
        <w:t>: Distribution fees include distribution service fees paid to the SDs and SP based on a contractually fixed percentage of the wholesale acquisition cost (“WAC”).</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fees are recorded as an offset to product sales based on contractual terms at the time the sale is recognized.</w:t>
      </w:r>
    </w:p>
    <w:p>
      <w:pPr>
        <w:spacing w:after="0" w:line="47" w:lineRule="exact"/>
        <w:rPr>
          <w:rFonts w:ascii="Arial" w:cs="Arial" w:eastAsia="Arial" w:hAnsi="Arial"/>
          <w:sz w:val="14"/>
          <w:szCs w:val="14"/>
          <w:color w:val="auto"/>
        </w:rPr>
      </w:pPr>
    </w:p>
    <w:p>
      <w:pPr>
        <w:ind w:left="760" w:hanging="373"/>
        <w:spacing w:after="0" w:line="284" w:lineRule="auto"/>
        <w:tabs>
          <w:tab w:leader="none" w:pos="579"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Rebates</w:t>
      </w:r>
      <w:r>
        <w:rPr>
          <w:rFonts w:ascii="Arial" w:cs="Arial" w:eastAsia="Arial" w:hAnsi="Arial"/>
          <w:sz w:val="13"/>
          <w:szCs w:val="13"/>
          <w:color w:val="auto"/>
        </w:rPr>
        <w:t>: Allowance for rebates include mandated discounts under the Medicaid Drug Rebate Program and TRICARE program. Rebates are amounts owed after the final dispensing of the</w:t>
      </w:r>
      <w:r>
        <w:rPr>
          <w:rFonts w:ascii="Arial" w:cs="Arial" w:eastAsia="Arial" w:hAnsi="Arial"/>
          <w:sz w:val="13"/>
          <w:szCs w:val="13"/>
          <w:i w:val="1"/>
          <w:iCs w:val="1"/>
          <w:color w:val="auto"/>
        </w:rPr>
        <w:t xml:space="preserve"> </w:t>
      </w:r>
      <w:r>
        <w:rPr>
          <w:rFonts w:ascii="Arial" w:cs="Arial" w:eastAsia="Arial" w:hAnsi="Arial"/>
          <w:sz w:val="13"/>
          <w:szCs w:val="13"/>
          <w:color w:val="auto"/>
        </w:rPr>
        <w:t>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w:t>
      </w:r>
    </w:p>
    <w:p>
      <w:pPr>
        <w:spacing w:after="0" w:line="49" w:lineRule="exact"/>
        <w:rPr>
          <w:rFonts w:ascii="Arial" w:cs="Arial" w:eastAsia="Arial" w:hAnsi="Arial"/>
          <w:sz w:val="13"/>
          <w:szCs w:val="13"/>
          <w:color w:val="auto"/>
        </w:rPr>
      </w:pPr>
    </w:p>
    <w:p>
      <w:pPr>
        <w:ind w:left="760" w:hanging="373"/>
        <w:spacing w:after="0" w:line="267" w:lineRule="auto"/>
        <w:tabs>
          <w:tab w:leader="none" w:pos="604"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Chargebacks</w:t>
      </w:r>
      <w:r>
        <w:rPr>
          <w:rFonts w:ascii="Arial" w:cs="Arial" w:eastAsia="Arial" w:hAnsi="Arial"/>
          <w:sz w:val="14"/>
          <w:szCs w:val="14"/>
          <w:color w:val="auto"/>
        </w:rPr>
        <w:t>: Chargebacks are discounts and fees that relate to contracts with government and other entities purchasing from the SDs and SP at a discounted price. The SDs and SP charge</w:t>
      </w:r>
      <w:r>
        <w:rPr>
          <w:rFonts w:ascii="Arial" w:cs="Arial" w:eastAsia="Arial" w:hAnsi="Arial"/>
          <w:sz w:val="14"/>
          <w:szCs w:val="14"/>
          <w:i w:val="1"/>
          <w:iCs w:val="1"/>
          <w:color w:val="auto"/>
        </w:rPr>
        <w:t xml:space="preserve"> </w:t>
      </w:r>
      <w:r>
        <w:rPr>
          <w:rFonts w:ascii="Arial" w:cs="Arial" w:eastAsia="Arial" w:hAnsi="Arial"/>
          <w:sz w:val="14"/>
          <w:szCs w:val="14"/>
          <w:color w:val="auto"/>
        </w:rPr>
        <w:t>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56" w:lineRule="exact"/>
        <w:rPr>
          <w:rFonts w:ascii="Arial" w:cs="Arial" w:eastAsia="Arial" w:hAnsi="Arial"/>
          <w:sz w:val="14"/>
          <w:szCs w:val="14"/>
          <w:color w:val="auto"/>
        </w:rPr>
      </w:pPr>
    </w:p>
    <w:p>
      <w:pPr>
        <w:ind w:left="760" w:hanging="373"/>
        <w:spacing w:after="0" w:line="262" w:lineRule="auto"/>
        <w:tabs>
          <w:tab w:leader="none" w:pos="625"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Co-Payment Assistance</w:t>
      </w:r>
      <w:r>
        <w:rPr>
          <w:rFonts w:ascii="Arial" w:cs="Arial" w:eastAsia="Arial" w:hAnsi="Arial"/>
          <w:sz w:val="14"/>
          <w:szCs w:val="14"/>
          <w:color w:val="auto"/>
        </w:rPr>
        <w:t>: We offer co-payment assistance to commercially insured patients meeting certain eligibility requirement. Co-payment assistance is accrued at the time of product</w:t>
      </w:r>
      <w:r>
        <w:rPr>
          <w:rFonts w:ascii="Arial" w:cs="Arial" w:eastAsia="Arial" w:hAnsi="Arial"/>
          <w:sz w:val="14"/>
          <w:szCs w:val="14"/>
          <w:i w:val="1"/>
          <w:iCs w:val="1"/>
          <w:color w:val="auto"/>
        </w:rPr>
        <w:t xml:space="preserve"> </w:t>
      </w:r>
      <w:r>
        <w:rPr>
          <w:rFonts w:ascii="Arial" w:cs="Arial" w:eastAsia="Arial" w:hAnsi="Arial"/>
          <w:sz w:val="14"/>
          <w:szCs w:val="14"/>
          <w:color w:val="auto"/>
        </w:rPr>
        <w:t>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60" w:lineRule="exact"/>
        <w:rPr>
          <w:rFonts w:ascii="Arial" w:cs="Arial" w:eastAsia="Arial" w:hAnsi="Arial"/>
          <w:sz w:val="14"/>
          <w:szCs w:val="14"/>
          <w:color w:val="auto"/>
        </w:rPr>
      </w:pPr>
    </w:p>
    <w:p>
      <w:pPr>
        <w:ind w:left="760" w:hanging="373"/>
        <w:spacing w:after="0" w:line="284" w:lineRule="auto"/>
        <w:tabs>
          <w:tab w:leader="none" w:pos="636"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Product Returns</w:t>
      </w:r>
      <w:r>
        <w:rPr>
          <w:rFonts w:ascii="Arial" w:cs="Arial" w:eastAsia="Arial" w:hAnsi="Arial"/>
          <w:sz w:val="13"/>
          <w:szCs w:val="13"/>
          <w:color w:val="auto"/>
        </w:rPr>
        <w:t>: Consistent with industry practice, we offer the SDs and SP limited product return rights for damages, shipment errors, and expiring product, provided that the return is</w:t>
      </w:r>
      <w:r>
        <w:rPr>
          <w:rFonts w:ascii="Arial" w:cs="Arial" w:eastAsia="Arial" w:hAnsi="Arial"/>
          <w:sz w:val="13"/>
          <w:szCs w:val="13"/>
          <w:i w:val="1"/>
          <w:iCs w:val="1"/>
          <w:color w:val="auto"/>
        </w:rPr>
        <w:t xml:space="preserve"> </w:t>
      </w:r>
      <w:r>
        <w:rPr>
          <w:rFonts w:ascii="Arial" w:cs="Arial" w:eastAsia="Arial" w:hAnsi="Arial"/>
          <w:sz w:val="13"/>
          <w:szCs w:val="13"/>
          <w:color w:val="auto"/>
        </w:rPr>
        <w:t>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Grant Revenue</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Grant revenue is derived from federal grants, primarily with the FDA. We have determined that the government agencies providing grants to us are not customers. Grant revenue is recognized when there is reasonable assurance of compliance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with the conditions of the grant and reasonable assurance that the grant revenue will be received. We recognize grant revenue as reimbursable grant costs are incurred. The costs associated with these reimbursements are reflected as a component of research and development expense in the accompanying statements of operations and comprehensive loss.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With respect to grant revenue derived from reimbursement of direct out-of-pocket expenses for research costs associated with federal contracts, where we act as principal with discretion to choose suppliers, bear credit risk and perform part of the services required in the transaction, we record revenue for the gross amount of the reimbursement. The costs associated with these reimbursements are reflected as a component of research and development expense in the accompanying statements of operations and comprehensive loss.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selling, general and administrative expenses will increase in the future as we expand our operating activities. Additionally, we have incurred, and expect to continue to incur, significant additional expenses associated with being a public company that we did not incur as a privately-held company, including (i) costs to comply with the rules and regulations of the SEC and those of Nasdaq, (ii) legal, accounting and other professional services, (iii) insurance, (iv) investor relations activities, and (v) other administrative and professional services.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 expect that our research and development expenses will increase substantially in the foreseeable future as we continue to invest in research and development activities, pursue clinical development of FYARRO in additional indications and any other product candidates we may develop in the future and expand our product candidate pipeline.</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Acquired Contract Intangible Asset</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Impairment of acquired contract intangible asset relates to a write down of the acquired contract intangible asset to fair value. During the year ended December 31, 2021, we recognized an impairment of $74.2 million to bring the carrying amount of the contract intangible asset down to its estimated fair value of $3.9 million at August 26, 2021. During the year ended </w:t>
      </w:r>
      <w:r>
        <w:rPr>
          <w:rFonts w:ascii="Arial" w:cs="Arial" w:eastAsia="Arial" w:hAnsi="Arial"/>
          <w:sz w:val="14"/>
          <w:szCs w:val="14"/>
          <w:color w:val="231F20"/>
        </w:rPr>
        <w:t>December 31,</w:t>
      </w:r>
      <w:r>
        <w:rPr>
          <w:rFonts w:ascii="Arial" w:cs="Arial" w:eastAsia="Arial" w:hAnsi="Arial"/>
          <w:sz w:val="14"/>
          <w:szCs w:val="14"/>
          <w:color w:val="auto"/>
        </w:rPr>
        <w:t xml:space="preserve"> </w:t>
      </w:r>
      <w:r>
        <w:rPr>
          <w:rFonts w:ascii="Arial" w:cs="Arial" w:eastAsia="Arial" w:hAnsi="Arial"/>
          <w:sz w:val="14"/>
          <w:szCs w:val="14"/>
          <w:color w:val="231F20"/>
        </w:rPr>
        <w:t>2022, w</w:t>
      </w:r>
      <w:r>
        <w:rPr>
          <w:rFonts w:ascii="Arial" w:cs="Arial" w:eastAsia="Arial" w:hAnsi="Arial"/>
          <w:sz w:val="14"/>
          <w:szCs w:val="14"/>
          <w:color w:val="000000"/>
        </w:rPr>
        <w:t>e recognized an impairment charge of $3.7 million to fully impair the contract intangible asset based on Gossamer's termination of the Gossamer License Agreement as a result of Gossamer</w:t>
      </w:r>
      <w:r>
        <w:rPr>
          <w:rFonts w:ascii="Arial" w:cs="Arial" w:eastAsia="Arial" w:hAnsi="Arial"/>
          <w:sz w:val="14"/>
          <w:szCs w:val="14"/>
          <w:color w:val="231F20"/>
        </w:rPr>
        <w:t xml:space="preserve"> </w:t>
      </w:r>
      <w:r>
        <w:rPr>
          <w:rFonts w:ascii="Arial" w:cs="Arial" w:eastAsia="Arial" w:hAnsi="Arial"/>
          <w:sz w:val="14"/>
          <w:szCs w:val="14"/>
          <w:color w:val="000000"/>
        </w:rPr>
        <w:t>not meeting its primary or secondary endpoint in the UC-SHIFT clinical trial.</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Goods Sold</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Cost of goods sold consist primarily of royalties paid to BMS, costs incurred on sales of FYARRO and costs to manufacture and prepare the product for sales subsequent to the FDA approval in November 2021. Costs incurred prior to the FDA approval were expensed when incurred</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Net</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income, net consists of the change in fair value of convertible promissory notes and interest expense related to such notes. These expenses are partially offset by interest income earned on cash, cash equivalents and short-term investments, and gain on extinguishment of debt.</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During the years ending </w:t>
      </w:r>
      <w:r>
        <w:rPr>
          <w:rFonts w:ascii="Arial" w:cs="Arial" w:eastAsia="Arial" w:hAnsi="Arial"/>
          <w:sz w:val="14"/>
          <w:szCs w:val="14"/>
          <w:color w:val="231F20"/>
        </w:rPr>
        <w:t>December 31, 2022</w:t>
      </w:r>
      <w:r>
        <w:rPr>
          <w:rFonts w:ascii="Arial" w:cs="Arial" w:eastAsia="Arial" w:hAnsi="Arial"/>
          <w:sz w:val="14"/>
          <w:szCs w:val="14"/>
          <w:color w:val="auto"/>
        </w:rPr>
        <w:t xml:space="preserve"> and 2021, we recognized zero and $2,000 of income tax expense on the statement of operations and comprehensive loss, respectively. Since our formation in 2011, we have not recorded any U.S. federal or state income tax benefits for the net losses we have incurred in each year or our earned tax credits, due to our uncertainty of realizing a benefit from those items.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Consolidated Operations: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results of operations for the periods indicated (amounts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Year Ended December 31,</w:t>
            </w:r>
          </w:p>
        </w:tc>
        <w:tc>
          <w:tcPr>
            <w:tcW w:w="980" w:type="dxa"/>
            <w:vAlign w:val="bottom"/>
          </w:tcPr>
          <w:p>
            <w:pPr>
              <w:spacing w:after="0"/>
              <w:rPr>
                <w:sz w:val="12"/>
                <w:szCs w:val="12"/>
                <w:color w:val="auto"/>
              </w:rPr>
            </w:pPr>
          </w:p>
        </w:tc>
      </w:tr>
      <w:tr>
        <w:trPr>
          <w:trHeight w:val="169"/>
        </w:trPr>
        <w:tc>
          <w:tcPr>
            <w:tcW w:w="79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2021</w:t>
            </w:r>
          </w:p>
        </w:tc>
      </w:tr>
      <w:tr>
        <w:trPr>
          <w:trHeight w:val="17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7960" w:type="dxa"/>
            <w:vAlign w:val="bottom"/>
          </w:tcPr>
          <w:p>
            <w:pPr>
              <w:ind w:left="100"/>
              <w:spacing w:after="0"/>
              <w:rPr>
                <w:sz w:val="20"/>
                <w:szCs w:val="20"/>
                <w:color w:val="auto"/>
              </w:rPr>
            </w:pPr>
            <w:r>
              <w:rPr>
                <w:rFonts w:ascii="Arial" w:cs="Arial" w:eastAsia="Arial" w:hAnsi="Arial"/>
                <w:sz w:val="14"/>
                <w:szCs w:val="14"/>
                <w:color w:val="auto"/>
              </w:rPr>
              <w:t>Product sales, net</w:t>
            </w:r>
          </w:p>
        </w:tc>
        <w:tc>
          <w:tcPr>
            <w:tcW w:w="980" w:type="dxa"/>
            <w:vAlign w:val="bottom"/>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15,216</w:t>
            </w:r>
          </w:p>
        </w:tc>
        <w:tc>
          <w:tcPr>
            <w:tcW w:w="8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License revenue</w:t>
            </w:r>
          </w:p>
        </w:tc>
        <w:tc>
          <w:tcPr>
            <w:tcW w:w="9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7960" w:type="dxa"/>
            <w:vAlign w:val="bottom"/>
          </w:tcPr>
          <w:p>
            <w:pPr>
              <w:ind w:left="100"/>
              <w:spacing w:after="0"/>
              <w:rPr>
                <w:sz w:val="20"/>
                <w:szCs w:val="20"/>
                <w:color w:val="auto"/>
              </w:rPr>
            </w:pPr>
            <w:r>
              <w:rPr>
                <w:rFonts w:ascii="Arial" w:cs="Arial" w:eastAsia="Arial" w:hAnsi="Arial"/>
                <w:sz w:val="14"/>
                <w:szCs w:val="14"/>
                <w:color w:val="auto"/>
              </w:rPr>
              <w:t>Grant revenue</w:t>
            </w:r>
          </w:p>
        </w:tc>
        <w:tc>
          <w:tcPr>
            <w:tcW w:w="9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71"/>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15,216</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160"/>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7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18,511</w:t>
            </w:r>
          </w:p>
        </w:tc>
      </w:tr>
      <w:tr>
        <w:trPr>
          <w:trHeight w:val="180"/>
        </w:trPr>
        <w:tc>
          <w:tcPr>
            <w:tcW w:w="796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32,662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19,670</w:t>
            </w:r>
          </w:p>
        </w:tc>
      </w:tr>
      <w:tr>
        <w:trPr>
          <w:trHeight w:val="181"/>
        </w:trPr>
        <w:tc>
          <w:tcPr>
            <w:tcW w:w="7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goods sold</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Impairment of acquired contract intangible asset</w:t>
            </w: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3,724</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74,156</w:t>
            </w:r>
          </w:p>
        </w:tc>
      </w:tr>
      <w:tr>
        <w:trPr>
          <w:trHeight w:val="17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9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77,897</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112,337</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(62,681)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(111,217)</w:t>
            </w:r>
          </w:p>
        </w:tc>
      </w:tr>
      <w:tr>
        <w:trPr>
          <w:trHeight w:val="181"/>
        </w:trPr>
        <w:tc>
          <w:tcPr>
            <w:tcW w:w="7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income, net</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 expense</w:t>
            </w: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(60,513)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(110,088)</w:t>
            </w:r>
          </w:p>
        </w:tc>
      </w:tr>
      <w:tr>
        <w:trPr>
          <w:trHeight w:val="180"/>
        </w:trPr>
        <w:tc>
          <w:tcPr>
            <w:tcW w:w="7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 expense</w:t>
            </w:r>
          </w:p>
        </w:tc>
        <w:tc>
          <w:tcPr>
            <w:tcW w:w="9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(60,513)</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(110,090)</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Comparison of Years Ended </w:t>
      </w:r>
      <w:r>
        <w:rPr>
          <w:rFonts w:ascii="Arial" w:cs="Arial" w:eastAsia="Arial" w:hAnsi="Arial"/>
          <w:sz w:val="14"/>
          <w:szCs w:val="14"/>
          <w:b w:val="1"/>
          <w:bCs w:val="1"/>
          <w:color w:val="231F20"/>
        </w:rPr>
        <w:t>December 31, 2022 and 2021</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Sales, Net</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Our product sales, net consist of sales of FYARRO since its launch in the United States on February 22, 2022. Product sales, net for the year ended </w:t>
      </w:r>
      <w:r>
        <w:rPr>
          <w:rFonts w:ascii="Arial" w:cs="Arial" w:eastAsia="Arial" w:hAnsi="Arial"/>
          <w:sz w:val="14"/>
          <w:szCs w:val="14"/>
          <w:color w:val="231F20"/>
        </w:rPr>
        <w:t>December 31, 2022</w:t>
      </w:r>
      <w:r>
        <w:rPr>
          <w:rFonts w:ascii="Arial" w:cs="Arial" w:eastAsia="Arial" w:hAnsi="Arial"/>
          <w:sz w:val="14"/>
          <w:szCs w:val="14"/>
          <w:color w:val="auto"/>
        </w:rPr>
        <w:t xml:space="preserve"> were $15.2 million. There were no product sales for the year ended December 31, 2021.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 Revenue</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During the year ended December 31, 2021, we recognized $1.0 million of revenue upon achieving the FDA approval milestone from EOC Pharma as consideration pursuant to the EOC License Agreement. This revenue was recognized when earned. No license revenue was recognized during the year ended </w:t>
      </w:r>
      <w:r>
        <w:rPr>
          <w:rFonts w:ascii="Arial" w:cs="Arial" w:eastAsia="Arial" w:hAnsi="Arial"/>
          <w:sz w:val="14"/>
          <w:szCs w:val="14"/>
          <w:color w:val="231F20"/>
        </w:rPr>
        <w:t>December 31, 2022.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Grant Revenue</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Grant revenue amounts can vary from period to period depending on the funding and work performed. Grant revenue decreased by $0.1 million for the year ended December 31, 2022, compared to the same period in 2021, primarily due to a decrease in the eligible expenses for grant reimbursement incurred during 2022 compared to 2021. The period for eligible grant reimbursement with the FDA ended during the year ended December 31, 2021. There were no new grants during the year ended </w:t>
      </w:r>
      <w:r>
        <w:rPr>
          <w:rFonts w:ascii="Arial" w:cs="Arial" w:eastAsia="Arial" w:hAnsi="Arial"/>
          <w:sz w:val="14"/>
          <w:szCs w:val="14"/>
          <w:color w:val="231F20"/>
        </w:rPr>
        <w:t>December 31, 2022</w:t>
      </w:r>
      <w:r>
        <w:rPr>
          <w:rFonts w:ascii="Arial" w:cs="Arial" w:eastAsia="Arial" w:hAnsi="Arial"/>
          <w:sz w:val="14"/>
          <w:szCs w:val="14"/>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94"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 xml:space="preserve">Selling, general and administrative expenses for the year ended </w:t>
      </w:r>
      <w:r>
        <w:rPr>
          <w:rFonts w:ascii="Arial" w:cs="Arial" w:eastAsia="Arial" w:hAnsi="Arial"/>
          <w:sz w:val="14"/>
          <w:szCs w:val="14"/>
          <w:color w:val="231F20"/>
        </w:rPr>
        <w:t>December 31, 2022</w:t>
      </w:r>
      <w:r>
        <w:rPr>
          <w:rFonts w:ascii="Arial" w:cs="Arial" w:eastAsia="Arial" w:hAnsi="Arial"/>
          <w:sz w:val="14"/>
          <w:szCs w:val="14"/>
          <w:color w:val="auto"/>
        </w:rPr>
        <w:t>, were $40.2 million, an increase of $21.7 million, compared to $18.5 million for the year ended December 31, 2021.</w:t>
      </w:r>
    </w:p>
    <w:p>
      <w:pPr>
        <w:spacing w:after="0" w:line="47"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The increase was driven by the following in support of our increased headcount, commercial and marketing expenses, and expenses related to being a public company. We expect these expenses to continue to increase to support future launches:</w:t>
      </w:r>
    </w:p>
    <w:p>
      <w:pPr>
        <w:spacing w:after="0" w:line="47" w:lineRule="exact"/>
        <w:rPr>
          <w:sz w:val="20"/>
          <w:szCs w:val="20"/>
          <w:color w:val="auto"/>
        </w:rPr>
      </w:pPr>
    </w:p>
    <w:p>
      <w:pPr>
        <w:ind w:left="760" w:right="40" w:hanging="373"/>
        <w:spacing w:after="0" w:line="281" w:lineRule="auto"/>
        <w:tabs>
          <w:tab w:leader="none" w:pos="756" w:val="left"/>
        </w:tabs>
        <w:numPr>
          <w:ilvl w:val="0"/>
          <w:numId w:val="58"/>
        </w:numPr>
        <w:rPr>
          <w:rFonts w:ascii="Arial" w:cs="Arial" w:eastAsia="Arial" w:hAnsi="Arial"/>
          <w:sz w:val="14"/>
          <w:szCs w:val="14"/>
          <w:color w:val="auto"/>
        </w:rPr>
      </w:pPr>
      <w:r>
        <w:rPr>
          <w:rFonts w:ascii="Arial" w:cs="Arial" w:eastAsia="Arial" w:hAnsi="Arial"/>
          <w:sz w:val="14"/>
          <w:szCs w:val="14"/>
          <w:color w:val="auto"/>
        </w:rPr>
        <w:t xml:space="preserve">$13.4 million in personnel related expenses due to increased headcount, incentive bonuses and share-based compensation. Sales and administrative headcount increased to 32 employees at </w:t>
      </w:r>
      <w:r>
        <w:rPr>
          <w:rFonts w:ascii="Arial" w:cs="Arial" w:eastAsia="Arial" w:hAnsi="Arial"/>
          <w:sz w:val="14"/>
          <w:szCs w:val="14"/>
          <w:color w:val="231F20"/>
        </w:rPr>
        <w:t>December 31, 2022</w:t>
      </w:r>
      <w:r>
        <w:rPr>
          <w:rFonts w:ascii="Arial" w:cs="Arial" w:eastAsia="Arial" w:hAnsi="Arial"/>
          <w:sz w:val="14"/>
          <w:szCs w:val="14"/>
          <w:color w:val="auto"/>
        </w:rPr>
        <w:t xml:space="preserve"> from 17 employees at December 31, 2021;</w:t>
      </w:r>
    </w:p>
    <w:p>
      <w:pPr>
        <w:spacing w:after="0" w:line="47" w:lineRule="exact"/>
        <w:rPr>
          <w:rFonts w:ascii="Arial" w:cs="Arial" w:eastAsia="Arial" w:hAnsi="Arial"/>
          <w:sz w:val="14"/>
          <w:szCs w:val="14"/>
          <w:color w:val="auto"/>
        </w:rPr>
      </w:pPr>
    </w:p>
    <w:p>
      <w:pPr>
        <w:ind w:left="760" w:hanging="373"/>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$4.0 million of legal, insurance and other related expenses;</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$2.9 million of commercial and marketing expenses; and</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$1.4 million of consulting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research and development expenses for the periods indicated (amounts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Year Ended December 31,</w:t>
            </w:r>
          </w:p>
        </w:tc>
        <w:tc>
          <w:tcPr>
            <w:tcW w:w="980" w:type="dxa"/>
            <w:vAlign w:val="bottom"/>
          </w:tcPr>
          <w:p>
            <w:pPr>
              <w:spacing w:after="0"/>
              <w:rPr>
                <w:sz w:val="12"/>
                <w:szCs w:val="12"/>
                <w:color w:val="auto"/>
              </w:rPr>
            </w:pPr>
          </w:p>
        </w:tc>
      </w:tr>
      <w:tr>
        <w:trPr>
          <w:trHeight w:val="169"/>
        </w:trPr>
        <w:tc>
          <w:tcPr>
            <w:tcW w:w="79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2021</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 expense</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4,359</w:t>
            </w: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Consultants</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4,543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2,458</w:t>
            </w:r>
          </w:p>
        </w:tc>
      </w:tr>
      <w:tr>
        <w:trPr>
          <w:trHeight w:val="18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External clinical development</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5,838</w:t>
            </w: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Clinical drug product manufacturing</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6,646</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color w:val="auto"/>
              </w:rPr>
              <w:t>Total research and development expense</w:t>
            </w:r>
          </w:p>
        </w:tc>
        <w:tc>
          <w:tcPr>
            <w:tcW w:w="9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32,662</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19,670</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 xml:space="preserve">Research and development expenses for the year ended </w:t>
      </w:r>
      <w:r>
        <w:rPr>
          <w:rFonts w:ascii="Arial" w:cs="Arial" w:eastAsia="Arial" w:hAnsi="Arial"/>
          <w:sz w:val="12"/>
          <w:szCs w:val="12"/>
          <w:color w:val="231F20"/>
        </w:rPr>
        <w:t>December 31, 2022</w:t>
      </w:r>
      <w:r>
        <w:rPr>
          <w:rFonts w:ascii="Arial" w:cs="Arial" w:eastAsia="Arial" w:hAnsi="Arial"/>
          <w:sz w:val="12"/>
          <w:szCs w:val="12"/>
          <w:color w:val="auto"/>
        </w:rPr>
        <w:t>, were $32.7 million, an increase of $13.0 million, compared to $19.7 million for the year ended December 31, 2021. The increase was primarily driven by a $16.3 million increase in expenses related to headcount, consultants, and other expenses, a $2.5 million increase in clinical development expenses related to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PRECISION 1 trial, offset by a $5.8 million decrease related to clinical drug product manufacturing.</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Goods Sold</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Cost of goods sold was $1.3 million reflecting primarily royalties incurred on product sold during the year ended </w:t>
      </w:r>
      <w:r>
        <w:rPr>
          <w:rFonts w:ascii="Arial" w:cs="Arial" w:eastAsia="Arial" w:hAnsi="Arial"/>
          <w:sz w:val="14"/>
          <w:szCs w:val="14"/>
          <w:color w:val="231F20"/>
        </w:rPr>
        <w:t>December 31, 2022</w:t>
      </w:r>
      <w:r>
        <w:rPr>
          <w:rFonts w:ascii="Arial" w:cs="Arial" w:eastAsia="Arial" w:hAnsi="Arial"/>
          <w:sz w:val="14"/>
          <w:szCs w:val="14"/>
          <w:color w:val="auto"/>
        </w:rPr>
        <w:t>. There were no cost of goods sold during the year ended December 31, 2021</w:t>
      </w:r>
      <w:r>
        <w:rPr>
          <w:rFonts w:ascii="Arial" w:cs="Arial" w:eastAsia="Arial" w:hAnsi="Arial"/>
          <w:sz w:val="14"/>
          <w:szCs w:val="14"/>
          <w:i w:val="1"/>
          <w:iCs w:val="1"/>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Acquired Contract Intangible Asset</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 xml:space="preserve">During the year ended </w:t>
      </w:r>
      <w:r>
        <w:rPr>
          <w:rFonts w:ascii="Arial" w:cs="Arial" w:eastAsia="Arial" w:hAnsi="Arial"/>
          <w:sz w:val="13"/>
          <w:szCs w:val="13"/>
          <w:color w:val="231F20"/>
        </w:rPr>
        <w:t>December 31, 2022</w:t>
      </w:r>
      <w:r>
        <w:rPr>
          <w:rFonts w:ascii="Arial" w:cs="Arial" w:eastAsia="Arial" w:hAnsi="Arial"/>
          <w:sz w:val="13"/>
          <w:szCs w:val="13"/>
          <w:color w:val="auto"/>
        </w:rPr>
        <w:t>, we recorded a $3.7 million impairment charge to reduce the carrying value of the intangible asset to its fair value of zero, based on a formal notice of termination we received on April 25, 2022 from Gossamer for the Gossamer License Agreement. The Gossamer License Agreement terminated effective July 24, 2022.</w:t>
      </w:r>
    </w:p>
    <w:p>
      <w:pPr>
        <w:spacing w:after="0" w:line="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year ended December 31, 2021, we recorded a $74.2 million impairment charge to reduce the carrying value of the intangible asset to its fair value to $3.9 million at the Effective Times, as a result of the excess fair value ascribed to the acquired contract intangible asset related to the Merger.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Net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other income, net: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Year Ended December 31,</w:t>
            </w:r>
          </w:p>
        </w:tc>
        <w:tc>
          <w:tcPr>
            <w:tcW w:w="980" w:type="dxa"/>
            <w:vAlign w:val="bottom"/>
          </w:tcPr>
          <w:p>
            <w:pPr>
              <w:spacing w:after="0"/>
              <w:rPr>
                <w:sz w:val="12"/>
                <w:szCs w:val="12"/>
                <w:color w:val="auto"/>
              </w:rPr>
            </w:pPr>
          </w:p>
        </w:tc>
      </w:tr>
      <w:tr>
        <w:trPr>
          <w:trHeight w:val="169"/>
        </w:trPr>
        <w:tc>
          <w:tcPr>
            <w:tcW w:w="79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2021</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convertible promissory notes</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Gain upon extinguishment of debt</w:t>
            </w:r>
          </w:p>
        </w:tc>
        <w:tc>
          <w:tcPr>
            <w:tcW w:w="9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8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Other income, net for the year ended </w:t>
      </w:r>
      <w:r>
        <w:rPr>
          <w:rFonts w:ascii="Arial" w:cs="Arial" w:eastAsia="Arial" w:hAnsi="Arial"/>
          <w:sz w:val="14"/>
          <w:szCs w:val="14"/>
          <w:color w:val="231F20"/>
        </w:rPr>
        <w:t>December 31, 2022</w:t>
      </w:r>
      <w:r>
        <w:rPr>
          <w:rFonts w:ascii="Arial" w:cs="Arial" w:eastAsia="Arial" w:hAnsi="Arial"/>
          <w:sz w:val="14"/>
          <w:szCs w:val="14"/>
          <w:color w:val="auto"/>
        </w:rPr>
        <w:t xml:space="preserve">, was $2.2 million of income, compared to $1.1 million of income for the year ended December 31, 2021. The change was primarily driven by interest income of $2.4 million from investment holdings in the year ended </w:t>
      </w:r>
      <w:r>
        <w:rPr>
          <w:rFonts w:ascii="Arial" w:cs="Arial" w:eastAsia="Arial" w:hAnsi="Arial"/>
          <w:sz w:val="14"/>
          <w:szCs w:val="14"/>
          <w:color w:val="231F20"/>
        </w:rPr>
        <w:t>December 31, 2022</w:t>
      </w:r>
      <w:r>
        <w:rPr>
          <w:rFonts w:ascii="Arial" w:cs="Arial" w:eastAsia="Arial" w:hAnsi="Arial"/>
          <w:sz w:val="14"/>
          <w:szCs w:val="14"/>
          <w:color w:val="auto"/>
        </w:rPr>
        <w:t xml:space="preserve"> compared to $1.6 million of non-cash income related to the change in fair value of the convertible promissory notes and a $0.2 million gain recognized on the extinguishment of the Paycheck Protection Program loan forgiven by the Small Business Administration in the year ended December 31, 2021.</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of December 31, 2022, we had $172.6 million of cash, cash equivalents and short-term investments. Prior to and a</w:t>
      </w:r>
      <w:r>
        <w:rPr>
          <w:rFonts w:ascii="Arial" w:cs="Arial" w:eastAsia="Arial" w:hAnsi="Arial"/>
          <w:sz w:val="13"/>
          <w:szCs w:val="13"/>
          <w:color w:val="231F20"/>
        </w:rPr>
        <w:t>s of the date of filing this Annual Report on Form 10-K, we had and continue to</w:t>
      </w:r>
      <w:r>
        <w:rPr>
          <w:rFonts w:ascii="Arial" w:cs="Arial" w:eastAsia="Arial" w:hAnsi="Arial"/>
          <w:sz w:val="13"/>
          <w:szCs w:val="13"/>
          <w:color w:val="auto"/>
        </w:rPr>
        <w:t xml:space="preserve"> </w:t>
      </w:r>
      <w:r>
        <w:rPr>
          <w:rFonts w:ascii="Arial" w:cs="Arial" w:eastAsia="Arial" w:hAnsi="Arial"/>
          <w:sz w:val="13"/>
          <w:szCs w:val="13"/>
          <w:color w:val="231F20"/>
        </w:rPr>
        <w:t xml:space="preserve">have access to and control over all our cash, cash equivalents and short-term investments, notwithstanding the closure of Silicon Valley Bank (as discussed below and elsewhere in this Annual Report on Form 10-K). </w:t>
      </w:r>
      <w:r>
        <w:rPr>
          <w:rFonts w:ascii="Arial" w:cs="Arial" w:eastAsia="Arial" w:hAnsi="Arial"/>
          <w:sz w:val="13"/>
          <w:szCs w:val="13"/>
          <w:color w:val="000000"/>
        </w:rPr>
        <w:t>Based on our current plans, we believe our existing cash, cash equivalents and short-term investments will enable us to conduct our planned operations into 2025.</w:t>
      </w:r>
    </w:p>
    <w:p>
      <w:pPr>
        <w:spacing w:after="0" w:line="3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have incurred net losses in each year since inception and as of December 31, 2022, we had an accumulated deficit of $203.2 million. Our net losses were $60.5 million and $110.1 million for the years ended December 31, 2022 and 2021, respectively.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in additional indications, outside the United States and any other product candidates we may develop in the future, and the commercial launch of FYARRO. We expect our expenses, and the potential for losses, to increase substantially as we conduct clinical trials of FYARRO, in additional indications and seek to expand our pipeline.</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From inception through December 31, 2022, we received funding of $25.4 million from our initial seed financing and the sale of Series A convertible preferred stock, $9.1 million from the issuance of convertible promissory notes, $145.4 million, net from the 2022 PIPE Financing in connection with the Merger, $29.7 million of cash assumed in the Merger, and $72.2 million, net cash proceeds from the 2022 PIPE Financing.</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Shelf Registration Statement; $75M At the Market Offering</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December 31, 2022, no shares of common stock had been sold under the Sales Agreement.</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shares of our common stock to be offered and sold under the Sales Agreement will be issued and sold pursuant to our shelf registration statement on the Form S-3 (File No. 333-255129), which was filed with the SEC on April 8, 2021, and which became effective on April 15, 2021. We filed a prospectus supplement with the SEC on March 21, 2022 in connection with the offer and sale of the shares pursuant to the Sales Agreement.</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shelf registration statement allows us to sell from time to time up to $150.0 million of common stock, preferred stock, debt securities, warrants, or units comprised of any combination of these securities, for our own account in one or more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 September 22, 2022, the Company entered into the Purchase Agreement for the 2022 PIPE Financing with the 2022 PIPE Investors for the sale by the Company of 3,373,526 shares of the Company’s common stock for a price of $12.50 per share and Pre-Funded Warrants to purchase an aggregate of 2,426,493 shares of the Company's common stock, at a purchase price of $12.4999 per Pre-Funded Warrant. The Pre-Funded Warrants are exercisable at an exercise price of $0.0001 and will be exercisable until exercised in full. The 2022 PIPE Financing closed on September 26, 2022. Aggregated net proceeds, after deducting certain expenses incurred of $0.3 million related to the issuance of the shares were $72.2 million.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years presented (amounts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Year Ended December 31,</w:t>
            </w:r>
          </w:p>
        </w:tc>
        <w:tc>
          <w:tcPr>
            <w:tcW w:w="980" w:type="dxa"/>
            <w:vAlign w:val="bottom"/>
          </w:tcPr>
          <w:p>
            <w:pPr>
              <w:spacing w:after="0"/>
              <w:rPr>
                <w:sz w:val="12"/>
                <w:szCs w:val="12"/>
                <w:color w:val="auto"/>
              </w:rPr>
            </w:pPr>
          </w:p>
        </w:tc>
      </w:tr>
      <w:tr>
        <w:trPr>
          <w:trHeight w:val="169"/>
        </w:trPr>
        <w:tc>
          <w:tcPr>
            <w:tcW w:w="79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2021</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(49,640)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(22,423)</w:t>
            </w: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(132,886)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25,153</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72,620</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141,804</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9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(109,906)</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144,534</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selling, general and administrative activities. Our cash flows from operating activities will continue to be affected by spending to commercialize FYARRO in advanced malignant PEComa, advance and support FYARRO in additional indications in the clinic, develop new product candidates, and other operating and general administrative activities, including operating as a public company.</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the year ended December 31, 2022, cash used in operating activities was $49.6 million and resulted from (i) our net loss of $60.5 million, and (ii) a $1.8 million net decrease in our working capital accounts, primarily driven by an increase in accounts receivable and inventory related to the commercial launch of FYARRO in February 2022; offset by (i) a decrease in accounts payable and accrued expenses, and $12.7 million in non-cash adjustments, which was primarily related to share-based compensation expense, the impairment of the contract intangible asset, and depreciation and amortization expense.</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the year ended December 31, 2021, cash used in operating activities was $22.4 million and resulted from (i) our net loss of $110.1 million offset by non-cash adjustments totaling $75.4 million, which was primarily related to impairment of the acquired contract intangible asset of $74.2 million, and (ii) a $12.3 million net increase in our working capital accounts, primarily driven by the receipt of the $14.0 million upfront payment on accounts receivable pursuant to the EOC License Agreement.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Cash used in investing activities for the year ended December 31, 2022 related to purchases of short-term investments $145.2 million, offset by maturities of $12.8 million.</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Cash provided by investing activities for the year ended December 31, 2021 related to cash acquired in connection with the Merger of $29.7 million offset by $4.5 million of transaction related expenses.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Cash provided by financing activities for the year ended December 31, 2022 related to $72.5 million gross cash proceeds from our 2022 PIPE Financing, $0.4 million from exercise of stock options and $0.3 million in proceeds from the issuances of stock under the ESPP, offset by $0.7 million of financing costs related to the 2021 PIPE Financing and the 2022 PIPE Financing.</w:t>
      </w:r>
    </w:p>
    <w:p>
      <w:pPr>
        <w:spacing w:after="0" w:line="2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Cash provided by financing activities for the year ended December 31, 2021 includes $155.0 million gross cash proceeds from our 2021 PIPE Financing and $0.8 million from exercise of stock options, partially offset by $9.6 million of issuance costs related to the 2021 PIPE Financing, and $4.4 million of dividends paid to preferred stockholders.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In April 2022, we entered into a lease for 10,615 square feet of office space in Morristown, New Jersey. The term of the lease is seventy-three months unless terminated sooner.</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Rent expense is being recorded on a straight-line basis. Rent expense related to the Pacific Palisades and Morristown leases was $0.4 million and $0.2 million for the years ended December 31, 2022 and 2021, respectively. See Note 8 to the consolidated financial statements for details related to future lease payments.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January 2022, we entered into a Negotiated Purchase Order Terms and Conditions for Clinical and Commercial Product, as amended effective as of August 1, 2022 (the “Fresenius Agreement”), with Fresenius Kabi, LLC (“Fresenius Kabi”), pursuant to which Fresenius Kabi will manufacture FYARRO for us and we will purchase FYARRO as a finished drug product from Fresenius Kabi, on a purchase-order basis. The Fresenius Agreement contains specific activities such as non-cancellable commitments, minimum purchase commitments, and binding annual forecasts. Under the Fresenius Agreement, which is effective through March 31, 2024 (or such later date as may be agreed between the parties in writing), we may purchase FYARRO for either clinical or commercial purposes for use in the United States and Canada.</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In August 2021, we entered into an amendment to extend the lease of our 2,760 square feet of office space in Pacific Palisades, California. We </w:t>
      </w:r>
      <w:r>
        <w:rPr>
          <w:rFonts w:ascii="Arial" w:cs="Arial" w:eastAsia="Arial" w:hAnsi="Arial"/>
          <w:sz w:val="14"/>
          <w:szCs w:val="14"/>
          <w:color w:val="231F20"/>
        </w:rPr>
        <w:t>exercised an option, under our prior lease agreement, to</w:t>
      </w:r>
      <w:r>
        <w:rPr>
          <w:rFonts w:ascii="Arial" w:cs="Arial" w:eastAsia="Arial" w:hAnsi="Arial"/>
          <w:sz w:val="14"/>
          <w:szCs w:val="14"/>
          <w:color w:val="auto"/>
        </w:rPr>
        <w:t xml:space="preserve"> </w:t>
      </w:r>
      <w:r>
        <w:rPr>
          <w:rFonts w:ascii="Arial" w:cs="Arial" w:eastAsia="Arial" w:hAnsi="Arial"/>
          <w:sz w:val="14"/>
          <w:szCs w:val="14"/>
          <w:color w:val="231F20"/>
        </w:rPr>
        <w:t>extend the term of the lease for an additional three-year period. Included in the renewal were nine months of rent abatement and a rent escalation clause.</w:t>
      </w:r>
    </w:p>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consolidated financial statements are prepared in accordance with U.S. generally accepted accounting principles (“GAAP”). These accounting principles require us to make certain estimates, judgements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recognize revenue when a customer obtains control of promised goods or services, in an amount that reflects the consideration which the entity expects to receive in exchange for those goods or services. To determine revenue recognition for arrangements that we determine are within the scope of ASC Topic 606, Revenue from Contracts with Customer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Product Sales</w:t>
      </w:r>
    </w:p>
    <w:p>
      <w:pPr>
        <w:spacing w:after="0" w:line="94"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We sell our product primarily through a limited number of specialty distributors (SDs) and specialty pharmacy (SP) customers. The delivery of our product represents a single performance obligation for these transactions, and we record net product sales when control is transferred to the customer, which occurs upon receipt by the customer. The transaction price for net product sales represents the amount we expect to receive, which is net of estimated distribution fees, government-mandated rebates, chargebacks, co-payment assistance, and estimated product returns. Accruals are established for these deductions, and actual amounts incurred are offset against applicable accruals. We reflect these accruals as either a reduction in the related account receivable from the distributor or as an accrued liability, depending on the nature of the sales deduction. Sales deductions are based on management's estimates that consider channel mix and experience to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Estimates are assessed periodically and updated to reflect current information. These estimates involve a substantial degree of judgment, in particular, for government-mandated rebates and chargebacks, such as for the Medicaid and 340B programs.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Research and Development Costs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231F20"/>
        </w:rPr>
        <w:t>We incur substantial expenses associated with clinical trials. Accounting for clinical trials relating to activities performed by CROs and other external vendors requires us to exercise significant estimates in regard to the timing and accounting for these expenses. We estimate costs of research and development activities conducted by service providers, which include, the conduct of preclinical studies, contract manufacturing activities and clinical activities. The diverse nature of services being provided under CRO and other vendor arrangements, the different terms and milestone arrangements that exist for each type of service and the lack of timely information related to certain clinical activities complicates the estimation of accruals for services rendered by CROs and other vendors in connection with clinical trials. We record the estimated costs of research and development activities based upon the estimated amount of services provided but not yet invoiced and include these costs in the accrued and other current liabilities or prepaid expenses, as applicable, on the balance sheets and within research and development expense on the consolidated statements of operations and comprehensive loss. In estimating the duration of a clinical study, we evaluate the start-up, treatment and wrap-up periods, payment arrangements and services rendered attributable to each clinical trial and fluctuations are regularly tested against payment plans and trial completion assumptions.</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231F20"/>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estimates and related accounts on the balance sheet. We have not experienced any material differences between accrued costs and actual costs incurred since our inception.</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231F20"/>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We recognize all share-based payments to employees, including grants of employee stock options in the consolidated statements of operations and comprehensive loss based on their fair values. All of our share-based awards, to employees, non-employees, officers, and directors, are subject only to service-based vesting conditions. We estimate the fair value of our share-based awards using the Black-Scholes option pricing model, which requires the input of assumptions, including (i) the expected stock price volatility, (ii) the calculation of expected term of the award, (iii) the risk-free interest rate based on the U.S. Treasury yield in effect at the time of the grant for zero-coupon U.S. treasury notes with maturities approximately equal to the expected term of the stock options and (iv) expected dividends. </w:t>
      </w:r>
      <w:r>
        <w:rPr>
          <w:rFonts w:ascii="Arial" w:cs="Arial" w:eastAsia="Arial" w:hAnsi="Arial"/>
          <w:sz w:val="13"/>
          <w:szCs w:val="13"/>
          <w:color w:val="231F20"/>
        </w:rPr>
        <w:t>Options granted during the year have a maximum contractual term of ten years. Forfeitures are recognized and accounted for as they occur.</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Due to the historical lack of a public market for the trading of our common stock following the Merger and a lack of company-specific historical and implied volatility data, we have based our estimate of expected volatility on the historical volatility of a group of similar companies that are publicly traded. The computation of expected volatility is based on the historical volatility of a representative group of companies with similar characteristics to ours, including stage of product development and life science industry focus. We believe the group selected has sufficient similar economic and industry characteristics and includes companies that are most representative of us.</w:t>
      </w:r>
    </w:p>
    <w:p>
      <w:pPr>
        <w:spacing w:after="0" w:line="6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 xml:space="preserve">We have limited historical stock option activity and therefore estimate the expected term of stock options granted to employees, officers, and directors using the simplified method, which represent the average of the contractual term of the stock option and its weighted-average vesting period, </w:t>
      </w:r>
      <w:r>
        <w:rPr>
          <w:rFonts w:ascii="Arial" w:cs="Arial" w:eastAsia="Arial" w:hAnsi="Arial"/>
          <w:sz w:val="13"/>
          <w:szCs w:val="13"/>
          <w:color w:val="000000"/>
        </w:rPr>
        <w:t>to calculate the expected term, as we do not have sufficient historical exercise data to provide a</w:t>
      </w:r>
      <w:r>
        <w:rPr>
          <w:rFonts w:ascii="Arial" w:cs="Arial" w:eastAsia="Arial" w:hAnsi="Arial"/>
          <w:sz w:val="13"/>
          <w:szCs w:val="13"/>
          <w:color w:val="231F20"/>
        </w:rPr>
        <w:t xml:space="preserve"> </w:t>
      </w:r>
      <w:r>
        <w:rPr>
          <w:rFonts w:ascii="Arial" w:cs="Arial" w:eastAsia="Arial" w:hAnsi="Arial"/>
          <w:sz w:val="13"/>
          <w:szCs w:val="13"/>
          <w:color w:val="000000"/>
        </w:rPr>
        <w:t>reasonable basis upon which to estimate the expected term for options granted to employees, and utilize the contractual term for options granted to non-employees. The expected term is applied to the stock option grant group as a whole, as we do not expect substantially different exercise or post-vesting termination behavior among our employee population.</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Compensation expense related to awards to employees is calculated on a straight-line basis by recognizing the grant date fair value over the associated service period of the award, which is generally the vesting term. For the years ended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175" w:lineRule="exact"/>
        <w:rPr>
          <w:sz w:val="20"/>
          <w:szCs w:val="20"/>
          <w:color w:val="auto"/>
        </w:rPr>
      </w:pPr>
      <w:r>
        <w:rPr>
          <w:rFonts w:ascii="Arial" w:cs="Arial" w:eastAsia="Arial" w:hAnsi="Arial"/>
          <w:sz w:val="14"/>
          <w:szCs w:val="14"/>
          <w:color w:val="auto"/>
        </w:rPr>
        <w:t>December 31, 2022 and 2021, we recognized share</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 net of estimated forfeitures, in the statements of operations and comprehensive loss as follows (amounts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Year Ended December 31,</w:t>
            </w:r>
          </w:p>
        </w:tc>
        <w:tc>
          <w:tcPr>
            <w:tcW w:w="980" w:type="dxa"/>
            <w:vAlign w:val="bottom"/>
          </w:tcPr>
          <w:p>
            <w:pPr>
              <w:spacing w:after="0"/>
              <w:rPr>
                <w:sz w:val="12"/>
                <w:szCs w:val="12"/>
                <w:color w:val="auto"/>
              </w:rPr>
            </w:pPr>
          </w:p>
        </w:tc>
      </w:tr>
      <w:tr>
        <w:trPr>
          <w:trHeight w:val="169"/>
        </w:trPr>
        <w:tc>
          <w:tcPr>
            <w:tcW w:w="79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2021</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r>
      <w:tr>
        <w:trPr>
          <w:trHeight w:val="18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Research and development</w:t>
            </w: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9,643</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175" w:lineRule="exact"/>
        <w:rPr>
          <w:sz w:val="20"/>
          <w:szCs w:val="20"/>
          <w:color w:val="auto"/>
        </w:rPr>
      </w:pPr>
      <w:r>
        <w:rPr>
          <w:rFonts w:ascii="Arial" w:cs="Arial" w:eastAsia="Arial" w:hAnsi="Arial"/>
          <w:sz w:val="14"/>
          <w:szCs w:val="14"/>
          <w:color w:val="auto"/>
        </w:rPr>
        <w:t>As of December 31, 2022, total unamortized share</w:t>
      </w:r>
      <w:r>
        <w:rPr>
          <w:rFonts w:ascii="MS PGothic" w:cs="MS PGothic" w:eastAsia="MS PGothic" w:hAnsi="MS PGothic"/>
          <w:sz w:val="14"/>
          <w:szCs w:val="14"/>
          <w:color w:val="auto"/>
        </w:rPr>
        <w:t>‑</w:t>
      </w:r>
      <w:r>
        <w:rPr>
          <w:rFonts w:ascii="Arial" w:cs="Arial" w:eastAsia="Arial" w:hAnsi="Arial"/>
          <w:sz w:val="14"/>
          <w:szCs w:val="14"/>
          <w:color w:val="auto"/>
        </w:rPr>
        <w:t>based compensation was $28.8 million which we expect to recognize over a weighted average period of 2.7 years. The intrinsic value of all outstanding stock options as of December 31, 2022 was $2.8 million.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Merger and Acquired Contractual Intangible Asset</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Aerpio issued common stock in the Merger based on the terms of the Merger Agreement. For accounting purposes, however, we concluded under GAAP that Private Aadi has acquired Aerpio. We based this conclusion having evaluated the terms of the Merger Agreement and other factors including: (i) the stockholders of Private Aadi owned approximately 66.8% of the voting rights of the Company as of immediately following the Merger (but prior to the 2021 PIPE Financing); (ii) three (3) of seven (7) members of the board of directors of the Company post-Merger were composed of directors designated by Private Aadi under the terms of the Merger Agreement, and one (1) member of the board of directors of the Company post-Merger was a director mutually designated by Private Aadi and Aerpio; (iii) existing members of Private Aadi’s management became the management of the Company post-Merger; (iv) the 2021 PIPE Investors consist of individuals and funds, and for purpose of this analysis, while they owned approximately 55.6% on a fully-diluted basis, as of immediately following the Merger (and after giving effect to the 2021 PIPE Financing), no one individual or fund held more shares than the holders of Private Aadi collectively owned immediately following the Merger and they are not considered to be a single voting group; and (v) following the Merger, the Company is headquartered in Pacific Palisades, California, and all ongoing operations of the combined company are those of Private Aadi.</w:t>
      </w:r>
    </w:p>
    <w:p>
      <w:pPr>
        <w:spacing w:after="0" w:line="5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Further, under GAAP we have accounted for the Merger as a reverse asset acquisition rather than a business combination. Accounting as an asset acquisition is significantly different than the accounting for a merger transaction as a business combination. Among other things, we have not recognized any goodwill on our consolidated balance sheet as there may have been had the Merger been accounted for as a business combination. A central element to the accounting model conclusion is the determination of whether a business or an asset or a group of assets is acquired. A business is defined in ASC 805, Business Combinations, as an integrated set of inputs and processes that are capable of generating outputs that have the ability to provide a return to its investors or owners. Typical inputs include long-lived assets (including intangible assets or rights to use long-lived assets), intellectual property and the ability to obtain access to required resources. Typical processes include strategic, operational and resource management processes that are typically documented or evident through an organized workforce. We considered all of the above factors when determining whether a business was acquired in the Merger and concluded that Aerpio did not meet the definition of a business.</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Upon closing of the Merger, substantially all of the fair value is concentrated in cash, working capital and a long-lived contract intangible asset related to Aerpio’s license agreement with Gossamer Bio. Inc., under which 90% of any future net cash proceeds will be remitted to CVR Holders and paid through the CVRs. In accordance with GAAP for asset acquisitions, the excess purchase price over the fair value of the acquired assets and liabilities ($78.1 million) was ascribed to the acquired contract intangible asset. However, due to the significant excess purchase price being allocated over the fair value of the acquired contractual intangible asset, we determined that an indicator of impairment was present, and we assessed the contract intangible asset as compared to expectations of contingent future cash flows. We concluded that our estimate of gross cash flows potentially accruing to us under the license agreement is likely to be less than the excess purchase price of the fair value of the acquired assets and liabilities ascribed to the acquired contract intangible asset. As a result, we performed a valuation of the acquired contract intangible asset and recognized an impairment of $74.2 million to adjust the carrying amount of the contractual intangible asset to its estimated fair value of $3.9 million. During the year ended December 31, 2022, upon receipt of the Notice of Termination, we impaired the contract intangible asset by $3.7 million to its estimated fair value of zero based on receipt of the formal notice of termination from Gossamer for the Gossamer License Agreement.</w:t>
      </w:r>
    </w:p>
    <w:p>
      <w:pPr>
        <w:spacing w:after="0" w:line="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license agreement with Gossamer Bio. Inc. includes potential payments to us in the event of certain development and commercialization milestones and sales-based royalties. Our fair value determination of the intangible asset utilized 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scenario-based, risk-adjusted, discounted cash flow model with respect to the potential development milestone payments and a Monte Carlo option-pricing model with respect to the sales-based milestone and royalty payments:</w:t>
      </w:r>
    </w:p>
    <w:p>
      <w:pPr>
        <w:spacing w:after="0" w:line="47" w:lineRule="exact"/>
        <w:rPr>
          <w:sz w:val="20"/>
          <w:szCs w:val="20"/>
          <w:color w:val="auto"/>
        </w:rPr>
      </w:pPr>
    </w:p>
    <w:p>
      <w:pPr>
        <w:jc w:val="both"/>
        <w:ind w:left="760" w:hanging="373"/>
        <w:spacing w:after="0" w:line="297" w:lineRule="auto"/>
        <w:tabs>
          <w:tab w:leader="none" w:pos="756" w:val="left"/>
        </w:tabs>
        <w:numPr>
          <w:ilvl w:val="0"/>
          <w:numId w:val="59"/>
        </w:numPr>
        <w:rPr>
          <w:rFonts w:ascii="Arial" w:cs="Arial" w:eastAsia="Arial" w:hAnsi="Arial"/>
          <w:sz w:val="13"/>
          <w:szCs w:val="13"/>
          <w:color w:val="auto"/>
        </w:rPr>
      </w:pPr>
      <w:r>
        <w:rPr>
          <w:rFonts w:ascii="Arial" w:cs="Arial" w:eastAsia="Arial" w:hAnsi="Arial"/>
          <w:sz w:val="13"/>
          <w:szCs w:val="13"/>
          <w:color w:val="auto"/>
        </w:rPr>
        <w:t>We determined fair value of the potential development milestone payments under the license agreement with inputs based on certain subjective assumptions, including (a) the probability of clinical success determined with reference to various academic studies reporting probabilities of approval for clinical trials; (b) an estimate of the time to achievement of the clinical milestones; and (c) a counterparty credit risk premium determined with reference to the borrowing costs of a benchmark group of comparable market participants.</w:t>
      </w:r>
    </w:p>
    <w:p>
      <w:pPr>
        <w:spacing w:after="0" w:line="39" w:lineRule="exact"/>
        <w:rPr>
          <w:rFonts w:ascii="Arial" w:cs="Arial" w:eastAsia="Arial" w:hAnsi="Arial"/>
          <w:sz w:val="13"/>
          <w:szCs w:val="13"/>
          <w:color w:val="auto"/>
        </w:rPr>
      </w:pPr>
    </w:p>
    <w:p>
      <w:pPr>
        <w:jc w:val="both"/>
        <w:ind w:left="760" w:hanging="373"/>
        <w:spacing w:after="0" w:line="258" w:lineRule="auto"/>
        <w:tabs>
          <w:tab w:leader="none" w:pos="756" w:val="left"/>
        </w:tabs>
        <w:numPr>
          <w:ilvl w:val="0"/>
          <w:numId w:val="59"/>
        </w:numPr>
        <w:rPr>
          <w:rFonts w:ascii="Arial" w:cs="Arial" w:eastAsia="Arial" w:hAnsi="Arial"/>
          <w:sz w:val="14"/>
          <w:szCs w:val="14"/>
          <w:color w:val="auto"/>
        </w:rPr>
      </w:pPr>
      <w:r>
        <w:rPr>
          <w:rFonts w:ascii="Arial" w:cs="Arial" w:eastAsia="Arial" w:hAnsi="Arial"/>
          <w:sz w:val="14"/>
          <w:szCs w:val="14"/>
          <w:color w:val="auto"/>
        </w:rPr>
        <w:t>Application of the Monte Carlo simulation model in valuing the potential sales-based milestone and royalties involves making assumptions for (a) the probability of clinical success determined with reference to various academic studies reporting probabilities of approval for clinical trials; (b) our forecast of potential revenues, revenue uptake rate and the period of time from a prospective commercial launch to peak sales, and an estimate of peak sales for each successfully commercialized product covered under the license agreement; (c) drift equal to the risk free rate on revenues following a multivariate Geometric Brownian Motion; (d) a counterparty credit risk premium determined with reference to the borrowing costs of a benchmark group of comparable market participants; and (e) a revenue metric risk premium determined with reference to a long-term risk-free rate, a weighted-average cost of capital, revenue volatility and asset volatility.</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See Note 2 to the consolidated financial statements for a discussion of 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We are a smaller reporting company, as defined by Rule 12b-2 of the Exchange Act and are not required to provide the information required by this Item.</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Consolidated Financial Statements and Supplementary Data.</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Beginning on the following page are the consolidated financial statements with applicable notes and the related 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9280" w:type="dxa"/>
            <w:vAlign w:val="bottom"/>
            <w:gridSpan w:val="10"/>
          </w:tcPr>
          <w:p>
            <w:pPr>
              <w:spacing w:after="0"/>
              <w:rPr>
                <w:sz w:val="20"/>
                <w:szCs w:val="20"/>
                <w:color w:val="auto"/>
              </w:rPr>
            </w:pPr>
            <w:r>
              <w:rPr>
                <w:rFonts w:ascii="Arial" w:cs="Arial" w:eastAsia="Arial" w:hAnsi="Arial"/>
                <w:sz w:val="14"/>
                <w:szCs w:val="14"/>
                <w:color w:val="0000FF"/>
              </w:rPr>
              <w:t>Table of Contents</w:t>
            </w:r>
          </w:p>
        </w:tc>
        <w:tc>
          <w:tcPr>
            <w:tcW w:w="2000" w:type="dxa"/>
            <w:vAlign w:val="bottom"/>
          </w:tcPr>
          <w:p>
            <w:pPr>
              <w:spacing w:after="0"/>
              <w:rPr>
                <w:sz w:val="14"/>
                <w:szCs w:val="14"/>
                <w:color w:val="auto"/>
              </w:rPr>
            </w:pPr>
          </w:p>
        </w:tc>
      </w:tr>
      <w:tr>
        <w:trPr>
          <w:trHeight w:val="733"/>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gridSpan w:val="5"/>
          </w:tcPr>
          <w:p>
            <w:pPr>
              <w:jc w:val="center"/>
              <w:ind w:right="1680"/>
              <w:spacing w:after="0"/>
              <w:rPr>
                <w:sz w:val="20"/>
                <w:szCs w:val="20"/>
                <w:color w:val="auto"/>
              </w:rPr>
            </w:pPr>
            <w:r>
              <w:rPr>
                <w:rFonts w:ascii="Arial" w:cs="Arial" w:eastAsia="Arial" w:hAnsi="Arial"/>
                <w:sz w:val="14"/>
                <w:szCs w:val="14"/>
                <w:b w:val="1"/>
                <w:bCs w:val="1"/>
                <w:color w:val="auto"/>
              </w:rPr>
              <w:t>INDEX TO CONSOLIDATED FINANCIAL STATEMENTS</w:t>
            </w:r>
          </w:p>
        </w:tc>
        <w:tc>
          <w:tcPr>
            <w:tcW w:w="200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9260" w:type="dxa"/>
            <w:vAlign w:val="bottom"/>
            <w:gridSpan w:val="9"/>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(BDO USA, LLP, San Diego, CA, PCAOB ID#243)</w:t>
            </w:r>
          </w:p>
        </w:tc>
        <w:tc>
          <w:tcPr>
            <w:tcW w:w="200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89"/>
              </w:rPr>
              <w:t>Consolidated Balance Sheets as of December 31, 2022 and 2021</w:t>
            </w:r>
          </w:p>
        </w:tc>
        <w:tc>
          <w:tcPr>
            <w:tcW w:w="5600" w:type="dxa"/>
            <w:vAlign w:val="bottom"/>
            <w:gridSpan w:val="5"/>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60"/>
        </w:trPr>
        <w:tc>
          <w:tcPr>
            <w:tcW w:w="20" w:type="dxa"/>
            <w:vAlign w:val="bottom"/>
          </w:tcPr>
          <w:p>
            <w:pPr>
              <w:spacing w:after="0"/>
              <w:rPr>
                <w:sz w:val="13"/>
                <w:szCs w:val="13"/>
                <w:color w:val="auto"/>
              </w:rPr>
            </w:pPr>
          </w:p>
        </w:tc>
        <w:tc>
          <w:tcPr>
            <w:tcW w:w="9260" w:type="dxa"/>
            <w:vAlign w:val="bottom"/>
            <w:gridSpan w:val="9"/>
          </w:tcPr>
          <w:p>
            <w:pPr>
              <w:spacing w:after="0"/>
              <w:rPr>
                <w:sz w:val="20"/>
                <w:szCs w:val="20"/>
                <w:color w:val="auto"/>
              </w:rPr>
            </w:pPr>
            <w:r>
              <w:rPr>
                <w:rFonts w:ascii="Arial" w:cs="Arial" w:eastAsia="Arial" w:hAnsi="Arial"/>
                <w:sz w:val="14"/>
                <w:szCs w:val="14"/>
                <w:color w:val="0000FF"/>
              </w:rPr>
              <w:t>Consolidated Statements of Operations for the Years ended December 31, 2022 and 2021</w:t>
            </w:r>
          </w:p>
        </w:tc>
        <w:tc>
          <w:tcPr>
            <w:tcW w:w="200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62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89"/>
              </w:rPr>
              <w:t>Consolidated Statements of Comprehensive Loss for the Years ended December 31, 2022 and 2021</w:t>
            </w:r>
          </w:p>
        </w:tc>
        <w:tc>
          <w:tcPr>
            <w:tcW w:w="3640" w:type="dxa"/>
            <w:vAlign w:val="bottom"/>
            <w:gridSpan w:val="2"/>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60"/>
        </w:trPr>
        <w:tc>
          <w:tcPr>
            <w:tcW w:w="20" w:type="dxa"/>
            <w:vAlign w:val="bottom"/>
          </w:tcPr>
          <w:p>
            <w:pPr>
              <w:spacing w:after="0"/>
              <w:rPr>
                <w:sz w:val="13"/>
                <w:szCs w:val="13"/>
                <w:color w:val="auto"/>
              </w:rPr>
            </w:pPr>
          </w:p>
        </w:tc>
        <w:tc>
          <w:tcPr>
            <w:tcW w:w="9260" w:type="dxa"/>
            <w:vAlign w:val="bottom"/>
            <w:gridSpan w:val="9"/>
          </w:tcPr>
          <w:p>
            <w:pPr>
              <w:spacing w:after="0"/>
              <w:rPr>
                <w:sz w:val="20"/>
                <w:szCs w:val="20"/>
                <w:color w:val="auto"/>
              </w:rPr>
            </w:pPr>
            <w:r>
              <w:rPr>
                <w:rFonts w:ascii="Arial" w:cs="Arial" w:eastAsia="Arial" w:hAnsi="Arial"/>
                <w:sz w:val="14"/>
                <w:szCs w:val="14"/>
                <w:color w:val="0000FF"/>
              </w:rPr>
              <w:t>Consolidated Statements of Stockholders’ Equity (Deficit) for the Years ended December 31, 2022 and 2021</w:t>
            </w:r>
          </w:p>
        </w:tc>
        <w:tc>
          <w:tcPr>
            <w:tcW w:w="20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60"/>
        </w:trPr>
        <w:tc>
          <w:tcPr>
            <w:tcW w:w="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4"/>
                <w:szCs w:val="14"/>
                <w:color w:val="0000FF"/>
                <w:w w:val="89"/>
              </w:rPr>
              <w:t>Consolidated Statements of Cash Flows for the Years ended December 31, 2022 and 2021</w:t>
            </w:r>
          </w:p>
        </w:tc>
        <w:tc>
          <w:tcPr>
            <w:tcW w:w="1040" w:type="dxa"/>
            <w:vAlign w:val="bottom"/>
            <w:tcBorders>
              <w:top w:val="single" w:sz="8" w:color="0000FF"/>
            </w:tcBorders>
            <w:gridSpan w:val="2"/>
          </w:tcPr>
          <w:p>
            <w:pPr>
              <w:spacing w:after="0"/>
              <w:rPr>
                <w:sz w:val="13"/>
                <w:szCs w:val="13"/>
                <w:color w:val="auto"/>
              </w:rPr>
            </w:pPr>
          </w:p>
        </w:tc>
        <w:tc>
          <w:tcPr>
            <w:tcW w:w="312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0"/>
              </w:rPr>
              <w:t>Notes to Consolidated Financial Statements</w:t>
            </w:r>
          </w:p>
        </w:tc>
        <w:tc>
          <w:tcPr>
            <w:tcW w:w="6780" w:type="dxa"/>
            <w:vAlign w:val="bottom"/>
            <w:gridSpan w:val="7"/>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722"/>
        </w:trPr>
        <w:tc>
          <w:tcPr>
            <w:tcW w:w="6160" w:type="dxa"/>
            <w:vAlign w:val="bottom"/>
            <w:gridSpan w:val="9"/>
          </w:tcPr>
          <w:p>
            <w:pPr>
              <w:jc w:val="right"/>
              <w:ind w:right="420"/>
              <w:spacing w:after="0"/>
              <w:rPr>
                <w:sz w:val="20"/>
                <w:szCs w:val="20"/>
                <w:color w:val="auto"/>
              </w:rPr>
            </w:pPr>
            <w:r>
              <w:rPr>
                <w:rFonts w:ascii="Arial" w:cs="Arial" w:eastAsia="Arial" w:hAnsi="Arial"/>
                <w:sz w:val="14"/>
                <w:szCs w:val="14"/>
                <w:color w:val="auto"/>
              </w:rPr>
              <w:t>117</w:t>
            </w:r>
          </w:p>
        </w:tc>
        <w:tc>
          <w:tcPr>
            <w:tcW w:w="3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Aadi Bioscience, Inc.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Pacific Palisades, California</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Consolidated Financial Statements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4"/>
          <w:szCs w:val="14"/>
          <w:color w:val="auto"/>
        </w:rPr>
        <w:t>We have audited the accompanying consolidated balance sheets of Aadi Bioscience, Inc. (the “Company”) as of December 31, 2022 and 2021, the related consolidated statements of operations, comprehensive loss,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w:t>
      </w:r>
      <w:r>
        <w:rPr>
          <w:rFonts w:ascii="Arial" w:cs="Arial" w:eastAsia="Arial" w:hAnsi="Arial"/>
          <w:sz w:val="14"/>
          <w:szCs w:val="14"/>
          <w:b w:val="1"/>
          <w:bCs w:val="1"/>
          <w:color w:val="auto"/>
        </w:rPr>
        <w:t>,</w:t>
      </w:r>
      <w:r>
        <w:rPr>
          <w:rFonts w:ascii="Arial" w:cs="Arial" w:eastAsia="Arial" w:hAnsi="Arial"/>
          <w:sz w:val="14"/>
          <w:szCs w:val="14"/>
          <w:color w:val="auto"/>
        </w:rPr>
        <w:t xml:space="preserve"> in conformity with accounting principles generally accepted in the United States of America.</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5"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Revenue Allowances for Chargebacks and Government Rebates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As described in Note 2 to the consolidated financial statements, revenue from product sales is recognized net of estimates for variable consideration consisting of chargebacks, government rebates, distribution fees, co-payment assistance, and product returns. This variable consideration is recorded in the same period that the related revenue is recognized and creates variability for the consideration that the Company expects to receive. Liabilities related to government rebates and chargebacks involve the use of assumptions and judgments that include consideration of historical claims experience, channel mix, unbilled claims, claims submission time lags, and inventory levels in the distribution channel.</w:t>
      </w:r>
    </w:p>
    <w:p>
      <w:pPr>
        <w:spacing w:after="0" w:line="6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identified management's estimated allowance for government rebates and chargebacks as a critical audit matter. The principal consideration that led to our determination is the judgement required to evaluate the estimated government rebates and chargebacks that will be processed based upon the limited period of time for which the company has been processing rebates and chargebacks. Auditing these elements involved subjective auditor judgement due to the nature and extent of audit effort to address these matters.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included:</w:t>
      </w:r>
    </w:p>
    <w:p>
      <w:pPr>
        <w:spacing w:after="0" w:line="83" w:lineRule="exact"/>
        <w:rPr>
          <w:sz w:val="20"/>
          <w:szCs w:val="20"/>
          <w:color w:val="auto"/>
        </w:rPr>
      </w:pPr>
    </w:p>
    <w:p>
      <w:pPr>
        <w:ind w:left="520" w:hanging="260"/>
        <w:spacing w:after="0"/>
        <w:tabs>
          <w:tab w:leader="none" w:pos="5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Evaluating the significant accounting policies relating to government rebates and chargebacks as well as the Company's application of the policies, for appropriateness and reasonableness.</w:t>
      </w:r>
    </w:p>
    <w:p>
      <w:pPr>
        <w:spacing w:after="0" w:line="106" w:lineRule="exact"/>
        <w:rPr>
          <w:rFonts w:ascii="Arial" w:cs="Arial" w:eastAsia="Arial" w:hAnsi="Arial"/>
          <w:sz w:val="12"/>
          <w:szCs w:val="12"/>
          <w:color w:val="auto"/>
        </w:rPr>
      </w:pPr>
    </w:p>
    <w:p>
      <w:pPr>
        <w:ind w:left="520" w:hanging="260"/>
        <w:spacing w:after="0" w:line="265" w:lineRule="auto"/>
        <w:tabs>
          <w:tab w:leader="none" w:pos="516" w:val="left"/>
        </w:tabs>
        <w:numPr>
          <w:ilvl w:val="0"/>
          <w:numId w:val="60"/>
        </w:numPr>
        <w:rPr>
          <w:rFonts w:ascii="Arial" w:cs="Arial" w:eastAsia="Arial" w:hAnsi="Arial"/>
          <w:sz w:val="14"/>
          <w:szCs w:val="14"/>
          <w:color w:val="auto"/>
        </w:rPr>
      </w:pPr>
      <w:r>
        <w:rPr>
          <w:rFonts w:ascii="Arial" w:cs="Arial" w:eastAsia="Arial" w:hAnsi="Arial"/>
          <w:sz w:val="14"/>
          <w:szCs w:val="14"/>
          <w:color w:val="auto"/>
        </w:rPr>
        <w:t>Evaluating historical sales subsequent to product launch eligible for government rebates and chargebacks to assess the reasonableness of the estimate for government rebates and chargebacks unprocessed as of year-end.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BDO USA,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2017</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March 28, 2023</w:t>
      </w:r>
    </w:p>
    <w:p>
      <w:pPr>
        <w:spacing w:after="0" w:line="200" w:lineRule="exact"/>
        <w:rPr>
          <w:sz w:val="20"/>
          <w:szCs w:val="20"/>
          <w:color w:val="auto"/>
        </w:rPr>
      </w:pPr>
    </w:p>
    <w:p>
      <w:pPr>
        <w:spacing w:after="0" w:line="286"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AADI BIOSCIENCE, INC.</w:t>
      </w:r>
    </w:p>
    <w:p>
      <w:pPr>
        <w:spacing w:after="0" w:line="9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 except share data and par value)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12"/>
                <w:szCs w:val="12"/>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w w:val="97"/>
              </w:rPr>
              <w:t>2021</w:t>
            </w:r>
          </w:p>
        </w:tc>
      </w:tr>
      <w:tr>
        <w:trPr>
          <w:trHeight w:val="159"/>
        </w:trPr>
        <w:tc>
          <w:tcPr>
            <w:tcW w:w="8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88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148,989</w:t>
            </w: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Short-term investments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133,541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receivable, net</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Inventory</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3,746</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2,283</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180,029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151,272</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 net</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2,213</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184,237</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157,910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6,439</w:t>
            </w: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Accrued liabilities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14,922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8,703</w:t>
            </w: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 liabilities, current portion</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18,835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15,273</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Due to licensor (Note 9)</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21,504</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Commitments and contingencies (Note 16)</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2"/>
        </w:trPr>
        <w:tc>
          <w:tcPr>
            <w:tcW w:w="8220" w:type="dxa"/>
            <w:vAlign w:val="bottom"/>
          </w:tcPr>
          <w:p>
            <w:pPr>
              <w:ind w:left="100"/>
              <w:spacing w:after="0"/>
              <w:rPr>
                <w:sz w:val="20"/>
                <w:szCs w:val="20"/>
                <w:color w:val="auto"/>
              </w:rPr>
            </w:pPr>
            <w:r>
              <w:rPr>
                <w:rFonts w:ascii="Arial" w:cs="Arial" w:eastAsia="Arial" w:hAnsi="Arial"/>
                <w:sz w:val="14"/>
                <w:szCs w:val="14"/>
                <w:color w:val="auto"/>
                <w:w w:val="95"/>
              </w:rPr>
              <w:t>Preferred stock, $0.0001 par value, 10,000,000 shares authorized; no shares issued and outstanding as of December 31, 2022 and 2021</w:t>
            </w:r>
          </w:p>
        </w:tc>
        <w:tc>
          <w:tcPr>
            <w:tcW w:w="8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8"/>
              </w:rPr>
              <w:t>Common stock, $0.0001 par value, 300,000,000 shares authorized; 24,435,007 and 20,894,695 shares issued and outstanding as of</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2"/>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December 31, 2022 and 2021, respectively</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Additional paid-in capital</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361,689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279,089</w:t>
            </w: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loss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deficit</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(203,198)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(142,685)</w:t>
            </w: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8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158,378</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136,406</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8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184,237</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157,910</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AADI BIOSCIENCE, INC.</w:t>
      </w:r>
    </w:p>
    <w:p>
      <w:pPr>
        <w:spacing w:after="0" w:line="94"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 except share data and earnings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Product sales, net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15,216</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License revenue</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Grant revenue</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15,216</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18,511</w:t>
            </w:r>
          </w:p>
        </w:tc>
        <w:tc>
          <w:tcPr>
            <w:tcW w:w="0" w:type="dxa"/>
            <w:vAlign w:val="bottom"/>
          </w:tcPr>
          <w:p>
            <w:pPr>
              <w:spacing w:after="0"/>
              <w:rPr>
                <w:sz w:val="1"/>
                <w:szCs w:val="1"/>
                <w:color w:val="auto"/>
              </w:rPr>
            </w:pP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32,662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19,670</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goods sold</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Impairment of acquired contract intangible asset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3,724</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74,156</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77,897</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112,337</w:t>
            </w:r>
          </w:p>
        </w:tc>
        <w:tc>
          <w:tcPr>
            <w:tcW w:w="0" w:type="dxa"/>
            <w:vAlign w:val="bottom"/>
          </w:tcPr>
          <w:p>
            <w:pPr>
              <w:spacing w:after="0"/>
              <w:rPr>
                <w:sz w:val="1"/>
                <w:szCs w:val="1"/>
                <w:color w:val="auto"/>
              </w:rPr>
            </w:pP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(62,681)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(111,217)</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Change in fair value of convertible promissory notes</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upon extinguishment of debt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2,398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net</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 expense</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(60,513)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(110,088)</w:t>
            </w:r>
          </w:p>
        </w:tc>
        <w:tc>
          <w:tcPr>
            <w:tcW w:w="0" w:type="dxa"/>
            <w:vAlign w:val="bottom"/>
          </w:tcPr>
          <w:p>
            <w:pPr>
              <w:spacing w:after="0"/>
              <w:rPr>
                <w:sz w:val="1"/>
                <w:szCs w:val="1"/>
                <w:color w:val="auto"/>
              </w:rPr>
            </w:pP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Income tax expense</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(60,513)</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(110,090)</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Cumulative dividends on convertible preferred stock</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96"/>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(110,737)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tcPr>
          <w:p>
            <w:pPr>
              <w:ind w:left="100"/>
              <w:spacing w:after="0" w:line="143" w:lineRule="exact"/>
              <w:rPr>
                <w:sz w:val="20"/>
                <w:szCs w:val="20"/>
                <w:color w:val="auto"/>
              </w:rPr>
            </w:pPr>
            <w:r>
              <w:rPr>
                <w:rFonts w:ascii="Arial" w:cs="Arial" w:eastAsia="Arial" w:hAnsi="Arial"/>
                <w:sz w:val="14"/>
                <w:szCs w:val="14"/>
                <w:color w:val="auto"/>
              </w:rPr>
              <w:t>Net loss per share attributable to common stockholders, basic and diluted</w:t>
            </w:r>
          </w:p>
        </w:tc>
        <w:tc>
          <w:tcPr>
            <w:tcW w:w="36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(2.69)</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ind w:right="449"/>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8220" w:type="dxa"/>
            <w:vAlign w:val="bottom"/>
            <w:shd w:val="clear" w:color="auto" w:fill="CCEEFF"/>
          </w:tcPr>
          <w:p>
            <w:pPr>
              <w:ind w:left="100"/>
              <w:spacing w:after="0" w:line="100" w:lineRule="exact"/>
              <w:rPr>
                <w:sz w:val="20"/>
                <w:szCs w:val="20"/>
                <w:color w:val="auto"/>
              </w:rPr>
            </w:pPr>
            <w:r>
              <w:rPr>
                <w:rFonts w:ascii="Arial" w:cs="Arial" w:eastAsia="Arial" w:hAnsi="Arial"/>
                <w:sz w:val="11"/>
                <w:szCs w:val="11"/>
                <w:color w:val="auto"/>
              </w:rPr>
              <w:t>Weighted average number of common shares outstanding used in computing net loss per share attributable to common stockholders, basic and</w:t>
            </w:r>
          </w:p>
        </w:tc>
        <w:tc>
          <w:tcPr>
            <w:tcW w:w="360" w:type="dxa"/>
            <w:vAlign w:val="bottom"/>
            <w:shd w:val="clear" w:color="auto" w:fill="CCEEFF"/>
          </w:tcPr>
          <w:p>
            <w:pPr>
              <w:spacing w:after="0"/>
              <w:rPr>
                <w:sz w:val="8"/>
                <w:szCs w:val="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22,511,237</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8,923,369</w:t>
            </w: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AADI BIOSCIENCE, INC.</w:t>
      </w:r>
    </w:p>
    <w:p>
      <w:pPr>
        <w:spacing w:after="0" w:line="94"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8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12"/>
                <w:szCs w:val="12"/>
                <w:color w:val="auto"/>
              </w:rPr>
            </w:pPr>
          </w:p>
        </w:tc>
      </w:tr>
      <w:tr>
        <w:trPr>
          <w:trHeight w:val="169"/>
        </w:trPr>
        <w:tc>
          <w:tcPr>
            <w:tcW w:w="8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w w:val="89"/>
              </w:rPr>
              <w:t>2021</w:t>
            </w:r>
          </w:p>
        </w:tc>
      </w:tr>
      <w:tr>
        <w:trPr>
          <w:trHeight w:val="180"/>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(60,513)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(110,090)</w:t>
            </w:r>
          </w:p>
        </w:tc>
      </w:tr>
      <w:tr>
        <w:trPr>
          <w:trHeight w:val="180"/>
        </w:trPr>
        <w:tc>
          <w:tcPr>
            <w:tcW w:w="8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Change in unrealized loss on short-term investments</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(60,628)</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(110,090)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AADI BIOSCIENCE, INC.</w:t>
      </w:r>
    </w:p>
    <w:p>
      <w:pPr>
        <w:spacing w:after="0" w:line="94" w:lineRule="exact"/>
        <w:rPr>
          <w:sz w:val="20"/>
          <w:szCs w:val="20"/>
          <w:color w:val="auto"/>
        </w:rPr>
      </w:pPr>
    </w:p>
    <w:p>
      <w:pPr>
        <w:jc w:val="right"/>
        <w:ind w:right="3900"/>
        <w:spacing w:after="0"/>
        <w:rPr>
          <w:sz w:val="20"/>
          <w:szCs w:val="20"/>
          <w:color w:val="auto"/>
        </w:rPr>
      </w:pPr>
      <w:r>
        <w:rPr>
          <w:rFonts w:ascii="Arial" w:cs="Arial" w:eastAsia="Arial" w:hAnsi="Arial"/>
          <w:sz w:val="14"/>
          <w:szCs w:val="14"/>
          <w:b w:val="1"/>
          <w:bCs w:val="1"/>
          <w:color w:val="auto"/>
        </w:rPr>
        <w:t>Consolidated Statements of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 including share amounts)</w:t>
      </w:r>
    </w:p>
    <w:p>
      <w:pPr>
        <w:sectPr>
          <w:pgSz w:w="11900" w:h="16838" w:orient="portrait"/>
          <w:cols w:equalWidth="0" w:num="1">
            <w:col w:w="11280"/>
          </w:cols>
          <w:pgMar w:left="300" w:top="129" w:right="319" w:bottom="1440" w:gutter="0" w:footer="0" w:header="0"/>
        </w:sect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760" w:type="dxa"/>
            <w:vAlign w:val="bottom"/>
          </w:tcPr>
          <w:p>
            <w:pPr>
              <w:spacing w:after="0"/>
              <w:rPr>
                <w:sz w:val="13"/>
                <w:szCs w:val="13"/>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0"/>
              </w:rPr>
              <w:t>Series Seed Preferred Stock</w:t>
            </w:r>
          </w:p>
        </w:tc>
        <w:tc>
          <w:tcPr>
            <w:tcW w:w="60" w:type="dxa"/>
            <w:vAlign w:val="bottom"/>
          </w:tcPr>
          <w:p>
            <w:pPr>
              <w:spacing w:after="0"/>
              <w:rPr>
                <w:sz w:val="13"/>
                <w:szCs w:val="13"/>
                <w:color w:val="auto"/>
              </w:rPr>
            </w:pPr>
          </w:p>
        </w:tc>
        <w:tc>
          <w:tcPr>
            <w:tcW w:w="138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1"/>
                <w:szCs w:val="11"/>
                <w:b w:val="1"/>
                <w:bCs w:val="1"/>
                <w:color w:val="auto"/>
                <w:w w:val="97"/>
              </w:rPr>
              <w:t>Series A Preferred Stock</w:t>
            </w: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5"/>
                <w:szCs w:val="15"/>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w w:val="91"/>
              </w:rPr>
              <w:t>Par Value</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20"/>
                <w:szCs w:val="20"/>
                <w:color w:val="auto"/>
              </w:rPr>
            </w:pPr>
            <w:r>
              <w:rPr>
                <w:rFonts w:ascii="Arial" w:cs="Arial" w:eastAsia="Arial" w:hAnsi="Arial"/>
                <w:sz w:val="13"/>
                <w:szCs w:val="13"/>
                <w:color w:val="auto"/>
              </w:rPr>
              <w:t>Balance at December 31, 2020</w:t>
            </w:r>
          </w:p>
        </w:tc>
        <w:tc>
          <w:tcPr>
            <w:tcW w:w="660" w:type="dxa"/>
            <w:vAlign w:val="bottom"/>
          </w:tcPr>
          <w:p>
            <w:pPr>
              <w:jc w:val="right"/>
              <w:spacing w:after="0"/>
              <w:rPr>
                <w:sz w:val="20"/>
                <w:szCs w:val="20"/>
                <w:color w:val="auto"/>
              </w:rPr>
            </w:pPr>
            <w:r>
              <w:rPr>
                <w:rFonts w:ascii="Arial" w:cs="Arial" w:eastAsia="Arial" w:hAnsi="Arial"/>
                <w:sz w:val="13"/>
                <w:szCs w:val="13"/>
                <w:color w:val="auto"/>
              </w:rPr>
              <w:t>734</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7,212</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w w:val="92"/>
              </w:rPr>
              <w:t>Issuance of common stock upon exercise of stock</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options</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w w:val="89"/>
              </w:rPr>
              <w:t>Issuance of common stock to PIPE Investors, net of</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issuance costs</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w w:val="92"/>
              </w:rPr>
              <w:t>Issuance of common stock to former stockholders</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of Aerpio upon Merger</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w w:val="99"/>
              </w:rPr>
              <w:t>Conversion of convertible promissory note into</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common stock upon Merger</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rPr>
              <w:t>Conversion of convertible preferred stock into</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(734)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(7,212)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common stock upon Merger</w:t>
            </w: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w w:val="95"/>
              </w:rPr>
              <w:t>Cumulative dividends paid on Series A preferred</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stock</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80"/>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Arial" w:cs="Arial" w:eastAsia="Arial" w:hAnsi="Arial"/>
                <w:sz w:val="13"/>
                <w:szCs w:val="13"/>
                <w:color w:val="auto"/>
              </w:rPr>
              <w:t>Balance at December 31, 2021</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80"/>
              <w:spacing w:after="0" w:line="133" w:lineRule="exact"/>
              <w:rPr>
                <w:sz w:val="20"/>
                <w:szCs w:val="20"/>
                <w:color w:val="auto"/>
              </w:rPr>
            </w:pPr>
            <w:r>
              <w:rPr>
                <w:rFonts w:ascii="Arial" w:cs="Arial" w:eastAsia="Arial" w:hAnsi="Arial"/>
                <w:sz w:val="13"/>
                <w:szCs w:val="13"/>
                <w:color w:val="auto"/>
                <w:w w:val="92"/>
              </w:rPr>
              <w:t>Issuance of common stock upon exercise of stock</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760" w:type="dxa"/>
            <w:vAlign w:val="bottom"/>
            <w:vMerge w:val="continue"/>
          </w:tcPr>
          <w:p>
            <w:pPr>
              <w:spacing w:after="0"/>
              <w:rPr>
                <w:sz w:val="8"/>
                <w:szCs w:val="8"/>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options</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rPr>
              <w:t>Issuance of common stock upon exercise of</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warrants</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rPr>
              <w:t>Issuance of shares under the employee stock</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purchase plan</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60" w:type="dxa"/>
            <w:vAlign w:val="bottom"/>
          </w:tcPr>
          <w:p>
            <w:pPr>
              <w:ind w:left="80"/>
              <w:spacing w:after="0" w:line="136" w:lineRule="exact"/>
              <w:rPr>
                <w:sz w:val="20"/>
                <w:szCs w:val="20"/>
                <w:color w:val="auto"/>
              </w:rPr>
            </w:pPr>
            <w:r>
              <w:rPr>
                <w:rFonts w:ascii="Arial" w:cs="Arial" w:eastAsia="Arial" w:hAnsi="Arial"/>
                <w:sz w:val="13"/>
                <w:szCs w:val="13"/>
                <w:color w:val="auto"/>
                <w:w w:val="89"/>
              </w:rPr>
              <w:t>Issuance of common stock to PIPE Investors, net of</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80"/>
              <w:spacing w:after="0"/>
              <w:rPr>
                <w:sz w:val="20"/>
                <w:szCs w:val="20"/>
                <w:color w:val="auto"/>
              </w:rPr>
            </w:pPr>
            <w:r>
              <w:rPr>
                <w:rFonts w:ascii="Arial" w:cs="Arial" w:eastAsia="Arial" w:hAnsi="Arial"/>
                <w:sz w:val="13"/>
                <w:szCs w:val="13"/>
                <w:color w:val="auto"/>
              </w:rPr>
              <w:t>issuance costs</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80"/>
              <w:spacing w:after="0"/>
              <w:rPr>
                <w:sz w:val="20"/>
                <w:szCs w:val="20"/>
                <w:color w:val="auto"/>
              </w:rPr>
            </w:pPr>
            <w:r>
              <w:rPr>
                <w:rFonts w:ascii="Arial" w:cs="Arial" w:eastAsia="Arial" w:hAnsi="Arial"/>
                <w:sz w:val="13"/>
                <w:szCs w:val="13"/>
                <w:color w:val="auto"/>
              </w:rPr>
              <w:t>Other comprehensive loss</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760" w:type="dxa"/>
            <w:vAlign w:val="bottom"/>
          </w:tcPr>
          <w:p>
            <w:pPr>
              <w:ind w:left="80"/>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Arial" w:cs="Arial" w:eastAsia="Arial" w:hAnsi="Arial"/>
                <w:sz w:val="13"/>
                <w:szCs w:val="13"/>
                <w:color w:val="auto"/>
              </w:rPr>
              <w:t>Balance at December 31, 2022</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814060" cy="107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14060" cy="10795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-3118485</wp:posOffset>
            </wp:positionV>
            <wp:extent cx="179197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919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357060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40" w:type="dxa"/>
            <w:vAlign w:val="bottom"/>
            <w:gridSpan w:val="5"/>
          </w:tcPr>
          <w:p>
            <w:pPr>
              <w:ind w:left="32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 Other</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restart"/>
          </w:tcPr>
          <w:p>
            <w:pPr>
              <w:ind w:left="40"/>
              <w:spacing w:after="0" w:line="96" w:lineRule="exact"/>
              <w:rPr>
                <w:sz w:val="20"/>
                <w:szCs w:val="20"/>
                <w:color w:val="auto"/>
              </w:rPr>
            </w:pPr>
            <w:r>
              <w:rPr>
                <w:rFonts w:ascii="Arial" w:cs="Arial" w:eastAsia="Arial" w:hAnsi="Arial"/>
                <w:sz w:val="11"/>
                <w:szCs w:val="11"/>
                <w:b w:val="1"/>
                <w:bCs w:val="1"/>
                <w:color w:val="auto"/>
              </w:rPr>
              <w:t>Additional Paid-In</w:t>
            </w:r>
          </w:p>
        </w:tc>
        <w:tc>
          <w:tcPr>
            <w:tcW w:w="100" w:type="dxa"/>
            <w:vAlign w:val="bottom"/>
          </w:tcPr>
          <w:p>
            <w:pPr>
              <w:spacing w:after="0"/>
              <w:rPr>
                <w:sz w:val="4"/>
                <w:szCs w:val="4"/>
                <w:color w:val="auto"/>
              </w:rPr>
            </w:pPr>
          </w:p>
        </w:tc>
        <w:tc>
          <w:tcPr>
            <w:tcW w:w="960" w:type="dxa"/>
            <w:vAlign w:val="bottom"/>
            <w:gridSpan w:val="2"/>
            <w:vMerge w:val="restart"/>
          </w:tcPr>
          <w:p>
            <w:pPr>
              <w:ind w:left="20"/>
              <w:spacing w:after="0" w:line="96"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4"/>
                <w:szCs w:val="4"/>
                <w:color w:val="auto"/>
              </w:rPr>
            </w:pPr>
          </w:p>
        </w:tc>
        <w:tc>
          <w:tcPr>
            <w:tcW w:w="920" w:type="dxa"/>
            <w:vAlign w:val="bottom"/>
            <w:gridSpan w:val="2"/>
            <w:vMerge w:val="restart"/>
          </w:tcPr>
          <w:p>
            <w:pPr>
              <w:ind w:left="40"/>
              <w:spacing w:after="0" w:line="96" w:lineRule="exact"/>
              <w:rPr>
                <w:sz w:val="20"/>
                <w:szCs w:val="20"/>
                <w:color w:val="auto"/>
              </w:rPr>
            </w:pPr>
            <w:r>
              <w:rPr>
                <w:rFonts w:ascii="Arial" w:cs="Arial" w:eastAsia="Arial" w:hAnsi="Arial"/>
                <w:sz w:val="11"/>
                <w:szCs w:val="11"/>
                <w:b w:val="1"/>
                <w:bCs w:val="1"/>
                <w:color w:val="auto"/>
              </w:rPr>
              <w:t>Accumulated</w:t>
            </w:r>
          </w:p>
        </w:tc>
        <w:tc>
          <w:tcPr>
            <w:tcW w:w="1000" w:type="dxa"/>
            <w:vAlign w:val="bottom"/>
            <w:gridSpan w:val="2"/>
            <w:vMerge w:val="restart"/>
          </w:tcPr>
          <w:p>
            <w:pPr>
              <w:ind w:left="40"/>
              <w:spacing w:after="0" w:line="96" w:lineRule="exact"/>
              <w:rPr>
                <w:sz w:val="20"/>
                <w:szCs w:val="20"/>
                <w:color w:val="auto"/>
              </w:rPr>
            </w:pPr>
            <w:r>
              <w:rPr>
                <w:rFonts w:ascii="Arial" w:cs="Arial" w:eastAsia="Arial" w:hAnsi="Arial"/>
                <w:sz w:val="11"/>
                <w:szCs w:val="11"/>
                <w:b w:val="1"/>
                <w:bCs w:val="1"/>
                <w:color w:val="auto"/>
                <w:w w:val="92"/>
              </w:rPr>
              <w:t>Total Stockholders'</w:t>
            </w:r>
          </w:p>
        </w:tc>
        <w:tc>
          <w:tcPr>
            <w:tcW w:w="0" w:type="dxa"/>
            <w:vAlign w:val="bottom"/>
          </w:tcPr>
          <w:p>
            <w:pPr>
              <w:spacing w:after="0"/>
              <w:rPr>
                <w:sz w:val="1"/>
                <w:szCs w:val="1"/>
                <w:color w:val="auto"/>
              </w:rPr>
            </w:pPr>
          </w:p>
        </w:tc>
      </w:tr>
      <w:tr>
        <w:trPr>
          <w:trHeight w:val="22"/>
        </w:trPr>
        <w:tc>
          <w:tcPr>
            <w:tcW w:w="660" w:type="dxa"/>
            <w:vAlign w:val="bottom"/>
            <w:vMerge w:val="restart"/>
          </w:tcPr>
          <w:p>
            <w:pPr>
              <w:jc w:val="right"/>
              <w:ind w:right="97"/>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1"/>
                <w:szCs w:val="11"/>
                <w:b w:val="1"/>
                <w:bCs w:val="1"/>
                <w:color w:val="auto"/>
                <w:w w:val="91"/>
              </w:rPr>
              <w:t>Par Value</w:t>
            </w:r>
          </w:p>
        </w:tc>
        <w:tc>
          <w:tcPr>
            <w:tcW w:w="60" w:type="dxa"/>
            <w:vAlign w:val="bottom"/>
            <w:vMerge w:val="restart"/>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1"/>
                <w:szCs w:val="11"/>
                <w:b w:val="1"/>
                <w:bCs w:val="1"/>
                <w:color w:val="auto"/>
              </w:rPr>
              <w:t>Capital</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Loss</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60"/>
        </w:trPr>
        <w:tc>
          <w:tcPr>
            <w:tcW w:w="660" w:type="dxa"/>
            <w:vAlign w:val="bottom"/>
          </w:tcPr>
          <w:p>
            <w:pPr>
              <w:jc w:val="right"/>
              <w:spacing w:after="0"/>
              <w:rPr>
                <w:sz w:val="20"/>
                <w:szCs w:val="20"/>
                <w:color w:val="auto"/>
              </w:rPr>
            </w:pPr>
            <w:r>
              <w:rPr>
                <w:rFonts w:ascii="Arial" w:cs="Arial" w:eastAsia="Arial" w:hAnsi="Arial"/>
                <w:sz w:val="13"/>
                <w:szCs w:val="13"/>
                <w:color w:val="auto"/>
              </w:rPr>
              <w:t>2,542</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20,161</w:t>
            </w:r>
          </w:p>
        </w:tc>
        <w:tc>
          <w:tcPr>
            <w:tcW w:w="6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(32,595)</w:t>
            </w:r>
          </w:p>
        </w:tc>
        <w:tc>
          <w:tcPr>
            <w:tcW w:w="6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(12,432)</w:t>
            </w:r>
          </w:p>
        </w:tc>
        <w:tc>
          <w:tcPr>
            <w:tcW w:w="0" w:type="dxa"/>
            <w:vAlign w:val="bottom"/>
          </w:tcPr>
          <w:p>
            <w:pPr>
              <w:spacing w:after="0"/>
              <w:rPr>
                <w:sz w:val="1"/>
                <w:szCs w:val="1"/>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3"/>
                <w:szCs w:val="13"/>
                <w:color w:val="auto"/>
              </w:rPr>
              <w:t>11,853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145,383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145,384</w:t>
            </w:r>
          </w:p>
        </w:tc>
        <w:tc>
          <w:tcPr>
            <w:tcW w:w="0" w:type="dxa"/>
            <w:vAlign w:val="bottom"/>
          </w:tcPr>
          <w:p>
            <w:pPr>
              <w:spacing w:after="0"/>
              <w:rPr>
                <w:sz w:val="1"/>
                <w:szCs w:val="1"/>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3"/>
                <w:szCs w:val="13"/>
                <w:color w:val="auto"/>
              </w:rPr>
              <w:t>3,209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105,888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105,888</w:t>
            </w:r>
          </w:p>
        </w:tc>
        <w:tc>
          <w:tcPr>
            <w:tcW w:w="0" w:type="dxa"/>
            <w:vAlign w:val="bottom"/>
          </w:tcPr>
          <w:p>
            <w:pPr>
              <w:spacing w:after="0"/>
              <w:rPr>
                <w:sz w:val="1"/>
                <w:szCs w:val="1"/>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3"/>
                <w:szCs w:val="13"/>
                <w:color w:val="auto"/>
              </w:rPr>
              <w:t>698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9,130</w:t>
            </w:r>
          </w:p>
        </w:tc>
        <w:tc>
          <w:tcPr>
            <w:tcW w:w="0" w:type="dxa"/>
            <w:vAlign w:val="bottom"/>
          </w:tcPr>
          <w:p>
            <w:pPr>
              <w:spacing w:after="0"/>
              <w:rPr>
                <w:sz w:val="1"/>
                <w:szCs w:val="1"/>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3"/>
                <w:szCs w:val="13"/>
                <w:color w:val="auto"/>
              </w:rPr>
              <w:t>2,520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0"/>
        </w:trPr>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2,106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2,106</w:t>
            </w:r>
          </w:p>
        </w:tc>
        <w:tc>
          <w:tcPr>
            <w:tcW w:w="0" w:type="dxa"/>
            <w:vAlign w:val="bottom"/>
          </w:tcPr>
          <w:p>
            <w:pPr>
              <w:spacing w:after="0"/>
              <w:rPr>
                <w:sz w:val="1"/>
                <w:szCs w:val="1"/>
                <w:color w:val="auto"/>
              </w:rPr>
            </w:pPr>
          </w:p>
        </w:tc>
      </w:tr>
      <w:tr>
        <w:trPr>
          <w:trHeight w:val="297"/>
        </w:trPr>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(4,412)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(4,412)</w:t>
            </w:r>
          </w:p>
        </w:tc>
        <w:tc>
          <w:tcPr>
            <w:tcW w:w="0" w:type="dxa"/>
            <w:vAlign w:val="bottom"/>
          </w:tcPr>
          <w:p>
            <w:pPr>
              <w:spacing w:after="0"/>
              <w:rPr>
                <w:sz w:val="1"/>
                <w:szCs w:val="1"/>
                <w:color w:val="auto"/>
              </w:rPr>
            </w:pPr>
          </w:p>
        </w:tc>
      </w:tr>
      <w:tr>
        <w:trPr>
          <w:trHeight w:val="172"/>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(110,090)</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(110,090)</w:t>
            </w:r>
          </w:p>
        </w:tc>
        <w:tc>
          <w:tcPr>
            <w:tcW w:w="0" w:type="dxa"/>
            <w:vAlign w:val="bottom"/>
          </w:tcPr>
          <w:p>
            <w:pPr>
              <w:spacing w:after="0"/>
              <w:rPr>
                <w:sz w:val="1"/>
                <w:szCs w:val="1"/>
                <w:color w:val="auto"/>
              </w:rPr>
            </w:pPr>
          </w:p>
        </w:tc>
      </w:tr>
      <w:tr>
        <w:trPr>
          <w:trHeight w:val="160"/>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20,895</w:t>
            </w: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3"/>
                <w:szCs w:val="13"/>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279,089</w:t>
            </w:r>
          </w:p>
        </w:tc>
        <w:tc>
          <w:tcPr>
            <w:tcW w:w="6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(142,685)</w:t>
            </w:r>
          </w:p>
        </w:tc>
        <w:tc>
          <w:tcPr>
            <w:tcW w:w="6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136,406</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0" w:type="dxa"/>
            <w:vAlign w:val="bottom"/>
          </w:tcPr>
          <w:p>
            <w:pPr>
              <w:jc w:val="right"/>
              <w:spacing w:after="0"/>
              <w:rPr>
                <w:sz w:val="20"/>
                <w:szCs w:val="20"/>
                <w:color w:val="auto"/>
              </w:rPr>
            </w:pPr>
            <w:r>
              <w:rPr>
                <w:rFonts w:ascii="Arial" w:cs="Arial" w:eastAsia="Arial" w:hAnsi="Arial"/>
                <w:sz w:val="13"/>
                <w:szCs w:val="13"/>
                <w:color w:val="auto"/>
              </w:rPr>
              <w:t>132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0"/>
        </w:trPr>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9,643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9,643</w:t>
            </w:r>
          </w:p>
        </w:tc>
        <w:tc>
          <w:tcPr>
            <w:tcW w:w="0" w:type="dxa"/>
            <w:vAlign w:val="bottom"/>
          </w:tcPr>
          <w:p>
            <w:pPr>
              <w:spacing w:after="0"/>
              <w:rPr>
                <w:sz w:val="1"/>
                <w:szCs w:val="1"/>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3"/>
                <w:szCs w:val="13"/>
                <w:color w:val="auto"/>
              </w:rPr>
              <w:t>3,374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72,178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72,178</w:t>
            </w:r>
          </w:p>
        </w:tc>
        <w:tc>
          <w:tcPr>
            <w:tcW w:w="0" w:type="dxa"/>
            <w:vAlign w:val="bottom"/>
          </w:tcPr>
          <w:p>
            <w:pPr>
              <w:spacing w:after="0"/>
              <w:rPr>
                <w:sz w:val="1"/>
                <w:szCs w:val="1"/>
                <w:color w:val="auto"/>
              </w:rPr>
            </w:pPr>
          </w:p>
        </w:tc>
      </w:tr>
      <w:tr>
        <w:trPr>
          <w:trHeight w:val="170"/>
        </w:trPr>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Arial" w:cs="Arial" w:eastAsia="Arial" w:hAnsi="Arial"/>
                <w:sz w:val="13"/>
                <w:szCs w:val="13"/>
                <w:color w:val="auto"/>
                <w:w w:val="92"/>
              </w:rPr>
              <w:t>(115)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72"/>
        </w:trPr>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(60,513)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(60,513)</w:t>
            </w:r>
          </w:p>
        </w:tc>
        <w:tc>
          <w:tcPr>
            <w:tcW w:w="0" w:type="dxa"/>
            <w:vAlign w:val="bottom"/>
          </w:tcPr>
          <w:p>
            <w:pPr>
              <w:spacing w:after="0"/>
              <w:rPr>
                <w:sz w:val="1"/>
                <w:szCs w:val="1"/>
                <w:color w:val="auto"/>
              </w:rPr>
            </w:pPr>
          </w:p>
        </w:tc>
      </w:tr>
      <w:tr>
        <w:trPr>
          <w:trHeight w:val="160"/>
        </w:trPr>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24,435</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361,689</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3"/>
                <w:szCs w:val="13"/>
                <w:color w:val="auto"/>
                <w:w w:val="92"/>
              </w:rPr>
              <w:t>(115)</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(203,198)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158,378</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-2808605</wp:posOffset>
            </wp:positionV>
            <wp:extent cx="7161530" cy="114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-2505710</wp:posOffset>
            </wp:positionV>
            <wp:extent cx="716153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-2128520</wp:posOffset>
            </wp:positionV>
            <wp:extent cx="716153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-1751330</wp:posOffset>
            </wp:positionV>
            <wp:extent cx="7161530" cy="107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-1454785</wp:posOffset>
            </wp:positionV>
            <wp:extent cx="7161530" cy="1079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-1218565</wp:posOffset>
            </wp:positionV>
            <wp:extent cx="716153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-841375</wp:posOffset>
            </wp:positionV>
            <wp:extent cx="7161530" cy="1079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-544830</wp:posOffset>
            </wp:positionV>
            <wp:extent cx="716153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600" w:space="60"/>
            <w:col w:w="5620"/>
          </w:cols>
          <w:pgMar w:left="300" w:top="129" w:right="31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AADI BIOSCIENCE, INC.</w:t>
      </w:r>
    </w:p>
    <w:p>
      <w:pPr>
        <w:spacing w:after="0" w:line="94"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12"/>
                <w:szCs w:val="12"/>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w w:val="97"/>
              </w:rPr>
              <w:t>2021</w:t>
            </w: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220" w:type="dxa"/>
            <w:vAlign w:val="bottom"/>
          </w:tcPr>
          <w:p>
            <w:pPr>
              <w:ind w:left="10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14"/>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(60,513)</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(110,090)</w:t>
            </w:r>
          </w:p>
        </w:tc>
      </w:tr>
      <w:tr>
        <w:trPr>
          <w:trHeight w:val="181"/>
        </w:trPr>
        <w:tc>
          <w:tcPr>
            <w:tcW w:w="8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Impairment of acquired contract intangible asset</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3,724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74,156</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Amortization of premiums and discounts on short-term investments, net</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convertible promissory notes</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Non-cash interest expense</w:t>
            </w:r>
          </w:p>
        </w:tc>
        <w:tc>
          <w:tcPr>
            <w:tcW w:w="8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665</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upon extinguishment of debt</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Non-cash lease expense</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 expense</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14,149</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Other non-current assets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481</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liabilities, net</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8,290</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8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(49,640)</w:t>
            </w: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(22,423)</w:t>
            </w: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Purchases of property and equipment</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short-term investments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(145,192)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Maturities of short-term investments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12,750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acquired in connection with the Merger</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29,700</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Transaction expenses related to the Merger</w:t>
            </w:r>
          </w:p>
        </w:tc>
        <w:tc>
          <w:tcPr>
            <w:tcW w:w="8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(4,501)</w:t>
            </w:r>
          </w:p>
        </w:tc>
      </w:tr>
      <w:tr>
        <w:trPr>
          <w:trHeight w:val="17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8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(132,886)</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25,153</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 and prefunded warrants to PIPE Investors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Issuance of common stock upon exercise of stock options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833</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under employee stock purchase plan</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Issuance of common stock upon exercise of warrants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offering costs paid for financing</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Costs incurred in connection with issuance of common stock</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(9,617)</w:t>
            </w:r>
          </w:p>
        </w:tc>
      </w:tr>
      <w:tr>
        <w:trPr>
          <w:trHeight w:val="181"/>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issuance of common stock to PIPE Investors</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r>
      <w:tr>
        <w:trPr>
          <w:trHeight w:val="180"/>
        </w:trPr>
        <w:tc>
          <w:tcPr>
            <w:tcW w:w="822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8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(4,412)</w:t>
            </w:r>
          </w:p>
        </w:tc>
      </w:tr>
      <w:tr>
        <w:trPr>
          <w:trHeight w:val="171"/>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72,620</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141,804</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(109,906)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144,534</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year</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148,989</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4,455</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year</w:t>
            </w: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39,083</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148,989</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AADI BIOSCIENCE, INC.</w:t>
      </w:r>
    </w:p>
    <w:p>
      <w:pPr>
        <w:spacing w:after="0" w:line="94"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Consolidated Statements of Cash Flows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8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12"/>
                <w:szCs w:val="12"/>
                <w:color w:val="auto"/>
              </w:rPr>
            </w:pPr>
          </w:p>
        </w:tc>
      </w:tr>
      <w:tr>
        <w:trPr>
          <w:trHeight w:val="169"/>
        </w:trPr>
        <w:tc>
          <w:tcPr>
            <w:tcW w:w="8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w w:val="89"/>
              </w:rPr>
              <w:t>2021</w:t>
            </w:r>
          </w:p>
        </w:tc>
      </w:tr>
      <w:tr>
        <w:trPr>
          <w:trHeight w:val="170"/>
        </w:trPr>
        <w:tc>
          <w:tcPr>
            <w:tcW w:w="8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200" w:type="dxa"/>
            <w:vAlign w:val="bottom"/>
          </w:tcPr>
          <w:p>
            <w:pPr>
              <w:spacing w:after="0"/>
              <w:rPr>
                <w:sz w:val="20"/>
                <w:szCs w:val="20"/>
                <w:color w:val="auto"/>
              </w:rPr>
            </w:pPr>
            <w:r>
              <w:rPr>
                <w:rFonts w:ascii="Arial" w:cs="Arial" w:eastAsia="Arial" w:hAnsi="Arial"/>
                <w:sz w:val="14"/>
                <w:szCs w:val="14"/>
                <w:color w:val="auto"/>
              </w:rPr>
              <w:t>Interest paid during the period</w:t>
            </w:r>
          </w:p>
        </w:tc>
        <w:tc>
          <w:tcPr>
            <w:tcW w:w="880" w:type="dxa"/>
            <w:vAlign w:val="bottom"/>
          </w:tcPr>
          <w:p>
            <w:pPr>
              <w:jc w:val="right"/>
              <w:ind w:right="73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1"/>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Costs incurred in connection with issuance of common stock paid during the period</w:t>
            </w: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0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activities:</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 Merger</w:t>
            </w: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105,888</w:t>
            </w:r>
          </w:p>
        </w:tc>
      </w:tr>
      <w:tr>
        <w:trPr>
          <w:trHeight w:val="180"/>
        </w:trPr>
        <w:tc>
          <w:tcPr>
            <w:tcW w:w="8200" w:type="dxa"/>
            <w:vAlign w:val="bottom"/>
          </w:tcPr>
          <w:p>
            <w:pPr>
              <w:spacing w:after="0"/>
              <w:rPr>
                <w:sz w:val="20"/>
                <w:szCs w:val="20"/>
                <w:color w:val="auto"/>
              </w:rPr>
            </w:pPr>
            <w:r>
              <w:rPr>
                <w:rFonts w:ascii="Arial" w:cs="Arial" w:eastAsia="Arial" w:hAnsi="Arial"/>
                <w:sz w:val="14"/>
                <w:szCs w:val="14"/>
                <w:color w:val="auto"/>
              </w:rPr>
              <w:t>Conversion of convertible promissory note into common stock upon Merger</w:t>
            </w:r>
          </w:p>
        </w:tc>
        <w:tc>
          <w:tcPr>
            <w:tcW w:w="880" w:type="dxa"/>
            <w:vAlign w:val="bottom"/>
          </w:tcPr>
          <w:p>
            <w:pPr>
              <w:jc w:val="right"/>
              <w:ind w:right="731"/>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9,130</w:t>
            </w:r>
          </w:p>
        </w:tc>
      </w:tr>
      <w:tr>
        <w:trPr>
          <w:trHeight w:val="181"/>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Amounts accrued for purchases of property and equipment</w:t>
            </w: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00" w:type="dxa"/>
            <w:vAlign w:val="bottom"/>
          </w:tcPr>
          <w:p>
            <w:pPr>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880" w:type="dxa"/>
            <w:vAlign w:val="bottom"/>
          </w:tcPr>
          <w:p>
            <w:pPr>
              <w:jc w:val="right"/>
              <w:ind w:right="73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610</w:t>
            </w: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Nature of Organization and Operations</w:t>
      </w:r>
    </w:p>
    <w:p>
      <w:pPr>
        <w:spacing w:after="0" w:line="98"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Aadi Bioscience, Inc. (together with its subsidiaries, the “Company” or “Aadi”) is a biopharmaceutical company focused on developing and commercializing precision therapies for genetically defined cancers with alterations in mTOR pathway genes. Aadi’s lead drug product, FYARRO</w:t>
      </w:r>
      <w:r>
        <w:rPr>
          <w:rFonts w:ascii="Arial" w:cs="Arial" w:eastAsia="Arial" w:hAnsi="Arial"/>
          <w:sz w:val="18"/>
          <w:szCs w:val="18"/>
          <w:color w:val="auto"/>
          <w:vertAlign w:val="superscript"/>
        </w:rPr>
        <w:t>®</w:t>
      </w:r>
      <w:r>
        <w:rPr>
          <w:rFonts w:ascii="Arial" w:cs="Arial" w:eastAsia="Arial" w:hAnsi="Arial"/>
          <w:sz w:val="14"/>
          <w:szCs w:val="14"/>
          <w:color w:val="auto"/>
        </w:rPr>
        <w:t>, is a form of sirolimus bound to albumin. Sirolimus is a potent inhibitor of the mTOR biological pathway, the activation of which pathway can promote tumor growth, and inhibits downstream signaling from mTOR. 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(“PEComa”). On February 22, 2022, Aadi launched FYARRO in the United States for treatment of advanced malignant PEComa. FYARRO is licensed to Aadi by Abraxis BioScience, LLC, a wholly owned subsidiary of Celgene Corporation.</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historical operations have consisted principally of performing research and development activities and raising capital. The Company’s activities are subject to significant risks and uncertainties, including failing to secure additional funding before sustainable revenues and profit from operations are achieved.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Merger with Aerpio Pharmaceuticals, Inc. and Name Change</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On May 16, 2021, the Company, then operating as Aerpio Pharmaceuticals, Inc. (“Aerpio”), entered into the Agreement and Plan of Merger (“Merger Agreement”) with Aspen Merger Subsidiary, Inc., a Delaware corporation and a direct, wholly owned subsidiary of Aerpio (“Merger Sub”) and Aadi Subsidiary, Inc. (formerly known as Aadi Bioscience, Inc. (“Private Aadi”)).</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Pursuant to the terms set forth in the Merger Agreement and effective August 26, 2021 (the “Effective Time”): (i) Merger Sub merged with and into Private Aadi, with Private Aadi surviving as a wholly owned subsidiary of Aerpio (the “Merger”), (ii) Aerpio changed its name to Aadi Bioscience, Inc. in connection with and immediately prior to the Effective Time, and (iii) Aerpio effected a 15:1 reverse stock split of the Aerpio common stock (“Reverse Stock Split”) immediately prior to the Effective Time. At the Effective Time, each share of Private Aadi common stock outstanding immediately prior to the Effective Time, including the shares of Private Aadi common stock issuable upon the conversion of all shares of preferred stock and convertible promissory notes immediately prior to the closing of the Merger, were converted into the right to receive shares of the Company’s common stock based on an exchange ratio of 0.3172 (the “Exchange Ratio”), after taking into account the Reverse Stock Split.</w:t>
      </w:r>
    </w:p>
    <w:p>
      <w:pPr>
        <w:spacing w:after="0" w:line="6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Pursuant to the Merger Agreement, Aerpio assumed all of the outstanding and unexercised options to purchase shares of Private Aadi capital stock under the Private Aadi Amended and Restated 2014 Equity Incentive Plan (the “Private Aadi Plan”), and, in connection with the Merger, such options were converted into options to purchase shares of the Company’s common stock based on the Exchange Ratio. At the closing of the Merger at the Effective Time, the Company issued an aggregate of 5,776,660 shares of common stock to holders of Private Aadi common stock, including in respect of shares of Private Aadi common stock issued upon the conversion of all shares of preferred stock and convertible promissory notes outstanding immediately prior to the Effective Time.</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Merger has been accounted for using the reverse asset acquisition method under U.S. generally accepted accounting principles (“GAAP”). For accounting purposes, Private Aadi is considered to have acquired the Company and the Merger has been accounted for as a reverse asset acquisition. The estimated fair value of total consideration given was $110.4 million based on 3,208,718 shares of common stock at $33.00 per share, after taking into account the Reverse Stock Split, outstanding immediately prior to the Effective Time, plus Private Aadi’s transaction costs. Private Aadi is considered the accounting acquirer even though the Company issued the common stock in the Merger based on the terms of the Merger Agreement and other factors including: (i) following the Merger, the stockholders of Private Aadi collectively owned a substantial portion of the voting rights of the Company; (ii) three (3) of seven (7) members of the board of directors of the Company post-Merger were composed of directors designated by Private Aadi under the terms of the Merger Agreement, and one (1) member of the board of directors of the Company post-Merger was a director mutually designated by Private Aadi and Aerpio; (iii) existing members of Private Aadi’s management became the management of the Company post-Merger; (iv) the 2021 Private Investment in Public Equity (PIPE) Investors (as defined below) consist of individuals and funds, and for purpose of this analysis, as of immediately following the Merger (and after giving effect to the 2021 PIPE Financing), no one individual or fund held more shares than the holders of Private Aadi collectively owned immediately following the Merger and they are not considered to be a single voting group; and (v) following the Merger, the Company is named “Aadi Bioscience, Inc.” and headquartered in Pacific Palisades, California, and all ongoing operations of the Company are those of Private Aadi. To determine the accounting for this transaction under GAAP, a company must assess whether an integrated set of assets and activities should be accounted for as an acquisition of a business or an asset acquisition. Upon closing of the Merger, substantially all of the fair value is concentrated in cash, working capital and a</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long-lived contract intangible asset. As such, the acquisition was treated as an asset acquisition. The net assets of Aerpio have been recorded at their relative fair value in the consolidated financial statements of the Company and the reported operating results prior to the Merger will be those of Private Aadi.</w:t>
      </w:r>
    </w:p>
    <w:p>
      <w:pPr>
        <w:spacing w:after="0" w:line="47" w:lineRule="exact"/>
        <w:rPr>
          <w:sz w:val="20"/>
          <w:szCs w:val="20"/>
          <w:color w:val="auto"/>
        </w:rPr>
      </w:pPr>
    </w:p>
    <w:p>
      <w:pPr>
        <w:ind w:right="520"/>
        <w:spacing w:after="0" w:line="379" w:lineRule="auto"/>
        <w:rPr>
          <w:sz w:val="20"/>
          <w:szCs w:val="20"/>
          <w:color w:val="auto"/>
        </w:rPr>
      </w:pPr>
      <w:r>
        <w:rPr>
          <w:rFonts w:ascii="Arial" w:cs="Arial" w:eastAsia="Arial" w:hAnsi="Arial"/>
          <w:sz w:val="14"/>
          <w:szCs w:val="14"/>
          <w:color w:val="auto"/>
        </w:rPr>
        <w:t xml:space="preserve">In connection with the closing of the Merger, Private Aadi’s board of directors declared a 4% cumulative dividend on its preferred stock of $4.4 million which was paid at the Effective Time. </w:t>
      </w:r>
      <w:r>
        <w:rPr>
          <w:rFonts w:ascii="Arial" w:cs="Arial" w:eastAsia="Arial" w:hAnsi="Arial"/>
          <w:sz w:val="14"/>
          <w:szCs w:val="14"/>
          <w:b w:val="1"/>
          <w:bCs w:val="1"/>
          <w:i w:val="1"/>
          <w:iCs w:val="1"/>
          <w:color w:val="auto"/>
        </w:rPr>
        <w:t>Contingent Value Rights and Contingent Value Rights Agreement</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connection with the Merger, the Company entered into a Contingent Value Rights Agreement, dated as of August 26, 2021 (the “CVR Agreement”), with a legacy director of the Company, as Holder Representative (as defined in the CVR Agreement), and American Stock Transfer &amp; Trust Company, LLC, as Rights Agent (as defined in the CVR Agreement), in accordance with the terms of the Merger Agreement. The CVR Agreement entitled each holder of Aerpio common stock as of immediately prior to the closing of the Merger (each, a “CVR Holder”) to receive one contingent value right (“CVR”) for each outstanding share of the Company common stock held by such CVR Holder as of immediately prior to the closing of the Merger, each representing the right to receive certain net proceeds, if any, derived from the CVR completed during a CVR Payment Period, which means successive six-month periods, prior to the expiration of the CVR Term (as defined in the CVR Agreement), with any potential payment obligations continuing until the earlier of (a) the 20-year anniversary of the Effective Time and (b) the time at which the license agreement dated June 24, 2018, as amended (the “Gossamer License Agreement”) with Gossamer Bio, Inc. (“Gossamer”), the underlying basis for the CVR, has expired or been terminated.</w:t>
      </w:r>
    </w:p>
    <w:p>
      <w:pPr>
        <w:spacing w:after="0" w:line="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April 25, 2022, the Company received a formal notice of termination from Gossamer for the Gossamer License Agreement (the “Notice of Termination”), that related to Gossamer’s GB004 product candidate, a legacy product candidate of the Company's predecessor,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Based on the Notice of Termination, the Company fully impaired the Gossamer License Agreement intangible asset during the year ended December 31, 2022. In connection with the termination of the Gossamer License Agreement, the CVR Agreement automatically terminated in accordance with its terms and the CVRs were automatically cancelled and forfeited without any consideration or payment, in each case effective July 24, 2022.</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Private Investment in Public Equity (PIPE) Financing and Subscription Agreement</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May 16, 2021, the Company entered into a subscription agreement (“Subscription Agreement”) with certain investors (the “2021 PIPE Investors”), pursuant to which it would sell shares of its Common Stock concurrently with the closing of the Merger (the “2021 PIPE Financing”). The 2021 PIPE Investors purchased an aggregate of 11,852,862 shares of common stock of the Company (the “2021 PIPE Shares”) for an aggregate purchase price of $155.0 million pursuant to the Subscription Agreement. The aggregate net proceeds for the issuance and sale of the 2021 PIPE Shares were $145.4 million, after deducting certain expenses incurred that were direct and incremental to the issuance of the 2021 PIPE Shares. At the closing of the 2021 PIPE Financing, the Company entered into a Registration Rights Agreement, dated August 26, 2021 (“Registration Rights Agreement”), with the 2021 PIPE Investors.</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Immediately following the Effective Time, and after giving effect to the Reverse Stock Split and the 2021 PIPE Financing, there were approximately 20.8 million shares of common stock of the Company outstanding. Immediately following the Effective Time and after giving effect to the Reverse Stock Split and the 2021 PIPE Financing: (i) the Private Aadi stockholders owned approximately 29.2% of the outstanding shares of common stock; (ii) Aerpio’s stockholders immediately prior to the Merger, whose shares of common stock, as adjusted for the Reverse Stock Split, remain outstanding after the Merger, owned approximately 15.2% of the outstanding shares of common stock; and (iii) the 2021 PIPE Investors owned approximately 55.6% of the outstanding shares of common stock, in each case as calculated on a fully-diluted basis.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Private Investment in Public Equity (PIPE) Financing</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September 22, 2022, the Company entered into a securities purchase agreement (“Purchase Agreement”) with certain investors (“2022 PIPE Investors”) for a private placement of shares of common stock and pre-funded warrants to purchase shares of common stock (the “2022 PIPE Financing”). Upon the closing of the 2022 PIPE Financing on September 26, 2022, the Company sold (i) 3,373,526 shares of its common stock at a purchase price of $12.50 per share, and (ii) 2,426,493 pre-funded warrants (the “Pre-Funded Warrants”) to purchase shares of common stock at a purchase price of $12.4999 per pre-funded warrant. The Pre-Funded Warrants have an exercise price of $0.0001 per share of common stock, are immediately exercisable and remain exercisable until exercised in full. The holders of Pre-Funded Warrants may not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aggregate net proceeds for the 2022 PIPE Financing were $72.2 million after deducting certain expenses incurred that were direct and incremental to the issuance of the shares of $0.3 million.</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September 26,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Securities and Exchange Commission (the “SEC”).</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has granted the 2022 PIPE Investors customary indemnification rights in connection with the 2022 PIPE Registration Rights Agreement. The Purchasers have also granted the Company customary indemnification rights in connection with the 2022 PIPE Registration Rights Agreement.</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Liquidity</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has experienced net losses since its inception and expects to continue to incur net losses into the foreseeable future. The Company had an accumulated deficit of $203.2 million as of December 31, 2022 and a net loss of $60.5 million and $110.1 million for the years ended December 31, 2022 and 2021, respectively. T</w:t>
      </w:r>
      <w:r>
        <w:rPr>
          <w:rFonts w:ascii="Arial" w:cs="Arial" w:eastAsia="Arial" w:hAnsi="Arial"/>
          <w:sz w:val="13"/>
          <w:szCs w:val="13"/>
          <w:color w:val="231F20"/>
        </w:rPr>
        <w:t>o date, these operating losses have been funded primarily from</w:t>
      </w:r>
      <w:r>
        <w:rPr>
          <w:rFonts w:ascii="Arial" w:cs="Arial" w:eastAsia="Arial" w:hAnsi="Arial"/>
          <w:sz w:val="13"/>
          <w:szCs w:val="13"/>
          <w:color w:val="auto"/>
        </w:rPr>
        <w:t xml:space="preserve"> </w:t>
      </w:r>
      <w:r>
        <w:rPr>
          <w:rFonts w:ascii="Arial" w:cs="Arial" w:eastAsia="Arial" w:hAnsi="Arial"/>
          <w:sz w:val="13"/>
          <w:szCs w:val="13"/>
          <w:color w:val="231F20"/>
        </w:rPr>
        <w:t>outside sources of invested capital through the issuance of convertible promissory notes, grant funding, the sale of securities, and proceeds from license agreements.</w:t>
      </w:r>
    </w:p>
    <w:p>
      <w:pPr>
        <w:spacing w:after="0" w:line="3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231F20"/>
        </w:rPr>
        <w:t xml:space="preserve">The Company had cash, cash equivalents and short term investments of $172.6 million </w:t>
      </w:r>
      <w:r>
        <w:rPr>
          <w:rFonts w:ascii="Arial" w:cs="Arial" w:eastAsia="Arial" w:hAnsi="Arial"/>
          <w:sz w:val="13"/>
          <w:szCs w:val="13"/>
          <w:color w:val="000000"/>
        </w:rPr>
        <w:t>at December 31, 2022. Management believes the Company’s current cash, cash equivalents and short-term</w:t>
      </w:r>
      <w:r>
        <w:rPr>
          <w:rFonts w:ascii="Arial" w:cs="Arial" w:eastAsia="Arial" w:hAnsi="Arial"/>
          <w:sz w:val="13"/>
          <w:szCs w:val="13"/>
          <w:color w:val="231F20"/>
        </w:rPr>
        <w:t xml:space="preserve"> </w:t>
      </w:r>
      <w:r>
        <w:rPr>
          <w:rFonts w:ascii="Arial" w:cs="Arial" w:eastAsia="Arial" w:hAnsi="Arial"/>
          <w:sz w:val="13"/>
          <w:szCs w:val="13"/>
          <w:color w:val="000000"/>
        </w:rPr>
        <w:t>investments will provide sufficient funds to 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financings. The Company may be unable to raise additional funds or enter into such other agreements when needed on favorable terms or at all.</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As of December 31, 2022, no shares of common stock had been sold under the Sales Agreement.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consolidated financial statements, and the related disclosures, have been prepared in accordance with GAAP and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consolidated financial statements are stated in U.S. dollars. Certain prior year amounts have been reclassified to conform to the current year presentation.</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August 26, 2021, when the Company closed the Merger, all outstanding shares of common stock along with preferred stock of Private Aadi were exchanged for new shares of common stock of the Company and the approximately 8.1 million shares of Private Aadi capital stock held by stockholders of Private Aadi immediately prior to the Merger were exchanged for approximately 2.5 million shares of common stock of the Company based on the Exchange Ratio. The authorized number of shares of common stock was not reduced and remains at 300.0 million. The par value of the Company’s common stock remains unchanged at $0.0001 per share.</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Also on August 26, 2021, and immediately prior to the closing of the Merger, the Company effected the Reverse Stock Split. Accordingly, all share and per share amounts for the period presented in the accompanying consolidated financial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statements and notes thereto have been adjusted retroactively, where applicable, to reflect the Reverse Stock Split. No fractional shares were issued in connection with the Reverse Stock Split. Unless otherwise noted, all references to shares of the Company’s common stock and per share amounts have also been adjusted to reflect the Exchange Ratio.</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Comprehensive loss is defined as the change in equity during a period from transactions and other events and circumstances from non-owner sources, including unrealized gains and losses on short-term investments. Comprehensive loss has been reflected in the statements of operations and comprehensive loss for all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consolidated financial statements and accompanying notes. In the opinion of management, all adjustments that are considered necessary for fair presentation have been included. The most significant estimates in the Company’s consolidated financial statements relate to fair value of the intangible asset, fair value of the convertible promissory notes,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Concentrat</w:t>
      </w:r>
      <w:r>
        <w:rPr>
          <w:rFonts w:ascii="Arial" w:cs="Arial" w:eastAsia="Arial" w:hAnsi="Arial"/>
          <w:sz w:val="14"/>
          <w:szCs w:val="14"/>
          <w:b w:val="1"/>
          <w:bCs w:val="1"/>
          <w:i w:val="1"/>
          <w:iCs w:val="1"/>
          <w:color w:val="000000"/>
        </w:rPr>
        <w:t>ion of Credit Risk</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Financial instruments, which potentially subject the Company to concentration of credit risk, consist primarily of cash and cash equivalents, and investments in money market funds, United States government treasury bills, commercial paper, corporate bonds, and government agency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recent failure of Silicon Valley Bank, at which the Company holds cash and cash equivalents in multiple accounts, exposed the Company to credit risk prior to the resolution by the Federal Deposit Insurance Corporation in a manner that fully protected all depositors. The Company has not experienced any losses on deposits since inception.</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accounts receivable is derived from customers located principally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doubtful accounts based on its assessment of various factors including historical experience, age of the receivable balances, and other current economic conditions or other factors that may affect customers’ ability to pay.</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Customer Concentration</w:t>
      </w:r>
    </w:p>
    <w:p>
      <w:pPr>
        <w:spacing w:after="0" w:line="94" w:lineRule="exact"/>
        <w:rPr>
          <w:sz w:val="20"/>
          <w:szCs w:val="20"/>
          <w:color w:val="auto"/>
        </w:rPr>
      </w:pPr>
    </w:p>
    <w:p>
      <w:pPr>
        <w:ind w:right="2100"/>
        <w:spacing w:after="0" w:line="379" w:lineRule="auto"/>
        <w:rPr>
          <w:sz w:val="20"/>
          <w:szCs w:val="20"/>
          <w:color w:val="auto"/>
        </w:rPr>
      </w:pPr>
      <w:r>
        <w:rPr>
          <w:rFonts w:ascii="Arial" w:cs="Arial" w:eastAsia="Arial" w:hAnsi="Arial"/>
          <w:sz w:val="14"/>
          <w:szCs w:val="14"/>
          <w:color w:val="auto"/>
        </w:rPr>
        <w:t xml:space="preserve">The majority of the Company's revenue for the year ended </w:t>
      </w:r>
      <w:r>
        <w:rPr>
          <w:rFonts w:ascii="Arial" w:cs="Arial" w:eastAsia="Arial" w:hAnsi="Arial"/>
          <w:sz w:val="14"/>
          <w:szCs w:val="14"/>
          <w:color w:val="231F20"/>
        </w:rPr>
        <w:t>December 31, 2022 was from two companies at</w:t>
      </w:r>
      <w:r>
        <w:rPr>
          <w:rFonts w:ascii="Arial" w:cs="Arial" w:eastAsia="Arial" w:hAnsi="Arial"/>
          <w:sz w:val="14"/>
          <w:szCs w:val="14"/>
          <w:color w:val="auto"/>
        </w:rPr>
        <w:t xml:space="preserve"> 58% and 41% of the Company’s revenue, respectively. Additionally, one customer accounted for 100% of the net accounts receivable as of </w:t>
      </w:r>
      <w:r>
        <w:rPr>
          <w:rFonts w:ascii="Arial" w:cs="Arial" w:eastAsia="Arial" w:hAnsi="Arial"/>
          <w:sz w:val="14"/>
          <w:szCs w:val="14"/>
          <w:color w:val="231F20"/>
        </w:rPr>
        <w:t>December 31, 2022</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Cash, Cash Equivalents and Restricted Cash</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considers all highly liquid marketable securities purchased with original maturities of three months or less at the time of purchase date to be cash equivalents. As of </w:t>
      </w:r>
      <w:r>
        <w:rPr>
          <w:rFonts w:ascii="Arial" w:cs="Arial" w:eastAsia="Arial" w:hAnsi="Arial"/>
          <w:sz w:val="14"/>
          <w:szCs w:val="14"/>
          <w:color w:val="231F20"/>
        </w:rPr>
        <w:t>December 31, 2022</w:t>
      </w:r>
      <w:r>
        <w:rPr>
          <w:rFonts w:ascii="Arial" w:cs="Arial" w:eastAsia="Arial" w:hAnsi="Arial"/>
          <w:sz w:val="14"/>
          <w:szCs w:val="14"/>
          <w:color w:val="auto"/>
        </w:rPr>
        <w:t xml:space="preserve"> and 2021, cash and cash equivalents included money market investments totaling $32.0 million and $140.0 million, respectively. Restricted cash consists of a letter of credit secured by restricted cash in connection with one of the Company's office leases described in Note 8, and is included in other assets on the consolidated balance sheet. The following table provides a reconciliation of cash, cash equivalents and restricted cash reported within the consolidated statements of cash flows (amounts in thousands):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w w:val="99"/>
              </w:rPr>
              <w:t>As of December 31,</w:t>
            </w:r>
          </w:p>
        </w:tc>
        <w:tc>
          <w:tcPr>
            <w:tcW w:w="960" w:type="dxa"/>
            <w:vAlign w:val="bottom"/>
          </w:tcPr>
          <w:p>
            <w:pPr>
              <w:spacing w:after="0"/>
              <w:rPr>
                <w:sz w:val="12"/>
                <w:szCs w:val="12"/>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2021</w:t>
            </w: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148,989</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non-current</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39,083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148,989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Fair Value Option</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The Company elected the fair value option to account for its convertible promissory notes which were issued in 2019 and 2020. The Company recorded the convertible promissory notes at fair value with changes in fair value recorded in the statements of operations. As of December 31, 2022 and 2021, there were no convertible notes outstanding as they were converted to shares of Private Aadi common stock immediately prior to the closing of the Merger.</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 Observable inputs, such as quoted prices in active markets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2: Inputs, other than the quoted prices in active markets that are observable either directly or indirectly</w:t>
      </w:r>
    </w:p>
    <w:p>
      <w:pPr>
        <w:spacing w:after="0" w:line="94" w:lineRule="exact"/>
        <w:rPr>
          <w:sz w:val="20"/>
          <w:szCs w:val="20"/>
          <w:color w:val="auto"/>
        </w:rPr>
      </w:pPr>
    </w:p>
    <w:p>
      <w:pPr>
        <w:ind w:left="1020" w:hanging="508"/>
        <w:spacing w:after="0" w:line="281" w:lineRule="auto"/>
        <w:rPr>
          <w:sz w:val="20"/>
          <w:szCs w:val="20"/>
          <w:color w:val="auto"/>
        </w:rPr>
      </w:pPr>
      <w:r>
        <w:rPr>
          <w:rFonts w:ascii="Arial" w:cs="Arial" w:eastAsia="Arial" w:hAnsi="Arial"/>
          <w:sz w:val="14"/>
          <w:szCs w:val="14"/>
          <w:color w:val="auto"/>
        </w:rPr>
        <w:t>Level 3: Unobservable inputs in which there is little or no market data, which require the reporting entity to develop its own assumptions which reflect those that a market participant would use</w:t>
      </w:r>
    </w:p>
    <w:p>
      <w:pPr>
        <w:spacing w:after="0" w:line="4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carrying amounts of cash and cash equivalents, accounts receivable, prepaid expenses and other current assets and accounts payable are reasonable estimates of their fair value because of the short maturity of these items.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Short-term investments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 xml:space="preserve">The Company invests in various types of securities, including United States government and commercial paper and corporate debt securities. The Company classifies its investments as available-for-sale and records them at fair value based upon market prices at period end. Unrealized gains and losses that are deemed temporary in nature are recorded in accumulated other comprehensive loss as a separate component of stockholders’ equity. Dividend and interest income are recognized when earned. Realized gains and losses are included in earnings and are derived using the specific identification method for determining the cost of investments sold. </w:t>
      </w:r>
      <w:r>
        <w:rPr>
          <w:rFonts w:ascii="Arial" w:cs="Arial" w:eastAsia="Arial" w:hAnsi="Arial"/>
          <w:sz w:val="14"/>
          <w:szCs w:val="14"/>
          <w:color w:val="000000"/>
        </w:rPr>
        <w:t>The Company classifies short-term investments wi</w:t>
      </w:r>
      <w:r>
        <w:rPr>
          <w:rFonts w:ascii="Arial" w:cs="Arial" w:eastAsia="Arial" w:hAnsi="Arial"/>
          <w:sz w:val="14"/>
          <w:szCs w:val="14"/>
          <w:color w:val="231F20"/>
        </w:rPr>
        <w:t>th remaining maturities greater than one year as current assets because such short-term investments are available to fund the Company’s current operations.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At each balance sheet date, the Company assesses available-for-sale securities in an unrealized loss position to determine whether the unrealized loss is other-than-temporary. When the Company determines that a decline in the fair value below its cost basis is other-than-temporary, the Company recognizes an impairment loss in the period in which the other-than-temporary decline occurred. There have been no other-than-temporary impairments recognized during any of the periods presented. See Note 4 for further informatio</w:t>
      </w:r>
      <w:r>
        <w:rPr>
          <w:rFonts w:ascii="Arial" w:cs="Arial" w:eastAsia="Arial" w:hAnsi="Arial"/>
          <w:sz w:val="14"/>
          <w:szCs w:val="14"/>
          <w:color w:val="000000"/>
        </w:rPr>
        <w:t>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 Net</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Accounts receivable are recorded net of customer allowances for chargebacks and allowance for doubtful accounts. Allowance for chargebacks is based on contractual terms. The Company estimates the allowance for doubtful accounts based on existing contractual payment terms, actual payment patterns of its customers and individual customer circumstances. As of December 31, 2022, $0.1 million of customer allowances for chargebacks was recorded. No allowances were recorded as of December 31, 2021. No receivables were written off for the years ended December 31, 2022 and 2021.</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Prior to FDA approval of FYARRO, all costs related to the manufacturing of FYARRO were charged to research and development expense in the period incurred, therefore the inventory balance was zero at December 31, 2021.</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Details of inventory are presented as follows (amounts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w w:val="92"/>
              </w:rPr>
              <w:t>As of December 31, 2022</w:t>
            </w:r>
          </w:p>
        </w:tc>
      </w:tr>
      <w:tr>
        <w:trPr>
          <w:trHeight w:val="202"/>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w:t>
            </w:r>
          </w:p>
        </w:tc>
      </w:tr>
      <w:tr>
        <w:trPr>
          <w:trHeight w:val="196"/>
        </w:trPr>
        <w:tc>
          <w:tcPr>
            <w:tcW w:w="980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r>
      <w:tr>
        <w:trPr>
          <w:trHeight w:val="187"/>
        </w:trPr>
        <w:tc>
          <w:tcPr>
            <w:tcW w:w="980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w:t>
            </w:r>
          </w:p>
        </w:tc>
      </w:tr>
      <w:tr>
        <w:trPr>
          <w:trHeight w:val="20"/>
        </w:trPr>
        <w:tc>
          <w:tcPr>
            <w:tcW w:w="9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Property and equipment, consisting of computers, furniture and fixtures, office equipment, construction in process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Details of property and equipment are presented as follows (amounts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w w:val="99"/>
              </w:rPr>
              <w:t>As of December 31,</w:t>
            </w:r>
          </w:p>
        </w:tc>
        <w:tc>
          <w:tcPr>
            <w:tcW w:w="960" w:type="dxa"/>
            <w:vAlign w:val="bottom"/>
          </w:tcPr>
          <w:p>
            <w:pPr>
              <w:spacing w:after="0"/>
              <w:rPr>
                <w:sz w:val="12"/>
                <w:szCs w:val="12"/>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Computers and software</w:t>
            </w:r>
          </w:p>
        </w:tc>
        <w:tc>
          <w:tcPr>
            <w:tcW w:w="960" w:type="dxa"/>
            <w:vAlign w:val="bottom"/>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631"/>
              <w:spacing w:after="0"/>
              <w:rPr>
                <w:sz w:val="20"/>
                <w:szCs w:val="20"/>
                <w:color w:val="auto"/>
              </w:rPr>
            </w:pPr>
            <w:r>
              <w:rPr>
                <w:rFonts w:ascii="Arial" w:cs="Arial" w:eastAsia="Arial" w:hAnsi="Arial"/>
                <w:sz w:val="14"/>
                <w:szCs w:val="14"/>
                <w:color w:val="auto"/>
                <w:w w:val="89"/>
              </w:rPr>
              <w:t>51</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Construction in process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center"/>
              <w:ind w:left="631"/>
              <w:spacing w:after="0"/>
              <w:rPr>
                <w:sz w:val="20"/>
                <w:szCs w:val="20"/>
                <w:color w:val="auto"/>
              </w:rPr>
            </w:pPr>
            <w:r>
              <w:rPr>
                <w:rFonts w:ascii="Arial" w:cs="Arial" w:eastAsia="Arial" w:hAnsi="Arial"/>
                <w:sz w:val="14"/>
                <w:szCs w:val="14"/>
                <w:color w:val="auto"/>
                <w:w w:val="99"/>
              </w:rPr>
              <w:t>—</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631"/>
              <w:spacing w:after="0"/>
              <w:rPr>
                <w:sz w:val="20"/>
                <w:szCs w:val="20"/>
                <w:color w:val="auto"/>
              </w:rPr>
            </w:pPr>
            <w:r>
              <w:rPr>
                <w:rFonts w:ascii="Arial" w:cs="Arial" w:eastAsia="Arial" w:hAnsi="Arial"/>
                <w:sz w:val="14"/>
                <w:szCs w:val="14"/>
                <w:color w:val="auto"/>
                <w:w w:val="89"/>
              </w:rPr>
              <w:t>36</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Leasehold improvements</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631"/>
              <w:spacing w:after="0"/>
              <w:rPr>
                <w:sz w:val="20"/>
                <w:szCs w:val="20"/>
                <w:color w:val="auto"/>
              </w:rPr>
            </w:pPr>
            <w:r>
              <w:rPr>
                <w:rFonts w:ascii="Arial" w:cs="Arial" w:eastAsia="Arial" w:hAnsi="Arial"/>
                <w:sz w:val="14"/>
                <w:szCs w:val="14"/>
                <w:color w:val="auto"/>
                <w:w w:val="99"/>
              </w:rPr>
              <w:t>—</w:t>
            </w:r>
          </w:p>
        </w:tc>
      </w:tr>
      <w:tr>
        <w:trPr>
          <w:trHeight w:val="198"/>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60" w:type="dxa"/>
            <w:vAlign w:val="bottom"/>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631"/>
              <w:spacing w:after="0"/>
              <w:rPr>
                <w:sz w:val="20"/>
                <w:szCs w:val="20"/>
                <w:color w:val="auto"/>
              </w:rPr>
            </w:pPr>
            <w:r>
              <w:rPr>
                <w:rFonts w:ascii="Arial" w:cs="Arial" w:eastAsia="Arial" w:hAnsi="Arial"/>
                <w:sz w:val="14"/>
                <w:szCs w:val="14"/>
                <w:color w:val="auto"/>
                <w:w w:val="89"/>
              </w:rPr>
              <w:t>87</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611"/>
              <w:spacing w:after="0"/>
              <w:rPr>
                <w:sz w:val="20"/>
                <w:szCs w:val="20"/>
                <w:color w:val="auto"/>
              </w:rPr>
            </w:pPr>
            <w:r>
              <w:rPr>
                <w:rFonts w:ascii="Arial" w:cs="Arial" w:eastAsia="Arial" w:hAnsi="Arial"/>
                <w:sz w:val="14"/>
                <w:szCs w:val="14"/>
                <w:color w:val="auto"/>
                <w:w w:val="96"/>
              </w:rPr>
              <w:t>(30)</w:t>
            </w: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center"/>
              <w:ind w:left="631"/>
              <w:spacing w:after="0"/>
              <w:rPr>
                <w:sz w:val="20"/>
                <w:szCs w:val="20"/>
                <w:color w:val="auto"/>
              </w:rPr>
            </w:pPr>
            <w:r>
              <w:rPr>
                <w:rFonts w:ascii="Arial" w:cs="Arial" w:eastAsia="Arial" w:hAnsi="Arial"/>
                <w:sz w:val="14"/>
                <w:szCs w:val="14"/>
                <w:color w:val="auto"/>
                <w:w w:val="89"/>
              </w:rPr>
              <w:t>57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 Net</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intangible asset consisted of a single asset, the Gossamer License Agreement, assumed in the Merger. The intangible asset was stated at fair value and amortized using the straight-line method over its estimated useful life of 14.3 years. During the year ended December 31, 2021, the acquired intangible asset was reduced to its estimated fair value of $3.9 million at the Effective Time. During the year ended December 31, 2022, the intangible asset's fair value was reduced to zero based on the termination of the Gossamer License Agreement effective July 24, 2022 (see Note 6).</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reviews long-lived assets, including property, equipment, and the intangible asset for impairment whenever events or changes in circumstances indicate that the carrying amount of the assets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An impairment was recorded for the long-lived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 during the year ended December 31, 2022 based on the termination of the Gossamer License Agreement effective July 24, 2022 (see Note 6).</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6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statements of operations and comprehensive loss.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Commitments and Contingencies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2022 and 2021</w:t>
      </w:r>
      <w:r>
        <w:rPr>
          <w:rFonts w:ascii="Arial" w:cs="Arial" w:eastAsia="Arial" w:hAnsi="Arial"/>
          <w:sz w:val="13"/>
          <w:szCs w:val="13"/>
          <w:color w:val="231F20"/>
        </w:rPr>
        <w:t>.</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 and Related Allowances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Net Sales</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following allowances which are reflected either as a reduction to the related account receivable or as an accrued liability, depending on how the allowance is settled:</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Distribution Fees</w:t>
      </w:r>
      <w:r>
        <w:rPr>
          <w:rFonts w:ascii="Arial" w:cs="Arial" w:eastAsia="Arial" w:hAnsi="Arial"/>
          <w:sz w:val="14"/>
          <w:szCs w:val="14"/>
          <w:color w:val="auto"/>
        </w:rPr>
        <w:t>: Distribution fees include distribution service fees paid to the SDs and SP based on a contractually fixed percentage of the wholesale acquisition cost (“WAC”). Distribution fees are</w:t>
      </w:r>
      <w:r>
        <w:rPr>
          <w:rFonts w:ascii="Arial" w:cs="Arial" w:eastAsia="Arial" w:hAnsi="Arial"/>
          <w:sz w:val="14"/>
          <w:szCs w:val="14"/>
          <w:i w:val="1"/>
          <w:iCs w:val="1"/>
          <w:color w:val="auto"/>
        </w:rPr>
        <w:t xml:space="preserve"> </w:t>
      </w:r>
      <w:r>
        <w:rPr>
          <w:rFonts w:ascii="Arial" w:cs="Arial" w:eastAsia="Arial" w:hAnsi="Arial"/>
          <w:sz w:val="14"/>
          <w:szCs w:val="14"/>
          <w:color w:val="auto"/>
        </w:rPr>
        <w:t>recorded as an offset to product sales based on contractual terms at the time revenue from the sale is recognized.</w:t>
      </w:r>
    </w:p>
    <w:p>
      <w:pPr>
        <w:spacing w:after="0" w:line="4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Rebates</w:t>
      </w:r>
      <w:r>
        <w:rPr>
          <w:rFonts w:ascii="Arial" w:cs="Arial" w:eastAsia="Arial" w:hAnsi="Arial"/>
          <w:sz w:val="13"/>
          <w:szCs w:val="13"/>
          <w:color w:val="auto"/>
        </w:rPr>
        <w:t>: Allowance for rebates includes mandated discounts under the Medicaid Drug Rebate Program and TRICARE program. Rebates are amounts owed after the final dispensing of the product to</w:t>
      </w:r>
      <w:r>
        <w:rPr>
          <w:rFonts w:ascii="Arial" w:cs="Arial" w:eastAsia="Arial" w:hAnsi="Arial"/>
          <w:sz w:val="13"/>
          <w:szCs w:val="13"/>
          <w:i w:val="1"/>
          <w:iCs w:val="1"/>
          <w:color w:val="auto"/>
        </w:rPr>
        <w:t xml:space="preserve"> </w:t>
      </w:r>
      <w:r>
        <w:rPr>
          <w:rFonts w:ascii="Arial" w:cs="Arial" w:eastAsia="Arial" w:hAnsi="Arial"/>
          <w:sz w:val="13"/>
          <w:szCs w:val="13"/>
          <w:color w:val="auto"/>
        </w:rPr>
        <w:t>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Chargebacks: </w:t>
      </w:r>
      <w:r>
        <w:rPr>
          <w:rFonts w:ascii="Arial" w:cs="Arial" w:eastAsia="Arial" w:hAnsi="Arial"/>
          <w:sz w:val="14"/>
          <w:szCs w:val="14"/>
          <w:color w:val="auto"/>
        </w:rPr>
        <w:t>Chargebacks are discounts and fees that relate to contracts with government and other entities purchasing from the SDs and SP at a discounted price. The SDs and SP charge back to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Co-Payment Assistance: </w:t>
      </w:r>
      <w:r>
        <w:rPr>
          <w:rFonts w:ascii="Arial" w:cs="Arial" w:eastAsia="Arial" w:hAnsi="Arial"/>
          <w:sz w:val="14"/>
          <w:szCs w:val="14"/>
          <w:color w:val="auto"/>
        </w:rPr>
        <w:t>The Company offers co-payment assistance to commercially insured patients meeting certain eligibility requirement. Co-payment assistance is accrued at the time of product</w:t>
      </w:r>
      <w:r>
        <w:rPr>
          <w:rFonts w:ascii="Arial" w:cs="Arial" w:eastAsia="Arial" w:hAnsi="Arial"/>
          <w:sz w:val="14"/>
          <w:szCs w:val="14"/>
          <w:i w:val="1"/>
          <w:iCs w:val="1"/>
          <w:color w:val="auto"/>
        </w:rPr>
        <w:t xml:space="preserve"> </w:t>
      </w:r>
      <w:r>
        <w:rPr>
          <w:rFonts w:ascii="Arial" w:cs="Arial" w:eastAsia="Arial" w:hAnsi="Arial"/>
          <w:sz w:val="14"/>
          <w:szCs w:val="14"/>
          <w:color w:val="auto"/>
        </w:rPr>
        <w:t>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 xml:space="preserve">Product Returns: </w:t>
      </w:r>
      <w:r>
        <w:rPr>
          <w:rFonts w:ascii="Arial" w:cs="Arial" w:eastAsia="Arial" w:hAnsi="Arial"/>
          <w:sz w:val="13"/>
          <w:szCs w:val="13"/>
          <w:color w:val="auto"/>
        </w:rPr>
        <w:t>Consistent with industry practice, the Company offers the SDs and SP limited product return rights for damages, shipment errors, and expiring product, provided that the return is</w:t>
      </w:r>
      <w:r>
        <w:rPr>
          <w:rFonts w:ascii="Arial" w:cs="Arial" w:eastAsia="Arial" w:hAnsi="Arial"/>
          <w:sz w:val="13"/>
          <w:szCs w:val="13"/>
          <w:i w:val="1"/>
          <w:iCs w:val="1"/>
          <w:color w:val="auto"/>
        </w:rPr>
        <w:t xml:space="preserve"> </w:t>
      </w:r>
      <w:r>
        <w:rPr>
          <w:rFonts w:ascii="Arial" w:cs="Arial" w:eastAsia="Arial" w:hAnsi="Arial"/>
          <w:sz w:val="13"/>
          <w:szCs w:val="13"/>
          <w:color w:val="auto"/>
        </w:rPr>
        <w:t>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total amount deducted from gross product sales for the allowances described above for the year ended December 31, 2022 was $2.4 million. The following table summarizes the consolidated activities and ending balance of all of the Company's gross-to-net sales adjustments (amounts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0"/>
                <w:szCs w:val="10"/>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9"/>
              </w:rPr>
              <w:t>Balance at Beginning of Year</w:t>
            </w:r>
          </w:p>
        </w:tc>
        <w:tc>
          <w:tcPr>
            <w:tcW w:w="15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4"/>
              </w:rPr>
              <w:t>Provision for Current Period</w:t>
            </w:r>
          </w:p>
        </w:tc>
        <w:tc>
          <w:tcPr>
            <w:tcW w:w="300" w:type="dxa"/>
            <w:vAlign w:val="bottom"/>
          </w:tcPr>
          <w:p>
            <w:pPr>
              <w:spacing w:after="0"/>
              <w:rPr>
                <w:sz w:val="10"/>
                <w:szCs w:val="10"/>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Payments</w:t>
            </w:r>
          </w:p>
        </w:tc>
        <w:tc>
          <w:tcPr>
            <w:tcW w:w="140" w:type="dxa"/>
            <w:vAlign w:val="bottom"/>
          </w:tcPr>
          <w:p>
            <w:pPr>
              <w:spacing w:after="0"/>
              <w:rPr>
                <w:sz w:val="10"/>
                <w:szCs w:val="10"/>
                <w:color w:val="auto"/>
              </w:rPr>
            </w:pPr>
          </w:p>
        </w:tc>
        <w:tc>
          <w:tcPr>
            <w:tcW w:w="134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w w:val="95"/>
              </w:rPr>
              <w:t>Balance at End of Year</w:t>
            </w:r>
          </w:p>
        </w:tc>
        <w:tc>
          <w:tcPr>
            <w:tcW w:w="0" w:type="dxa"/>
            <w:vAlign w:val="bottom"/>
          </w:tcPr>
          <w:p>
            <w:pPr>
              <w:spacing w:after="0"/>
              <w:rPr>
                <w:sz w:val="1"/>
                <w:szCs w:val="1"/>
                <w:color w:val="auto"/>
              </w:rPr>
            </w:pPr>
          </w:p>
        </w:tc>
      </w:tr>
      <w:tr>
        <w:trPr>
          <w:trHeight w:val="151"/>
        </w:trPr>
        <w:tc>
          <w:tcPr>
            <w:tcW w:w="508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3"/>
              </w:rPr>
              <w:t>Sales</w:t>
            </w:r>
          </w:p>
        </w:tc>
        <w:tc>
          <w:tcPr>
            <w:tcW w:w="3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2022</w:t>
            </w:r>
          </w:p>
        </w:tc>
        <w:tc>
          <w:tcPr>
            <w:tcW w:w="70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Grant Revenue</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grant revenues are derived from federal grants with the FDA. The Company has determined that the government agencies providing grants to the Company are not customers. Grant revenue is recognized when there is reasonable assurance of compliance with the conditions of the grant and reasonable assurance that the grant revenue will be received. The Company recognizes grant revenues as reimbursable grant costs are incurred. The costs associated with these reimbursements are reflected as a component of research and development expense in the accompanying statements of operations and comprehensive loss.</w:t>
      </w:r>
    </w:p>
    <w:p>
      <w:pPr>
        <w:spacing w:after="0" w:line="6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With respect to grant revenue derived from reimbursement of direct out-of-pocket expenses for research costs associated with federal contracts, where the Company acts as principal with discretion to choose suppliers, bears credit risk, and performs part of the services required in the transaction, the Company records revenue for the gross amount of the reimbursement. The costs associated with these reimbursements are reflected as a component of research and development expense in the accompanying statements of operations and comprehensive loss.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Under License Agreement</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generates revenues from payments received under a license agreement. Under such license agreement, the Company recognizes revenue when it transfers promised goods or services to partners in an amount that reflects the consideration to which the Company expects to be entitled in exchange for those goods or services. To determine revenue recognition for contracts with partners, the Company performs the following five steps: (i) identifies the promised goods or services in the contract; (ii) identifies the performance obligations in the contract, including whether they are distinct in the context of the contract; (iii) determines the transaction price, including the constraint on variable consideration; (iv) allocates the transaction price to the performance obligations in the contract; and (v) recognizes revenue when (or as) the Company satisfies the performance obligations.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revenue from such license agreement, the Company generally collects an upfront license payment from the license partner and is also entitled to receive event-based payments subject to the license partner’s achievement of specified development, regulatory and sales-based milestones. In addition, the Company is generally entitled to royalties if products under the license agreement are commercialized.</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Transaction price for a contract represents the amount to which the Company is entitled in exchange for providing goods and services to the partner. Transaction price does not include amounts subject to uncertainties unless it is probable that there will be no significant reversal of revenue when the uncertainty is resolved. Apart from the upfront license payment, all other fees the Company may earn under such license agreements are subject to significant uncertainties of product development. Achievement of many of the event-based development and regulatory milestones may not be probable until such milestones are actually achieved. This generally relates to milestones such as obtaining regulatory approvals and successful completion of clinical trials. With respect to other development milestones, e.g., dosing of a first patient in a clinical trial, achievement could be considered probable prior to its actual occurrence, based on the progress towards commencement of the trial. The Company does not include any amounts subject to uncertainties in the transaction price until it is probable that the amount will not result in a significant reversal of revenue in the future. At the end of each reporting period, the Company re-evaluates the probability of achievement of such milestones and any related constraint, and if necessary, adjusts the estimate of the overall transaction price.</w:t>
      </w:r>
    </w:p>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Because such agreements generally only have one type of performance obligation, a license, which is generally all transferred at the same time as agreement inception, allocation of the transaction price among multiple performance obligations is not required. Upfront amounts allocated to licenses are recognized as revenue when the licenses are transferred to the partners. Development milestones and other fees are recognized in revenue when their occurrence becomes probable.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balance sheet and within research and development expenses in the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The Company recognizes all share-based payments to employees, including grants of employee stock options in the consolidated statements of operations and comprehensive loss based on their fair values. All of the Company’s share-based awards, to employees, non-employees, officers, and directors, are subject only to service-based vesting conditions. The Company estimates the fair value of its share-based awards using the Black-Scholes option pricing model, which requires the input of assumptions, including (i) the expected stock price volatility, (ii) the calculation of expected term of the award, (iii) the risk-free interest rate and (iv) expected dividends. </w:t>
      </w:r>
      <w:r>
        <w:rPr>
          <w:rFonts w:ascii="Arial" w:cs="Arial" w:eastAsia="Arial" w:hAnsi="Arial"/>
          <w:sz w:val="14"/>
          <w:szCs w:val="14"/>
          <w:color w:val="231F20"/>
        </w:rPr>
        <w:t>Options granted during the year have a maximum contractual term of ten years. Forfeitures are recognized and accounted for as</w:t>
      </w:r>
      <w:r>
        <w:rPr>
          <w:rFonts w:ascii="Arial" w:cs="Arial" w:eastAsia="Arial" w:hAnsi="Arial"/>
          <w:sz w:val="14"/>
          <w:szCs w:val="14"/>
          <w:color w:val="auto"/>
        </w:rPr>
        <w:t xml:space="preserve"> </w:t>
      </w:r>
      <w:r>
        <w:rPr>
          <w:rFonts w:ascii="Arial" w:cs="Arial" w:eastAsia="Arial" w:hAnsi="Arial"/>
          <w:sz w:val="14"/>
          <w:szCs w:val="14"/>
          <w:color w:val="231F20"/>
        </w:rPr>
        <w:t>they occur.</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Due to the historical lack of a public market for the trading of the Company’s securities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development and life science industry focus. The Company believes the group selected has sufficient similar economic and industry characteristics and includes companies that are most representative of the Company.</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231F20"/>
        </w:rPr>
        <w:t xml:space="preserve">The Company has limited historical stock option activity and therefore estimates the expected term of stock options granted to employees, officers, and directors using the simplified method, which represents the average of the contractual term of the stock option and its weighted-average vesting period, </w:t>
      </w:r>
      <w:r>
        <w:rPr>
          <w:rFonts w:ascii="Arial" w:cs="Arial" w:eastAsia="Arial" w:hAnsi="Arial"/>
          <w:sz w:val="14"/>
          <w:szCs w:val="14"/>
          <w:color w:val="000000"/>
        </w:rPr>
        <w:t>to calculate the expected term, as it does not have sufficient historical exercise data to</w:t>
      </w:r>
      <w:r>
        <w:rPr>
          <w:rFonts w:ascii="Arial" w:cs="Arial" w:eastAsia="Arial" w:hAnsi="Arial"/>
          <w:sz w:val="14"/>
          <w:szCs w:val="14"/>
          <w:color w:val="231F20"/>
        </w:rPr>
        <w:t xml:space="preserve"> </w:t>
      </w:r>
      <w:r>
        <w:rPr>
          <w:rFonts w:ascii="Arial" w:cs="Arial" w:eastAsia="Arial" w:hAnsi="Arial"/>
          <w:sz w:val="14"/>
          <w:szCs w:val="14"/>
          <w:color w:val="000000"/>
        </w:rPr>
        <w:t>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 term of the stock options. Compensation expense related to awards to employees is calculated on a straight-line basis by recognizing the grant date fair value over the associated service period of the award, which is generally the vesting term.</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Stock-based compensation expense for employee stock purchases under the Company’s 2021 Employee Stock Purchase Plan (the “2021 ESPP”) is recorded at the estimated fair value of the purchase as of the plan enrollment date and is recognized as expense on a straight-line basis over the applicable six-month ESPP offering period.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 Attributable to Common Stockholders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Basic net loss per share is calculated by dividing the net loss attributable to common stockholders by the weighted-average number of common shares outstanding for the period. Basic and diluted weighted average shares of common stock outstanding for the year ended December 31, 2022, includes the weighted average effect of 2,426,493 Pre-Funded Warrants, which were issued in September 2022, for the purchase of shares of common stock, for which the remaining unfunded exercise price is $0.0001 per share.</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convertible promissory notes, convertible preferred stock, outstanding stock options and warrants have been excluded from the computation of diluted net loss per share as they would be anti-dilutive.</w:t>
      </w:r>
    </w:p>
    <w:p>
      <w:pPr>
        <w:spacing w:after="0" w:line="3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Net loss per share is presented as the more dilutive of the treasury stock and as-converted method or the two-class method required for participating securities. The Series A convertible preferred stock is considered a participating security and does not have a contractual obligation to share in Private Aadi’s losses. As such, the two-class method was not required.</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outstanding potentially dilutive securities that have been excluded in the calculation of diluted net loss per share because their inclusion would be anti-dilutive: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12"/>
                <w:szCs w:val="12"/>
                <w:color w:val="auto"/>
              </w:rPr>
            </w:pPr>
          </w:p>
        </w:tc>
      </w:tr>
      <w:tr>
        <w:trPr>
          <w:trHeight w:val="169"/>
        </w:trPr>
        <w:tc>
          <w:tcPr>
            <w:tcW w:w="90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554"/>
              <w:spacing w:after="0"/>
              <w:rPr>
                <w:sz w:val="20"/>
                <w:szCs w:val="20"/>
                <w:color w:val="auto"/>
              </w:rPr>
            </w:pPr>
            <w:r>
              <w:rPr>
                <w:rFonts w:ascii="Arial" w:cs="Arial" w:eastAsia="Arial" w:hAnsi="Arial"/>
                <w:sz w:val="11"/>
                <w:szCs w:val="11"/>
                <w:b w:val="1"/>
                <w:bCs w:val="1"/>
                <w:color w:val="auto"/>
                <w:w w:val="97"/>
              </w:rPr>
              <w:t>2021</w:t>
            </w:r>
          </w:p>
        </w:tc>
      </w:tr>
      <w:tr>
        <w:trPr>
          <w:trHeight w:val="180"/>
        </w:trPr>
        <w:tc>
          <w:tcPr>
            <w:tcW w:w="82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Options to purchase common stock</w:t>
            </w:r>
          </w:p>
        </w:tc>
        <w:tc>
          <w:tcPr>
            <w:tcW w:w="8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2,990,423</w:t>
            </w:r>
          </w:p>
        </w:tc>
        <w:tc>
          <w:tcPr>
            <w:tcW w:w="80" w:type="dxa"/>
            <w:vAlign w:val="bottom"/>
            <w:tcBorders>
              <w:top w:val="single" w:sz="8" w:color="CFF0FC"/>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1,749,876</w:t>
            </w:r>
          </w:p>
        </w:tc>
      </w:tr>
      <w:tr>
        <w:trPr>
          <w:trHeight w:val="180"/>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Warrants to purchase common stock</w:t>
            </w:r>
          </w:p>
        </w:tc>
        <w:tc>
          <w:tcPr>
            <w:tcW w:w="640" w:type="dxa"/>
            <w:vAlign w:val="bottom"/>
          </w:tcPr>
          <w:p>
            <w:pPr>
              <w:jc w:val="right"/>
              <w:spacing w:after="0"/>
              <w:rPr>
                <w:sz w:val="20"/>
                <w:szCs w:val="20"/>
                <w:color w:val="auto"/>
              </w:rPr>
            </w:pPr>
            <w:r>
              <w:rPr>
                <w:rFonts w:ascii="Arial" w:cs="Arial" w:eastAsia="Arial" w:hAnsi="Arial"/>
                <w:sz w:val="14"/>
                <w:szCs w:val="14"/>
                <w:color w:val="auto"/>
              </w:rPr>
              <w:t>29,167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36,667</w:t>
            </w:r>
          </w:p>
        </w:tc>
      </w:tr>
    </w:tbl>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table above excludes the conversion of the principal balance and accrued interest on the convertible promissory notes which converted into 698,018 shares of common stock in conjunction with the closing of the Merger.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Accounting Pronouncements Not Yet Adopted</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August 2020, the FASB issued ASU 2020-06, “</w:t>
      </w:r>
      <w:r>
        <w:rPr>
          <w:rFonts w:ascii="Arial" w:cs="Arial" w:eastAsia="Arial" w:hAnsi="Arial"/>
          <w:sz w:val="13"/>
          <w:szCs w:val="13"/>
          <w:i w:val="1"/>
          <w:iCs w:val="1"/>
          <w:color w:val="auto"/>
        </w:rPr>
        <w:t>Debt – Debt with Conversion and Other Options”</w:t>
      </w:r>
      <w:r>
        <w:rPr>
          <w:rFonts w:ascii="Arial" w:cs="Arial" w:eastAsia="Arial" w:hAnsi="Arial"/>
          <w:sz w:val="13"/>
          <w:szCs w:val="13"/>
          <w:color w:val="auto"/>
        </w:rPr>
        <w:t xml:space="preserve"> (Subtopic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consolidated financial statements.</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2016, the FASB issued ASU 2016-13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xml:space="preserve"> which (i) significantly changes the impairment model for most financial assets that are measured at amortized cost and certain other instruments from an incurred loss model to an expected loss model which will be based on an estimate of current expected credit loss; and (ii) provides for recording credit losses on available-for-sale debt securities through an allowance account. The standard also requires certain incremental disclosures. Subsequently, the FASB issued several ASUs to clarify, improve, or defer the adoption of ASU 2016-13. This ASU is effective for fiscal years beginning January 2023. The Company is currently evaluating the impact the adoption of ASU 2016-13 will have on the Company's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Fair Value Measurement</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sets forth the recurring fair value of the Company’s financial assets and liabilities, allocated into the Level 1, Level 2 and Level 3 hierarchy that were measured at fair value on a recurring basis (amounts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Fair Value Measurements as of December 31, 2022</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3"/>
        </w:trPr>
        <w:tc>
          <w:tcPr>
            <w:tcW w:w="50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2</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Total</w:t>
            </w:r>
          </w:p>
        </w:tc>
      </w:tr>
      <w:tr>
        <w:trPr>
          <w:trHeight w:val="16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5080" w:type="dxa"/>
            <w:vAlign w:val="bottom"/>
          </w:tcPr>
          <w:p>
            <w:pPr>
              <w:ind w:left="140"/>
              <w:spacing w:after="0"/>
              <w:rPr>
                <w:sz w:val="20"/>
                <w:szCs w:val="20"/>
                <w:color w:val="auto"/>
              </w:rPr>
            </w:pPr>
            <w:r>
              <w:rPr>
                <w:rFonts w:ascii="Arial" w:cs="Arial" w:eastAsia="Arial" w:hAnsi="Arial"/>
                <w:sz w:val="14"/>
                <w:szCs w:val="14"/>
                <w:color w:val="auto"/>
              </w:rPr>
              <w:t>Money market funds (1)</w:t>
            </w:r>
          </w:p>
        </w:tc>
        <w:tc>
          <w:tcPr>
            <w:tcW w:w="960" w:type="dxa"/>
            <w:vAlign w:val="bottom"/>
          </w:tcPr>
          <w:p>
            <w:pPr>
              <w:jc w:val="right"/>
              <w:ind w:right="795"/>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32,035</w:t>
            </w:r>
          </w:p>
        </w:tc>
        <w:tc>
          <w:tcPr>
            <w:tcW w:w="80" w:type="dxa"/>
            <w:vAlign w:val="bottom"/>
          </w:tcPr>
          <w:p>
            <w:pPr>
              <w:spacing w:after="0"/>
              <w:rPr>
                <w:sz w:val="15"/>
                <w:szCs w:val="15"/>
                <w:color w:val="auto"/>
              </w:rPr>
            </w:pPr>
          </w:p>
        </w:tc>
        <w:tc>
          <w:tcPr>
            <w:tcW w:w="980" w:type="dxa"/>
            <w:vAlign w:val="bottom"/>
          </w:tcPr>
          <w:p>
            <w:pPr>
              <w:jc w:val="right"/>
              <w:ind w:right="837"/>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75"/>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32,035</w:t>
            </w:r>
          </w:p>
        </w:tc>
      </w:tr>
      <w:tr>
        <w:trPr>
          <w:trHeight w:val="181"/>
        </w:trPr>
        <w:tc>
          <w:tcPr>
            <w:tcW w:w="5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government treasury bills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70,708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70,708</w:t>
            </w:r>
          </w:p>
        </w:tc>
      </w:tr>
      <w:tr>
        <w:trPr>
          <w:trHeight w:val="180"/>
        </w:trPr>
        <w:tc>
          <w:tcPr>
            <w:tcW w:w="508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9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53,296</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53,296</w:t>
            </w:r>
          </w:p>
        </w:tc>
      </w:tr>
      <w:tr>
        <w:trPr>
          <w:trHeight w:val="181"/>
        </w:trPr>
        <w:tc>
          <w:tcPr>
            <w:tcW w:w="5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9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w:t>
            </w:r>
          </w:p>
        </w:tc>
      </w:tr>
      <w:tr>
        <w:trPr>
          <w:trHeight w:val="180"/>
        </w:trPr>
        <w:tc>
          <w:tcPr>
            <w:tcW w:w="5080" w:type="dxa"/>
            <w:vAlign w:val="bottom"/>
          </w:tcPr>
          <w:p>
            <w:pPr>
              <w:ind w:left="140"/>
              <w:spacing w:after="0"/>
              <w:rPr>
                <w:sz w:val="20"/>
                <w:szCs w:val="20"/>
                <w:color w:val="auto"/>
              </w:rPr>
            </w:pPr>
            <w:r>
              <w:rPr>
                <w:rFonts w:ascii="Arial" w:cs="Arial" w:eastAsia="Arial" w:hAnsi="Arial"/>
                <w:sz w:val="14"/>
                <w:szCs w:val="14"/>
                <w:color w:val="auto"/>
              </w:rPr>
              <w:t>Government agency</w:t>
            </w:r>
          </w:p>
        </w:tc>
        <w:tc>
          <w:tcPr>
            <w:tcW w:w="9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5,287</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5,287</w:t>
            </w:r>
          </w:p>
        </w:tc>
      </w:tr>
      <w:tr>
        <w:trPr>
          <w:trHeight w:val="196"/>
        </w:trPr>
        <w:tc>
          <w:tcPr>
            <w:tcW w:w="5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102,743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62,833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1075"/>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165,576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93"/>
        </w:trPr>
        <w:tc>
          <w:tcPr>
            <w:tcW w:w="50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Fair Value Measurements as of December 31, 2021</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3"/>
        </w:trPr>
        <w:tc>
          <w:tcPr>
            <w:tcW w:w="50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2</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Total</w:t>
            </w:r>
          </w:p>
        </w:tc>
      </w:tr>
      <w:tr>
        <w:trPr>
          <w:trHeight w:val="16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5080" w:type="dxa"/>
            <w:vAlign w:val="bottom"/>
          </w:tcPr>
          <w:p>
            <w:pPr>
              <w:ind w:left="180"/>
              <w:spacing w:after="0"/>
              <w:rPr>
                <w:sz w:val="20"/>
                <w:szCs w:val="20"/>
                <w:color w:val="auto"/>
              </w:rPr>
            </w:pPr>
            <w:r>
              <w:rPr>
                <w:rFonts w:ascii="Arial" w:cs="Arial" w:eastAsia="Arial" w:hAnsi="Arial"/>
                <w:sz w:val="14"/>
                <w:szCs w:val="14"/>
                <w:color w:val="auto"/>
              </w:rPr>
              <w:t>Money market funds (1)</w:t>
            </w:r>
          </w:p>
        </w:tc>
        <w:tc>
          <w:tcPr>
            <w:tcW w:w="960" w:type="dxa"/>
            <w:vAlign w:val="bottom"/>
          </w:tcPr>
          <w:p>
            <w:pPr>
              <w:jc w:val="right"/>
              <w:ind w:right="795"/>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140,032</w:t>
            </w:r>
          </w:p>
        </w:tc>
        <w:tc>
          <w:tcPr>
            <w:tcW w:w="80" w:type="dxa"/>
            <w:vAlign w:val="bottom"/>
          </w:tcPr>
          <w:p>
            <w:pPr>
              <w:spacing w:after="0"/>
              <w:rPr>
                <w:sz w:val="15"/>
                <w:szCs w:val="15"/>
                <w:color w:val="auto"/>
              </w:rPr>
            </w:pPr>
          </w:p>
        </w:tc>
        <w:tc>
          <w:tcPr>
            <w:tcW w:w="980" w:type="dxa"/>
            <w:vAlign w:val="bottom"/>
          </w:tcPr>
          <w:p>
            <w:pPr>
              <w:jc w:val="right"/>
              <w:ind w:right="837"/>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75"/>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140,032</w:t>
            </w:r>
          </w:p>
        </w:tc>
      </w:tr>
      <w:tr>
        <w:trPr>
          <w:trHeight w:val="20"/>
        </w:trPr>
        <w:tc>
          <w:tcPr>
            <w:tcW w:w="5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1020" w:hanging="506"/>
        <w:spacing w:after="0"/>
        <w:tabs>
          <w:tab w:leader="none" w:pos="10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Included in cash and cash equivalents in the accompanying balance sheets.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 xml:space="preserve">As of </w:t>
      </w:r>
      <w:r>
        <w:rPr>
          <w:rFonts w:ascii="Arial" w:cs="Arial" w:eastAsia="Arial" w:hAnsi="Arial"/>
          <w:sz w:val="14"/>
          <w:szCs w:val="14"/>
          <w:color w:val="000000"/>
        </w:rPr>
        <w:t>December 31, 2022</w:t>
      </w:r>
      <w:r>
        <w:rPr>
          <w:rFonts w:ascii="Arial" w:cs="Arial" w:eastAsia="Arial" w:hAnsi="Arial"/>
          <w:sz w:val="14"/>
          <w:szCs w:val="14"/>
          <w:color w:val="231F20"/>
        </w:rPr>
        <w:t xml:space="preserve"> gross unrealized losses for cash equivalents and investments was $0.1 million. As of </w:t>
      </w:r>
      <w:r>
        <w:rPr>
          <w:rFonts w:ascii="Arial" w:cs="Arial" w:eastAsia="Arial" w:hAnsi="Arial"/>
          <w:sz w:val="14"/>
          <w:szCs w:val="14"/>
          <w:color w:val="000000"/>
        </w:rPr>
        <w:t>December 31, 2022,</w:t>
      </w:r>
      <w:r>
        <w:rPr>
          <w:rFonts w:ascii="Arial" w:cs="Arial" w:eastAsia="Arial" w:hAnsi="Arial"/>
          <w:sz w:val="14"/>
          <w:szCs w:val="14"/>
          <w:color w:val="231F20"/>
        </w:rPr>
        <w:t xml:space="preserve"> all marketable securities had a contractual maturity of less than one year.</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 Impairment</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year ended December 31, 2021, the Company recognized an impairment of $74.2 million of the contract intangible asset acquired in connection with the Merger and reduced the contract intangible asset to its estimated fair value of $3.9 million at the Effective Time. This represented a Level 3 fair value measurement as factors used to develop the estimated fair value are unobservable inputs that are not supported by market activity.</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year ended December 31, 2022, upon receipt of the Notice of Termination, the Company impaired the contract intangible asset by $3.7 million to its estimated fair value of zero (which represented a Level 3 fair value measurement) based on receipt of the formal notice of termination from Gossamer for the Gossamer License Agreement.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Short-Term Investments and Cash and Cash Equivalents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The Company's short-term investments, which consist of highly liquid securities, are classified as available-for-sale and are stated at fair value. The following table summarizes the Company's short-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00" w:type="dxa"/>
            <w:vAlign w:val="bottom"/>
          </w:tcPr>
          <w:p>
            <w:pPr>
              <w:spacing w:after="0"/>
              <w:rPr>
                <w:sz w:val="20"/>
                <w:szCs w:val="20"/>
                <w:color w:val="auto"/>
              </w:rPr>
            </w:pPr>
            <w:r>
              <w:rPr>
                <w:rFonts w:ascii="Arial" w:cs="Arial" w:eastAsia="Arial" w:hAnsi="Arial"/>
                <w:sz w:val="14"/>
                <w:szCs w:val="14"/>
                <w:color w:val="auto"/>
              </w:rPr>
              <w:t>term</w:t>
            </w:r>
          </w:p>
        </w:tc>
        <w:tc>
          <w:tcPr>
            <w:tcW w:w="2300" w:type="dxa"/>
            <w:vAlign w:val="bottom"/>
            <w:gridSpan w:val="3"/>
          </w:tcPr>
          <w:p>
            <w:pPr>
              <w:ind w:left="840"/>
              <w:spacing w:after="0"/>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373"/>
              <w:spacing w:after="0"/>
              <w:rPr>
                <w:sz w:val="20"/>
                <w:szCs w:val="20"/>
                <w:color w:val="auto"/>
              </w:rPr>
            </w:pPr>
            <w:r>
              <w:rPr>
                <w:rFonts w:ascii="Arial" w:cs="Arial" w:eastAsia="Arial" w:hAnsi="Arial"/>
                <w:sz w:val="14"/>
                <w:szCs w:val="14"/>
                <w:color w:val="auto"/>
              </w:rPr>
              <w:t>(in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thousands):</w:t>
            </w:r>
          </w:p>
        </w:tc>
      </w:tr>
      <w:tr>
        <w:trPr>
          <w:trHeight w:val="172"/>
        </w:trPr>
        <w:tc>
          <w:tcPr>
            <w:tcW w:w="2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Maturity (In Years)</w:t>
            </w:r>
          </w:p>
        </w:tc>
        <w:tc>
          <w:tcPr>
            <w:tcW w:w="26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Amortized Cost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Unrealized Gains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1"/>
                <w:szCs w:val="11"/>
                <w:b w:val="1"/>
                <w:bCs w:val="1"/>
                <w:color w:val="auto"/>
              </w:rPr>
              <w:t>Unrealized Losses</w:t>
            </w:r>
          </w:p>
        </w:tc>
        <w:tc>
          <w:tcPr>
            <w:tcW w:w="280" w:type="dxa"/>
            <w:vAlign w:val="bottom"/>
          </w:tcPr>
          <w:p>
            <w:pPr>
              <w:spacing w:after="0"/>
              <w:rPr>
                <w:sz w:val="14"/>
                <w:szCs w:val="14"/>
                <w:color w:val="auto"/>
              </w:rPr>
            </w:pPr>
          </w:p>
        </w:tc>
        <w:tc>
          <w:tcPr>
            <w:tcW w:w="1200" w:type="dxa"/>
            <w:vAlign w:val="bottom"/>
          </w:tcPr>
          <w:p>
            <w:pPr>
              <w:jc w:val="right"/>
              <w:ind w:right="411"/>
              <w:spacing w:after="0"/>
              <w:rPr>
                <w:sz w:val="20"/>
                <w:szCs w:val="20"/>
                <w:color w:val="auto"/>
              </w:rPr>
            </w:pPr>
            <w:r>
              <w:rPr>
                <w:rFonts w:ascii="Arial" w:cs="Arial" w:eastAsia="Arial" w:hAnsi="Arial"/>
                <w:sz w:val="11"/>
                <w:szCs w:val="11"/>
                <w:b w:val="1"/>
                <w:bCs w:val="1"/>
                <w:color w:val="auto"/>
              </w:rPr>
              <w:t>Fair Value</w:t>
            </w:r>
          </w:p>
        </w:tc>
      </w:tr>
      <w:tr>
        <w:trPr>
          <w:trHeight w:val="182"/>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32,035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CCEEFF"/>
            </w:tcBorders>
            <w:shd w:val="clear" w:color="auto" w:fill="CCEEFF"/>
          </w:tcPr>
          <w:p>
            <w:pPr>
              <w:jc w:val="right"/>
              <w:ind w:right="1073"/>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32,035</w:t>
            </w:r>
          </w:p>
        </w:tc>
      </w:tr>
      <w:tr>
        <w:trPr>
          <w:trHeight w:val="180"/>
        </w:trPr>
        <w:tc>
          <w:tcPr>
            <w:tcW w:w="2600" w:type="dxa"/>
            <w:vAlign w:val="bottom"/>
          </w:tcPr>
          <w:p>
            <w:pPr>
              <w:ind w:left="20"/>
              <w:spacing w:after="0"/>
              <w:rPr>
                <w:sz w:val="20"/>
                <w:szCs w:val="20"/>
                <w:color w:val="auto"/>
              </w:rPr>
            </w:pPr>
            <w:r>
              <w:rPr>
                <w:rFonts w:ascii="Arial" w:cs="Arial" w:eastAsia="Arial" w:hAnsi="Arial"/>
                <w:sz w:val="14"/>
                <w:szCs w:val="14"/>
                <w:color w:val="auto"/>
              </w:rPr>
              <w:t>U.S. government treasury bills</w:t>
            </w:r>
          </w:p>
        </w:tc>
        <w:tc>
          <w:tcPr>
            <w:tcW w:w="92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Less than 1</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70,812</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70,708</w:t>
            </w:r>
          </w:p>
        </w:tc>
      </w:tr>
      <w:tr>
        <w:trPr>
          <w:trHeight w:val="22"/>
        </w:trPr>
        <w:tc>
          <w:tcPr>
            <w:tcW w:w="2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2"/>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9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8"/>
              </w:rPr>
              <w:t>Less than 1</w:t>
            </w:r>
          </w:p>
        </w:tc>
        <w:tc>
          <w:tcPr>
            <w:tcW w:w="2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53,296</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53,296</w:t>
            </w:r>
          </w:p>
        </w:tc>
      </w:tr>
      <w:tr>
        <w:trPr>
          <w:trHeight w:val="180"/>
        </w:trPr>
        <w:tc>
          <w:tcPr>
            <w:tcW w:w="260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92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Less than 1</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4,276</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4,250</w:t>
            </w:r>
          </w:p>
        </w:tc>
      </w:tr>
      <w:tr>
        <w:trPr>
          <w:trHeight w:val="22"/>
        </w:trPr>
        <w:tc>
          <w:tcPr>
            <w:tcW w:w="2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2"/>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Government agency</w:t>
            </w:r>
          </w:p>
        </w:tc>
        <w:tc>
          <w:tcPr>
            <w:tcW w:w="9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8"/>
              </w:rPr>
              <w:t>Less than 1</w:t>
            </w:r>
          </w:p>
        </w:tc>
        <w:tc>
          <w:tcPr>
            <w:tcW w:w="2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5,272</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5,287</w:t>
            </w:r>
          </w:p>
        </w:tc>
      </w:tr>
      <w:tr>
        <w:trPr>
          <w:trHeight w:val="171"/>
        </w:trPr>
        <w:tc>
          <w:tcPr>
            <w:tcW w:w="2600" w:type="dxa"/>
            <w:vAlign w:val="bottom"/>
          </w:tcPr>
          <w:p>
            <w:pPr>
              <w:ind w:left="20"/>
              <w:spacing w:after="0"/>
              <w:rPr>
                <w:sz w:val="20"/>
                <w:szCs w:val="20"/>
                <w:color w:val="auto"/>
              </w:rPr>
            </w:pPr>
            <w:r>
              <w:rPr>
                <w:rFonts w:ascii="Arial" w:cs="Arial" w:eastAsia="Arial" w:hAnsi="Arial"/>
                <w:sz w:val="14"/>
                <w:szCs w:val="14"/>
                <w:color w:val="auto"/>
              </w:rPr>
              <w:t>Total</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165,691</w:t>
            </w:r>
          </w:p>
        </w:tc>
        <w:tc>
          <w:tcPr>
            <w:tcW w:w="80" w:type="dxa"/>
            <w:vAlign w:val="bottom"/>
          </w:tcPr>
          <w:p>
            <w:pPr>
              <w:spacing w:after="0"/>
              <w:rPr>
                <w:sz w:val="14"/>
                <w:szCs w:val="14"/>
                <w:color w:val="auto"/>
              </w:rPr>
            </w:pPr>
          </w:p>
        </w:tc>
        <w:tc>
          <w:tcPr>
            <w:tcW w:w="1220" w:type="dxa"/>
            <w:vAlign w:val="bottom"/>
            <w:tcBorders>
              <w:top w:val="single" w:sz="8" w:color="auto"/>
            </w:tcBorders>
          </w:tcPr>
          <w:p>
            <w:pPr>
              <w:jc w:val="right"/>
              <w:ind w:right="1073"/>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165,576</w:t>
            </w:r>
          </w:p>
        </w:tc>
      </w:tr>
      <w:tr>
        <w:trPr>
          <w:trHeight w:val="22"/>
        </w:trPr>
        <w:tc>
          <w:tcPr>
            <w:tcW w:w="2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Merger</w:t>
      </w:r>
    </w:p>
    <w:p>
      <w:pPr>
        <w:spacing w:after="0" w:line="98"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The Merger was accounted for as a reverse asset acquisition because substantially all of the fair value was concentrated in cash, working capital, and a long-lived contract intangible asset (See Note 1).</w:t>
      </w:r>
    </w:p>
    <w:p>
      <w:pPr>
        <w:spacing w:after="0" w:line="47"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The estimated fair value of total consideration given was $110.4 million as detailed below and is based on 3,208,718 shares of common stock, after taking into account the Reverse Stock Split, outstanding immediately prior to the Effective Time.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Number of common shares of the combined company to be owned by Aerpio shareholders</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3,208,718</w:t>
            </w:r>
          </w:p>
        </w:tc>
        <w:tc>
          <w:tcPr>
            <w:tcW w:w="0" w:type="dxa"/>
            <w:vAlign w:val="bottom"/>
          </w:tcPr>
          <w:p>
            <w:pPr>
              <w:spacing w:after="0"/>
              <w:rPr>
                <w:sz w:val="1"/>
                <w:szCs w:val="1"/>
                <w:color w:val="auto"/>
              </w:rPr>
            </w:pPr>
          </w:p>
        </w:tc>
      </w:tr>
      <w:tr>
        <w:trPr>
          <w:trHeight w:val="180"/>
        </w:trPr>
        <w:tc>
          <w:tcPr>
            <w:tcW w:w="98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Multiplied by the fair value per share of Aerpio common stock on August 26, 2021</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171"/>
        </w:trPr>
        <w:tc>
          <w:tcPr>
            <w:tcW w:w="9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Fair value of Aerpio common stock</w:t>
            </w: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105,887,694</w:t>
            </w:r>
          </w:p>
        </w:tc>
        <w:tc>
          <w:tcPr>
            <w:tcW w:w="0" w:type="dxa"/>
            <w:vAlign w:val="bottom"/>
          </w:tcPr>
          <w:p>
            <w:pPr>
              <w:spacing w:after="0"/>
              <w:rPr>
                <w:sz w:val="1"/>
                <w:szCs w:val="1"/>
                <w:color w:val="auto"/>
              </w:rPr>
            </w:pPr>
          </w:p>
        </w:tc>
      </w:tr>
      <w:tr>
        <w:trPr>
          <w:trHeight w:val="180"/>
        </w:trPr>
        <w:tc>
          <w:tcPr>
            <w:tcW w:w="98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Aadi transaction costs</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4,500,864</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Purchase price</w:t>
            </w:r>
          </w:p>
        </w:tc>
        <w:tc>
          <w:tcPr>
            <w:tcW w:w="22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110,388,558</w:t>
            </w:r>
          </w:p>
        </w:tc>
        <w:tc>
          <w:tcPr>
            <w:tcW w:w="0" w:type="dxa"/>
            <w:vAlign w:val="bottom"/>
          </w:tcPr>
          <w:p>
            <w:pPr>
              <w:spacing w:after="0"/>
              <w:rPr>
                <w:sz w:val="1"/>
                <w:szCs w:val="1"/>
                <w:color w:val="auto"/>
              </w:rPr>
            </w:pPr>
          </w:p>
        </w:tc>
      </w:tr>
      <w:tr>
        <w:trPr>
          <w:trHeight w:val="20"/>
        </w:trPr>
        <w:tc>
          <w:tcPr>
            <w:tcW w:w="9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The allocation of the purchase price is as follows (amounts in thousands):</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90"/>
              <w:spacing w:after="0"/>
              <w:rPr>
                <w:sz w:val="20"/>
                <w:szCs w:val="20"/>
                <w:color w:val="auto"/>
              </w:rPr>
            </w:pPr>
            <w:r>
              <w:rPr>
                <w:rFonts w:ascii="Arial" w:cs="Arial" w:eastAsia="Arial" w:hAnsi="Arial"/>
                <w:sz w:val="11"/>
                <w:szCs w:val="11"/>
                <w:b w:val="1"/>
                <w:bCs w:val="1"/>
                <w:color w:val="auto"/>
              </w:rPr>
              <w:t>August 26, 2021</w:t>
            </w:r>
          </w:p>
        </w:tc>
        <w:tc>
          <w:tcPr>
            <w:tcW w:w="0" w:type="dxa"/>
            <w:vAlign w:val="bottom"/>
          </w:tcPr>
          <w:p>
            <w:pPr>
              <w:spacing w:after="0"/>
              <w:rPr>
                <w:sz w:val="1"/>
                <w:szCs w:val="1"/>
                <w:color w:val="auto"/>
              </w:rPr>
            </w:pPr>
          </w:p>
        </w:tc>
      </w:tr>
      <w:tr>
        <w:trPr>
          <w:trHeight w:val="30"/>
        </w:trPr>
        <w:tc>
          <w:tcPr>
            <w:tcW w:w="98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29,700</w:t>
            </w:r>
          </w:p>
        </w:tc>
        <w:tc>
          <w:tcPr>
            <w:tcW w:w="0" w:type="dxa"/>
            <w:vAlign w:val="bottom"/>
          </w:tcPr>
          <w:p>
            <w:pPr>
              <w:spacing w:after="0"/>
              <w:rPr>
                <w:sz w:val="1"/>
                <w:szCs w:val="1"/>
                <w:color w:val="auto"/>
              </w:rPr>
            </w:pPr>
          </w:p>
        </w:tc>
      </w:tr>
      <w:tr>
        <w:trPr>
          <w:trHeight w:val="180"/>
        </w:trPr>
        <w:tc>
          <w:tcPr>
            <w:tcW w:w="98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2,709</w:t>
            </w:r>
          </w:p>
        </w:tc>
        <w:tc>
          <w:tcPr>
            <w:tcW w:w="0" w:type="dxa"/>
            <w:vAlign w:val="bottom"/>
          </w:tcPr>
          <w:p>
            <w:pPr>
              <w:spacing w:after="0"/>
              <w:rPr>
                <w:sz w:val="1"/>
                <w:szCs w:val="1"/>
                <w:color w:val="auto"/>
              </w:rPr>
            </w:pPr>
          </w:p>
        </w:tc>
      </w:tr>
      <w:tr>
        <w:trPr>
          <w:trHeight w:val="181"/>
        </w:trPr>
        <w:tc>
          <w:tcPr>
            <w:tcW w:w="9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 (1)</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78,062</w:t>
            </w:r>
          </w:p>
        </w:tc>
        <w:tc>
          <w:tcPr>
            <w:tcW w:w="0" w:type="dxa"/>
            <w:vAlign w:val="bottom"/>
          </w:tcPr>
          <w:p>
            <w:pPr>
              <w:spacing w:after="0"/>
              <w:rPr>
                <w:sz w:val="1"/>
                <w:szCs w:val="1"/>
                <w:color w:val="auto"/>
              </w:rPr>
            </w:pPr>
          </w:p>
        </w:tc>
      </w:tr>
      <w:tr>
        <w:trPr>
          <w:trHeight w:val="180"/>
        </w:trPr>
        <w:tc>
          <w:tcPr>
            <w:tcW w:w="9800" w:type="dxa"/>
            <w:vAlign w:val="bottom"/>
          </w:tcPr>
          <w:p>
            <w:pPr>
              <w:ind w:left="20"/>
              <w:spacing w:after="0"/>
              <w:rPr>
                <w:sz w:val="20"/>
                <w:szCs w:val="20"/>
                <w:color w:val="auto"/>
              </w:rPr>
            </w:pPr>
            <w:r>
              <w:rPr>
                <w:rFonts w:ascii="Arial" w:cs="Arial" w:eastAsia="Arial" w:hAnsi="Arial"/>
                <w:sz w:val="14"/>
                <w:szCs w:val="14"/>
                <w:color w:val="auto"/>
              </w:rPr>
              <w:t>Deposits</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0"/>
        </w:trPr>
        <w:tc>
          <w:tcPr>
            <w:tcW w:w="9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1"/>
        </w:trPr>
        <w:tc>
          <w:tcPr>
            <w:tcW w:w="9800" w:type="dxa"/>
            <w:vAlign w:val="bottom"/>
          </w:tcPr>
          <w:p>
            <w:pPr>
              <w:ind w:left="20"/>
              <w:spacing w:after="0"/>
              <w:rPr>
                <w:sz w:val="20"/>
                <w:szCs w:val="20"/>
                <w:color w:val="auto"/>
              </w:rPr>
            </w:pPr>
            <w:r>
              <w:rPr>
                <w:rFonts w:ascii="Arial" w:cs="Arial" w:eastAsia="Arial" w:hAnsi="Arial"/>
                <w:sz w:val="14"/>
                <w:szCs w:val="14"/>
                <w:color w:val="auto"/>
              </w:rPr>
              <w:t>Purchase price</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110,388</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620" w:right="20" w:hanging="389"/>
        <w:spacing w:after="0" w:line="267" w:lineRule="auto"/>
        <w:tabs>
          <w:tab w:leader="none" w:pos="6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The long-lived intangible asset represented Aerpio’s out-licensing agreement with Gossamer Bio., Inc. In accordance with GAAP for asset acquisitions, the excess purchase price over the fair value of the acquired assets and liabilities was ascribed to the acquired contract intangible asset. Subsequently, the Company recorded an impairment and the licensing agreement was terminated. See Note 6 for additional information.</w:t>
      </w:r>
    </w:p>
    <w:p>
      <w:pPr>
        <w:spacing w:after="0" w:line="148" w:lineRule="exact"/>
        <w:rPr>
          <w:rFonts w:ascii="Arial" w:cs="Arial" w:eastAsia="Arial" w:hAnsi="Arial"/>
          <w:sz w:val="14"/>
          <w:szCs w:val="14"/>
          <w:color w:val="auto"/>
        </w:rPr>
      </w:pPr>
    </w:p>
    <w:p>
      <w:pPr>
        <w:ind w:left="140" w:hanging="135"/>
        <w:spacing w:after="0"/>
        <w:tabs>
          <w:tab w:leader="none" w:pos="140" w:val="left"/>
        </w:tabs>
        <w:numPr>
          <w:ilvl w:val="0"/>
          <w:numId w:val="63"/>
        </w:numPr>
        <w:rPr>
          <w:rFonts w:ascii="Arial" w:cs="Arial" w:eastAsia="Arial" w:hAnsi="Arial"/>
          <w:sz w:val="14"/>
          <w:szCs w:val="14"/>
          <w:b w:val="1"/>
          <w:bCs w:val="1"/>
          <w:color w:val="231F20"/>
        </w:rPr>
      </w:pPr>
      <w:r>
        <w:rPr>
          <w:rFonts w:ascii="Arial" w:cs="Arial" w:eastAsia="Arial" w:hAnsi="Arial"/>
          <w:sz w:val="14"/>
          <w:szCs w:val="14"/>
          <w:b w:val="1"/>
          <w:bCs w:val="1"/>
          <w:color w:val="231F20"/>
        </w:rPr>
        <w:t>Intangible Asset</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recorded a long-lived contract intangible asset as a result of the Merger, related to the Gossamer License Agreement,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At the Effective Time, the Company recognized an impairment of $74.2 million to bring the carrying amount of the contract intangible asset down to its estimated fair value of $3.9 million. The fair value estimate of the intangible asset relates to contingent cash flows expected from the out-licensing arrangement, of which 90% of any future net cash proceeds will be remitted to CVR Holders and paid through the CVRs. The useful life of the intangible asset was estimated to be approximately 14.3 years.</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April 25, 2022, the Company received a formal notice of termination from Gossamer for the Gossamer License Agreement, relating to Gossamer’s GB004 product candidate, a legacy product candidate of the Company's predecessor,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 Based on the termination of the Gossamer License Agreement, the Company fully impaired the intangible asset, $3.7 million, of which the Gossamer License Agreement is the underlying asset, during the year ended December 31, 2022.</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was $87,000 and $95,000 for the years ended December 31, 2022 and 2021,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a roll forward of the finite-lived intangible asset for the </w:t>
      </w:r>
      <w:r>
        <w:rPr>
          <w:rFonts w:ascii="Arial" w:cs="Arial" w:eastAsia="Arial" w:hAnsi="Arial"/>
          <w:sz w:val="14"/>
          <w:szCs w:val="14"/>
          <w:color w:val="231F20"/>
        </w:rPr>
        <w:t>years</w:t>
      </w:r>
      <w:r>
        <w:rPr>
          <w:rFonts w:ascii="Arial" w:cs="Arial" w:eastAsia="Arial" w:hAnsi="Arial"/>
          <w:sz w:val="14"/>
          <w:szCs w:val="14"/>
          <w:color w:val="auto"/>
        </w:rPr>
        <w:t xml:space="preserve"> ended December 31, (amounts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 net, beginning of year</w:t>
            </w:r>
          </w:p>
        </w:tc>
        <w:tc>
          <w:tcPr>
            <w:tcW w:w="88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Additions</w:t>
            </w:r>
          </w:p>
        </w:tc>
        <w:tc>
          <w:tcPr>
            <w:tcW w:w="8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78,062</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Impairment of contract intangible</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(3,724)</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(74,156)</w:t>
            </w:r>
          </w:p>
        </w:tc>
        <w:tc>
          <w:tcPr>
            <w:tcW w:w="0" w:type="dxa"/>
            <w:vAlign w:val="bottom"/>
          </w:tcPr>
          <w:p>
            <w:pPr>
              <w:spacing w:after="0"/>
              <w:rPr>
                <w:sz w:val="1"/>
                <w:szCs w:val="1"/>
                <w:color w:val="auto"/>
              </w:rPr>
            </w:pPr>
          </w:p>
        </w:tc>
      </w:tr>
      <w:tr>
        <w:trPr>
          <w:trHeight w:val="218"/>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 net, end of year</w:t>
            </w:r>
          </w:p>
        </w:tc>
        <w:tc>
          <w:tcPr>
            <w:tcW w:w="88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7. Accrued Liabilities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8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20" w:type="dxa"/>
            <w:vAlign w:val="bottom"/>
          </w:tcPr>
          <w:p>
            <w:pPr>
              <w:spacing w:after="0"/>
              <w:rPr>
                <w:sz w:val="20"/>
                <w:szCs w:val="20"/>
                <w:color w:val="auto"/>
              </w:rPr>
            </w:pPr>
            <w:r>
              <w:rPr>
                <w:rFonts w:ascii="Arial" w:cs="Arial" w:eastAsia="Arial" w:hAnsi="Arial"/>
                <w:sz w:val="14"/>
                <w:szCs w:val="14"/>
                <w:color w:val="auto"/>
              </w:rPr>
              <w:t>Details of accrued liabilities are presented as follows (amounts in thousands):</w:t>
            </w: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As of December 31,</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8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80"/>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bonus</w:t>
            </w:r>
          </w:p>
        </w:tc>
        <w:tc>
          <w:tcPr>
            <w:tcW w:w="880" w:type="dxa"/>
            <w:vAlign w:val="bottom"/>
            <w:shd w:val="clear" w:color="auto" w:fill="CFF0FC"/>
          </w:tcPr>
          <w:p>
            <w:pPr>
              <w:jc w:val="right"/>
              <w:ind w:right="714"/>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5,463</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Accrued clinical</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professional fees</w:t>
            </w:r>
          </w:p>
        </w:tc>
        <w:tc>
          <w:tcPr>
            <w:tcW w:w="8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1,814</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1,948</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Advanced customer payments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1,571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salaries and payroll</w:t>
            </w:r>
          </w:p>
        </w:tc>
        <w:tc>
          <w:tcPr>
            <w:tcW w:w="8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1,299</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Accrued contract manufacturing</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2,287</w:t>
            </w:r>
          </w:p>
        </w:tc>
        <w:tc>
          <w:tcPr>
            <w:tcW w:w="0" w:type="dxa"/>
            <w:vAlign w:val="bottom"/>
          </w:tcPr>
          <w:p>
            <w:pPr>
              <w:spacing w:after="0"/>
              <w:rPr>
                <w:sz w:val="1"/>
                <w:szCs w:val="1"/>
                <w:color w:val="auto"/>
              </w:rPr>
            </w:pPr>
          </w:p>
        </w:tc>
      </w:tr>
      <w:tr>
        <w:trPr>
          <w:trHeight w:val="18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other - sales related</w:t>
            </w:r>
          </w:p>
        </w:tc>
        <w:tc>
          <w:tcPr>
            <w:tcW w:w="8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1,435</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Accrued other</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w:t>
            </w:r>
          </w:p>
        </w:tc>
        <w:tc>
          <w:tcPr>
            <w:tcW w:w="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accrued liabilities</w:t>
            </w:r>
          </w:p>
        </w:tc>
        <w:tc>
          <w:tcPr>
            <w:tcW w:w="880" w:type="dxa"/>
            <w:vAlign w:val="bottom"/>
            <w:tcBorders>
              <w:bottom w:val="single" w:sz="8" w:color="auto"/>
            </w:tcBorders>
            <w:shd w:val="clear" w:color="auto" w:fill="CFF0FC"/>
          </w:tcPr>
          <w:p>
            <w:pPr>
              <w:jc w:val="right"/>
              <w:ind w:right="714"/>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14,922</w:t>
            </w: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8,703</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Operating Lease</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related to the Company’s lease (amounts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2"/>
              </w:rPr>
              <w:t>As of 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40" w:type="dxa"/>
            <w:vAlign w:val="bottom"/>
            <w:gridSpan w:val="2"/>
          </w:tcPr>
          <w:p>
            <w:pPr>
              <w:ind w:left="180"/>
              <w:spacing w:after="0"/>
              <w:rPr>
                <w:sz w:val="20"/>
                <w:szCs w:val="20"/>
                <w:color w:val="auto"/>
              </w:rPr>
            </w:pPr>
            <w:r>
              <w:rPr>
                <w:rFonts w:ascii="Arial" w:cs="Arial" w:eastAsia="Arial" w:hAnsi="Arial"/>
                <w:sz w:val="14"/>
                <w:szCs w:val="14"/>
                <w:color w:val="auto"/>
              </w:rPr>
              <w:t>Operating lease right-of-use assets</w:t>
            </w:r>
          </w:p>
        </w:tc>
        <w:tc>
          <w:tcPr>
            <w:tcW w:w="860" w:type="dxa"/>
            <w:vAlign w:val="bottom"/>
          </w:tcPr>
          <w:p>
            <w:pPr>
              <w:jc w:val="right"/>
              <w:ind w:right="715"/>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1,522</w:t>
            </w:r>
          </w:p>
        </w:tc>
        <w:tc>
          <w:tcPr>
            <w:tcW w:w="700" w:type="dxa"/>
            <w:vAlign w:val="bottom"/>
            <w:gridSpan w:val="3"/>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Pr>
          <w:p>
            <w:pPr>
              <w:ind w:left="620"/>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lease liabilities, current</w:t>
            </w:r>
          </w:p>
        </w:tc>
        <w:tc>
          <w:tcPr>
            <w:tcW w:w="860" w:type="dxa"/>
            <w:vAlign w:val="bottom"/>
            <w:shd w:val="clear" w:color="auto" w:fill="CCEEFF"/>
          </w:tcPr>
          <w:p>
            <w:pPr>
              <w:jc w:val="right"/>
              <w:ind w:right="715"/>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700" w:type="dxa"/>
            <w:vAlign w:val="bottom"/>
            <w:gridSpan w:val="3"/>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Operating lease liabilities, non-current</w:t>
            </w: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91"/>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lease liabilities</w:t>
            </w:r>
          </w:p>
        </w:tc>
        <w:tc>
          <w:tcPr>
            <w:tcW w:w="860" w:type="dxa"/>
            <w:vAlign w:val="bottom"/>
            <w:shd w:val="clear" w:color="auto" w:fill="CCEEFF"/>
          </w:tcPr>
          <w:p>
            <w:pPr>
              <w:jc w:val="right"/>
              <w:ind w:right="715"/>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40" w:type="dxa"/>
            <w:vAlign w:val="bottom"/>
            <w:gridSpan w:val="2"/>
          </w:tcPr>
          <w:p>
            <w:pPr>
              <w:spacing w:after="0"/>
              <w:rPr>
                <w:sz w:val="20"/>
                <w:szCs w:val="20"/>
                <w:color w:val="auto"/>
              </w:rPr>
            </w:pPr>
            <w:r>
              <w:rPr>
                <w:rFonts w:ascii="Arial" w:cs="Arial" w:eastAsia="Arial" w:hAnsi="Arial"/>
                <w:sz w:val="14"/>
                <w:szCs w:val="14"/>
                <w:color w:val="231F20"/>
              </w:rPr>
              <w:t>Rent expense for the years ended December 31, is presented on the following table (amounts in thousands):</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20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rent expense</w:t>
            </w:r>
          </w:p>
        </w:tc>
        <w:tc>
          <w:tcPr>
            <w:tcW w:w="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100" w:type="dxa"/>
            <w:vAlign w:val="bottom"/>
            <w:gridSpan w:val="3"/>
          </w:tcPr>
          <w:p>
            <w:pPr>
              <w:spacing w:after="0"/>
              <w:rPr>
                <w:sz w:val="20"/>
                <w:szCs w:val="20"/>
                <w:color w:val="auto"/>
              </w:rPr>
            </w:pPr>
            <w:r>
              <w:rPr>
                <w:rFonts w:ascii="Arial" w:cs="Arial" w:eastAsia="Arial" w:hAnsi="Arial"/>
                <w:sz w:val="14"/>
                <w:szCs w:val="14"/>
                <w:color w:val="231F20"/>
                <w:w w:val="96"/>
              </w:rPr>
              <w:t>Cash paid for leases and included in operating cash flows for the years ended December 31, is presented on the following table (amounts in thousands):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20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included in operating cash flows</w:t>
            </w:r>
          </w:p>
        </w:tc>
        <w:tc>
          <w:tcPr>
            <w:tcW w:w="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40" w:type="dxa"/>
            <w:vAlign w:val="bottom"/>
            <w:gridSpan w:val="2"/>
          </w:tcPr>
          <w:p>
            <w:pPr>
              <w:spacing w:after="0"/>
              <w:rPr>
                <w:sz w:val="20"/>
                <w:szCs w:val="20"/>
                <w:color w:val="auto"/>
              </w:rPr>
            </w:pPr>
            <w:r>
              <w:rPr>
                <w:rFonts w:ascii="Arial" w:cs="Arial" w:eastAsia="Arial" w:hAnsi="Arial"/>
                <w:sz w:val="14"/>
                <w:szCs w:val="14"/>
                <w:color w:val="auto"/>
                <w:w w:val="90"/>
              </w:rPr>
              <w:t>The future minimum lease payments required under the operating lease as of December 31, 2022, are summarized below (amounts in thousands):</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40" w:type="dxa"/>
            <w:vAlign w:val="bottom"/>
            <w:gridSpan w:val="2"/>
          </w:tcPr>
          <w:p>
            <w:pPr>
              <w:ind w:left="20"/>
              <w:spacing w:after="0"/>
              <w:rPr>
                <w:sz w:val="20"/>
                <w:szCs w:val="20"/>
                <w:color w:val="auto"/>
              </w:rPr>
            </w:pPr>
            <w:r>
              <w:rPr>
                <w:rFonts w:ascii="Arial" w:cs="Arial" w:eastAsia="Arial" w:hAnsi="Arial"/>
                <w:sz w:val="11"/>
                <w:szCs w:val="11"/>
                <w:b w:val="1"/>
                <w:bCs w:val="1"/>
                <w:color w:val="auto"/>
              </w:rPr>
              <w:t>Future Minimum Lease Payments:</w:t>
            </w: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91"/>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91"/>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8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minimum lease payments</w:t>
            </w:r>
          </w:p>
        </w:tc>
        <w:tc>
          <w:tcPr>
            <w:tcW w:w="8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Less: amount representing interest</w:t>
            </w: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tcBorders>
              <w:bottom w:val="single" w:sz="8" w:color="CCEEFF"/>
            </w:tcBorders>
            <w:gridSpan w:val="2"/>
            <w:vMerge w:val="continue"/>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1"/>
              <w:spacing w:after="0" w:line="143"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8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Less: operating lease liabilities, current</w:t>
            </w: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tcBorders>
              <w:bottom w:val="single" w:sz="8" w:color="CCEEFF"/>
            </w:tcBorders>
            <w:gridSpan w:val="2"/>
            <w:vMerge w:val="continue"/>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1"/>
              <w:spacing w:after="0" w:line="143"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8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ind w:left="620"/>
              <w:spacing w:after="0" w:line="143" w:lineRule="exact"/>
              <w:rPr>
                <w:sz w:val="20"/>
                <w:szCs w:val="20"/>
                <w:color w:val="auto"/>
              </w:rPr>
            </w:pPr>
            <w:r>
              <w:rPr>
                <w:rFonts w:ascii="Arial" w:cs="Arial" w:eastAsia="Arial" w:hAnsi="Arial"/>
                <w:sz w:val="14"/>
                <w:szCs w:val="14"/>
                <w:color w:val="auto"/>
                <w:w w:val="87"/>
              </w:rPr>
              <w:t>4.53</w:t>
            </w:r>
          </w:p>
        </w:tc>
        <w:tc>
          <w:tcPr>
            <w:tcW w:w="0" w:type="dxa"/>
            <w:vAlign w:val="bottom"/>
          </w:tcPr>
          <w:p>
            <w:pPr>
              <w:spacing w:after="0"/>
              <w:rPr>
                <w:sz w:val="1"/>
                <w:szCs w:val="1"/>
                <w:color w:val="auto"/>
              </w:rPr>
            </w:pPr>
          </w:p>
        </w:tc>
      </w:tr>
      <w:tr>
        <w:trPr>
          <w:trHeight w:val="181"/>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incremental borrowing rate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40" w:hanging="135"/>
        <w:spacing w:after="0"/>
        <w:tabs>
          <w:tab w:leader="none" w:pos="140" w:val="left"/>
        </w:tabs>
        <w:numPr>
          <w:ilvl w:val="0"/>
          <w:numId w:val="64"/>
        </w:numPr>
        <w:rPr>
          <w:rFonts w:ascii="Arial" w:cs="Arial" w:eastAsia="Arial" w:hAnsi="Arial"/>
          <w:sz w:val="14"/>
          <w:szCs w:val="14"/>
          <w:b w:val="1"/>
          <w:bCs w:val="1"/>
          <w:color w:val="231F20"/>
        </w:rPr>
      </w:pPr>
      <w:r>
        <w:rPr>
          <w:rFonts w:ascii="Arial" w:cs="Arial" w:eastAsia="Arial" w:hAnsi="Arial"/>
          <w:sz w:val="14"/>
          <w:szCs w:val="14"/>
          <w:b w:val="1"/>
          <w:bCs w:val="1"/>
          <w:color w:val="auto"/>
        </w:rPr>
        <w:t>License Agreements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Bristol-Meyers Squibb Company License Agreement</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April 9, 2014, the Company entered into a license agreement (as amended the “BMS License Agreement”) with Bristol-Myers Squibb Company (“BMS”) for exclusive rights for certain patents and a non-exclusive license for certain technology and know-how pertaining to FYARRO.</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BMS License Agreement will remain in effect from the effective date of April 9, 2014 until expiration of all milestone and royalty payment obligations under the agreement, unless terminated by either of the parties upon giving an advance notice as specified in the BMS License Agreement. Under the terms of the BMS License Agreement, BMS agreed to supply the Company with licensed products of FYARRO necessary for clinical or non-clinical development.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the terms of the BMS License Agreement, BMS is entitled to receive certain development milestone payments, royalties on net sales from licensed products under the agreement and any sublicense fees. During the year ended December 31, 2022, royalties on net product sales were $1.1 million, of which $0.4 million in royalties were accrued as of December 31, 2022. No payments related to milestones were paid during the years ended December 31, 2022 and 2021.</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2021 PIPE Financing. Pursuant to the terms of the Amendment, the remaining previously outstanding payment obligation of $5.8 million, is due on the third anniversary of the Effective Time, or August 26, 2024 plus any accrued and unpaid interest due thereon (“Balloon Payment”). The 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BMS based on net sales of products subject to the BMS License Agreement.</w:t>
      </w:r>
    </w:p>
    <w:p>
      <w:pPr>
        <w:spacing w:after="0" w:line="4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 As such, the Company recognized $2.8 million of license expense in the year ended December 31, 2021 and had a corresponding $2.8 million sublicense payable to BMS on the balance sheet as of December 31, 2021, which was paid in 2022.</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year ended December 31, 2021, the Company recognized license revenue and received $1.0 million from EOC for achieving the FDA approval milestone on November 22, 2021. In accordance with the BMS License Agreement, the Company recognized $0.2 million of license expense in the year ended December 31, 2021 and had a corresponding $0.2 million sublicense payable to BMS on the balance sheet as of December 31, 2021, which was paid in 2022.</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EOC License Agreement</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December 2021, the Company entered into the EOC License Agreement with EOC for the further development of ABI-009, now called FYARRO, and commercialization of FYARRO in the Licensed Territory. Under the terms of the agreement, the Company granted to EOC an exclusive, royalty-bearing license to develop and commercialize the product in the Licensed Territory. The term of the EOC License Agreement was set to continue until the expiration of the royalty obligations under the agreement.</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June 27, 2022, the Company received written notice from EOC that EOC elected to terminate the EOC License Agreement, effective immediately, due to alleged material breaches by the Company under such agreement. The Company disagrees with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breaches the agreement and fails to cure the breach, becomes insolvent or challenges certain of the intellectual property rights licensed under the agreement. On June 27, 2022, EOC filed a Request for Arbitration with the International Chamber of Commerce’s International Court of Arbitration against the Company. The arbitration process is ongoing.</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assessed the EOC License Agreement and concluded that EOC is a customer and identified the license of ABI-009 provided to EOC as the sole performance obligation. The $14.0 million upfront payment received from EOC is non-refundable and non-creditable and is considered fixed consideration. The Company recognized revenue of $14.0 million in the year ended December 31, 2020 when the EOC License Agreement was signed, and the $14.0 million upfront payment was received in January 2021.</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commercialization activities in the defined Licensed Territory. See Note 16 to these audited financial statements for more information about the arbitration process regarding the EOC License Agreement.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10. Convertible Notes</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Private Aadi received $8.1 million in October 2019 (“October 2019 Convertible Notes”) and $1.0 million in January 2020 for the proceeds in connection with the issuance of convertible promissory notes (“January 2020 Convertible Notes,” and together with October 2019 Convertible Notes “Convertible Notes”). The October 2019 Convertible Notes were issued to existing equity holders of Private Aadi. The Convertible Notes originally had a maturity date of one year from the date of issuance and an escalating interest rate of 6% per annum for the first four months following the effective date of the loan agreement, 8% per annum for the fifth and sixth months, and 10% per annum for the remaining six months of the note term until maturity at twelve months.</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November 2020, Private Aadi entered into an amendment to the Convertible Notes, whereby the term was extended from one year to two years. The amendment was accounted for as a debt modification.</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May 2021, Private Aadi entered into an amendment to the Convertible Notes, whereby upon the closing of the Merger (see Note 1), the outstanding principal amount of the Convertible Notes and all accrued and unpaid interest as of immediately prior to the closing of the Merger would automatically convert into fully paid and nonassessable shares of Private Aadi common stock at a price per share equal to $4.80 and would be concurrently exchanged for shares of the Company’s common stock based on the Exchange Ratio. In conjunction with the closing of the Merger on August 26, 2021, the outstanding Convertible Notes were converted into shares of Private Aadi common stock which were concurrently exchanged for 698,018 shares of the Company’s common stock based on the Exchange Ratio</w:t>
      </w:r>
      <w:r>
        <w:rPr>
          <w:rFonts w:ascii="Arial" w:cs="Arial" w:eastAsia="Arial" w:hAnsi="Arial"/>
          <w:sz w:val="14"/>
          <w:szCs w:val="14"/>
          <w:color w:val="231F20"/>
        </w:rPr>
        <w:t>.</w:t>
      </w:r>
      <w:r>
        <w:rPr>
          <w:rFonts w:ascii="Arial" w:cs="Arial" w:eastAsia="Arial" w:hAnsi="Arial"/>
          <w:sz w:val="14"/>
          <w:szCs w:val="14"/>
          <w:color w:val="auto"/>
        </w:rPr>
        <w:t xml:space="preserve"> At the date of conversion, the Convertible Notes were marked to market and valued at $9.5 million, resulting in a gain on conversion of $0.4 million in the year ended December 31, 2021</w:t>
      </w:r>
      <w:r>
        <w:rPr>
          <w:rFonts w:ascii="Arial" w:cs="Arial" w:eastAsia="Arial" w:hAnsi="Arial"/>
          <w:sz w:val="14"/>
          <w:szCs w:val="14"/>
          <w:color w:val="231F20"/>
        </w:rPr>
        <w:t>.</w:t>
      </w:r>
    </w:p>
    <w:p>
      <w:pPr>
        <w:spacing w:after="0" w:line="61" w:lineRule="exact"/>
        <w:rPr>
          <w:sz w:val="20"/>
          <w:szCs w:val="20"/>
          <w:color w:val="auto"/>
        </w:rPr>
      </w:pPr>
    </w:p>
    <w:p>
      <w:pPr>
        <w:ind w:left="200" w:hanging="195"/>
        <w:spacing w:after="0"/>
        <w:tabs>
          <w:tab w:leader="none" w:pos="20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231F20"/>
        </w:rPr>
        <w:t>Payroll Protection Program Loan</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May 2020, Private Aadi was approved for a $0.2 million Small Business Administration Paycheck Protection Program loan, as provided for in the Coronavirus Aid, Relief and Economic Security Act (“PPP Loan”). Under certain conditions, the PPP Loan and accrued interest were forgivable after a twenty-four-week covered period as long as the loan proceeds were used for eligible expenses, including payroll, benefits, rent and utilities, and the company maintains certain payroll levels. The amount of loan forgiveness was subject to reduction if the Company terminates employees or reduces salaries during the twenty-four-week covered period. The unforgiven portion of the loan was payable over two years at an interest rate of 1%, with a deferral of payments for the ten months following the end of the twenty-four-week covered period. On April 29, 2021, the Company received notification from the SBA that the Company’s Forgiveness Application of the PPP Loan and accrued interest was approved in full, and the Company had no further obligations related to the PPP Loan. Accordingly, the Company recorded a gain on the forgiveness of the PPP Loan totaling $0.2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Stockholders' Equity (Deficit)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Preferred Stock</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2022 and 2021, under the Company’s certificate of incorporation, as amended and restated, the Company has 10,000,000 shares of preferred stock, par value $0.0001 per share, in authorized capital with no shares outstanding.</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Series Seed Preferred Stock</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231F20"/>
        </w:rPr>
        <w:t>On February 23, 2017, Private Aadi converted from a limited liability company to a corporation and at that time converted 734,218 membership units into shares of Series Seed Preferred Stock. All outstanding shares of Series Seed Preferred Stock were converted into Private Aadi’s common stock and concurrently exchanged for the Company’s common stock based on the Exchange Ratio in connection with the closing of the Merger.</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Series A Preferred Stock</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31F20"/>
        </w:rPr>
        <w:t>In February and March 2017, Private Aadi sold and issued in a private placement 5,847,940 shares of Series A Preferred Stock at $3.42 per share (the “Series A Financing”). Upon the closing of the Series A Financing, convertible notes issued in 2015 converted into 482,426 shares of Series A Preferred Stock at 85% of the $3.42 price per share (the “Series A Original Issue Price”) paid by the Series A Financing investors. Convertible notes issued in 2017 converted into 881,286 shares of Series A Preferred Stock at the Series A Original Issue Price. All outstanding shares of Series A Preferred Stock were converted into shares of Private Aadi common stock and concurrently exchanged for the Company’s common stock based on the Exchange Ratio in connection with the closing of the Merger.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and Pre-Funded Warrants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2022 and 2021, the Company had 300,000,000 shares of authorized common stock with par value of $0.0001 per share under the Company’s certificate of incorporation, as amended and restated. As of December 31, 2022 and 2021, the shares of common stock outstanding were 24,435,007 and 20,894,695, respectively.</w:t>
      </w:r>
    </w:p>
    <w:p>
      <w:pPr>
        <w:spacing w:after="0" w:line="4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conjunction with the closing of the Merger, the Company issued an aggregate of 2,558,218 shares of common stock to holders of Private Aadi common stock in exchange for all of the Private Aadi capital stock outstanding immediately prior to the closing of the Merger. Concurrently with the closing of the Merger, the 2021 PIPE Investors purchased an aggregate of 11,852,862 shares of the Company’s common stock for an aggregate purchase price of $155.0 million pursuant to the Subscription Agreement entered into with the Company on May 16, 2021. The aggregate net proceeds, after deducting certain expenses incurred that were direct and incremental to the issuance of the 2021 PIPE shares, was $145.4 million.</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March 2022, the Company entered into the Sales Agreement with Cowen, with respect to an “at the market offering” program pursuant to which the Company may offer and sell, from time to time at its sole discretion, shares of common stock having aggregate gross proceeds of up to $75.0 million through Cowen as its sales agent. As of December 31, 2022, no shares of common stock had been sold pursuant to the Sales Agreement.</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 September 22, 2022, the Company entered into the Purchase Agreement for the 2022 PIPE Financing with the 2022 PIPE Investors for the sale by the Company of 3,373,526 shares of the Company’s common stock for a price of $12.50 per share and Pre-Funded Warrants to purchase an aggregate of 2,426,493 shares of the Company's common stock at a purchase price of $12.4999 per Pre-Funded Warrant. The Pre-Funded Warrants are exercisable at an exercise price of $0.0001 and will be exercisable until exercised in full. The 2022 PIPE Financing closed on September 26, 2022. Aggregated net proceeds, after deducting certain expenses incurred of $0.3 million related to the issuance of the shares were $72.2 million.</w:t>
      </w:r>
    </w:p>
    <w:p>
      <w:pPr>
        <w:spacing w:after="0" w:line="4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September 22, 2022, the Company and the Purchasers entered into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December 31, 2022, all Pre-Funded Warrants are still outstanding.</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holders of common stock are entitled to receive cash dividends, if and when declared by the board of directors of the Company (the “board of directors”). Since the Company’s inception, no cash dividends have been declared or paid to the holders of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any voluntary or involuntary liquidation, dissolution, or winding-up of the Company, the holders of common stock are entitled to share ratably in the Company’s assets.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holders of common stock are entitled to one vote for each share of common stock held at all meetings of stockholders and written actions in lieu of meetings.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Share-Based Compensation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Plan (as amended and restated in February 2017, the “Private Aadi Plan”)</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Arial" w:cs="Arial" w:eastAsia="Arial" w:hAnsi="Arial"/>
          <w:sz w:val="14"/>
          <w:szCs w:val="14"/>
          <w:color w:val="231F20"/>
        </w:rPr>
        <w:t>The Private Aadi Plan allowed for the grant</w:t>
      </w:r>
      <w:r>
        <w:rPr>
          <w:rFonts w:ascii="Arial" w:cs="Arial" w:eastAsia="Arial" w:hAnsi="Arial"/>
          <w:sz w:val="14"/>
          <w:szCs w:val="14"/>
          <w:color w:val="auto"/>
        </w:rPr>
        <w:t xml:space="preserve"> </w:t>
      </w:r>
      <w:r>
        <w:rPr>
          <w:rFonts w:ascii="Arial" w:cs="Arial" w:eastAsia="Arial" w:hAnsi="Arial"/>
          <w:sz w:val="14"/>
          <w:szCs w:val="14"/>
          <w:color w:val="231F20"/>
        </w:rPr>
        <w:t>of incentive stock options, non-statutory stock options, stock appreciation rights, restricted stock unit awards and other stock awards. In connection with the closing of the Merger and the adoption of the 2021 Plan (as defined below), no further awards will be issued under the Private Aadi Plan.</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231F20"/>
        </w:rPr>
        <w:t>The options that are granted from the Private Aadi Plan are exercisable at various dates as determined upon grant and will expire no more than ten years from their date of grant. The Private Aadi Plan stock options generally vest over a four-year term.</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2011 Plan and 2017 Plan</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connection with the closing of the Merger, the Company assumed the Aerpio 2011 Equity Incentive Plan (the “2011 Plan”) and the Aerpio 2017 Stock Option and Incentive Plan (the “2017 Plan,” and together with the 2011 Plan, the “Prior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Plans”). No new awards will be granted under the Prior Plans effective as of the closing of the Merger and adoption of the 2021 Plan (as defined below).</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Plan</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number of shares available for issuance under the 2021 Plan also will include an annual increase, or the evergreen feature, on the first day of each of the Company’s fiscal years, beginning with the Company’s fiscal year 2022, equal to the least of:</w:t>
      </w:r>
    </w:p>
    <w:p>
      <w:pPr>
        <w:spacing w:after="0" w:line="47" w:lineRule="exact"/>
        <w:rPr>
          <w:sz w:val="20"/>
          <w:szCs w:val="20"/>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2,070,784 shares of common stock;</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 number of shares equal to 4% of the outstanding shares of common stock on the last day of the immediately preceding fiscal year; or</w:t>
      </w:r>
    </w:p>
    <w:p>
      <w:pPr>
        <w:spacing w:after="0" w:line="93" w:lineRule="exact"/>
        <w:rPr>
          <w:rFonts w:ascii="Arial" w:cs="Arial" w:eastAsia="Arial" w:hAnsi="Arial"/>
          <w:sz w:val="14"/>
          <w:szCs w:val="14"/>
          <w:color w:val="auto"/>
        </w:rPr>
      </w:pPr>
    </w:p>
    <w:p>
      <w:pPr>
        <w:ind w:left="760" w:hanging="373"/>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such number of shares as the board of directors or its designated committee may determine.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the evergreen increase, a total of 977,400 shares were added to the 2021 Plan on January 1, 2023.</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zero, 299,039, 101,024 and 2,590,360 shares were outstanding under the 2011 Plan, Private Aadi Plan, 2017 Plan and 2021 Plan,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stock option activity during the year ended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1"/>
              </w:rPr>
              <w:t>Weighted Average</w:t>
            </w:r>
          </w:p>
        </w:tc>
        <w:tc>
          <w:tcPr>
            <w:tcW w:w="1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Weighted Average</w:t>
            </w:r>
          </w:p>
        </w:tc>
        <w:tc>
          <w:tcPr>
            <w:tcW w:w="240" w:type="dxa"/>
            <w:vAlign w:val="bottom"/>
          </w:tcPr>
          <w:p>
            <w:pPr>
              <w:spacing w:after="0"/>
              <w:rPr>
                <w:sz w:val="10"/>
                <w:szCs w:val="10"/>
                <w:color w:val="auto"/>
              </w:rPr>
            </w:pPr>
          </w:p>
        </w:tc>
        <w:tc>
          <w:tcPr>
            <w:tcW w:w="1240" w:type="dxa"/>
            <w:vAlign w:val="bottom"/>
          </w:tcPr>
          <w:p>
            <w:pPr>
              <w:jc w:val="center"/>
              <w:ind w:right="175"/>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3"/>
        </w:trPr>
        <w:tc>
          <w:tcPr>
            <w:tcW w:w="5080" w:type="dxa"/>
            <w:vAlign w:val="bottom"/>
          </w:tcPr>
          <w:p>
            <w:pPr>
              <w:spacing w:after="0"/>
              <w:rPr>
                <w:sz w:val="9"/>
                <w:szCs w:val="9"/>
                <w:color w:val="auto"/>
              </w:rPr>
            </w:pPr>
          </w:p>
        </w:tc>
        <w:tc>
          <w:tcPr>
            <w:tcW w:w="1580" w:type="dxa"/>
            <w:vAlign w:val="bottom"/>
            <w:gridSpan w:val="2"/>
            <w:vMerge w:val="restart"/>
          </w:tcPr>
          <w:p>
            <w:pPr>
              <w:ind w:left="58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580" w:type="dxa"/>
            <w:vAlign w:val="bottom"/>
            <w:gridSpan w:val="2"/>
          </w:tcPr>
          <w:p>
            <w:pPr>
              <w:jc w:val="center"/>
              <w:ind w:right="80"/>
              <w:spacing w:after="0" w:line="113" w:lineRule="exact"/>
              <w:rPr>
                <w:sz w:val="20"/>
                <w:szCs w:val="20"/>
                <w:color w:val="auto"/>
              </w:rPr>
            </w:pPr>
            <w:r>
              <w:rPr>
                <w:rFonts w:ascii="Arial" w:cs="Arial" w:eastAsia="Arial" w:hAnsi="Arial"/>
                <w:sz w:val="11"/>
                <w:szCs w:val="11"/>
                <w:b w:val="1"/>
                <w:bCs w:val="1"/>
                <w:color w:val="auto"/>
                <w:w w:val="94"/>
              </w:rPr>
              <w:t>Remaining Contractual Term</w:t>
            </w:r>
          </w:p>
        </w:tc>
        <w:tc>
          <w:tcPr>
            <w:tcW w:w="240" w:type="dxa"/>
            <w:vAlign w:val="bottom"/>
          </w:tcPr>
          <w:p>
            <w:pPr>
              <w:spacing w:after="0"/>
              <w:rPr>
                <w:sz w:val="9"/>
                <w:szCs w:val="9"/>
                <w:color w:val="auto"/>
              </w:rPr>
            </w:pPr>
          </w:p>
        </w:tc>
        <w:tc>
          <w:tcPr>
            <w:tcW w:w="1240" w:type="dxa"/>
            <w:vAlign w:val="bottom"/>
          </w:tcPr>
          <w:p>
            <w:pPr>
              <w:jc w:val="center"/>
              <w:ind w:right="175"/>
              <w:spacing w:after="0" w:line="113" w:lineRule="exact"/>
              <w:rPr>
                <w:sz w:val="20"/>
                <w:szCs w:val="20"/>
                <w:color w:val="auto"/>
              </w:rPr>
            </w:pPr>
            <w:r>
              <w:rPr>
                <w:rFonts w:ascii="Arial" w:cs="Arial" w:eastAsia="Arial" w:hAnsi="Arial"/>
                <w:sz w:val="11"/>
                <w:szCs w:val="11"/>
                <w:b w:val="1"/>
                <w:bCs w:val="1"/>
                <w:color w:val="auto"/>
                <w:w w:val="95"/>
              </w:rPr>
              <w:t>Intrinsic Value</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(in Years)</w:t>
            </w:r>
          </w:p>
        </w:tc>
        <w:tc>
          <w:tcPr>
            <w:tcW w:w="240" w:type="dxa"/>
            <w:vAlign w:val="bottom"/>
          </w:tcPr>
          <w:p>
            <w:pPr>
              <w:spacing w:after="0"/>
              <w:rPr>
                <w:sz w:val="13"/>
                <w:szCs w:val="13"/>
                <w:color w:val="auto"/>
              </w:rPr>
            </w:pPr>
          </w:p>
        </w:tc>
        <w:tc>
          <w:tcPr>
            <w:tcW w:w="1240" w:type="dxa"/>
            <w:vAlign w:val="bottom"/>
          </w:tcPr>
          <w:p>
            <w:pPr>
              <w:jc w:val="center"/>
              <w:ind w:right="175"/>
              <w:spacing w:after="0"/>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175"/>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January 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1,749,876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10,007</w:t>
            </w:r>
          </w:p>
        </w:tc>
        <w:tc>
          <w:tcPr>
            <w:tcW w:w="0" w:type="dxa"/>
            <w:vAlign w:val="bottom"/>
          </w:tcPr>
          <w:p>
            <w:pPr>
              <w:spacing w:after="0"/>
              <w:rPr>
                <w:sz w:val="1"/>
                <w:szCs w:val="1"/>
                <w:color w:val="auto"/>
              </w:rPr>
            </w:pPr>
          </w:p>
        </w:tc>
      </w:tr>
      <w:tr>
        <w:trPr>
          <w:trHeight w:val="180"/>
        </w:trPr>
        <w:tc>
          <w:tcPr>
            <w:tcW w:w="508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spacing w:after="0"/>
              <w:rPr>
                <w:sz w:val="20"/>
                <w:szCs w:val="20"/>
                <w:color w:val="auto"/>
              </w:rPr>
            </w:pPr>
            <w:r>
              <w:rPr>
                <w:rFonts w:ascii="Arial" w:cs="Arial" w:eastAsia="Arial" w:hAnsi="Arial"/>
                <w:sz w:val="14"/>
                <w:szCs w:val="14"/>
                <w:color w:val="auto"/>
              </w:rPr>
              <w:t>1,583,038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15.28</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(132,084)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Expired/cancelled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(210,407)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2,990,423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as of December 31, 2022</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vMerge w:val="continue"/>
          </w:tcPr>
          <w:p>
            <w:pPr>
              <w:spacing w:after="0"/>
              <w:rPr>
                <w:sz w:val="12"/>
                <w:szCs w:val="12"/>
                <w:color w:val="auto"/>
              </w:rPr>
            </w:pPr>
          </w:p>
        </w:tc>
        <w:tc>
          <w:tcPr>
            <w:tcW w:w="1500" w:type="dxa"/>
            <w:vAlign w:val="bottom"/>
          </w:tcPr>
          <w:p>
            <w:pPr>
              <w:jc w:val="right"/>
              <w:spacing w:after="0" w:line="143" w:lineRule="exact"/>
              <w:rPr>
                <w:sz w:val="20"/>
                <w:szCs w:val="20"/>
                <w:color w:val="auto"/>
              </w:rPr>
            </w:pPr>
            <w:r>
              <w:rPr>
                <w:rFonts w:ascii="Arial" w:cs="Arial" w:eastAsia="Arial" w:hAnsi="Arial"/>
                <w:sz w:val="14"/>
                <w:szCs w:val="14"/>
                <w:color w:val="auto"/>
              </w:rPr>
              <w:t>722,198</w:t>
            </w:r>
          </w:p>
        </w:tc>
        <w:tc>
          <w:tcPr>
            <w:tcW w:w="80" w:type="dxa"/>
            <w:vAlign w:val="bottom"/>
          </w:tcPr>
          <w:p>
            <w:pPr>
              <w:spacing w:after="0"/>
              <w:rPr>
                <w:sz w:val="12"/>
                <w:szCs w:val="12"/>
                <w:color w:val="auto"/>
              </w:rPr>
            </w:pPr>
          </w:p>
        </w:tc>
        <w:tc>
          <w:tcPr>
            <w:tcW w:w="200" w:type="dxa"/>
            <w:vAlign w:val="bottom"/>
          </w:tcPr>
          <w:p>
            <w:pPr>
              <w:jc w:val="right"/>
              <w:ind w:right="49"/>
              <w:spacing w:after="0" w:line="143" w:lineRule="exact"/>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line="143" w:lineRule="exact"/>
              <w:rPr>
                <w:sz w:val="20"/>
                <w:szCs w:val="20"/>
                <w:color w:val="auto"/>
              </w:rPr>
            </w:pPr>
            <w:r>
              <w:rPr>
                <w:rFonts w:ascii="Arial" w:cs="Arial" w:eastAsia="Arial" w:hAnsi="Arial"/>
                <w:sz w:val="14"/>
                <w:szCs w:val="14"/>
                <w:color w:val="auto"/>
              </w:rPr>
              <w:t>18.53</w:t>
            </w:r>
          </w:p>
        </w:tc>
        <w:tc>
          <w:tcPr>
            <w:tcW w:w="80" w:type="dxa"/>
            <w:vAlign w:val="bottom"/>
          </w:tcPr>
          <w:p>
            <w:pPr>
              <w:spacing w:after="0"/>
              <w:rPr>
                <w:sz w:val="12"/>
                <w:szCs w:val="12"/>
                <w:color w:val="auto"/>
              </w:rPr>
            </w:pPr>
          </w:p>
        </w:tc>
        <w:tc>
          <w:tcPr>
            <w:tcW w:w="1500" w:type="dxa"/>
            <w:vAlign w:val="bottom"/>
          </w:tcPr>
          <w:p>
            <w:pPr>
              <w:jc w:val="right"/>
              <w:spacing w:after="0" w:line="143" w:lineRule="exact"/>
              <w:rPr>
                <w:sz w:val="20"/>
                <w:szCs w:val="20"/>
                <w:color w:val="auto"/>
              </w:rPr>
            </w:pPr>
            <w:r>
              <w:rPr>
                <w:rFonts w:ascii="Arial" w:cs="Arial" w:eastAsia="Arial" w:hAnsi="Arial"/>
                <w:sz w:val="14"/>
                <w:szCs w:val="14"/>
                <w:color w:val="auto"/>
              </w:rPr>
              <w:t>6.84</w:t>
            </w:r>
          </w:p>
        </w:tc>
        <w:tc>
          <w:tcPr>
            <w:tcW w:w="80" w:type="dxa"/>
            <w:vAlign w:val="bottom"/>
          </w:tcPr>
          <w:p>
            <w:pPr>
              <w:spacing w:after="0"/>
              <w:rPr>
                <w:sz w:val="12"/>
                <w:szCs w:val="12"/>
                <w:color w:val="auto"/>
              </w:rPr>
            </w:pPr>
          </w:p>
        </w:tc>
        <w:tc>
          <w:tcPr>
            <w:tcW w:w="240" w:type="dxa"/>
            <w:vAlign w:val="bottom"/>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43" w:lineRule="exact"/>
              <w:rPr>
                <w:sz w:val="20"/>
                <w:szCs w:val="20"/>
                <w:color w:val="auto"/>
              </w:rPr>
            </w:pPr>
            <w:r>
              <w:rPr>
                <w:rFonts w:ascii="Arial" w:cs="Arial" w:eastAsia="Arial" w:hAnsi="Arial"/>
                <w:sz w:val="14"/>
                <w:szCs w:val="14"/>
                <w:color w:val="auto"/>
              </w:rPr>
              <w:t>2,251</w:t>
            </w:r>
          </w:p>
        </w:tc>
        <w:tc>
          <w:tcPr>
            <w:tcW w:w="0" w:type="dxa"/>
            <w:vAlign w:val="bottom"/>
          </w:tcPr>
          <w:p>
            <w:pPr>
              <w:spacing w:after="0"/>
              <w:rPr>
                <w:sz w:val="1"/>
                <w:szCs w:val="1"/>
                <w:color w:val="auto"/>
              </w:rPr>
            </w:pPr>
          </w:p>
        </w:tc>
      </w:tr>
      <w:tr>
        <w:trPr>
          <w:trHeight w:val="181"/>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as of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2,990,423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2022, the aggregate intrinsic value of options outstanding was $2.8 million. For the years ended December 31, 2022 and 2021, the weighted-average grant-date fair value of options granted was $12.20 and $18.88 per share,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there was $28.8 million of unrecognized compensation cost related to stock options, which is expected to be recognized over a weighted average period of 2.7 years.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The total intrinsic value of the options exercised during the years ended December 31, 2022 and 2021 was $1.3 million and $1.0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and 2021, 853,760 and 1,390,606 shares were reserved for issuance under the 2021 Plan,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Expense Summary</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The Company recognized the following compensation cost related to employee and non-employee share-based compensation activity for the periods presented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2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w w:val="97"/>
              </w:rPr>
              <w:t>Year Ended December 31,</w:t>
            </w:r>
          </w:p>
        </w:tc>
        <w:tc>
          <w:tcPr>
            <w:tcW w:w="1040" w:type="dxa"/>
            <w:vAlign w:val="bottom"/>
          </w:tcPr>
          <w:p>
            <w:pPr>
              <w:spacing w:after="0"/>
              <w:rPr>
                <w:sz w:val="12"/>
                <w:szCs w:val="12"/>
                <w:color w:val="auto"/>
              </w:rPr>
            </w:pPr>
          </w:p>
        </w:tc>
      </w:tr>
      <w:tr>
        <w:trPr>
          <w:trHeight w:val="169"/>
        </w:trPr>
        <w:tc>
          <w:tcPr>
            <w:tcW w:w="77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2021</w:t>
            </w:r>
          </w:p>
        </w:tc>
      </w:tr>
      <w:tr>
        <w:trPr>
          <w:trHeight w:val="18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106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r>
      <w:tr>
        <w:trPr>
          <w:trHeight w:val="18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r>
      <w:tr>
        <w:trPr>
          <w:trHeight w:val="196"/>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9,643</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Included in the year ended December 31, 2021 is $0.3 million of expense related to the acceleration of vesting associated with individual awards assumed in the Merger.</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retirement of an employee, the Company has modified its previously granted equity awards to continue vesting 64,436 shares, which would have otherwise been forfeited in May 2022 as a result of such retirement and extended the exercise ability of the former employee’s vested and outstanding options. The incremental share-based compensation expense as a result of the modification was $0.3 million for the year ended December 31, 2022.</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uses the Black-Scholes option pricing model to determine the estimated fair value for share-based awards. Option pricing and models require the input of various assumptions, including the option’s expected life, expected dividend yield, price volatility and risk-free interest rate of the underlying stock.</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calculation was based on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gridSpan w:val="3"/>
          </w:tcPr>
          <w:p>
            <w:pPr>
              <w:ind w:left="320"/>
              <w:spacing w:after="0"/>
              <w:rPr>
                <w:sz w:val="20"/>
                <w:szCs w:val="20"/>
                <w:color w:val="auto"/>
              </w:rPr>
            </w:pPr>
            <w:r>
              <w:rPr>
                <w:rFonts w:ascii="Arial" w:cs="Arial" w:eastAsia="Arial" w:hAnsi="Arial"/>
                <w:sz w:val="11"/>
                <w:szCs w:val="11"/>
                <w:b w:val="1"/>
                <w:bCs w:val="1"/>
                <w:color w:val="auto"/>
              </w:rPr>
              <w:t>Year Ended December 31,</w:t>
            </w:r>
          </w:p>
        </w:tc>
        <w:tc>
          <w:tcPr>
            <w:tcW w:w="900" w:type="dxa"/>
            <w:vAlign w:val="bottom"/>
          </w:tcPr>
          <w:p>
            <w:pPr>
              <w:spacing w:after="0"/>
              <w:rPr>
                <w:sz w:val="12"/>
                <w:szCs w:val="12"/>
                <w:color w:val="auto"/>
              </w:rPr>
            </w:pPr>
          </w:p>
        </w:tc>
      </w:tr>
      <w:tr>
        <w:trPr>
          <w:trHeight w:val="169"/>
        </w:trPr>
        <w:tc>
          <w:tcPr>
            <w:tcW w:w="776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7"/>
              </w:rPr>
              <w:t>2022</w:t>
            </w:r>
          </w:p>
        </w:tc>
        <w:tc>
          <w:tcPr>
            <w:tcW w:w="8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2021</w:t>
            </w:r>
          </w:p>
        </w:tc>
      </w:tr>
      <w:tr>
        <w:trPr>
          <w:trHeight w:val="18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grant date fair value (per share)</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$12.20</w:t>
            </w:r>
          </w:p>
        </w:tc>
        <w:tc>
          <w:tcPr>
            <w:tcW w:w="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$18.88</w:t>
            </w:r>
          </w:p>
        </w:tc>
      </w:tr>
      <w:tr>
        <w:trPr>
          <w:trHeight w:val="180"/>
        </w:trPr>
        <w:tc>
          <w:tcPr>
            <w:tcW w:w="77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14"/>
                <w:szCs w:val="14"/>
                <w:color w:val="auto"/>
              </w:rPr>
              <w:t>1.46%</w:t>
            </w:r>
          </w:p>
        </w:tc>
        <w:tc>
          <w:tcPr>
            <w:tcW w:w="900" w:type="dxa"/>
            <w:vAlign w:val="bottom"/>
          </w:tcPr>
          <w:p>
            <w:pPr>
              <w:ind w:left="20"/>
              <w:spacing w:after="0"/>
              <w:rPr>
                <w:sz w:val="20"/>
                <w:szCs w:val="20"/>
                <w:color w:val="auto"/>
              </w:rPr>
            </w:pPr>
            <w:r>
              <w:rPr>
                <w:rFonts w:ascii="Arial" w:cs="Arial" w:eastAsia="Arial" w:hAnsi="Arial"/>
                <w:sz w:val="14"/>
                <w:szCs w:val="14"/>
                <w:color w:val="auto"/>
              </w:rPr>
              <w:t>- 4.23%</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0.84%</w:t>
            </w:r>
          </w:p>
        </w:tc>
        <w:tc>
          <w:tcPr>
            <w:tcW w:w="900" w:type="dxa"/>
            <w:vAlign w:val="bottom"/>
          </w:tcPr>
          <w:p>
            <w:pPr>
              <w:ind w:left="20"/>
              <w:spacing w:after="0"/>
              <w:rPr>
                <w:sz w:val="20"/>
                <w:szCs w:val="20"/>
                <w:color w:val="auto"/>
              </w:rPr>
            </w:pPr>
            <w:r>
              <w:rPr>
                <w:rFonts w:ascii="Arial" w:cs="Arial" w:eastAsia="Arial" w:hAnsi="Arial"/>
                <w:sz w:val="14"/>
                <w:szCs w:val="14"/>
                <w:color w:val="auto"/>
              </w:rPr>
              <w:t>- 1.38%</w:t>
            </w:r>
          </w:p>
        </w:tc>
      </w:tr>
      <w:tr>
        <w:trPr>
          <w:trHeight w:val="181"/>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w:t>
            </w:r>
          </w:p>
        </w:tc>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- 89.35%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85.21%</w:t>
            </w:r>
          </w:p>
        </w:tc>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- 87.88%</w:t>
            </w:r>
          </w:p>
        </w:tc>
      </w:tr>
      <w:tr>
        <w:trPr>
          <w:trHeight w:val="180"/>
        </w:trPr>
        <w:tc>
          <w:tcPr>
            <w:tcW w:w="77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820" w:type="dxa"/>
            <w:vAlign w:val="bottom"/>
          </w:tcPr>
          <w:p>
            <w:pPr>
              <w:jc w:val="right"/>
              <w:spacing w:after="0"/>
              <w:rPr>
                <w:sz w:val="20"/>
                <w:szCs w:val="20"/>
                <w:color w:val="auto"/>
              </w:rPr>
            </w:pPr>
            <w:r>
              <w:rPr>
                <w:rFonts w:ascii="Arial" w:cs="Arial" w:eastAsia="Arial" w:hAnsi="Arial"/>
                <w:sz w:val="14"/>
                <w:szCs w:val="14"/>
                <w:color w:val="auto"/>
              </w:rPr>
              <w:t>5.5</w:t>
            </w:r>
          </w:p>
        </w:tc>
        <w:tc>
          <w:tcPr>
            <w:tcW w:w="900" w:type="dxa"/>
            <w:vAlign w:val="bottom"/>
          </w:tcPr>
          <w:p>
            <w:pPr>
              <w:ind w:left="20"/>
              <w:spacing w:after="0"/>
              <w:rPr>
                <w:sz w:val="20"/>
                <w:szCs w:val="20"/>
                <w:color w:val="auto"/>
              </w:rPr>
            </w:pPr>
            <w:r>
              <w:rPr>
                <w:rFonts w:ascii="Arial" w:cs="Arial" w:eastAsia="Arial" w:hAnsi="Arial"/>
                <w:sz w:val="14"/>
                <w:szCs w:val="14"/>
                <w:color w:val="auto"/>
              </w:rPr>
              <w:t>- 6.1</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c>
          <w:tcPr>
            <w:tcW w:w="900" w:type="dxa"/>
            <w:vAlign w:val="bottom"/>
          </w:tcPr>
          <w:p>
            <w:pPr>
              <w:ind w:left="20"/>
              <w:spacing w:after="0"/>
              <w:rPr>
                <w:sz w:val="20"/>
                <w:szCs w:val="20"/>
                <w:color w:val="auto"/>
              </w:rPr>
            </w:pPr>
            <w:r>
              <w:rPr>
                <w:rFonts w:ascii="Arial" w:cs="Arial" w:eastAsia="Arial" w:hAnsi="Arial"/>
                <w:sz w:val="14"/>
                <w:szCs w:val="14"/>
                <w:color w:val="auto"/>
              </w:rPr>
              <w:t>- 6.3</w:t>
            </w:r>
          </w:p>
        </w:tc>
      </w:tr>
      <w:tr>
        <w:trPr>
          <w:trHeight w:val="181"/>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180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Company determines the assumptions used in the option pricing model in the following manner:</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Risk-Free Interest Rate – </w:t>
      </w:r>
      <w:r>
        <w:rPr>
          <w:rFonts w:ascii="Arial" w:cs="Arial" w:eastAsia="Arial" w:hAnsi="Arial"/>
          <w:sz w:val="14"/>
          <w:szCs w:val="14"/>
          <w:color w:val="auto"/>
        </w:rPr>
        <w:t>For the determination of the risk-free interest rates, the Company utilizes the U.S. Treasury yield curve for instruments in effect at the time of measurement with a term</w:t>
      </w:r>
      <w:r>
        <w:rPr>
          <w:rFonts w:ascii="Arial" w:cs="Arial" w:eastAsia="Arial" w:hAnsi="Arial"/>
          <w:sz w:val="14"/>
          <w:szCs w:val="14"/>
          <w:i w:val="1"/>
          <w:iCs w:val="1"/>
          <w:color w:val="auto"/>
        </w:rPr>
        <w:t xml:space="preserve"> </w:t>
      </w:r>
      <w:r>
        <w:rPr>
          <w:rFonts w:ascii="Arial" w:cs="Arial" w:eastAsia="Arial" w:hAnsi="Arial"/>
          <w:sz w:val="14"/>
          <w:szCs w:val="14"/>
          <w:color w:val="auto"/>
        </w:rPr>
        <w:t>commensurate with the expected term assumption.</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 Due to the Company’s limited historical stock price volatility data, the Company based its estimate of expected volatility on the estimated and expected volatilities of a guideline</w:t>
      </w:r>
      <w:r>
        <w:rPr>
          <w:rFonts w:ascii="Arial" w:cs="Arial" w:eastAsia="Arial" w:hAnsi="Arial"/>
          <w:sz w:val="14"/>
          <w:szCs w:val="14"/>
          <w:i w:val="1"/>
          <w:iCs w:val="1"/>
          <w:color w:val="auto"/>
        </w:rPr>
        <w:t xml:space="preserve"> </w:t>
      </w:r>
      <w:r>
        <w:rPr>
          <w:rFonts w:ascii="Arial" w:cs="Arial" w:eastAsia="Arial" w:hAnsi="Arial"/>
          <w:sz w:val="14"/>
          <w:szCs w:val="14"/>
          <w:color w:val="auto"/>
        </w:rPr>
        <w:t>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Expected Dividend </w:t>
      </w:r>
      <w:r>
        <w:rPr>
          <w:rFonts w:ascii="Arial" w:cs="Arial" w:eastAsia="Arial" w:hAnsi="Arial"/>
          <w:sz w:val="13"/>
          <w:szCs w:val="13"/>
          <w:color w:val="auto"/>
        </w:rPr>
        <w:t>– The expected dividend yield is assumed to be zero since the Company has never paid dividends and does not have current plans to pay any dividends on its common stock.</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 The Company estimates the expected term of its stock options granted to employees and non-employee directors using the simplified method, whereby, the expected term equals the</w:t>
      </w:r>
      <w:r>
        <w:rPr>
          <w:rFonts w:ascii="Arial" w:cs="Arial" w:eastAsia="Arial" w:hAnsi="Arial"/>
          <w:sz w:val="14"/>
          <w:szCs w:val="14"/>
          <w:i w:val="1"/>
          <w:iCs w:val="1"/>
          <w:color w:val="auto"/>
        </w:rPr>
        <w:t xml:space="preserve"> </w:t>
      </w:r>
      <w:r>
        <w:rPr>
          <w:rFonts w:ascii="Arial" w:cs="Arial" w:eastAsia="Arial" w:hAnsi="Arial"/>
          <w:sz w:val="14"/>
          <w:szCs w:val="14"/>
          <w:color w:val="auto"/>
        </w:rPr>
        <w:t>average of the vesting term and the original contractual term of the option. The Company utilizes this method since it does not have sufficient historical exercise data to provide a reasonable basis upon which to estimate the expected term.</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Prior to the Company’s Merger, given the absence of a public trading market for the Company’s common stock, its board of directors exercised their judgment and considered a number of objective and subjective factors to determine the best estimate of the fair value of the Company’s common stock underlying the stock options, such as: contemporaneous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valuations performed by independent third-party specialists, its stage of development, including the status of its research and development efforts of its therapeutic candidates and the material risks related to its business and industry, its results of operations and financial condition, including its levels of capital resources, the prices at which its sold shares of its convertible preferred stock, the rights, preferences and privileges of its convertible preferred stock relative to those of its common stock, the conditions in the biotechnology industry and the economy in general, the stock price performance and volatility of comparable life sciences public companies, as well as recently completed mergers and acquisitions of peer companies, the likelihood of achieving a liquidity event for the holders of its common stock or convertible preferred stock, such as an IPO or a sale of the Company given prevailing market conditions, trends and developments in its industry, external market conditions affecting the life sciences and biotechnology sectors, and the lack of liquidity of its common stock, among other factors.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Subsequent to the Company’s Merger, the fair value of the Company’s common stock is determined based on its closing market price on the date of the grant. The Company’s board of directors intended all options granted to be exercisable at a price per share not less than the per share fair value of its common stock underlying those options on the grant date.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 to Purchase Common Stock</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had warrants outstanding for the purchase of 29,167 and 36,666 shares of the Company’s common stock at December 31, 2022 and 2021, respectively. These warrants were assumed in the Merger and were issued by Aerpio in October 2019, for the purchase of 40,000 shares (after taking into account the Reverse Stock Split) of the Company’s common stock at an exercise price of $7.29 per share (after taking into account the Reverse Stock Split). These warrants were fully vested as of the date of the Merger and expire on October 24, 2024. During the year ended December 31, 2022, 7,500 warrants were exercised. At the grant date, the fair value of these awards was determined using a Black-Scholes option pricing model.</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number of shares and the exercise price shall be adjusted for standard anti-dilution events such as stock splits, combinations, reorganizations, or issue shares as part of a stock dividend. The warrants meet the criteria to be classified within stockholders’ equity.</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Employee Stock Purchase Plan</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 An aggregate of 519,563 shares of common stock have been reserved for issuance under the 2021 ESPP. The number of shares of common stock available for issuance under the 2021 ESPP will be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2023, 244,350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calculation was based on the following assumptions: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1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Year Ended</w:t>
            </w:r>
          </w:p>
        </w:tc>
      </w:tr>
      <w:tr>
        <w:trPr>
          <w:trHeight w:val="151"/>
        </w:trPr>
        <w:tc>
          <w:tcPr>
            <w:tcW w:w="3480" w:type="dxa"/>
            <w:vAlign w:val="bottom"/>
            <w:tcBorders>
              <w:bottom w:val="single" w:sz="8" w:color="CCEEFF"/>
            </w:tcBorders>
          </w:tcPr>
          <w:p>
            <w:pPr>
              <w:spacing w:after="0"/>
              <w:rPr>
                <w:sz w:val="13"/>
                <w:szCs w:val="13"/>
                <w:color w:val="auto"/>
              </w:rPr>
            </w:pPr>
          </w:p>
        </w:tc>
        <w:tc>
          <w:tcPr>
            <w:tcW w:w="5620" w:type="dxa"/>
            <w:vAlign w:val="bottom"/>
            <w:tcBorders>
              <w:bottom w:val="single" w:sz="8" w:color="CCEEFF"/>
            </w:tcBorders>
          </w:tcPr>
          <w:p>
            <w:pPr>
              <w:spacing w:after="0"/>
              <w:rPr>
                <w:sz w:val="13"/>
                <w:szCs w:val="13"/>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December 31, 2022</w:t>
            </w:r>
          </w:p>
        </w:tc>
      </w:tr>
      <w:tr>
        <w:trPr>
          <w:trHeight w:val="17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Strike price (per share)</w:t>
            </w:r>
          </w:p>
        </w:tc>
        <w:tc>
          <w:tcPr>
            <w:tcW w:w="5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$11.66</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6680" w:type="dxa"/>
            <w:vAlign w:val="bottom"/>
            <w:gridSpan w:val="2"/>
          </w:tcPr>
          <w:p>
            <w:pPr>
              <w:jc w:val="right"/>
              <w:spacing w:after="0"/>
              <w:rPr>
                <w:sz w:val="20"/>
                <w:szCs w:val="20"/>
                <w:color w:val="auto"/>
              </w:rPr>
            </w:pPr>
            <w:r>
              <w:rPr>
                <w:rFonts w:ascii="Arial" w:cs="Arial" w:eastAsia="Arial" w:hAnsi="Arial"/>
                <w:sz w:val="14"/>
                <w:szCs w:val="14"/>
                <w:color w:val="auto"/>
              </w:rPr>
              <w:t>1.54%</w:t>
            </w:r>
          </w:p>
        </w:tc>
        <w:tc>
          <w:tcPr>
            <w:tcW w:w="1120" w:type="dxa"/>
            <w:vAlign w:val="bottom"/>
          </w:tcPr>
          <w:p>
            <w:pPr>
              <w:ind w:left="20"/>
              <w:spacing w:after="0"/>
              <w:rPr>
                <w:sz w:val="20"/>
                <w:szCs w:val="20"/>
                <w:color w:val="auto"/>
              </w:rPr>
            </w:pPr>
            <w:r>
              <w:rPr>
                <w:rFonts w:ascii="Arial" w:cs="Arial" w:eastAsia="Arial" w:hAnsi="Arial"/>
                <w:sz w:val="14"/>
                <w:szCs w:val="14"/>
                <w:color w:val="auto"/>
              </w:rPr>
              <w:t>- 4.40%</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7800" w:type="dxa"/>
            <w:vAlign w:val="bottom"/>
            <w:gridSpan w:val="3"/>
            <w:shd w:val="clear" w:color="auto" w:fill="CCEEFF"/>
          </w:tcPr>
          <w:p>
            <w:pPr>
              <w:jc w:val="center"/>
              <w:ind w:left="5549"/>
              <w:spacing w:after="0"/>
              <w:rPr>
                <w:sz w:val="20"/>
                <w:szCs w:val="20"/>
                <w:color w:val="auto"/>
              </w:rPr>
            </w:pPr>
            <w:r>
              <w:rPr>
                <w:rFonts w:ascii="Arial" w:cs="Arial" w:eastAsia="Arial" w:hAnsi="Arial"/>
                <w:sz w:val="14"/>
                <w:szCs w:val="14"/>
                <w:color w:val="auto"/>
                <w:w w:val="91"/>
              </w:rPr>
              <w:t>92.59% - 105.68%</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7800" w:type="dxa"/>
            <w:vAlign w:val="bottom"/>
            <w:gridSpan w:val="3"/>
          </w:tcPr>
          <w:p>
            <w:pPr>
              <w:jc w:val="center"/>
              <w:ind w:left="5549"/>
              <w:spacing w:after="0"/>
              <w:rPr>
                <w:sz w:val="20"/>
                <w:szCs w:val="20"/>
                <w:color w:val="auto"/>
              </w:rPr>
            </w:pPr>
            <w:r>
              <w:rPr>
                <w:rFonts w:ascii="Arial" w:cs="Arial" w:eastAsia="Arial" w:hAnsi="Arial"/>
                <w:sz w:val="14"/>
                <w:szCs w:val="14"/>
                <w:color w:val="auto"/>
                <w:w w:val="92"/>
              </w:rPr>
              <w:t>0.5</w:t>
            </w: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562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710"/>
        </w:trPr>
        <w:tc>
          <w:tcPr>
            <w:tcW w:w="3480" w:type="dxa"/>
            <w:vAlign w:val="bottom"/>
          </w:tcPr>
          <w:p>
            <w:pPr>
              <w:spacing w:after="0"/>
              <w:rPr>
                <w:sz w:val="24"/>
                <w:szCs w:val="24"/>
                <w:color w:val="auto"/>
              </w:rPr>
            </w:pPr>
          </w:p>
        </w:tc>
        <w:tc>
          <w:tcPr>
            <w:tcW w:w="5620" w:type="dxa"/>
            <w:vAlign w:val="bottom"/>
          </w:tcPr>
          <w:p>
            <w:pPr>
              <w:jc w:val="right"/>
              <w:ind w:right="3269"/>
              <w:spacing w:after="0"/>
              <w:rPr>
                <w:sz w:val="20"/>
                <w:szCs w:val="20"/>
                <w:color w:val="auto"/>
              </w:rPr>
            </w:pPr>
            <w:r>
              <w:rPr>
                <w:rFonts w:ascii="Arial" w:cs="Arial" w:eastAsia="Arial" w:hAnsi="Arial"/>
                <w:sz w:val="14"/>
                <w:szCs w:val="14"/>
                <w:color w:val="auto"/>
              </w:rPr>
              <w:t>145</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7"/>
        </w:trPr>
        <w:tc>
          <w:tcPr>
            <w:tcW w:w="3480" w:type="dxa"/>
            <w:vAlign w:val="bottom"/>
            <w:tcBorders>
              <w:bottom w:val="single" w:sz="8" w:color="9A9A9A"/>
            </w:tcBorders>
          </w:tcPr>
          <w:p>
            <w:pPr>
              <w:spacing w:after="0"/>
              <w:rPr>
                <w:sz w:val="7"/>
                <w:szCs w:val="7"/>
                <w:color w:val="auto"/>
              </w:rPr>
            </w:pPr>
          </w:p>
        </w:tc>
        <w:tc>
          <w:tcPr>
            <w:tcW w:w="56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December 31, 2022 and 2021, 492,361 and 310,617 shares of common stock were available for issuance under the 2021 ESPP, respectively. The Company had an outstanding liability of $76,000 at December 31, 2022, which will be recognized over six months. No liability was outstanding as of December 31, 2021. During the years ended December 31, 2022 and 2021, 27,202 and zero shares were issued under the 2021 ESPP,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Income Taxes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Company recorded income tax expense of zero and $2,000 for the years ended December 31, 2022 and 2021, respectively. The Company continues to maintain a full valuation allowance.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statutory federal income tax with the provision for income taxes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5"/>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tax at statutory rate</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State income tax, net of federal benefit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Nondeductible interest</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Other permanent items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Officers Compensation</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Nondeductible impairment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credit</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(23.4)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Significant components of the Company’s deferred tax assets and liabilities are as follows (amounts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5"/>
          </w:tcPr>
          <w:p>
            <w:pPr>
              <w:jc w:val="right"/>
              <w:ind w:right="49"/>
              <w:spacing w:after="0"/>
              <w:rPr>
                <w:sz w:val="20"/>
                <w:szCs w:val="20"/>
                <w:color w:val="auto"/>
              </w:rPr>
            </w:pPr>
            <w:r>
              <w:rPr>
                <w:rFonts w:ascii="Arial" w:cs="Arial" w:eastAsia="Arial" w:hAnsi="Arial"/>
                <w:sz w:val="11"/>
                <w:szCs w:val="11"/>
                <w:b w:val="1"/>
                <w:bCs w:val="1"/>
                <w:color w:val="auto"/>
              </w:rPr>
              <w:t>As of December 31,</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40" w:type="dxa"/>
            <w:vAlign w:val="bottom"/>
          </w:tcPr>
          <w:p>
            <w:pPr>
              <w:ind w:left="180"/>
              <w:spacing w:after="0"/>
              <w:rPr>
                <w:sz w:val="20"/>
                <w:szCs w:val="20"/>
                <w:color w:val="auto"/>
              </w:rPr>
            </w:pPr>
            <w:r>
              <w:rPr>
                <w:rFonts w:ascii="Arial" w:cs="Arial" w:eastAsia="Arial" w:hAnsi="Arial"/>
                <w:sz w:val="14"/>
                <w:szCs w:val="14"/>
                <w:color w:val="auto"/>
              </w:rPr>
              <w:t>Net operating loss carryforwards</w:t>
            </w:r>
          </w:p>
        </w:tc>
        <w:tc>
          <w:tcPr>
            <w:tcW w:w="4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38,548</w:t>
            </w:r>
          </w:p>
        </w:tc>
        <w:tc>
          <w:tcPr>
            <w:tcW w:w="640" w:type="dxa"/>
            <w:vAlign w:val="bottom"/>
            <w:gridSpan w:val="3"/>
          </w:tcPr>
          <w:p>
            <w:pPr>
              <w:jc w:val="right"/>
              <w:ind w:right="3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34,228</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 tax credits</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5,168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w:t>
            </w:r>
          </w:p>
        </w:tc>
        <w:tc>
          <w:tcPr>
            <w:tcW w:w="0" w:type="dxa"/>
            <w:vAlign w:val="bottom"/>
          </w:tcPr>
          <w:p>
            <w:pPr>
              <w:spacing w:after="0"/>
              <w:rPr>
                <w:sz w:val="1"/>
                <w:szCs w:val="1"/>
                <w:color w:val="auto"/>
              </w:rPr>
            </w:pPr>
          </w:p>
        </w:tc>
      </w:tr>
      <w:tr>
        <w:trPr>
          <w:trHeight w:val="180"/>
        </w:trPr>
        <w:tc>
          <w:tcPr>
            <w:tcW w:w="8040" w:type="dxa"/>
            <w:vAlign w:val="bottom"/>
          </w:tcPr>
          <w:p>
            <w:pPr>
              <w:ind w:left="180"/>
              <w:spacing w:after="0"/>
              <w:rPr>
                <w:sz w:val="20"/>
                <w:szCs w:val="20"/>
                <w:color w:val="auto"/>
              </w:rPr>
            </w:pPr>
            <w:r>
              <w:rPr>
                <w:rFonts w:ascii="Arial" w:cs="Arial" w:eastAsia="Arial" w:hAnsi="Arial"/>
                <w:sz w:val="14"/>
                <w:szCs w:val="14"/>
                <w:color w:val="auto"/>
              </w:rPr>
              <w:t>Section 174 capitalized research expense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5,417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4,219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171"/>
        </w:trPr>
        <w:tc>
          <w:tcPr>
            <w:tcW w:w="804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53,352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39,174</w:t>
            </w: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1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(52,766)</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(38,410)</w:t>
            </w:r>
          </w:p>
        </w:tc>
        <w:tc>
          <w:tcPr>
            <w:tcW w:w="0" w:type="dxa"/>
            <w:vAlign w:val="bottom"/>
          </w:tcPr>
          <w:p>
            <w:pPr>
              <w:spacing w:after="0"/>
              <w:rPr>
                <w:sz w:val="1"/>
                <w:szCs w:val="1"/>
                <w:color w:val="auto"/>
              </w:rPr>
            </w:pPr>
          </w:p>
        </w:tc>
      </w:tr>
      <w:tr>
        <w:trPr>
          <w:trHeight w:val="171"/>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gross deferred tax assets, net of valuation allowance</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586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6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deferred tax liabilities</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71"/>
        </w:trPr>
        <w:tc>
          <w:tcPr>
            <w:tcW w:w="8040" w:type="dxa"/>
            <w:vAlign w:val="bottom"/>
          </w:tcPr>
          <w:p>
            <w:pPr>
              <w:ind w:left="20"/>
              <w:spacing w:after="0"/>
              <w:rPr>
                <w:sz w:val="20"/>
                <w:szCs w:val="20"/>
                <w:color w:val="auto"/>
              </w:rPr>
            </w:pPr>
            <w:r>
              <w:rPr>
                <w:rFonts w:ascii="Arial" w:cs="Arial" w:eastAsia="Arial" w:hAnsi="Arial"/>
                <w:sz w:val="14"/>
                <w:szCs w:val="14"/>
                <w:color w:val="auto"/>
              </w:rPr>
              <w:t>Net deferred tax assets / (liabilities)</w:t>
            </w: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 in future periods.</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has evaluated the available evidence supporting the realization of its gross deferred tax assets, including the amount and timing of future taxable income and has determined it is more likely than not that the assets will not be realized. As a result, the Company has concluded that a full valuation allowance against its deferred tax asset is necessary at this time.</w:t>
      </w:r>
    </w:p>
    <w:p>
      <w:pPr>
        <w:spacing w:after="0" w:line="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31, 2022, the Company has federal and state net operating loss (“NOL”) carryforwards of $167.5 million and $72.0 million, respectively. Of the amount of federal and state NOL carryforwards, $123.4 million and $16.5 million, respectively, can be carried forward indefinitely. The remaining federal and state NOL carryforwards begin to expire in 2030 and 2037, unless previously utilized. The Company also has federal and state research credit carryforwards of approximately $5.0 million and $2.3 million, respectively, unless previously utilized. The federal and New Jersey research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credit carryforwards will begin to expire in 2037 and 2027, respectively, unless previously utilized. The California research and development (“R&amp;D”) credit will carry forward indefinitely. The increase in the valuation allowance is $14.4 million and $28.2 million for the years ended December 31, 2022 and 2021, respectively.</w:t>
      </w:r>
    </w:p>
    <w:p>
      <w:pPr>
        <w:spacing w:after="0" w:line="4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Pursuant to Section 382 and 383 of the Internal Revenue Code (“IRC”), utilization of the Company’s NOL carryforwards and R&amp;D credits may be subject to annual limitations in the event of any significant future changes in its ownership structure. These annual limitations may result in the expiration of NOL carryforwards and R&amp;D credits prior to utilization. As of December 31, 2022, the Company has completed an IRC Section 382 analysis through the date of the Merger. Ownership changes were identified that will result in annual limitations on future utilization of NOL and R&amp;D credit carryforwards. To the extent such limitations will cause NOL and R&amp;D credit carryforwards to expire unused, these tax attributes have been removed from deferred tax asset table above.</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recognizes a tax benefit from an uncertain tax position when it is more likely than not that the position will be sustained upon examination by tax authorities.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to the Company’s gross unrecognized tax benefits for the years ended December 31, 2022 and 2021 (amounts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w w:val="99"/>
              </w:rPr>
              <w:t>As of December 31,</w:t>
            </w:r>
          </w:p>
        </w:tc>
        <w:tc>
          <w:tcPr>
            <w:tcW w:w="960" w:type="dxa"/>
            <w:vAlign w:val="bottom"/>
          </w:tcPr>
          <w:p>
            <w:pPr>
              <w:spacing w:after="0"/>
              <w:rPr>
                <w:sz w:val="12"/>
                <w:szCs w:val="12"/>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2021</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the beginning of year</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Decrease related to prior year positions</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related to current year positions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Balance at the end of year</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3,380</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2,674</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Due to the existence of the valuation allowance, future recognition of previously unrecognized tax benefits will not impact the Company’s effective tax rate. The Company’s practice is to recognize interest and penalties related to income tax matters in income tax expense. The Company is subject to taxation in the United States federal and certain state jurisdictions. The Company’s tax years from inception are subject to examination by the United States federal and state authorities due to the carryforward of unutilized NOLs and R&amp;D credits. The Company does not anticipate the unrecognized tax benefits to change materially within the next twelve months.</w:t>
      </w:r>
    </w:p>
    <w:p>
      <w:pPr>
        <w:spacing w:after="0" w:line="7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had no accrued interest and no penalties related to income tax matters in the Company’s balance sheet as of December 31, 2022 and has not recognized interest or penalties in the Company’s statement of operations and loss for the year ended December 31, 2022. Further, the Company is not currently under examination by any federal, state or local tax authority.</w:t>
      </w:r>
    </w:p>
    <w:p>
      <w:pPr>
        <w:spacing w:after="0" w:line="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CARES Act provides sweeping tax changes in response to the COVID-19 pandemic. Some of the more significant provisions are removal of certain limitations on utilization of NOL’s, increasing the loss carryback period for certain losses to five years, and increasing the ability to deduct interest expense, as well as amending certain provisions of the previously enacted Tax Cuts and Jobs Act. As of December 31, 2022, the Company has not recorded any material adjustments to its income tax provision related to the provisions with the CARES Act. The Company will continue to analyze the impact that the CARES Act will have, if any, on its financial positions, results of operations or cash flows.</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Commitments and Contingencies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 provide certain manufacturing and clinical development information to EOC. As a result, EOC is seeking monetary damages. The arbitration process is ongoing. The Company intends to defend itself vigorously in this matter and pursue all relief to which the Company is entitled. The Company is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unable to estimate the possible loss or range of loss, therefore no amounts have been accrued as of December 31, 2022. See Note 9 to these audited financial statements for more information about the EOC License Agreement and its termination.</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Commitments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has ongoing contracts with vendors for clinical trials and contract manufacturing. These contracts are generally cancellable, with notice, at the Company’s option. The Company recorded accrued expenses of $2.8 million and $4.8 million in its consolidated balance sheet for expenditures incurred by clinical and contract manufacturing vendors as of December 31, 2022 and 2021, respectively.</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At December 31, 2022 the Company had one significant contract with Fresenius Kabi that contains specific activities including non-cancellable commitments, minimum purchase commitments, and binding annual forecasts. As of December 31, 2022, there were non-cancellable purchase commitments related to the purchase of inventory for $1.9 million to be paid in 2023.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Mirati Collaboration.</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October 2022, the Company entered into a collaboration and supply agreement with Mirati Therapeutics, Inc. (“Mirati”) to evaluate the combination of Mirati’s adagrasib, a KRASG12C selective inhibitor, and FYARRO in KRAS G12C mutant non-small cell lung cancer (NSCLC) and other solid tumors. Under the terms of the agreement, Mirati will be responsible for sponsoring and operating the Phase 1/2 study and the Company will supply study drug and jointly share the cost of the study.</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primary objective of this multi-center, single-arm, open-label Phase 1/2 trial is to determine the optimal dose and recommended Phase 2 dose for the combination of adagrasib and FYARRO in patients with KRASG12C-mutant solid tumors. In addition, the study will investigate the safety, tolerability and efficacy of adagrasib and FYARRO in combination in patients both with and without prior exposure to a KRASG12C inhibitor. The trial will build on preclinical data showing enhanced anti-tumor efficacy with the combination of adagrasib and FYARRO relative to either agent alone.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2022 the Company incurred no expenses related to the Mirati collaboration.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Employee Retirement Plan</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maintains a 401(k) plan (the “401k Plan”) created in 2015 for the benefit of its employees. All employees who have attained the age of 21 are eligible to participate in the 401k Plan as of the first entry date, as defined by the 401k Plan document, following the employment date. Each employee can contribute a percentage of compensation up to a maximum of the statutory limits per year. Company contributions are discretionary. Contributions of $0.5 million and zero were made during the years ended December 31, 2022 and 2021.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maintain disclosure controls and procedures that are designed to provide reasonable assurance that information required to be disclosed in our Company’s reports under the Exchange Act, is recorded, processed, summarized and reported within the time periods specified in the SEC’s rules and forms, and that such information is accumulated and communicated to management, including our Interim Chief Executive Officer and President, and Chief Financial Officer,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Management necessarily was required to apply its judgment in evaluating the cost-benefit relationship of possible controls and procedures.</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connection with the preparation of this Annual Report for the year ended December 31, 2022, an evaluation was performed under the supervision and with the participation of our management, including our Interim Chief Executive Officer and President, and Chief Financial Officer, of the effectiveness of the design and operation of our disclosure controls and procedures (as defined in Rule 13a-15(e) under the Exchange Act) as of December 31, 2022. Based on that evaluation, our Interim Chief Executive Officer and President, and Chief Financial Officer has concluded based upon the evaluation described above that, as of December 31, 2022, our disclosure controls and procedures were effective at the reasonable assurance level.</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Report on Internal Control over Financial Reporting</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for us. Internal control over financial reporting (as defined in Rule 13a-15(f) of the Exchange Act) is a process to provide reasonable assurance regarding the reliability of our financial reporting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Under the supervision of and with the participation of our principal executive and financial officer, our management conducted an evaluation of the effectiveness, as of December 31, 2022, of our internal control over financial reporting based on the framework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in 2013. Based on this evaluation, management concluded that our internal control over financial reporting was effective as of December 31, 2022.</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were no changes in our internal control over financial reporting identified in connection with the evaluation required by Rule 13a-15(d) and 15d-15(d) of the Exchange Act during the fourth quarter ended December 31, 2022 that have materially affected, or are reasonably likely to materially affect, our internal control over financial reporting.</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other information required by this item is omitted from this Annual Report on Form 10-K and is incorporated herein by reference from our definitive proxy statement relating to our 2023 Annual Meeting of Stockholders (the “Definitive Proxy Statement”).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adopted a code of business conduct and ethics that applies to all of our employees, officers and directors, including those officers responsible for financial reporting. Our code of business conduct and ethics is available on our website, which is located at www.aadibio.com. We intend to disclose any amendments to the code, or any waivers of its requirements, on our website, or in a current report on Form 8-K as may be required by law.</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Amended and Restated Bylaws</w:t>
      </w:r>
    </w:p>
    <w:p>
      <w:pPr>
        <w:spacing w:after="0" w:line="9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As disclosed under Item 5.03 of our Current Report on Form 8-K filed with the SEC on December 7, 2022, on December 6, 2022, our Board of Directors, upon recommendation of the Nominating and Corporate Governance Committee of the Board, amended and restated our amended and restated bylaws, effective immediately. The bylaws were amended and restated, among other things, to:</w:t>
      </w:r>
    </w:p>
    <w:p>
      <w:pPr>
        <w:spacing w:after="0" w:line="33" w:lineRule="exact"/>
        <w:rPr>
          <w:sz w:val="20"/>
          <w:szCs w:val="20"/>
          <w:color w:val="auto"/>
        </w:rPr>
      </w:pPr>
    </w:p>
    <w:p>
      <w:pPr>
        <w:jc w:val="both"/>
        <w:ind w:left="520" w:hanging="260"/>
        <w:spacing w:after="0" w:line="241" w:lineRule="auto"/>
        <w:tabs>
          <w:tab w:leader="none" w:pos="516" w:val="left"/>
        </w:tabs>
        <w:numPr>
          <w:ilvl w:val="0"/>
          <w:numId w:val="67"/>
        </w:numPr>
        <w:rPr>
          <w:rFonts w:ascii="Arial" w:cs="Arial" w:eastAsia="Arial" w:hAnsi="Arial"/>
          <w:sz w:val="17"/>
          <w:szCs w:val="17"/>
          <w:color w:val="auto"/>
        </w:rPr>
      </w:pPr>
      <w:r>
        <w:rPr>
          <w:rFonts w:ascii="Arial" w:cs="Arial" w:eastAsia="Arial" w:hAnsi="Arial"/>
          <w:sz w:val="14"/>
          <w:szCs w:val="14"/>
          <w:color w:val="auto"/>
        </w:rPr>
        <w:t>revise the procedures and requirements for the nomination of directors and the submission of proposals for consideration at meetings of stockholders, including by adding a requirement that a stockholder seeking to nominate director(s) at a meeting of stockholders deliver to the Company reasonable evidence that it has complied with the requirements of Rule 14a-19 of the Exchange Act no later than five business days before the meeting;</w:t>
      </w:r>
    </w:p>
    <w:p>
      <w:pPr>
        <w:spacing w:after="0" w:line="102" w:lineRule="exact"/>
        <w:rPr>
          <w:rFonts w:ascii="Arial" w:cs="Arial" w:eastAsia="Arial" w:hAnsi="Arial"/>
          <w:sz w:val="17"/>
          <w:szCs w:val="17"/>
          <w:color w:val="auto"/>
        </w:rPr>
      </w:pPr>
    </w:p>
    <w:p>
      <w:pPr>
        <w:ind w:left="500" w:hanging="240"/>
        <w:spacing w:after="0"/>
        <w:tabs>
          <w:tab w:leader="none" w:pos="500" w:val="left"/>
        </w:tabs>
        <w:numPr>
          <w:ilvl w:val="0"/>
          <w:numId w:val="67"/>
        </w:numPr>
        <w:rPr>
          <w:rFonts w:ascii="Arial" w:cs="Arial" w:eastAsia="Arial" w:hAnsi="Arial"/>
          <w:sz w:val="16"/>
          <w:szCs w:val="16"/>
          <w:color w:val="auto"/>
        </w:rPr>
      </w:pPr>
      <w:r>
        <w:rPr>
          <w:rFonts w:ascii="Arial" w:cs="Arial" w:eastAsia="Arial" w:hAnsi="Arial"/>
          <w:sz w:val="13"/>
          <w:szCs w:val="13"/>
          <w:color w:val="auto"/>
        </w:rPr>
        <w:t>revise certain additional procedures related to stockholder meetings to conform to the provisions of the Delaware General Corporation Law, as recently amended (the “DGCL”);</w:t>
      </w:r>
    </w:p>
    <w:p>
      <w:pPr>
        <w:spacing w:after="0" w:line="90" w:lineRule="exact"/>
        <w:rPr>
          <w:rFonts w:ascii="Arial" w:cs="Arial" w:eastAsia="Arial" w:hAnsi="Arial"/>
          <w:sz w:val="16"/>
          <w:szCs w:val="16"/>
          <w:color w:val="auto"/>
        </w:rPr>
      </w:pPr>
    </w:p>
    <w:p>
      <w:pPr>
        <w:ind w:left="500" w:hanging="240"/>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4"/>
          <w:szCs w:val="14"/>
          <w:color w:val="auto"/>
        </w:rPr>
        <w:t>update various provisions regarding directors, Board committees and officers; and</w:t>
      </w:r>
    </w:p>
    <w:p>
      <w:pPr>
        <w:spacing w:after="0" w:line="117"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67"/>
        </w:numPr>
        <w:rPr>
          <w:rFonts w:ascii="Arial" w:cs="Arial" w:eastAsia="Arial" w:hAnsi="Arial"/>
          <w:sz w:val="17"/>
          <w:szCs w:val="17"/>
          <w:color w:val="auto"/>
        </w:rPr>
      </w:pPr>
      <w:r>
        <w:rPr>
          <w:rFonts w:ascii="Arial" w:cs="Arial" w:eastAsia="Arial" w:hAnsi="Arial"/>
          <w:sz w:val="14"/>
          <w:szCs w:val="14"/>
          <w:color w:val="auto"/>
        </w:rPr>
        <w:t>make various updates throughout to conform to current Delaware law (including the recent amendments to the DGCL) and to make ministerial changes, clarifications, and other conforming revisions.</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foregoing description is qualified in its entirety by reference to the Amended and Restated Bylaws, a copy of which was filed as Exhibit 3.1 to our Form 8-K filed on December 7, 2022 and is incorporated herein by reference.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11 will be contained in the Definitive Proxy Statement and is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12 will be contained in the Definitive Proxy Statement and is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13 will be contained in the Definitive Proxy Statement and is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14 will be contained in the Definitive Proxy Statement and is incorporated herein by reference.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IV</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(a)(1) Financial Statements.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The consolidated financial statements required by this item are submitted in a separate section beginning on page </w:t>
      </w:r>
      <w:r>
        <w:rPr>
          <w:rFonts w:ascii="Arial" w:cs="Arial" w:eastAsia="Arial" w:hAnsi="Arial"/>
          <w:sz w:val="14"/>
          <w:szCs w:val="14"/>
          <w:u w:val="single" w:color="auto"/>
          <w:color w:val="0000FF"/>
        </w:rPr>
        <w:t>117</w:t>
      </w:r>
      <w:r>
        <w:rPr>
          <w:rFonts w:ascii="Arial" w:cs="Arial" w:eastAsia="Arial" w:hAnsi="Arial"/>
          <w:sz w:val="14"/>
          <w:szCs w:val="14"/>
          <w:color w:val="auto"/>
        </w:rPr>
        <w:t xml:space="preserve"> of this Annual Report.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(a)(2).Financial Statement Schedules.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schedules have been omitted because the information required to be set forth therein is not applicable or is shown in the financial statements or notes thereto.</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(a)(3) Exhibits.</w:t>
      </w:r>
    </w:p>
    <w:p>
      <w:pPr>
        <w:spacing w:after="0" w:line="94" w:lineRule="exact"/>
        <w:rPr>
          <w:sz w:val="20"/>
          <w:szCs w:val="20"/>
          <w:color w:val="auto"/>
        </w:rPr>
      </w:pPr>
    </w:p>
    <w:p>
      <w:pPr>
        <w:ind w:left="520"/>
        <w:spacing w:after="0" w:line="281" w:lineRule="auto"/>
        <w:rPr>
          <w:sz w:val="20"/>
          <w:szCs w:val="20"/>
          <w:color w:val="auto"/>
        </w:rPr>
      </w:pPr>
      <w:r>
        <w:rPr>
          <w:rFonts w:ascii="Arial" w:cs="Arial" w:eastAsia="Arial" w:hAnsi="Arial"/>
          <w:sz w:val="14"/>
          <w:szCs w:val="14"/>
          <w:color w:val="auto"/>
        </w:rPr>
        <w:t>The exhibits filed as part of this Annual Report are set forth on the Exhibit Index immediately preceding the signature page of this Annual Report. The Exhibit Index is incorporated herein by reference.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 Index</w:t>
      </w:r>
    </w:p>
    <w:p>
      <w:pPr>
        <w:sectPr>
          <w:pgSz w:w="11900" w:h="16838" w:orient="portrait"/>
          <w:cols w:equalWidth="0" w:num="1">
            <w:col w:w="11280"/>
          </w:cols>
          <w:pgMar w:left="300" w:top="128" w:right="319" w:bottom="1440" w:gutter="0" w:footer="0" w:header="0"/>
        </w:sectPr>
      </w:pPr>
    </w:p>
    <w:p>
      <w:pPr>
        <w:spacing w:after="0" w:line="1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Exhibit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936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6625" cy="6985"/>
                    </a:xfrm>
                    <a:prstGeom prst="rect">
                      <a:avLst/>
                    </a:prstGeom>
                    <a:noFill/>
                  </pic:spPr>
                </pic:pic>
              </a:graphicData>
            </a:graphic>
          </wp:anchor>
        </w:drawing>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2.1</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3.1</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3.2</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4.1*</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4.2</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10.1</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10.2</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10.3</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10.4*#</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10.5#</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10.6#</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10.7#</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617156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1565" cy="6985"/>
                    </a:xfrm>
                    <a:prstGeom prst="rect">
                      <a:avLst/>
                    </a:prstGeom>
                    <a:noFill/>
                  </pic:spPr>
                </pic:pic>
              </a:graphicData>
            </a:graphic>
          </wp:anchor>
        </w:drawing>
      </w:r>
    </w:p>
    <w:p>
      <w:pPr>
        <w:spacing w:after="0" w:line="104" w:lineRule="exact"/>
        <w:rPr>
          <w:sz w:val="20"/>
          <w:szCs w:val="20"/>
          <w:color w:val="auto"/>
        </w:rPr>
      </w:pPr>
    </w:p>
    <w:p>
      <w:pPr>
        <w:ind w:right="20"/>
        <w:spacing w:after="0" w:line="281" w:lineRule="auto"/>
        <w:rPr>
          <w:rFonts w:ascii="Arial" w:cs="Arial" w:eastAsia="Arial" w:hAnsi="Arial"/>
          <w:sz w:val="14"/>
          <w:szCs w:val="14"/>
          <w:u w:val="single" w:color="auto"/>
          <w:color w:val="0000FF"/>
        </w:rPr>
      </w:pPr>
      <w:hyperlink r:id="rId190">
        <w:r>
          <w:rPr>
            <w:rFonts w:ascii="Arial" w:cs="Arial" w:eastAsia="Arial" w:hAnsi="Arial"/>
            <w:sz w:val="14"/>
            <w:szCs w:val="14"/>
            <w:u w:val="single" w:color="auto"/>
            <w:color w:val="0000FF"/>
          </w:rPr>
          <w:t>Agreement and Plan of Merger, dated May 16, 2021, by and among the registrant, Aadi Bioscience, Inc. and Aspen Merger Subsidiary, Inc. (incorporated by reference to</w:t>
        </w:r>
      </w:hyperlink>
      <w:r>
        <w:rPr>
          <w:rFonts w:ascii="Arial" w:cs="Arial" w:eastAsia="Arial" w:hAnsi="Arial"/>
          <w:sz w:val="14"/>
          <w:szCs w:val="14"/>
          <w:u w:val="single" w:color="auto"/>
          <w:color w:val="0000FF"/>
        </w:rPr>
        <w:t xml:space="preserve"> </w:t>
      </w:r>
      <w:hyperlink r:id="rId190">
        <w:r>
          <w:rPr>
            <w:rFonts w:ascii="Arial" w:cs="Arial" w:eastAsia="Arial" w:hAnsi="Arial"/>
            <w:sz w:val="14"/>
            <w:szCs w:val="14"/>
            <w:u w:val="single" w:color="auto"/>
            <w:color w:val="0000FF"/>
          </w:rPr>
          <w:t>Exhibit 2.1 to the Registrant’s Current Report on Form 8-K (File No. 001-38560) filed with the SEC on May 17, 2021).</w:t>
        </w:r>
      </w:hyperlink>
    </w:p>
    <w:p>
      <w:pPr>
        <w:spacing w:after="0" w:line="47" w:lineRule="exact"/>
        <w:rPr>
          <w:sz w:val="20"/>
          <w:szCs w:val="20"/>
          <w:color w:val="auto"/>
        </w:rPr>
      </w:pPr>
    </w:p>
    <w:p>
      <w:pPr>
        <w:spacing w:after="0"/>
        <w:rPr>
          <w:rFonts w:ascii="Arial" w:cs="Arial" w:eastAsia="Arial" w:hAnsi="Arial"/>
          <w:sz w:val="13"/>
          <w:szCs w:val="13"/>
          <w:u w:val="single" w:color="auto"/>
          <w:color w:val="0000FF"/>
        </w:rPr>
      </w:pPr>
      <w:hyperlink r:id="rId191">
        <w:r>
          <w:rPr>
            <w:rFonts w:ascii="Arial" w:cs="Arial" w:eastAsia="Arial" w:hAnsi="Arial"/>
            <w:sz w:val="13"/>
            <w:szCs w:val="13"/>
            <w:u w:val="single" w:color="auto"/>
            <w:color w:val="0000FF"/>
          </w:rPr>
          <w:t>Amended and Restated Certificate of Incorporation of the Company (incorporated by reference to Exhibit 3.1 to the Registrant’s Current Report on Form 8-K (File No.</w:t>
        </w:r>
      </w:hyperlink>
    </w:p>
    <w:p>
      <w:pPr>
        <w:spacing w:after="0" w:line="31" w:lineRule="exact"/>
        <w:rPr>
          <w:sz w:val="20"/>
          <w:szCs w:val="20"/>
          <w:color w:val="auto"/>
        </w:rPr>
      </w:pPr>
    </w:p>
    <w:p>
      <w:pPr>
        <w:spacing w:after="0"/>
        <w:rPr>
          <w:rFonts w:ascii="Arial" w:cs="Arial" w:eastAsia="Arial" w:hAnsi="Arial"/>
          <w:sz w:val="14"/>
          <w:szCs w:val="14"/>
          <w:u w:val="single" w:color="auto"/>
          <w:color w:val="0000FF"/>
        </w:rPr>
      </w:pPr>
      <w:hyperlink r:id="rId191">
        <w:r>
          <w:rPr>
            <w:rFonts w:ascii="Arial" w:cs="Arial" w:eastAsia="Arial" w:hAnsi="Arial"/>
            <w:sz w:val="14"/>
            <w:szCs w:val="14"/>
            <w:u w:val="single" w:color="auto"/>
            <w:color w:val="0000FF"/>
          </w:rPr>
          <w:t>001-38560) filed with the SEC on August 27, 2021).</w:t>
        </w:r>
      </w:hyperlink>
    </w:p>
    <w:p>
      <w:pPr>
        <w:spacing w:after="0" w:line="83" w:lineRule="exact"/>
        <w:rPr>
          <w:sz w:val="20"/>
          <w:szCs w:val="20"/>
          <w:color w:val="auto"/>
        </w:rPr>
      </w:pPr>
    </w:p>
    <w:p>
      <w:pPr>
        <w:ind w:right="20"/>
        <w:spacing w:after="0" w:line="281" w:lineRule="auto"/>
        <w:rPr>
          <w:rFonts w:ascii="Arial" w:cs="Arial" w:eastAsia="Arial" w:hAnsi="Arial"/>
          <w:sz w:val="14"/>
          <w:szCs w:val="14"/>
          <w:u w:val="single" w:color="auto"/>
          <w:color w:val="0000FF"/>
        </w:rPr>
      </w:pPr>
      <w:hyperlink r:id="rId192">
        <w:r>
          <w:rPr>
            <w:rFonts w:ascii="Arial" w:cs="Arial" w:eastAsia="Arial" w:hAnsi="Arial"/>
            <w:sz w:val="14"/>
            <w:szCs w:val="14"/>
            <w:u w:val="single" w:color="auto"/>
            <w:color w:val="0000FF"/>
          </w:rPr>
          <w:t>Amended and Restated Bylaws of the Company (incorporated by reference to Exhibit 3.1 to the Registrant’s Current Report on Form 8-K (File No. 001-38560) filed with</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the SEC on December 7, 2022).</w:t>
        </w:r>
      </w:hyperlink>
    </w:p>
    <w:p>
      <w:pPr>
        <w:spacing w:after="0" w:line="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Description of Registrant's Capital Stock.</w:t>
      </w:r>
    </w:p>
    <w:p>
      <w:pPr>
        <w:spacing w:after="0" w:line="94" w:lineRule="exact"/>
        <w:rPr>
          <w:sz w:val="20"/>
          <w:szCs w:val="20"/>
          <w:color w:val="auto"/>
        </w:rPr>
      </w:pPr>
    </w:p>
    <w:p>
      <w:pPr>
        <w:ind w:right="500"/>
        <w:spacing w:after="0" w:line="281" w:lineRule="auto"/>
        <w:rPr>
          <w:rFonts w:ascii="Arial" w:cs="Arial" w:eastAsia="Arial" w:hAnsi="Arial"/>
          <w:sz w:val="14"/>
          <w:szCs w:val="14"/>
          <w:u w:val="single" w:color="auto"/>
          <w:color w:val="0000FF"/>
        </w:rPr>
      </w:pPr>
      <w:hyperlink r:id="rId193">
        <w:r>
          <w:rPr>
            <w:rFonts w:ascii="Arial" w:cs="Arial" w:eastAsia="Arial" w:hAnsi="Arial"/>
            <w:sz w:val="14"/>
            <w:szCs w:val="14"/>
            <w:u w:val="single" w:color="auto"/>
            <w:color w:val="0000FF"/>
          </w:rPr>
          <w:t>Form of Pre-Funded Warrant (incorporated by reference to Exhibit 4.1 to the Registrant's Current Report on Form 8-K (File No. 001-38560) filed with the SEC on</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September 22, 2022).</w:t>
        </w:r>
      </w:hyperlink>
    </w:p>
    <w:p>
      <w:pPr>
        <w:spacing w:after="0" w:line="47" w:lineRule="exact"/>
        <w:rPr>
          <w:sz w:val="20"/>
          <w:szCs w:val="20"/>
          <w:color w:val="auto"/>
        </w:rPr>
      </w:pPr>
    </w:p>
    <w:p>
      <w:pPr>
        <w:ind w:right="20"/>
        <w:spacing w:after="0" w:line="281" w:lineRule="auto"/>
        <w:rPr>
          <w:rFonts w:ascii="Arial" w:cs="Arial" w:eastAsia="Arial" w:hAnsi="Arial"/>
          <w:sz w:val="14"/>
          <w:szCs w:val="14"/>
          <w:u w:val="single" w:color="auto"/>
          <w:color w:val="0000FF"/>
        </w:rPr>
      </w:pPr>
      <w:hyperlink r:id="rId194">
        <w:r>
          <w:rPr>
            <w:rFonts w:ascii="Arial" w:cs="Arial" w:eastAsia="Arial" w:hAnsi="Arial"/>
            <w:sz w:val="14"/>
            <w:szCs w:val="14"/>
            <w:u w:val="single" w:color="auto"/>
            <w:color w:val="0000FF"/>
          </w:rPr>
          <w:t>Form of Securities Purchase Agreement, dated September 22, 2022, by and among the Company and the Purchasers (incorporated by reference to Exhibit 10.1 to the</w:t>
        </w:r>
      </w:hyperlink>
      <w:r>
        <w:rPr>
          <w:rFonts w:ascii="Arial" w:cs="Arial" w:eastAsia="Arial" w:hAnsi="Arial"/>
          <w:sz w:val="14"/>
          <w:szCs w:val="14"/>
          <w:u w:val="single" w:color="auto"/>
          <w:color w:val="0000FF"/>
        </w:rPr>
        <w:t xml:space="preserve"> </w:t>
      </w:r>
      <w:hyperlink r:id="rId194">
        <w:r>
          <w:rPr>
            <w:rFonts w:ascii="Arial" w:cs="Arial" w:eastAsia="Arial" w:hAnsi="Arial"/>
            <w:sz w:val="14"/>
            <w:szCs w:val="14"/>
            <w:u w:val="single" w:color="auto"/>
            <w:color w:val="0000FF"/>
          </w:rPr>
          <w:t xml:space="preserve">Registrant's Current Report on Form 8-K </w:t>
        </w:r>
      </w:hyperlink>
      <w:hyperlink r:id="rId192">
        <w:r>
          <w:rPr>
            <w:rFonts w:ascii="Arial" w:cs="Arial" w:eastAsia="Arial" w:hAnsi="Arial"/>
            <w:sz w:val="14"/>
            <w:szCs w:val="14"/>
            <w:u w:val="single" w:color="auto"/>
            <w:color w:val="0000FF"/>
          </w:rPr>
          <w:t xml:space="preserve">(File No. 001-38560) </w:t>
        </w:r>
      </w:hyperlink>
      <w:hyperlink r:id="rId194">
        <w:r>
          <w:rPr>
            <w:rFonts w:ascii="Arial" w:cs="Arial" w:eastAsia="Arial" w:hAnsi="Arial"/>
            <w:sz w:val="14"/>
            <w:szCs w:val="14"/>
            <w:u w:val="single" w:color="auto"/>
            <w:color w:val="0000FF"/>
          </w:rPr>
          <w:t>filed with the SEC on September 22, 2022).</w:t>
        </w:r>
      </w:hyperlink>
    </w:p>
    <w:p>
      <w:pPr>
        <w:spacing w:after="0" w:line="47" w:lineRule="exact"/>
        <w:rPr>
          <w:rFonts w:ascii="Arial" w:cs="Arial" w:eastAsia="Arial" w:hAnsi="Arial"/>
          <w:sz w:val="14"/>
          <w:szCs w:val="14"/>
          <w:u w:val="single" w:color="auto"/>
          <w:color w:val="0000FF"/>
        </w:rPr>
      </w:pPr>
    </w:p>
    <w:p>
      <w:pPr>
        <w:ind w:right="20"/>
        <w:spacing w:after="0" w:line="281" w:lineRule="auto"/>
        <w:rPr>
          <w:rFonts w:ascii="Arial" w:cs="Arial" w:eastAsia="Arial" w:hAnsi="Arial"/>
          <w:sz w:val="14"/>
          <w:szCs w:val="14"/>
          <w:u w:val="single" w:color="auto"/>
          <w:color w:val="0000FF"/>
        </w:rPr>
      </w:pPr>
      <w:hyperlink r:id="rId195">
        <w:r>
          <w:rPr>
            <w:rFonts w:ascii="Arial" w:cs="Arial" w:eastAsia="Arial" w:hAnsi="Arial"/>
            <w:sz w:val="14"/>
            <w:szCs w:val="14"/>
            <w:u w:val="single" w:color="auto"/>
            <w:color w:val="0000FF"/>
          </w:rPr>
          <w:t>Form of Registration Rights Agreement, dated September 22, 2022, by and among the Company and the Purchasers (incorporated by reference to Exhibit 10.2 to the</w:t>
        </w:r>
      </w:hyperlink>
      <w:r>
        <w:rPr>
          <w:rFonts w:ascii="Arial" w:cs="Arial" w:eastAsia="Arial" w:hAnsi="Arial"/>
          <w:sz w:val="14"/>
          <w:szCs w:val="14"/>
          <w:u w:val="single" w:color="auto"/>
          <w:color w:val="0000FF"/>
        </w:rPr>
        <w:t xml:space="preserve"> </w:t>
      </w:r>
      <w:hyperlink r:id="rId195">
        <w:r>
          <w:rPr>
            <w:rFonts w:ascii="Arial" w:cs="Arial" w:eastAsia="Arial" w:hAnsi="Arial"/>
            <w:sz w:val="14"/>
            <w:szCs w:val="14"/>
            <w:u w:val="single" w:color="auto"/>
            <w:color w:val="0000FF"/>
          </w:rPr>
          <w:t xml:space="preserve">Registrant's Current Report on Form 8-K </w:t>
        </w:r>
      </w:hyperlink>
      <w:hyperlink r:id="rId192">
        <w:r>
          <w:rPr>
            <w:rFonts w:ascii="Arial" w:cs="Arial" w:eastAsia="Arial" w:hAnsi="Arial"/>
            <w:sz w:val="14"/>
            <w:szCs w:val="14"/>
            <w:u w:val="single" w:color="auto"/>
            <w:color w:val="0000FF"/>
          </w:rPr>
          <w:t xml:space="preserve">(File No. 001-38560) </w:t>
        </w:r>
      </w:hyperlink>
      <w:hyperlink r:id="rId195">
        <w:r>
          <w:rPr>
            <w:rFonts w:ascii="Arial" w:cs="Arial" w:eastAsia="Arial" w:hAnsi="Arial"/>
            <w:sz w:val="14"/>
            <w:szCs w:val="14"/>
            <w:u w:val="single" w:color="auto"/>
            <w:color w:val="0000FF"/>
          </w:rPr>
          <w:t>filed with the SEC on September 22, 2022).</w:t>
        </w:r>
      </w:hyperlink>
    </w:p>
    <w:p>
      <w:pPr>
        <w:spacing w:after="0" w:line="47" w:lineRule="exact"/>
        <w:rPr>
          <w:rFonts w:ascii="Arial" w:cs="Arial" w:eastAsia="Arial" w:hAnsi="Arial"/>
          <w:sz w:val="14"/>
          <w:szCs w:val="14"/>
          <w:u w:val="single" w:color="auto"/>
          <w:color w:val="0000FF"/>
        </w:rPr>
      </w:pPr>
    </w:p>
    <w:p>
      <w:pPr>
        <w:ind w:right="20"/>
        <w:spacing w:after="0" w:line="321" w:lineRule="auto"/>
        <w:rPr>
          <w:rFonts w:ascii="Arial" w:cs="Arial" w:eastAsia="Arial" w:hAnsi="Arial"/>
          <w:sz w:val="13"/>
          <w:szCs w:val="13"/>
          <w:u w:val="single" w:color="auto"/>
          <w:color w:val="0000FF"/>
        </w:rPr>
      </w:pPr>
      <w:hyperlink r:id="rId196">
        <w:r>
          <w:rPr>
            <w:rFonts w:ascii="Arial" w:cs="Arial" w:eastAsia="Arial" w:hAnsi="Arial"/>
            <w:sz w:val="13"/>
            <w:szCs w:val="13"/>
            <w:u w:val="single" w:color="auto"/>
            <w:color w:val="0000FF"/>
          </w:rPr>
          <w:t>Registration Rights Agreement dated August 26, 2021, by and between Aadi Bioscience, Inc. (formerly known as Aerpio Pharmaceuticals, Inc.) and certain purchasers</w:t>
        </w:r>
      </w:hyperlink>
      <w:r>
        <w:rPr>
          <w:rFonts w:ascii="Arial" w:cs="Arial" w:eastAsia="Arial" w:hAnsi="Arial"/>
          <w:sz w:val="13"/>
          <w:szCs w:val="13"/>
          <w:u w:val="single" w:color="auto"/>
          <w:color w:val="0000FF"/>
        </w:rPr>
        <w:t xml:space="preserve"> </w:t>
      </w:r>
      <w:hyperlink r:id="rId196">
        <w:r>
          <w:rPr>
            <w:rFonts w:ascii="Arial" w:cs="Arial" w:eastAsia="Arial" w:hAnsi="Arial"/>
            <w:sz w:val="13"/>
            <w:szCs w:val="13"/>
            <w:u w:val="single" w:color="auto"/>
            <w:color w:val="0000FF"/>
          </w:rPr>
          <w:t>listed therein (incorporated by reference to Exhibit 10.3 to the Registrant’s Current Report on Form 8-K (File No. 001-38560) filed with the SEC on August 27, 2021).</w:t>
        </w:r>
      </w:hyperlink>
    </w:p>
    <w:p>
      <w:pPr>
        <w:spacing w:after="0" w:line="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Amended and Restated Employment Agreement, dated November 8, 2022, by and between Aadi Bioscience, Inc. and Neil Desai, Ph.D.</w:t>
      </w:r>
    </w:p>
    <w:p>
      <w:pPr>
        <w:spacing w:after="0" w:line="94" w:lineRule="exact"/>
        <w:rPr>
          <w:sz w:val="20"/>
          <w:szCs w:val="20"/>
          <w:color w:val="auto"/>
        </w:rPr>
      </w:pPr>
    </w:p>
    <w:p>
      <w:pPr>
        <w:spacing w:after="0"/>
        <w:rPr>
          <w:rFonts w:ascii="Arial" w:cs="Arial" w:eastAsia="Arial" w:hAnsi="Arial"/>
          <w:sz w:val="14"/>
          <w:szCs w:val="14"/>
          <w:u w:val="single" w:color="auto"/>
          <w:color w:val="0000FF"/>
        </w:rPr>
      </w:pPr>
      <w:hyperlink r:id="rId197">
        <w:r>
          <w:rPr>
            <w:rFonts w:ascii="Arial" w:cs="Arial" w:eastAsia="Arial" w:hAnsi="Arial"/>
            <w:sz w:val="14"/>
            <w:szCs w:val="14"/>
            <w:u w:val="single" w:color="auto"/>
            <w:color w:val="0000FF"/>
          </w:rPr>
          <w:t>Executive Employment Agreement, dated October 28, 2021, by and between Aadi Bioscience, Inc. and Scott Giacobello.</w:t>
        </w:r>
      </w:hyperlink>
    </w:p>
    <w:p>
      <w:pPr>
        <w:spacing w:after="0" w:line="94" w:lineRule="exact"/>
        <w:rPr>
          <w:sz w:val="20"/>
          <w:szCs w:val="20"/>
          <w:color w:val="auto"/>
        </w:rPr>
      </w:pPr>
    </w:p>
    <w:p>
      <w:pPr>
        <w:ind w:right="20"/>
        <w:spacing w:after="0" w:line="281" w:lineRule="auto"/>
        <w:rPr>
          <w:rFonts w:ascii="Arial" w:cs="Arial" w:eastAsia="Arial" w:hAnsi="Arial"/>
          <w:sz w:val="14"/>
          <w:szCs w:val="14"/>
          <w:u w:val="single" w:color="auto"/>
          <w:color w:val="0000FF"/>
        </w:rPr>
      </w:pPr>
      <w:hyperlink r:id="rId198">
        <w:r>
          <w:rPr>
            <w:rFonts w:ascii="Arial" w:cs="Arial" w:eastAsia="Arial" w:hAnsi="Arial"/>
            <w:sz w:val="14"/>
            <w:szCs w:val="14"/>
            <w:u w:val="single" w:color="auto"/>
            <w:color w:val="0000FF"/>
          </w:rPr>
          <w:t>Aadi Bioscience, Inc. 2021 Equity Incentive Plan (incorporated by reference to Exhibit 10.6 to the Registrant’s Current Report on Form 8-K (File No. 001-38560) filed</w:t>
        </w:r>
      </w:hyperlink>
      <w:r>
        <w:rPr>
          <w:rFonts w:ascii="Arial" w:cs="Arial" w:eastAsia="Arial" w:hAnsi="Arial"/>
          <w:sz w:val="14"/>
          <w:szCs w:val="14"/>
          <w:u w:val="single" w:color="auto"/>
          <w:color w:val="0000FF"/>
        </w:rPr>
        <w:t xml:space="preserve"> </w:t>
      </w:r>
      <w:hyperlink r:id="rId198">
        <w:r>
          <w:rPr>
            <w:rFonts w:ascii="Arial" w:cs="Arial" w:eastAsia="Arial" w:hAnsi="Arial"/>
            <w:sz w:val="14"/>
            <w:szCs w:val="14"/>
            <w:u w:val="single" w:color="auto"/>
            <w:color w:val="0000FF"/>
          </w:rPr>
          <w:t>with the SEC on August 27, 2021).</w:t>
        </w:r>
      </w:hyperlink>
    </w:p>
    <w:p>
      <w:pPr>
        <w:spacing w:after="0" w:line="47" w:lineRule="exact"/>
        <w:rPr>
          <w:sz w:val="20"/>
          <w:szCs w:val="20"/>
          <w:color w:val="auto"/>
        </w:rPr>
      </w:pPr>
    </w:p>
    <w:p>
      <w:pPr>
        <w:ind w:right="20"/>
        <w:spacing w:after="0" w:line="281" w:lineRule="auto"/>
        <w:rPr>
          <w:rFonts w:ascii="Arial" w:cs="Arial" w:eastAsia="Arial" w:hAnsi="Arial"/>
          <w:sz w:val="14"/>
          <w:szCs w:val="14"/>
          <w:u w:val="single" w:color="auto"/>
          <w:color w:val="0000FF"/>
        </w:rPr>
      </w:pPr>
      <w:hyperlink r:id="rId199">
        <w:r>
          <w:rPr>
            <w:rFonts w:ascii="Arial" w:cs="Arial" w:eastAsia="Arial" w:hAnsi="Arial"/>
            <w:sz w:val="14"/>
            <w:szCs w:val="14"/>
            <w:u w:val="single" w:color="auto"/>
            <w:color w:val="0000FF"/>
          </w:rPr>
          <w:t>Form of Stock Option Agreement under the Aadi Bioscience, Inc. 2021 Equity Incentive Plan (incorporated by reference to Exhibit 10.7 to the Registrant’s Current Report</w:t>
        </w:r>
      </w:hyperlink>
      <w:r>
        <w:rPr>
          <w:rFonts w:ascii="Arial" w:cs="Arial" w:eastAsia="Arial" w:hAnsi="Arial"/>
          <w:sz w:val="14"/>
          <w:szCs w:val="14"/>
          <w:u w:val="single" w:color="auto"/>
          <w:color w:val="0000FF"/>
        </w:rPr>
        <w:t xml:space="preserve"> </w:t>
      </w:r>
      <w:hyperlink r:id="rId199">
        <w:r>
          <w:rPr>
            <w:rFonts w:ascii="Arial" w:cs="Arial" w:eastAsia="Arial" w:hAnsi="Arial"/>
            <w:sz w:val="14"/>
            <w:szCs w:val="14"/>
            <w:u w:val="single" w:color="auto"/>
            <w:color w:val="0000FF"/>
          </w:rPr>
          <w:t>on Form 8-K (File No. 001-38560) filed with the SEC on August 27, 2021).</w:t>
        </w:r>
      </w:hyperlink>
    </w:p>
    <w:p>
      <w:pPr>
        <w:spacing w:after="0" w:line="47" w:lineRule="exact"/>
        <w:rPr>
          <w:sz w:val="20"/>
          <w:szCs w:val="20"/>
          <w:color w:val="auto"/>
        </w:rPr>
      </w:pPr>
    </w:p>
    <w:p>
      <w:pPr>
        <w:ind w:right="20"/>
        <w:spacing w:after="0" w:line="281" w:lineRule="auto"/>
        <w:rPr>
          <w:rFonts w:ascii="Arial" w:cs="Arial" w:eastAsia="Arial" w:hAnsi="Arial"/>
          <w:sz w:val="14"/>
          <w:szCs w:val="14"/>
          <w:u w:val="single" w:color="auto"/>
          <w:color w:val="0000FF"/>
        </w:rPr>
      </w:pPr>
      <w:hyperlink r:id="rId200">
        <w:r>
          <w:rPr>
            <w:rFonts w:ascii="Arial" w:cs="Arial" w:eastAsia="Arial" w:hAnsi="Arial"/>
            <w:sz w:val="14"/>
            <w:szCs w:val="14"/>
            <w:u w:val="single" w:color="auto"/>
            <w:color w:val="0000FF"/>
          </w:rPr>
          <w:t>2021 Employee Stock Purchase Plan (incorporated by reference to Exhibit 10.8 to the Registrant’s Current Report on Form 8-K (File No. 001-38560) filed with the SEC</w:t>
        </w:r>
      </w:hyperlink>
      <w:r>
        <w:rPr>
          <w:rFonts w:ascii="Arial" w:cs="Arial" w:eastAsia="Arial" w:hAnsi="Arial"/>
          <w:sz w:val="14"/>
          <w:szCs w:val="14"/>
          <w:u w:val="single" w:color="auto"/>
          <w:color w:val="0000FF"/>
        </w:rPr>
        <w:t xml:space="preserve"> </w:t>
      </w:r>
      <w:hyperlink r:id="rId200">
        <w:r>
          <w:rPr>
            <w:rFonts w:ascii="Arial" w:cs="Arial" w:eastAsia="Arial" w:hAnsi="Arial"/>
            <w:sz w:val="14"/>
            <w:szCs w:val="14"/>
            <w:u w:val="single" w:color="auto"/>
            <w:color w:val="0000FF"/>
          </w:rPr>
          <w:t>on August 27, 2021).</w:t>
        </w:r>
      </w:hyperlink>
    </w:p>
    <w:p>
      <w:pPr>
        <w:spacing w:after="0" w:line="200" w:lineRule="exact"/>
        <w:rPr>
          <w:sz w:val="20"/>
          <w:szCs w:val="20"/>
          <w:color w:val="auto"/>
        </w:rPr>
      </w:pPr>
    </w:p>
    <w:p>
      <w:pPr>
        <w:sectPr>
          <w:pgSz w:w="11900" w:h="16838" w:orient="portrait"/>
          <w:cols w:equalWidth="0" w:num="2">
            <w:col w:w="860" w:space="720"/>
            <w:col w:w="9700"/>
          </w:cols>
          <w:pgMar w:left="300" w:top="128" w:right="319" w:bottom="144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10.9#</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10.10#</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10.11#</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10.13+</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10.14+</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10.15*</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10.16</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10.17*#</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10.18#</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10.19#</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10.20+</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10.21*+</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10.22</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21.1*</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23.1*</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31*</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32*</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101.INS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101.SCH</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101.CAL</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101.DEF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81" w:lineRule="auto"/>
        <w:rPr>
          <w:rFonts w:ascii="Arial" w:cs="Arial" w:eastAsia="Arial" w:hAnsi="Arial"/>
          <w:sz w:val="14"/>
          <w:szCs w:val="14"/>
          <w:u w:val="single" w:color="auto"/>
          <w:color w:val="0000FF"/>
        </w:rPr>
      </w:pPr>
      <w:hyperlink r:id="rId202">
        <w:r>
          <w:rPr>
            <w:rFonts w:ascii="Arial" w:cs="Arial" w:eastAsia="Arial" w:hAnsi="Arial"/>
            <w:sz w:val="14"/>
            <w:szCs w:val="14"/>
            <w:u w:val="single" w:color="auto"/>
            <w:color w:val="0000FF"/>
          </w:rPr>
          <w:t>Aadi Bioscience, Inc. Amended and Restated 2014 Equity Incentive Plan (incorporated by reference to Exhibit 10.9 to the Registrant’s Current Report on Form 8-K (File</w:t>
        </w:r>
      </w:hyperlink>
      <w:r>
        <w:rPr>
          <w:rFonts w:ascii="Arial" w:cs="Arial" w:eastAsia="Arial" w:hAnsi="Arial"/>
          <w:sz w:val="14"/>
          <w:szCs w:val="14"/>
          <w:u w:val="single" w:color="auto"/>
          <w:color w:val="0000FF"/>
        </w:rPr>
        <w:t xml:space="preserve"> </w:t>
      </w:r>
      <w:hyperlink r:id="rId202">
        <w:r>
          <w:rPr>
            <w:rFonts w:ascii="Arial" w:cs="Arial" w:eastAsia="Arial" w:hAnsi="Arial"/>
            <w:sz w:val="14"/>
            <w:szCs w:val="14"/>
            <w:u w:val="single" w:color="auto"/>
            <w:color w:val="0000FF"/>
          </w:rPr>
          <w:t>No. 001-38560) filed with the SEC on August 27, 2021).</w:t>
        </w:r>
      </w:hyperlink>
    </w:p>
    <w:p>
      <w:pPr>
        <w:spacing w:after="0" w:line="47" w:lineRule="exact"/>
        <w:rPr>
          <w:sz w:val="20"/>
          <w:szCs w:val="20"/>
          <w:color w:val="auto"/>
        </w:rPr>
      </w:pPr>
    </w:p>
    <w:p>
      <w:pPr>
        <w:spacing w:after="0" w:line="281" w:lineRule="auto"/>
        <w:rPr>
          <w:rFonts w:ascii="Arial" w:cs="Arial" w:eastAsia="Arial" w:hAnsi="Arial"/>
          <w:sz w:val="14"/>
          <w:szCs w:val="14"/>
          <w:u w:val="single" w:color="auto"/>
          <w:color w:val="0000FF"/>
        </w:rPr>
      </w:pPr>
      <w:hyperlink r:id="rId203">
        <w:r>
          <w:rPr>
            <w:rFonts w:ascii="Arial" w:cs="Arial" w:eastAsia="Arial" w:hAnsi="Arial"/>
            <w:sz w:val="14"/>
            <w:szCs w:val="14"/>
            <w:u w:val="single" w:color="auto"/>
            <w:color w:val="0000FF"/>
          </w:rPr>
          <w:t>Form of Stock Option Agreement under the Aadi Bioscience, Inc. Amended and Restated 2014 Equity Incentive Plan (incorporated by reference to Exhibit 10.10 to the</w:t>
        </w:r>
      </w:hyperlink>
      <w:r>
        <w:rPr>
          <w:rFonts w:ascii="Arial" w:cs="Arial" w:eastAsia="Arial" w:hAnsi="Arial"/>
          <w:sz w:val="14"/>
          <w:szCs w:val="14"/>
          <w:u w:val="single" w:color="auto"/>
          <w:color w:val="0000FF"/>
        </w:rPr>
        <w:t xml:space="preserve"> </w:t>
      </w:r>
      <w:hyperlink r:id="rId203">
        <w:r>
          <w:rPr>
            <w:rFonts w:ascii="Arial" w:cs="Arial" w:eastAsia="Arial" w:hAnsi="Arial"/>
            <w:sz w:val="14"/>
            <w:szCs w:val="14"/>
            <w:u w:val="single" w:color="auto"/>
            <w:color w:val="0000FF"/>
          </w:rPr>
          <w:t>Registrant’s Current Report on Form 8-K (File No. 001-38560) filed with the SEC on August 27, 2021).</w:t>
        </w:r>
      </w:hyperlink>
    </w:p>
    <w:p>
      <w:pPr>
        <w:spacing w:after="0" w:line="47" w:lineRule="exact"/>
        <w:rPr>
          <w:sz w:val="20"/>
          <w:szCs w:val="20"/>
          <w:color w:val="auto"/>
        </w:rPr>
      </w:pPr>
    </w:p>
    <w:p>
      <w:pPr>
        <w:spacing w:after="0" w:line="281" w:lineRule="auto"/>
        <w:rPr>
          <w:rFonts w:ascii="Arial" w:cs="Arial" w:eastAsia="Arial" w:hAnsi="Arial"/>
          <w:sz w:val="14"/>
          <w:szCs w:val="14"/>
          <w:u w:val="single" w:color="auto"/>
          <w:color w:val="0000FF"/>
        </w:rPr>
      </w:pPr>
      <w:hyperlink r:id="rId204">
        <w:r>
          <w:rPr>
            <w:rFonts w:ascii="Arial" w:cs="Arial" w:eastAsia="Arial" w:hAnsi="Arial"/>
            <w:sz w:val="14"/>
            <w:szCs w:val="14"/>
            <w:u w:val="single" w:color="auto"/>
            <w:color w:val="0000FF"/>
          </w:rPr>
          <w:t>Form of Indemnification Agreement between Aadi Bioscience, Inc. and each of its directors and executive officers (incorporated by reference to Exhibit 10.11 to the</w:t>
        </w:r>
      </w:hyperlink>
      <w:r>
        <w:rPr>
          <w:rFonts w:ascii="Arial" w:cs="Arial" w:eastAsia="Arial" w:hAnsi="Arial"/>
          <w:sz w:val="14"/>
          <w:szCs w:val="14"/>
          <w:u w:val="single" w:color="auto"/>
          <w:color w:val="0000FF"/>
        </w:rPr>
        <w:t xml:space="preserve"> </w:t>
      </w:r>
      <w:hyperlink r:id="rId204">
        <w:r>
          <w:rPr>
            <w:rFonts w:ascii="Arial" w:cs="Arial" w:eastAsia="Arial" w:hAnsi="Arial"/>
            <w:sz w:val="14"/>
            <w:szCs w:val="14"/>
            <w:u w:val="single" w:color="auto"/>
            <w:color w:val="0000FF"/>
          </w:rPr>
          <w:t>Registrant’s Current Report on Form 8-K (File No. 001-38560) filed with the SEC on August 27, 2021).</w:t>
        </w:r>
      </w:hyperlink>
    </w:p>
    <w:p>
      <w:pPr>
        <w:spacing w:after="0" w:line="47" w:lineRule="exact"/>
        <w:rPr>
          <w:sz w:val="20"/>
          <w:szCs w:val="20"/>
          <w:color w:val="auto"/>
        </w:rPr>
      </w:pPr>
    </w:p>
    <w:p>
      <w:pPr>
        <w:spacing w:after="0" w:line="281" w:lineRule="auto"/>
        <w:rPr>
          <w:rFonts w:ascii="Arial" w:cs="Arial" w:eastAsia="Arial" w:hAnsi="Arial"/>
          <w:sz w:val="14"/>
          <w:szCs w:val="14"/>
          <w:u w:val="single" w:color="auto"/>
          <w:color w:val="0000FF"/>
        </w:rPr>
      </w:pPr>
      <w:hyperlink r:id="rId205">
        <w:r>
          <w:rPr>
            <w:rFonts w:ascii="Arial" w:cs="Arial" w:eastAsia="Arial" w:hAnsi="Arial"/>
            <w:sz w:val="14"/>
            <w:szCs w:val="14"/>
            <w:u w:val="single" w:color="auto"/>
            <w:color w:val="0000FF"/>
          </w:rPr>
          <w:t>Amended and Restated License Agreement by and between Abraxis BioScience, LLC and Aadi Bioscience, Inc. dated November 15, 2019 (incorporated by reference to</w:t>
        </w:r>
      </w:hyperlink>
      <w:r>
        <w:rPr>
          <w:rFonts w:ascii="Arial" w:cs="Arial" w:eastAsia="Arial" w:hAnsi="Arial"/>
          <w:sz w:val="14"/>
          <w:szCs w:val="14"/>
          <w:u w:val="single" w:color="auto"/>
          <w:color w:val="0000FF"/>
        </w:rPr>
        <w:t xml:space="preserve"> </w:t>
      </w:r>
      <w:hyperlink r:id="rId205">
        <w:r>
          <w:rPr>
            <w:rFonts w:ascii="Arial" w:cs="Arial" w:eastAsia="Arial" w:hAnsi="Arial"/>
            <w:sz w:val="14"/>
            <w:szCs w:val="14"/>
            <w:u w:val="single" w:color="auto"/>
            <w:color w:val="0000FF"/>
          </w:rPr>
          <w:t>Exhibit 10.13 to the Registrant’s Quarterly Report on Form 10-Q (File No. 001-38560) filed with the SEC on November 10, 2021).</w:t>
        </w:r>
      </w:hyperlink>
    </w:p>
    <w:p>
      <w:pPr>
        <w:spacing w:after="0" w:line="47" w:lineRule="exact"/>
        <w:rPr>
          <w:sz w:val="20"/>
          <w:szCs w:val="20"/>
          <w:color w:val="auto"/>
        </w:rPr>
      </w:pPr>
    </w:p>
    <w:p>
      <w:pPr>
        <w:spacing w:after="0" w:line="321" w:lineRule="auto"/>
        <w:rPr>
          <w:rFonts w:ascii="Arial" w:cs="Arial" w:eastAsia="Arial" w:hAnsi="Arial"/>
          <w:sz w:val="13"/>
          <w:szCs w:val="13"/>
          <w:color w:val="0000FF"/>
        </w:rPr>
      </w:pPr>
      <w:hyperlink r:id="rId206">
        <w:r>
          <w:rPr>
            <w:rFonts w:ascii="Arial" w:cs="Arial" w:eastAsia="Arial" w:hAnsi="Arial"/>
            <w:sz w:val="13"/>
            <w:szCs w:val="13"/>
            <w:u w:val="single" w:color="auto"/>
            <w:color w:val="0000FF"/>
          </w:rPr>
          <w:t>Amendment No. 1 to the Amended and Restated License Agreement between Abraxis BioScience, LLC and Aadi Bioscience, Inc. dated August 30, 2021 (incorporated by</w:t>
        </w:r>
      </w:hyperlink>
      <w:r>
        <w:rPr>
          <w:rFonts w:ascii="Arial" w:cs="Arial" w:eastAsia="Arial" w:hAnsi="Arial"/>
          <w:sz w:val="13"/>
          <w:szCs w:val="13"/>
          <w:u w:val="single" w:color="auto"/>
          <w:color w:val="0000FF"/>
        </w:rPr>
        <w:t xml:space="preserve"> </w:t>
      </w:r>
      <w:hyperlink r:id="rId206">
        <w:r>
          <w:rPr>
            <w:rFonts w:ascii="Arial" w:cs="Arial" w:eastAsia="Arial" w:hAnsi="Arial"/>
            <w:sz w:val="13"/>
            <w:szCs w:val="13"/>
            <w:u w:val="single" w:color="auto"/>
            <w:color w:val="0000FF"/>
          </w:rPr>
          <w:t>reference to Exhibit 10.14 to the Registrant’s Quarterly Report on Form 10-Q (File No. 001-38560) filed with the SEC on November 10, 2021)</w:t>
        </w:r>
        <w:r>
          <w:rPr>
            <w:rFonts w:ascii="Arial" w:cs="Arial" w:eastAsia="Arial" w:hAnsi="Arial"/>
            <w:sz w:val="13"/>
            <w:szCs w:val="13"/>
            <w:color w:val="000000"/>
          </w:rPr>
          <w:t>.</w:t>
        </w:r>
      </w:hyperlink>
    </w:p>
    <w:p>
      <w:pPr>
        <w:spacing w:after="0" w:line="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Office Lease dated April 19, 2019 by and between BRE Sunset Coast, LLC and Aadi Bioscience, Inc.</w:t>
      </w:r>
    </w:p>
    <w:p>
      <w:pPr>
        <w:spacing w:after="0" w:line="94" w:lineRule="exact"/>
        <w:rPr>
          <w:sz w:val="20"/>
          <w:szCs w:val="20"/>
          <w:color w:val="auto"/>
        </w:rPr>
      </w:pPr>
    </w:p>
    <w:p>
      <w:pPr>
        <w:spacing w:after="0" w:line="281" w:lineRule="auto"/>
        <w:rPr>
          <w:rFonts w:ascii="Arial" w:cs="Arial" w:eastAsia="Arial" w:hAnsi="Arial"/>
          <w:sz w:val="14"/>
          <w:szCs w:val="14"/>
          <w:u w:val="single" w:color="auto"/>
          <w:color w:val="0000FF"/>
        </w:rPr>
      </w:pPr>
      <w:hyperlink r:id="rId207">
        <w:r>
          <w:rPr>
            <w:rFonts w:ascii="Arial" w:cs="Arial" w:eastAsia="Arial" w:hAnsi="Arial"/>
            <w:sz w:val="14"/>
            <w:szCs w:val="14"/>
            <w:u w:val="single" w:color="auto"/>
            <w:color w:val="0000FF"/>
          </w:rPr>
          <w:t>First Amendment to Office Lease dated August 30, 2021 by and between BRE Sunset Coast, LLC and Aadi Bioscience, Inc. (incorporated by reference to Exhibit 10.15 to</w:t>
        </w:r>
      </w:hyperlink>
      <w:r>
        <w:rPr>
          <w:rFonts w:ascii="Arial" w:cs="Arial" w:eastAsia="Arial" w:hAnsi="Arial"/>
          <w:sz w:val="14"/>
          <w:szCs w:val="14"/>
          <w:u w:val="single" w:color="auto"/>
          <w:color w:val="0000FF"/>
        </w:rPr>
        <w:t xml:space="preserve"> </w:t>
      </w:r>
      <w:hyperlink r:id="rId207">
        <w:r>
          <w:rPr>
            <w:rFonts w:ascii="Arial" w:cs="Arial" w:eastAsia="Arial" w:hAnsi="Arial"/>
            <w:sz w:val="14"/>
            <w:szCs w:val="14"/>
            <w:u w:val="single" w:color="auto"/>
            <w:color w:val="0000FF"/>
          </w:rPr>
          <w:t>the Registrant’s Quarterly Report on Form 10-Q (File No. 001-38560) filed with the SEC on November 10, 2021).</w:t>
        </w:r>
      </w:hyperlink>
    </w:p>
    <w:p>
      <w:pPr>
        <w:spacing w:after="0" w:line="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Amended and Restated Employment Agreement dated November 8, 2022, by and between Brendan Delaney and Aadi Bioscience, Inc.</w:t>
      </w:r>
    </w:p>
    <w:p>
      <w:pPr>
        <w:spacing w:after="0" w:line="94" w:lineRule="exact"/>
        <w:rPr>
          <w:sz w:val="20"/>
          <w:szCs w:val="20"/>
          <w:color w:val="auto"/>
        </w:rPr>
      </w:pPr>
    </w:p>
    <w:p>
      <w:pPr>
        <w:spacing w:after="0" w:line="281" w:lineRule="auto"/>
        <w:rPr>
          <w:rFonts w:ascii="Arial" w:cs="Arial" w:eastAsia="Arial" w:hAnsi="Arial"/>
          <w:sz w:val="14"/>
          <w:szCs w:val="14"/>
          <w:color w:val="0000FF"/>
        </w:rPr>
      </w:pPr>
      <w:hyperlink r:id="rId208">
        <w:r>
          <w:rPr>
            <w:rFonts w:ascii="Arial" w:cs="Arial" w:eastAsia="Arial" w:hAnsi="Arial"/>
            <w:sz w:val="14"/>
            <w:szCs w:val="14"/>
            <w:u w:val="single" w:color="auto"/>
            <w:color w:val="0000FF"/>
          </w:rPr>
          <w:t>Employment Agreement dated October 19, 2021, by and between Loretta Itri and Aadi Bioscience, Inc. (incorporated by reference to Exhibit 10.17 to the Registrant’s</w:t>
        </w:r>
      </w:hyperlink>
      <w:r>
        <w:rPr>
          <w:rFonts w:ascii="Arial" w:cs="Arial" w:eastAsia="Arial" w:hAnsi="Arial"/>
          <w:sz w:val="14"/>
          <w:szCs w:val="14"/>
          <w:u w:val="single" w:color="auto"/>
          <w:color w:val="0000FF"/>
        </w:rPr>
        <w:t xml:space="preserve"> </w:t>
      </w:r>
      <w:hyperlink r:id="rId208">
        <w:r>
          <w:rPr>
            <w:rFonts w:ascii="Arial" w:cs="Arial" w:eastAsia="Arial" w:hAnsi="Arial"/>
            <w:sz w:val="14"/>
            <w:szCs w:val="14"/>
            <w:u w:val="single" w:color="auto"/>
            <w:color w:val="0000FF"/>
          </w:rPr>
          <w:t>Quarterly Report on Form 10-Q (File No. 001-38560) filed with the SEC on November 10, 2021)</w:t>
        </w:r>
        <w:r>
          <w:rPr>
            <w:rFonts w:ascii="Arial" w:cs="Arial" w:eastAsia="Arial" w:hAnsi="Arial"/>
            <w:sz w:val="14"/>
            <w:szCs w:val="14"/>
            <w:color w:val="000000"/>
          </w:rPr>
          <w:t>.</w:t>
        </w:r>
      </w:hyperlink>
    </w:p>
    <w:p>
      <w:pPr>
        <w:spacing w:after="0" w:line="47" w:lineRule="exact"/>
        <w:rPr>
          <w:sz w:val="20"/>
          <w:szCs w:val="20"/>
          <w:color w:val="auto"/>
        </w:rPr>
      </w:pPr>
    </w:p>
    <w:p>
      <w:pPr>
        <w:spacing w:after="0" w:line="281" w:lineRule="auto"/>
        <w:rPr>
          <w:rFonts w:ascii="Arial" w:cs="Arial" w:eastAsia="Arial" w:hAnsi="Arial"/>
          <w:sz w:val="14"/>
          <w:szCs w:val="14"/>
          <w:color w:val="0000FF"/>
        </w:rPr>
      </w:pPr>
      <w:hyperlink r:id="rId209">
        <w:r>
          <w:rPr>
            <w:rFonts w:ascii="Arial" w:cs="Arial" w:eastAsia="Arial" w:hAnsi="Arial"/>
            <w:sz w:val="14"/>
            <w:szCs w:val="14"/>
            <w:u w:val="single" w:color="auto"/>
            <w:color w:val="0000FF"/>
          </w:rPr>
          <w:t>Senior Cash Incentive Bonus Plan. (incorporated by reference to Exhibit 10.15 in the Registrant’s Annual Report on Form 10-K (File No. 000-53057) filed with the SEC</w:t>
        </w:r>
      </w:hyperlink>
      <w:r>
        <w:rPr>
          <w:rFonts w:ascii="Arial" w:cs="Arial" w:eastAsia="Arial" w:hAnsi="Arial"/>
          <w:sz w:val="14"/>
          <w:szCs w:val="14"/>
          <w:u w:val="single" w:color="auto"/>
          <w:color w:val="0000FF"/>
        </w:rPr>
        <w:t xml:space="preserve"> </w:t>
      </w:r>
      <w:hyperlink r:id="rId209">
        <w:r>
          <w:rPr>
            <w:rFonts w:ascii="Arial" w:cs="Arial" w:eastAsia="Arial" w:hAnsi="Arial"/>
            <w:sz w:val="14"/>
            <w:szCs w:val="14"/>
            <w:u w:val="single" w:color="auto"/>
            <w:color w:val="0000FF"/>
          </w:rPr>
          <w:t>on March 15, 2017)</w:t>
        </w:r>
        <w:r>
          <w:rPr>
            <w:rFonts w:ascii="Arial" w:cs="Arial" w:eastAsia="Arial" w:hAnsi="Arial"/>
            <w:sz w:val="14"/>
            <w:szCs w:val="14"/>
            <w:color w:val="000000"/>
          </w:rPr>
          <w:t>.</w:t>
        </w:r>
      </w:hyperlink>
    </w:p>
    <w:p>
      <w:pPr>
        <w:spacing w:after="0" w:line="47" w:lineRule="exact"/>
        <w:rPr>
          <w:sz w:val="20"/>
          <w:szCs w:val="20"/>
          <w:color w:val="auto"/>
        </w:rPr>
      </w:pPr>
    </w:p>
    <w:p>
      <w:pPr>
        <w:spacing w:after="0" w:line="368" w:lineRule="auto"/>
        <w:rPr>
          <w:rFonts w:ascii="Arial" w:cs="Arial" w:eastAsia="Arial" w:hAnsi="Arial"/>
          <w:sz w:val="12"/>
          <w:szCs w:val="12"/>
          <w:u w:val="single" w:color="auto"/>
          <w:color w:val="0000FF"/>
        </w:rPr>
      </w:pPr>
      <w:hyperlink r:id="rId210">
        <w:r>
          <w:rPr>
            <w:rFonts w:ascii="Arial" w:cs="Arial" w:eastAsia="Arial" w:hAnsi="Arial"/>
            <w:sz w:val="12"/>
            <w:szCs w:val="12"/>
            <w:u w:val="single" w:color="auto"/>
            <w:color w:val="0000FF"/>
          </w:rPr>
          <w:t>Negotiated Purchase Order Terms and Conditions for Clinical and Commercial Product, dated as of January 13, 2022, by and between Aadi Bioscience, Inc. and Fresenius</w:t>
        </w:r>
      </w:hyperlink>
      <w:r>
        <w:rPr>
          <w:rFonts w:ascii="Arial" w:cs="Arial" w:eastAsia="Arial" w:hAnsi="Arial"/>
          <w:sz w:val="12"/>
          <w:szCs w:val="12"/>
          <w:u w:val="single" w:color="auto"/>
          <w:color w:val="0000FF"/>
        </w:rPr>
        <w:t xml:space="preserve"> </w:t>
      </w:r>
      <w:hyperlink r:id="rId210">
        <w:r>
          <w:rPr>
            <w:rFonts w:ascii="Arial" w:cs="Arial" w:eastAsia="Arial" w:hAnsi="Arial"/>
            <w:sz w:val="12"/>
            <w:szCs w:val="12"/>
            <w:u w:val="single" w:color="auto"/>
            <w:color w:val="0000FF"/>
          </w:rPr>
          <w:t>Kabi, LLC (incorporated by reference to Exhibit 10.1 to the Registrant’s Current Report on Form 8-K (File No. 001-38560) filed with the SEC on September 20, 2021).</w:t>
        </w:r>
      </w:hyperlink>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4"/>
          <w:szCs w:val="14"/>
          <w:u w:val="single" w:color="auto"/>
          <w:color w:val="0000FF"/>
        </w:rPr>
        <w:t>Amendment No.1 to the Negotiated Purchase Order Terms and Conditions for Clinical and Commercial Product, dated as of January 16, 2023, by and between Aadi Bioscience, Inc. and Fresenius Kabi, LLC.</w:t>
      </w:r>
    </w:p>
    <w:p>
      <w:pPr>
        <w:spacing w:after="0" w:line="47" w:lineRule="exact"/>
        <w:rPr>
          <w:sz w:val="20"/>
          <w:szCs w:val="20"/>
          <w:color w:val="auto"/>
        </w:rPr>
      </w:pPr>
    </w:p>
    <w:p>
      <w:pPr>
        <w:spacing w:after="0" w:line="281" w:lineRule="auto"/>
        <w:rPr>
          <w:rFonts w:ascii="Arial" w:cs="Arial" w:eastAsia="Arial" w:hAnsi="Arial"/>
          <w:sz w:val="14"/>
          <w:szCs w:val="14"/>
          <w:u w:val="single" w:color="auto"/>
          <w:color w:val="0000FF"/>
        </w:rPr>
      </w:pPr>
      <w:hyperlink r:id="rId211">
        <w:r>
          <w:rPr>
            <w:rFonts w:ascii="Arial" w:cs="Arial" w:eastAsia="Arial" w:hAnsi="Arial"/>
            <w:sz w:val="14"/>
            <w:szCs w:val="14"/>
            <w:u w:val="single" w:color="auto"/>
            <w:color w:val="0000FF"/>
          </w:rPr>
          <w:t>Sales Agreement, dated as of March 17, 2022, by and between Aadi Bioscience, Inc. and Cowen and Company, LLC (incorporated by reference to Exhibit 1.1 to the</w:t>
        </w:r>
      </w:hyperlink>
      <w:r>
        <w:rPr>
          <w:rFonts w:ascii="Arial" w:cs="Arial" w:eastAsia="Arial" w:hAnsi="Arial"/>
          <w:sz w:val="14"/>
          <w:szCs w:val="14"/>
          <w:u w:val="single" w:color="auto"/>
          <w:color w:val="0000FF"/>
        </w:rPr>
        <w:t xml:space="preserve"> </w:t>
      </w:r>
      <w:hyperlink r:id="rId211">
        <w:r>
          <w:rPr>
            <w:rFonts w:ascii="Arial" w:cs="Arial" w:eastAsia="Arial" w:hAnsi="Arial"/>
            <w:sz w:val="14"/>
            <w:szCs w:val="14"/>
            <w:u w:val="single" w:color="auto"/>
            <w:color w:val="0000FF"/>
          </w:rPr>
          <w:t>Registrant’s Current Report on Form 8-K (File No. 001-38560) filed with the SEC on March 17, 2022).</w:t>
        </w:r>
      </w:hyperlink>
    </w:p>
    <w:p>
      <w:pPr>
        <w:spacing w:after="0" w:line="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List of Subsidiaries of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Consent of BDO USA LLP</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u w:val="single" w:color="auto"/>
          <w:color w:val="0000FF"/>
        </w:rPr>
        <w:t>Certification of Principal Executive Officer and Principal Financial Officer Pursuant to Rules 13a-14(a) and 15d-14(a) under the Securities Exchange Act of 1934, as Adopted Pursuant to Section 302 of the Sarbanes-Oxley Act of 2002.</w:t>
      </w:r>
    </w:p>
    <w:p>
      <w:pPr>
        <w:spacing w:after="0" w:line="47" w:lineRule="exact"/>
        <w:rPr>
          <w:sz w:val="20"/>
          <w:szCs w:val="20"/>
          <w:color w:val="auto"/>
        </w:rPr>
      </w:pPr>
    </w:p>
    <w:p>
      <w:pPr>
        <w:spacing w:after="0" w:line="281" w:lineRule="auto"/>
        <w:rPr>
          <w:sz w:val="20"/>
          <w:szCs w:val="20"/>
          <w:color w:val="auto"/>
        </w:rPr>
      </w:pPr>
      <w:r>
        <w:rPr>
          <w:rFonts w:ascii="Arial" w:cs="Arial" w:eastAsia="Arial" w:hAnsi="Arial"/>
          <w:sz w:val="14"/>
          <w:szCs w:val="14"/>
          <w:u w:val="single" w:color="auto"/>
          <w:color w:val="0000FF"/>
        </w:rPr>
        <w:t>Certification of Principal Executive Officer and Principal Financial Officer Pursuant to 18 U.S.C. Section 1350, as Adopted Pursuant to Section 906 of the Sarbanes-Oxley Act of 2002.</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IXBRL Inline Instance Document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IXBRL Inline Taxonomy Extension Schema Document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IXBRL Inline Taxonomy Extension Calculation Linkbase Document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IXBRL Inline Taxonomy Extension Definition Linkbase Document</w:t>
      </w:r>
    </w:p>
    <w:p>
      <w:pPr>
        <w:spacing w:after="0" w:line="200" w:lineRule="exact"/>
        <w:rPr>
          <w:sz w:val="20"/>
          <w:szCs w:val="20"/>
          <w:color w:val="auto"/>
        </w:rPr>
      </w:pPr>
    </w:p>
    <w:p>
      <w:pPr>
        <w:spacing w:after="0" w:line="350"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53340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00" w:space="580"/>
            <w:col w:w="9680"/>
          </w:cols>
          <w:pgMar w:left="300" w:top="129"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8020" w:type="dxa"/>
            <w:vAlign w:val="bottom"/>
          </w:tcPr>
          <w:p>
            <w:pPr>
              <w:spacing w:after="0"/>
              <w:rPr>
                <w:sz w:val="14"/>
                <w:szCs w:val="14"/>
                <w:color w:val="auto"/>
              </w:rPr>
            </w:pPr>
          </w:p>
        </w:tc>
      </w:tr>
      <w:tr>
        <w:trPr>
          <w:trHeight w:val="807"/>
        </w:trPr>
        <w:tc>
          <w:tcPr>
            <w:tcW w:w="1000" w:type="dxa"/>
            <w:vAlign w:val="bottom"/>
            <w:tcBorders>
              <w:top w:val="single" w:sz="8" w:color="0000FF"/>
            </w:tcBorders>
          </w:tcPr>
          <w:p>
            <w:pPr>
              <w:ind w:left="20"/>
              <w:spacing w:after="0"/>
              <w:rPr>
                <w:sz w:val="20"/>
                <w:szCs w:val="20"/>
                <w:color w:val="auto"/>
              </w:rPr>
            </w:pPr>
            <w:r>
              <w:rPr>
                <w:rFonts w:ascii="Arial" w:cs="Arial" w:eastAsia="Arial" w:hAnsi="Arial"/>
                <w:sz w:val="14"/>
                <w:szCs w:val="14"/>
                <w:color w:val="auto"/>
              </w:rPr>
              <w:t>101.LAB</w:t>
            </w:r>
          </w:p>
        </w:tc>
        <w:tc>
          <w:tcPr>
            <w:tcW w:w="300" w:type="dxa"/>
            <w:vAlign w:val="bottom"/>
          </w:tcPr>
          <w:p>
            <w:pPr>
              <w:spacing w:after="0"/>
              <w:rPr>
                <w:sz w:val="24"/>
                <w:szCs w:val="24"/>
                <w:color w:val="auto"/>
              </w:rPr>
            </w:pPr>
          </w:p>
        </w:tc>
        <w:tc>
          <w:tcPr>
            <w:tcW w:w="8020" w:type="dxa"/>
            <w:vAlign w:val="bottom"/>
          </w:tcPr>
          <w:p>
            <w:pPr>
              <w:ind w:left="280"/>
              <w:spacing w:after="0"/>
              <w:rPr>
                <w:sz w:val="20"/>
                <w:szCs w:val="20"/>
                <w:color w:val="auto"/>
              </w:rPr>
            </w:pPr>
            <w:r>
              <w:rPr>
                <w:rFonts w:ascii="Arial" w:cs="Arial" w:eastAsia="Arial" w:hAnsi="Arial"/>
                <w:sz w:val="14"/>
                <w:szCs w:val="14"/>
                <w:color w:val="auto"/>
              </w:rPr>
              <w:t>IXBRL Inline Taxonomy Extension Label Linkbase Document</w:t>
            </w:r>
          </w:p>
        </w:tc>
      </w:tr>
      <w:tr>
        <w:trPr>
          <w:trHeight w:val="223"/>
        </w:trPr>
        <w:tc>
          <w:tcPr>
            <w:tcW w:w="130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8020" w:type="dxa"/>
            <w:vAlign w:val="bottom"/>
          </w:tcPr>
          <w:p>
            <w:pPr>
              <w:ind w:left="280"/>
              <w:spacing w:after="0"/>
              <w:rPr>
                <w:sz w:val="20"/>
                <w:szCs w:val="20"/>
                <w:color w:val="auto"/>
              </w:rPr>
            </w:pPr>
            <w:r>
              <w:rPr>
                <w:rFonts w:ascii="Arial" w:cs="Arial" w:eastAsia="Arial" w:hAnsi="Arial"/>
                <w:sz w:val="14"/>
                <w:szCs w:val="14"/>
                <w:color w:val="auto"/>
              </w:rPr>
              <w:t>IXBRL Inline Taxonomy Extension Presentation Linkbase Document</w:t>
            </w:r>
          </w:p>
        </w:tc>
      </w:tr>
      <w:tr>
        <w:trPr>
          <w:trHeight w:val="233"/>
        </w:trPr>
        <w:tc>
          <w:tcPr>
            <w:tcW w:w="1000" w:type="dxa"/>
            <w:vAlign w:val="bottom"/>
          </w:tcPr>
          <w:p>
            <w:pPr>
              <w:ind w:left="20"/>
              <w:spacing w:after="0"/>
              <w:rPr>
                <w:sz w:val="20"/>
                <w:szCs w:val="20"/>
                <w:color w:val="auto"/>
              </w:rPr>
            </w:pPr>
            <w:r>
              <w:rPr>
                <w:rFonts w:ascii="Arial" w:cs="Arial" w:eastAsia="Arial" w:hAnsi="Arial"/>
                <w:sz w:val="14"/>
                <w:szCs w:val="14"/>
                <w:color w:val="auto"/>
              </w:rPr>
              <w:t>104</w:t>
            </w:r>
          </w:p>
        </w:tc>
        <w:tc>
          <w:tcPr>
            <w:tcW w:w="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4"/>
                <w:szCs w:val="14"/>
                <w:color w:val="auto"/>
                <w:w w:val="93"/>
              </w:rPr>
              <w:t>Cover Page Interactive Data File (formatted as Inline XBRL with applicable taxonomy extension information contained in Exhibits 101)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Indicates the exhibit is being furnished, not filed, with this report</w:t>
      </w:r>
    </w:p>
    <w:p>
      <w:pPr>
        <w:spacing w:after="0" w:line="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a management contract or any compensatory plan, contract or arrangement.</w:t>
      </w:r>
    </w:p>
    <w:p>
      <w:pPr>
        <w:spacing w:after="0" w:line="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Portions of this exhibit have been omitted pursuant to Item 601(b)(10)(iv) of Regulation S-K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of 10-K Summary</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6" w:right="1440"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98"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4"/>
          <w:szCs w:val="14"/>
          <w:b w:val="1"/>
          <w:bCs w:val="1"/>
          <w:color w:val="auto"/>
        </w:rPr>
        <w:t>.</w:t>
      </w:r>
    </w:p>
    <w:p>
      <w:pPr>
        <w:spacing w:after="0" w:line="79"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AADI BIOSCIENCE, INC.</w:t>
      </w:r>
    </w:p>
    <w:p>
      <w:pPr>
        <w:spacing w:after="0" w:line="232" w:lineRule="exact"/>
        <w:rPr>
          <w:sz w:val="20"/>
          <w:szCs w:val="20"/>
          <w:color w:val="auto"/>
        </w:rPr>
      </w:pPr>
    </w:p>
    <w:p>
      <w:pPr>
        <w:ind w:left="20"/>
        <w:spacing w:after="0"/>
        <w:tabs>
          <w:tab w:leader="none" w:pos="6020" w:val="left"/>
          <w:tab w:leader="none" w:pos="8300" w:val="left"/>
        </w:tabs>
        <w:rPr>
          <w:sz w:val="20"/>
          <w:szCs w:val="20"/>
          <w:color w:val="auto"/>
        </w:rPr>
      </w:pPr>
      <w:r>
        <w:rPr>
          <w:rFonts w:ascii="Arial" w:cs="Arial" w:eastAsia="Arial" w:hAnsi="Arial"/>
          <w:sz w:val="14"/>
          <w:szCs w:val="14"/>
          <w:color w:val="auto"/>
        </w:rPr>
        <w:t>Date: March 28,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12065</wp:posOffset>
            </wp:positionV>
            <wp:extent cx="304546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pacing w:after="0" w:line="6"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Scott Giacobello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3"/>
          <w:szCs w:val="13"/>
          <w:b w:val="1"/>
          <w:bCs w:val="1"/>
          <w:color w:val="auto"/>
        </w:rPr>
        <w:t>Interim Chief Executive Officer and President, and Chief Financial Officer</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4"/>
          <w:szCs w:val="14"/>
          <w:i w:val="1"/>
          <w:iCs w:val="1"/>
          <w:color w:val="auto"/>
        </w:rPr>
        <w:t>(Principal Executive Officer)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4"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KNOW ALL PERSONS BY THESE PRESENTS, that each person whose signature appears below hereby constitutes and appoints Scott Giacobello and Stephen Rodin, and each of them, as his or her true and lawful attorney-in-fact and agent with full power of substitution and resubstitution,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6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this Report has been signed by the following persons on behalf of the Registrant and in the capacities and on the dates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Name</w:t>
            </w:r>
          </w:p>
        </w:tc>
        <w:tc>
          <w:tcPr>
            <w:tcW w:w="10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8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297"/>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Interim Chief Executive Officer and President, and Chief</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680" w:type="dxa"/>
            <w:vAlign w:val="bottom"/>
          </w:tcPr>
          <w:p>
            <w:pPr>
              <w:jc w:val="center"/>
              <w:spacing w:after="0" w:line="159" w:lineRule="exact"/>
              <w:rPr>
                <w:sz w:val="20"/>
                <w:szCs w:val="20"/>
                <w:color w:val="auto"/>
              </w:rPr>
            </w:pPr>
            <w:r>
              <w:rPr>
                <w:rFonts w:ascii="Arial" w:cs="Arial" w:eastAsia="Arial" w:hAnsi="Arial"/>
                <w:sz w:val="14"/>
                <w:szCs w:val="14"/>
                <w:i w:val="1"/>
                <w:iCs w:val="1"/>
                <w:color w:val="auto"/>
                <w:w w:val="92"/>
              </w:rPr>
              <w:t>/s/ Scott Giacobello</w:t>
            </w:r>
          </w:p>
        </w:tc>
        <w:tc>
          <w:tcPr>
            <w:tcW w:w="100" w:type="dxa"/>
            <w:vAlign w:val="bottom"/>
          </w:tcPr>
          <w:p>
            <w:pPr>
              <w:spacing w:after="0"/>
              <w:rPr>
                <w:sz w:val="13"/>
                <w:szCs w:val="13"/>
                <w:color w:val="auto"/>
              </w:rPr>
            </w:pPr>
          </w:p>
        </w:tc>
        <w:tc>
          <w:tcPr>
            <w:tcW w:w="378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4"/>
              </w:rPr>
              <w:t>Financial Officer</w:t>
            </w:r>
          </w:p>
        </w:tc>
        <w:tc>
          <w:tcPr>
            <w:tcW w:w="3720" w:type="dxa"/>
            <w:vAlign w:val="bottom"/>
          </w:tcPr>
          <w:p>
            <w:pPr>
              <w:jc w:val="center"/>
              <w:spacing w:after="0" w:line="159" w:lineRule="exact"/>
              <w:rPr>
                <w:sz w:val="20"/>
                <w:szCs w:val="20"/>
                <w:color w:val="auto"/>
              </w:rPr>
            </w:pPr>
            <w:r>
              <w:rPr>
                <w:rFonts w:ascii="Arial" w:cs="Arial" w:eastAsia="Arial" w:hAnsi="Arial"/>
                <w:sz w:val="14"/>
                <w:szCs w:val="14"/>
                <w:color w:val="auto"/>
                <w:w w:val="92"/>
              </w:rPr>
              <w:t>March 28, 2023</w:t>
            </w:r>
          </w:p>
        </w:tc>
        <w:tc>
          <w:tcPr>
            <w:tcW w:w="0" w:type="dxa"/>
            <w:vAlign w:val="bottom"/>
          </w:tcPr>
          <w:p>
            <w:pPr>
              <w:spacing w:after="0"/>
              <w:rPr>
                <w:sz w:val="1"/>
                <w:szCs w:val="1"/>
                <w:color w:val="auto"/>
              </w:rPr>
            </w:pPr>
          </w:p>
        </w:tc>
      </w:tr>
      <w:tr>
        <w:trPr>
          <w:trHeight w:val="42"/>
        </w:trPr>
        <w:tc>
          <w:tcPr>
            <w:tcW w:w="36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7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(Principal Executive, Financial and Accounting Officer)</w:t>
            </w:r>
          </w:p>
        </w:tc>
        <w:tc>
          <w:tcPr>
            <w:tcW w:w="3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3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Scott Giacobello</w:t>
            </w:r>
          </w:p>
        </w:tc>
        <w:tc>
          <w:tcPr>
            <w:tcW w:w="100" w:type="dxa"/>
            <w:vAlign w:val="bottom"/>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 Caley Castelein</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Chairman</w:t>
            </w:r>
          </w:p>
        </w:tc>
        <w:tc>
          <w:tcPr>
            <w:tcW w:w="3720" w:type="dxa"/>
            <w:vAlign w:val="bottom"/>
          </w:tcPr>
          <w:p>
            <w:pPr>
              <w:jc w:val="center"/>
              <w:spacing w:after="0"/>
              <w:rPr>
                <w:sz w:val="20"/>
                <w:szCs w:val="20"/>
                <w:color w:val="auto"/>
              </w:rPr>
            </w:pPr>
            <w:r>
              <w:rPr>
                <w:rFonts w:ascii="Arial" w:cs="Arial" w:eastAsia="Arial" w:hAnsi="Arial"/>
                <w:sz w:val="14"/>
                <w:szCs w:val="14"/>
                <w:color w:val="auto"/>
                <w:w w:val="92"/>
              </w:rPr>
              <w:t>March 28, 2023</w:t>
            </w:r>
          </w:p>
        </w:tc>
        <w:tc>
          <w:tcPr>
            <w:tcW w:w="0" w:type="dxa"/>
            <w:vAlign w:val="bottom"/>
          </w:tcPr>
          <w:p>
            <w:pPr>
              <w:spacing w:after="0"/>
              <w:rPr>
                <w:sz w:val="1"/>
                <w:szCs w:val="1"/>
                <w:color w:val="auto"/>
              </w:rPr>
            </w:pPr>
          </w:p>
        </w:tc>
      </w:tr>
      <w:tr>
        <w:trPr>
          <w:trHeight w:val="175"/>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3"/>
              </w:rPr>
              <w:t>Caley Castelein, M.D.</w:t>
            </w: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89"/>
              </w:rPr>
              <w:t>/s/ Behzad Aghazadeh</w:t>
            </w: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3720" w:type="dxa"/>
            <w:vAlign w:val="bottom"/>
          </w:tcPr>
          <w:p>
            <w:pPr>
              <w:jc w:val="center"/>
              <w:spacing w:after="0"/>
              <w:rPr>
                <w:sz w:val="20"/>
                <w:szCs w:val="20"/>
                <w:color w:val="auto"/>
              </w:rPr>
            </w:pPr>
            <w:r>
              <w:rPr>
                <w:rFonts w:ascii="Arial" w:cs="Arial" w:eastAsia="Arial" w:hAnsi="Arial"/>
                <w:sz w:val="14"/>
                <w:szCs w:val="14"/>
                <w:color w:val="auto"/>
                <w:w w:val="92"/>
              </w:rPr>
              <w:t>March 28, 2023</w:t>
            </w:r>
          </w:p>
        </w:tc>
        <w:tc>
          <w:tcPr>
            <w:tcW w:w="0" w:type="dxa"/>
            <w:vAlign w:val="bottom"/>
          </w:tcPr>
          <w:p>
            <w:pPr>
              <w:spacing w:after="0"/>
              <w:rPr>
                <w:sz w:val="1"/>
                <w:szCs w:val="1"/>
                <w:color w:val="auto"/>
              </w:rPr>
            </w:pPr>
          </w:p>
        </w:tc>
      </w:tr>
      <w:tr>
        <w:trPr>
          <w:trHeight w:val="175"/>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Behzad Aghazadeh, Ph.D.</w:t>
            </w: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/s/ Anupam Dalal</w:t>
            </w: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3720" w:type="dxa"/>
            <w:vAlign w:val="bottom"/>
          </w:tcPr>
          <w:p>
            <w:pPr>
              <w:jc w:val="center"/>
              <w:spacing w:after="0"/>
              <w:rPr>
                <w:sz w:val="20"/>
                <w:szCs w:val="20"/>
                <w:color w:val="auto"/>
              </w:rPr>
            </w:pPr>
            <w:r>
              <w:rPr>
                <w:rFonts w:ascii="Arial" w:cs="Arial" w:eastAsia="Arial" w:hAnsi="Arial"/>
                <w:sz w:val="14"/>
                <w:szCs w:val="14"/>
                <w:color w:val="auto"/>
                <w:w w:val="92"/>
              </w:rPr>
              <w:t>March 28, 2023</w:t>
            </w:r>
          </w:p>
        </w:tc>
        <w:tc>
          <w:tcPr>
            <w:tcW w:w="0" w:type="dxa"/>
            <w:vAlign w:val="bottom"/>
          </w:tcPr>
          <w:p>
            <w:pPr>
              <w:spacing w:after="0"/>
              <w:rPr>
                <w:sz w:val="1"/>
                <w:szCs w:val="1"/>
                <w:color w:val="auto"/>
              </w:rPr>
            </w:pPr>
          </w:p>
        </w:tc>
      </w:tr>
      <w:tr>
        <w:trPr>
          <w:trHeight w:val="175"/>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6"/>
              </w:rPr>
              <w:t>Anupam Dalal, M.D.</w:t>
            </w: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/s/ Neil Desai</w:t>
            </w:r>
          </w:p>
        </w:tc>
        <w:tc>
          <w:tcPr>
            <w:tcW w:w="100" w:type="dxa"/>
            <w:vAlign w:val="bottom"/>
          </w:tcPr>
          <w:p>
            <w:pPr>
              <w:spacing w:after="0"/>
              <w:rPr>
                <w:sz w:val="22"/>
                <w:szCs w:val="22"/>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Director, Executive Chairman</w:t>
            </w:r>
          </w:p>
        </w:tc>
        <w:tc>
          <w:tcPr>
            <w:tcW w:w="3720" w:type="dxa"/>
            <w:vAlign w:val="bottom"/>
          </w:tcPr>
          <w:p>
            <w:pPr>
              <w:jc w:val="center"/>
              <w:spacing w:after="0"/>
              <w:rPr>
                <w:sz w:val="20"/>
                <w:szCs w:val="20"/>
                <w:color w:val="auto"/>
              </w:rPr>
            </w:pPr>
            <w:r>
              <w:rPr>
                <w:rFonts w:ascii="Arial" w:cs="Arial" w:eastAsia="Arial" w:hAnsi="Arial"/>
                <w:sz w:val="14"/>
                <w:szCs w:val="14"/>
                <w:color w:val="auto"/>
                <w:w w:val="92"/>
              </w:rPr>
              <w:t>March 28, 2023</w:t>
            </w:r>
          </w:p>
        </w:tc>
        <w:tc>
          <w:tcPr>
            <w:tcW w:w="0" w:type="dxa"/>
            <w:vAlign w:val="bottom"/>
          </w:tcPr>
          <w:p>
            <w:pPr>
              <w:spacing w:after="0"/>
              <w:rPr>
                <w:sz w:val="1"/>
                <w:szCs w:val="1"/>
                <w:color w:val="auto"/>
              </w:rPr>
            </w:pPr>
          </w:p>
        </w:tc>
      </w:tr>
      <w:tr>
        <w:trPr>
          <w:trHeight w:val="175"/>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Neil Desai, Ph.D.</w:t>
            </w: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/s/ Karin Hehenberger</w:t>
            </w: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3720" w:type="dxa"/>
            <w:vAlign w:val="bottom"/>
          </w:tcPr>
          <w:p>
            <w:pPr>
              <w:jc w:val="center"/>
              <w:spacing w:after="0"/>
              <w:rPr>
                <w:sz w:val="20"/>
                <w:szCs w:val="20"/>
                <w:color w:val="auto"/>
              </w:rPr>
            </w:pPr>
            <w:r>
              <w:rPr>
                <w:rFonts w:ascii="Arial" w:cs="Arial" w:eastAsia="Arial" w:hAnsi="Arial"/>
                <w:sz w:val="14"/>
                <w:szCs w:val="14"/>
                <w:color w:val="auto"/>
                <w:w w:val="92"/>
              </w:rPr>
              <w:t>March 28, 2023</w:t>
            </w:r>
          </w:p>
        </w:tc>
        <w:tc>
          <w:tcPr>
            <w:tcW w:w="0" w:type="dxa"/>
            <w:vAlign w:val="bottom"/>
          </w:tcPr>
          <w:p>
            <w:pPr>
              <w:spacing w:after="0"/>
              <w:rPr>
                <w:sz w:val="1"/>
                <w:szCs w:val="1"/>
                <w:color w:val="auto"/>
              </w:rPr>
            </w:pPr>
          </w:p>
        </w:tc>
      </w:tr>
      <w:tr>
        <w:trPr>
          <w:trHeight w:val="175"/>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4"/>
              </w:rPr>
              <w:t>Karin Hehenberger, M.D., Ph.D.</w:t>
            </w: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/s/ Richard Maroun</w:t>
            </w: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3720" w:type="dxa"/>
            <w:vAlign w:val="bottom"/>
          </w:tcPr>
          <w:p>
            <w:pPr>
              <w:jc w:val="center"/>
              <w:spacing w:after="0"/>
              <w:rPr>
                <w:sz w:val="20"/>
                <w:szCs w:val="20"/>
                <w:color w:val="auto"/>
              </w:rPr>
            </w:pPr>
            <w:r>
              <w:rPr>
                <w:rFonts w:ascii="Arial" w:cs="Arial" w:eastAsia="Arial" w:hAnsi="Arial"/>
                <w:sz w:val="14"/>
                <w:szCs w:val="14"/>
                <w:color w:val="auto"/>
                <w:w w:val="92"/>
              </w:rPr>
              <w:t>March 28, 2023</w:t>
            </w:r>
          </w:p>
        </w:tc>
        <w:tc>
          <w:tcPr>
            <w:tcW w:w="0" w:type="dxa"/>
            <w:vAlign w:val="bottom"/>
          </w:tcPr>
          <w:p>
            <w:pPr>
              <w:spacing w:after="0"/>
              <w:rPr>
                <w:sz w:val="1"/>
                <w:szCs w:val="1"/>
                <w:color w:val="auto"/>
              </w:rPr>
            </w:pPr>
          </w:p>
        </w:tc>
      </w:tr>
      <w:tr>
        <w:trPr>
          <w:trHeight w:val="175"/>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5"/>
              </w:rPr>
              <w:t>Richard Maroun, J.D.</w:t>
            </w: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86"/>
              </w:rPr>
              <w:t>/s/ Emma Reeve</w:t>
            </w: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3720" w:type="dxa"/>
            <w:vAlign w:val="bottom"/>
          </w:tcPr>
          <w:p>
            <w:pPr>
              <w:jc w:val="center"/>
              <w:spacing w:after="0"/>
              <w:rPr>
                <w:sz w:val="20"/>
                <w:szCs w:val="20"/>
                <w:color w:val="auto"/>
              </w:rPr>
            </w:pPr>
            <w:r>
              <w:rPr>
                <w:rFonts w:ascii="Arial" w:cs="Arial" w:eastAsia="Arial" w:hAnsi="Arial"/>
                <w:sz w:val="14"/>
                <w:szCs w:val="14"/>
                <w:color w:val="auto"/>
                <w:w w:val="92"/>
              </w:rPr>
              <w:t>March 28, 2023</w:t>
            </w:r>
          </w:p>
        </w:tc>
        <w:tc>
          <w:tcPr>
            <w:tcW w:w="0" w:type="dxa"/>
            <w:vAlign w:val="bottom"/>
          </w:tcPr>
          <w:p>
            <w:pPr>
              <w:spacing w:after="0"/>
              <w:rPr>
                <w:sz w:val="1"/>
                <w:szCs w:val="1"/>
                <w:color w:val="auto"/>
              </w:rPr>
            </w:pPr>
          </w:p>
        </w:tc>
      </w:tr>
      <w:tr>
        <w:trPr>
          <w:trHeight w:val="175"/>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1"/>
              </w:rPr>
              <w:t>Emma Reeve</w:t>
            </w: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7"/>
        </w:trPr>
        <w:tc>
          <w:tcPr>
            <w:tcW w:w="3680" w:type="dxa"/>
            <w:vAlign w:val="bottom"/>
          </w:tcPr>
          <w:p>
            <w:pPr>
              <w:spacing w:after="0"/>
              <w:rPr>
                <w:sz w:val="24"/>
                <w:szCs w:val="24"/>
                <w:color w:val="auto"/>
              </w:rPr>
            </w:pPr>
          </w:p>
        </w:tc>
        <w:tc>
          <w:tcPr>
            <w:tcW w:w="3800" w:type="dxa"/>
            <w:vAlign w:val="bottom"/>
            <w:gridSpan w:val="2"/>
          </w:tcPr>
          <w:p>
            <w:pPr>
              <w:jc w:val="right"/>
              <w:ind w:right="1651"/>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9"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i w:val="1"/>
          <w:iCs w:val="1"/>
          <w:color w:val="auto"/>
        </w:rPr>
        <w:t>Exhibit 4.1</w:t>
      </w:r>
    </w:p>
    <w:p>
      <w:pPr>
        <w:jc w:val="center"/>
        <w:spacing w:after="0" w:line="193" w:lineRule="auto"/>
        <w:rPr>
          <w:sz w:val="20"/>
          <w:szCs w:val="20"/>
          <w:color w:val="auto"/>
        </w:rPr>
      </w:pPr>
      <w:r>
        <w:rPr>
          <w:rFonts w:ascii="Arial" w:cs="Arial" w:eastAsia="Arial" w:hAnsi="Arial"/>
          <w:sz w:val="16"/>
          <w:szCs w:val="16"/>
          <w:b w:val="1"/>
          <w:bCs w:val="1"/>
          <w:color w:val="auto"/>
        </w:rPr>
        <w:t>DESCRIPTION OF THE REGISTRANT’S SECURITIES</w:t>
      </w:r>
    </w:p>
    <w:p>
      <w:pPr>
        <w:jc w:val="center"/>
        <w:spacing w:after="0" w:line="208" w:lineRule="auto"/>
        <w:rPr>
          <w:sz w:val="20"/>
          <w:szCs w:val="20"/>
          <w:color w:val="auto"/>
        </w:rPr>
      </w:pPr>
      <w:r>
        <w:rPr>
          <w:rFonts w:ascii="Arial" w:cs="Arial" w:eastAsia="Arial" w:hAnsi="Arial"/>
          <w:sz w:val="16"/>
          <w:szCs w:val="16"/>
          <w:b w:val="1"/>
          <w:bCs w:val="1"/>
          <w:color w:val="auto"/>
        </w:rPr>
        <w:t>REGISTERED PURSUANT TO SECTION 12 OF THE</w:t>
      </w:r>
    </w:p>
    <w:p>
      <w:pPr>
        <w:jc w:val="center"/>
        <w:spacing w:after="0"/>
        <w:rPr>
          <w:sz w:val="20"/>
          <w:szCs w:val="20"/>
          <w:color w:val="auto"/>
        </w:rPr>
      </w:pPr>
      <w:r>
        <w:rPr>
          <w:rFonts w:ascii="Arial" w:cs="Arial" w:eastAsia="Arial" w:hAnsi="Arial"/>
          <w:sz w:val="16"/>
          <w:szCs w:val="16"/>
          <w:b w:val="1"/>
          <w:bCs w:val="1"/>
          <w:color w:val="auto"/>
        </w:rPr>
        <w:t>SECURITIES AND EXCHANGE ACT OF 1934, AS AMENDED</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The common stock, par value $0.0001 per share (“</w:t>
      </w:r>
      <w:r>
        <w:rPr>
          <w:rFonts w:ascii="Arial" w:cs="Arial" w:eastAsia="Arial" w:hAnsi="Arial"/>
          <w:sz w:val="14"/>
          <w:szCs w:val="14"/>
          <w:u w:val="single" w:color="auto"/>
          <w:color w:val="auto"/>
        </w:rPr>
        <w:t>Common Stock</w:t>
      </w:r>
      <w:r>
        <w:rPr>
          <w:rFonts w:ascii="Arial" w:cs="Arial" w:eastAsia="Arial" w:hAnsi="Arial"/>
          <w:sz w:val="14"/>
          <w:szCs w:val="14"/>
          <w:color w:val="auto"/>
        </w:rPr>
        <w:t>”), of Aadi Bioscience,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w:t>
      </w:r>
      <w:r>
        <w:rPr>
          <w:rFonts w:ascii="Arial" w:cs="Arial" w:eastAsia="Arial" w:hAnsi="Arial"/>
          <w:sz w:val="14"/>
          <w:szCs w:val="14"/>
          <w:u w:val="single" w:color="auto"/>
          <w:color w:val="auto"/>
        </w:rPr>
        <w:t>us</w:t>
      </w:r>
      <w:r>
        <w:rPr>
          <w:rFonts w:ascii="Arial" w:cs="Arial" w:eastAsia="Arial" w:hAnsi="Arial"/>
          <w:sz w:val="14"/>
          <w:szCs w:val="14"/>
          <w:color w:val="auto"/>
        </w:rPr>
        <w:t xml:space="preserve"> ,” “</w:t>
      </w:r>
      <w:r>
        <w:rPr>
          <w:rFonts w:ascii="Arial" w:cs="Arial" w:eastAsia="Arial" w:hAnsi="Arial"/>
          <w:sz w:val="14"/>
          <w:szCs w:val="14"/>
          <w:u w:val="single" w:color="auto"/>
          <w:color w:val="auto"/>
        </w:rPr>
        <w:t>we</w:t>
      </w:r>
      <w:r>
        <w:rPr>
          <w:rFonts w:ascii="Arial" w:cs="Arial" w:eastAsia="Arial" w:hAnsi="Arial"/>
          <w:sz w:val="14"/>
          <w:szCs w:val="14"/>
          <w:color w:val="auto"/>
        </w:rPr>
        <w:t>,” or “</w:t>
      </w:r>
      <w:r>
        <w:rPr>
          <w:rFonts w:ascii="Arial" w:cs="Arial" w:eastAsia="Arial" w:hAnsi="Arial"/>
          <w:sz w:val="14"/>
          <w:szCs w:val="14"/>
          <w:u w:val="single" w:color="auto"/>
          <w:color w:val="auto"/>
        </w:rPr>
        <w:t>our</w:t>
      </w:r>
      <w:r>
        <w:rPr>
          <w:rFonts w:ascii="Arial" w:cs="Arial" w:eastAsia="Arial" w:hAnsi="Arial"/>
          <w:sz w:val="14"/>
          <w:szCs w:val="14"/>
          <w:color w:val="auto"/>
        </w:rPr>
        <w:t>”), is registered under Section 12 of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The following description sets forth certain general terms and provisions of our Common</w:t>
      </w:r>
    </w:p>
    <w:p>
      <w:pPr>
        <w:spacing w:after="0" w:line="237" w:lineRule="auto"/>
        <w:rPr>
          <w:sz w:val="20"/>
          <w:szCs w:val="20"/>
          <w:color w:val="auto"/>
        </w:rPr>
      </w:pPr>
      <w:r>
        <w:rPr>
          <w:rFonts w:ascii="Arial" w:cs="Arial" w:eastAsia="Arial" w:hAnsi="Arial"/>
          <w:sz w:val="14"/>
          <w:szCs w:val="14"/>
          <w:color w:val="auto"/>
        </w:rPr>
        <w:t>Stock. These descriptions are in all respects subject to and qualified in their entirety by, and should be read in conjunction with, the applicable provisions of, our Amended and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Restated Certificate of Incorporation, (the “</w:t>
      </w:r>
      <w:r>
        <w:rPr>
          <w:rFonts w:ascii="Arial" w:cs="Arial" w:eastAsia="Arial" w:hAnsi="Arial"/>
          <w:sz w:val="14"/>
          <w:szCs w:val="14"/>
          <w:u w:val="single" w:color="auto"/>
          <w:color w:val="auto"/>
        </w:rPr>
        <w:t>Charter</w:t>
      </w:r>
      <w:r>
        <w:rPr>
          <w:rFonts w:ascii="Arial" w:cs="Arial" w:eastAsia="Arial" w:hAnsi="Arial"/>
          <w:sz w:val="14"/>
          <w:szCs w:val="14"/>
          <w:color w:val="auto"/>
        </w:rPr>
        <w:t>”) and our Amended and Restated By-laws (the “</w:t>
      </w:r>
      <w:r>
        <w:rPr>
          <w:rFonts w:ascii="Arial" w:cs="Arial" w:eastAsia="Arial" w:hAnsi="Arial"/>
          <w:sz w:val="14"/>
          <w:szCs w:val="14"/>
          <w:u w:val="single" w:color="auto"/>
          <w:color w:val="auto"/>
        </w:rPr>
        <w:t>Bylaws</w:t>
      </w:r>
      <w:r>
        <w:rPr>
          <w:rFonts w:ascii="Arial" w:cs="Arial" w:eastAsia="Arial" w:hAnsi="Arial"/>
          <w:sz w:val="14"/>
          <w:szCs w:val="14"/>
          <w:color w:val="auto"/>
        </w:rPr>
        <w:t>”) (each of which is incorporated herein by reference and copies of which are incorporated by reference as exhibits to our most recent Annual Report on Form 10-K filed with the Securities and Exchange Commission) and the applicable provisions of the</w:t>
      </w:r>
    </w:p>
    <w:p>
      <w:pPr>
        <w:spacing w:after="0"/>
        <w:rPr>
          <w:sz w:val="20"/>
          <w:szCs w:val="20"/>
          <w:color w:val="auto"/>
        </w:rPr>
      </w:pPr>
      <w:r>
        <w:rPr>
          <w:rFonts w:ascii="Arial" w:cs="Arial" w:eastAsia="Arial" w:hAnsi="Arial"/>
          <w:sz w:val="16"/>
          <w:szCs w:val="16"/>
          <w:color w:val="auto"/>
        </w:rPr>
        <w:t>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Our authorized capital stock consists of 300,000,000 shares of Common Stock and 10,000,000 shares of undesignated preferred stock, par value $0.0001 per share (“</w:t>
      </w:r>
      <w:r>
        <w:rPr>
          <w:rFonts w:ascii="Arial" w:cs="Arial" w:eastAsia="Arial" w:hAnsi="Arial"/>
          <w:sz w:val="14"/>
          <w:szCs w:val="14"/>
          <w:u w:val="single" w:color="auto"/>
          <w:color w:val="auto"/>
        </w:rPr>
        <w:t>Preferred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6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The holders of outstanding shares of Common Stock are entitled to receive dividends out of assets or funds legally available for the payment of dividends of such times and in such amounts as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from time to time may determine.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w:t>
      </w:r>
    </w:p>
    <w:p>
      <w:pPr>
        <w:spacing w:after="0" w:line="60"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Holders of Common Stock are entitled to one vote for each share held on all matters submitted to a vote of stockholders. There is no cumulative voting of the election of directors then standing for election.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 on Liquidation</w:t>
      </w:r>
    </w:p>
    <w:p>
      <w:pPr>
        <w:spacing w:after="0" w:line="6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Upon liquidation, dissolution or winding up of the Company, the assets legally available for distribution to stockholders are distributable ratably among the holders of our Common Stock after payment of liquidation preferences, if any, on any outstanding payment of other claims of creditors. Each outstanding share of Common Stock is duly and validly issued,</w:t>
      </w:r>
    </w:p>
    <w:p>
      <w:pPr>
        <w:spacing w:after="0"/>
        <w:rPr>
          <w:sz w:val="20"/>
          <w:szCs w:val="20"/>
          <w:color w:val="auto"/>
        </w:rPr>
      </w:pPr>
      <w:r>
        <w:rPr>
          <w:rFonts w:ascii="Arial" w:cs="Arial" w:eastAsia="Arial" w:hAnsi="Arial"/>
          <w:sz w:val="16"/>
          <w:szCs w:val="16"/>
          <w:color w:val="auto"/>
        </w:rPr>
        <w:t>fully paid and non-assessable.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Rights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entitled to pre-emptive rights and is not subject to conversion or redemption.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Relationship to Preferred Stock</w:t>
      </w:r>
    </w:p>
    <w:p>
      <w:pPr>
        <w:spacing w:after="0" w:line="6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Shares of Preferred Stock may be issued from time to time in one or more series, each of which will have such distinctive designation or title as shall be determined by our board of directors prior to the issuance of any shares thereof. Preferred Stock will have such voting powers, full or limited, or no voting powers, and such preferences and relative,</w:t>
      </w:r>
    </w:p>
    <w:p>
      <w:pPr>
        <w:spacing w:after="0" w:line="237" w:lineRule="auto"/>
        <w:rPr>
          <w:sz w:val="20"/>
          <w:szCs w:val="20"/>
          <w:color w:val="auto"/>
        </w:rPr>
      </w:pPr>
      <w:r>
        <w:rPr>
          <w:rFonts w:ascii="Arial" w:cs="Arial" w:eastAsia="Arial" w:hAnsi="Arial"/>
          <w:sz w:val="14"/>
          <w:szCs w:val="14"/>
          <w:color w:val="auto"/>
        </w:rPr>
        <w:t>participating, optional or other special rights and such qualifications, limitations or restrictions thereof, as shall be stated in such resolution or resolutions providing for the issue of</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such class or series of Preferred Stock as may be adopted from time to time by the board of directors prior to the issuance of any shares thereof. Subject to the terms of any Preferred Stock designation that we may adopt from time to time, the Board is further authorized to increase (but not above the total number of authorized shares of the class) or decrease (but</w:t>
      </w:r>
    </w:p>
    <w:p>
      <w:pPr>
        <w:spacing w:after="0"/>
        <w:rPr>
          <w:sz w:val="20"/>
          <w:szCs w:val="20"/>
          <w:color w:val="auto"/>
        </w:rPr>
      </w:pPr>
      <w:r>
        <w:rPr>
          <w:rFonts w:ascii="Arial" w:cs="Arial" w:eastAsia="Arial" w:hAnsi="Arial"/>
          <w:sz w:val="14"/>
          <w:szCs w:val="14"/>
          <w:color w:val="auto"/>
        </w:rPr>
        <w:t>not below the number of shares of any such series then outstanding) the number of shares of any series, subject to the powers, preferences and rights, and the qualifications,</w:t>
      </w:r>
    </w:p>
    <w:p>
      <w:pPr>
        <w:ind w:right="80"/>
        <w:spacing w:after="0" w:line="229" w:lineRule="auto"/>
        <w:rPr>
          <w:sz w:val="20"/>
          <w:szCs w:val="20"/>
          <w:color w:val="auto"/>
        </w:rPr>
      </w:pPr>
      <w:r>
        <w:rPr>
          <w:rFonts w:ascii="Arial" w:cs="Arial" w:eastAsia="Arial" w:hAnsi="Arial"/>
          <w:sz w:val="14"/>
          <w:szCs w:val="14"/>
          <w:color w:val="auto"/>
        </w:rPr>
        <w:t>limitations and restrictions thereof stated in the Charter or the resolution of the Board originally fixing the number of shares of such series. Except as may be otherwise specified by the terms of any series of Preferred Stock, if the number of shares of any series of Preferred Stock is so decreased, then the Company shall take all such steps as are necessary to</w:t>
      </w:r>
    </w:p>
    <w:p>
      <w:pPr>
        <w:spacing w:after="0"/>
        <w:rPr>
          <w:sz w:val="20"/>
          <w:szCs w:val="20"/>
          <w:color w:val="auto"/>
        </w:rPr>
      </w:pPr>
      <w:r>
        <w:rPr>
          <w:rFonts w:ascii="Arial" w:cs="Arial" w:eastAsia="Arial" w:hAnsi="Arial"/>
          <w:sz w:val="14"/>
          <w:szCs w:val="14"/>
          <w:color w:val="auto"/>
        </w:rPr>
        <w:t>cause the shares constituting such decrease to resume the status which they had prior to the adoption of the resolution originally fixing the number of shares of such series.</w:t>
      </w:r>
    </w:p>
    <w:p>
      <w:pPr>
        <w:sectPr>
          <w:pgSz w:w="11900" w:h="16838" w:orient="portrait"/>
          <w:cols w:equalWidth="0" w:num="1">
            <w:col w:w="11280"/>
          </w:cols>
          <w:pgMar w:left="300" w:top="1122" w:right="31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color w:val="auto"/>
        </w:rPr>
        <w:t>While we do not currently have any plans for the issuance of Preferred Stock, the issuance of such Preferred Stock could adversely affect the rights of the holders of common stock</w:t>
      </w:r>
    </w:p>
    <w:p>
      <w:pPr>
        <w:spacing w:after="0" w:line="10" w:lineRule="exact"/>
        <w:rPr>
          <w:sz w:val="20"/>
          <w:szCs w:val="20"/>
          <w:color w:val="auto"/>
        </w:rPr>
      </w:pPr>
    </w:p>
    <w:p>
      <w:pPr>
        <w:ind w:right="480"/>
        <w:spacing w:after="0" w:line="256" w:lineRule="auto"/>
        <w:rPr>
          <w:sz w:val="20"/>
          <w:szCs w:val="20"/>
          <w:color w:val="auto"/>
        </w:rPr>
      </w:pPr>
      <w:r>
        <w:rPr>
          <w:rFonts w:ascii="Arial" w:cs="Arial" w:eastAsia="Arial" w:hAnsi="Arial"/>
          <w:sz w:val="14"/>
          <w:szCs w:val="14"/>
          <w:color w:val="auto"/>
        </w:rPr>
        <w:t>and, therefore, reduce the value of the common stock. It is not possible to state the actual effect of the issuance of any shares of Preferred Stock on the rights of holders of the common stock until the Board determines the specific rights of the holders of the Preferred Stock; however, these effects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16153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87" w:lineRule="exact"/>
        <w:rPr>
          <w:sz w:val="20"/>
          <w:szCs w:val="20"/>
          <w:color w:val="auto"/>
        </w:rPr>
      </w:pPr>
    </w:p>
    <w:p>
      <w:pPr>
        <w:ind w:left="960" w:hanging="379"/>
        <w:spacing w:after="0"/>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Restricting dividends on the common stock;</w:t>
      </w:r>
    </w:p>
    <w:p>
      <w:pPr>
        <w:spacing w:after="0" w:line="17" w:lineRule="exact"/>
        <w:rPr>
          <w:rFonts w:ascii="Arial" w:cs="Arial" w:eastAsia="Arial" w:hAnsi="Arial"/>
          <w:sz w:val="16"/>
          <w:szCs w:val="16"/>
          <w:color w:val="auto"/>
        </w:rPr>
      </w:pPr>
    </w:p>
    <w:p>
      <w:pPr>
        <w:ind w:left="960" w:hanging="379"/>
        <w:spacing w:after="0"/>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Diluting the voting power of the common stock;</w:t>
      </w:r>
    </w:p>
    <w:p>
      <w:pPr>
        <w:spacing w:after="0" w:line="17" w:lineRule="exact"/>
        <w:rPr>
          <w:rFonts w:ascii="Arial" w:cs="Arial" w:eastAsia="Arial" w:hAnsi="Arial"/>
          <w:sz w:val="16"/>
          <w:szCs w:val="16"/>
          <w:color w:val="auto"/>
        </w:rPr>
      </w:pPr>
    </w:p>
    <w:p>
      <w:pPr>
        <w:ind w:left="960" w:hanging="379"/>
        <w:spacing w:after="0"/>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Impairing the liquidation rights of the common stock; or</w:t>
      </w:r>
    </w:p>
    <w:p>
      <w:pPr>
        <w:spacing w:after="0" w:line="17" w:lineRule="exact"/>
        <w:rPr>
          <w:rFonts w:ascii="Arial" w:cs="Arial" w:eastAsia="Arial" w:hAnsi="Arial"/>
          <w:sz w:val="16"/>
          <w:szCs w:val="16"/>
          <w:color w:val="auto"/>
        </w:rPr>
      </w:pPr>
    </w:p>
    <w:p>
      <w:pPr>
        <w:ind w:left="960" w:hanging="379"/>
        <w:spacing w:after="0"/>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Delaying or preventing a change in control of our company without further action by the stockholders.</w:t>
      </w:r>
    </w:p>
    <w:p>
      <w:pPr>
        <w:spacing w:after="0" w:line="156" w:lineRule="exact"/>
        <w:rPr>
          <w:sz w:val="20"/>
          <w:szCs w:val="20"/>
          <w:color w:val="auto"/>
        </w:rPr>
      </w:pPr>
    </w:p>
    <w:p>
      <w:pPr>
        <w:ind w:right="240"/>
        <w:spacing w:after="0" w:line="232" w:lineRule="auto"/>
        <w:rPr>
          <w:sz w:val="20"/>
          <w:szCs w:val="20"/>
          <w:color w:val="auto"/>
        </w:rPr>
      </w:pPr>
      <w:r>
        <w:rPr>
          <w:rFonts w:ascii="Arial" w:cs="Arial" w:eastAsia="Arial" w:hAnsi="Arial"/>
          <w:sz w:val="16"/>
          <w:szCs w:val="16"/>
          <w:color w:val="auto"/>
        </w:rPr>
        <w:t>Other than in connection with shares of Preferred Stock (as explained above), which Preferred Stock is not currently designated nor contemplated by the Company, the Company does not believe that any provision of its Charter or Bylaws would delay, defer or prevent a change in control.</w:t>
      </w:r>
    </w:p>
    <w:p>
      <w:pPr>
        <w:spacing w:after="0" w:line="37"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No shares of Preferred Stock are issued and outstanding as of the date of our Annual Report on Form 10-K with which this Exhibit 4.1 is filed as an exhibit or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Pre-Funded 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of March 27, 2023, the Company had [2,426,493] pre-funded warrants to purchase up to [2,426,493] shares of its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Exercisability</w:t>
      </w:r>
    </w:p>
    <w:p>
      <w:pPr>
        <w:spacing w:after="0" w:line="145" w:lineRule="exact"/>
        <w:rPr>
          <w:sz w:val="20"/>
          <w:szCs w:val="20"/>
          <w:color w:val="auto"/>
        </w:rPr>
      </w:pPr>
    </w:p>
    <w:p>
      <w:pPr>
        <w:ind w:right="140"/>
        <w:spacing w:after="0" w:line="238" w:lineRule="auto"/>
        <w:rPr>
          <w:sz w:val="20"/>
          <w:szCs w:val="20"/>
          <w:color w:val="auto"/>
        </w:rPr>
      </w:pPr>
      <w:r>
        <w:rPr>
          <w:rFonts w:ascii="Arial" w:cs="Arial" w:eastAsia="Arial" w:hAnsi="Arial"/>
          <w:sz w:val="14"/>
          <w:szCs w:val="14"/>
          <w:color w:val="auto"/>
        </w:rPr>
        <w:t>The pre-funded warrants are exercisable at any time after their original issuance. The pre-funded warrants will be exercisable, at the option of each holder, in whole or in part by delivering to the Company a duly executed exercise notice and by payment in full in immediately available funds for the number of shares of Common Stock purchased upon such</w:t>
      </w:r>
    </w:p>
    <w:p>
      <w:pPr>
        <w:spacing w:after="0" w:line="237" w:lineRule="auto"/>
        <w:rPr>
          <w:sz w:val="20"/>
          <w:szCs w:val="20"/>
          <w:color w:val="auto"/>
        </w:rPr>
      </w:pPr>
      <w:r>
        <w:rPr>
          <w:rFonts w:ascii="Arial" w:cs="Arial" w:eastAsia="Arial" w:hAnsi="Arial"/>
          <w:sz w:val="14"/>
          <w:szCs w:val="14"/>
          <w:color w:val="auto"/>
        </w:rPr>
        <w:t>exercise. As an alternative to payment in immediately available funds, the holder may, in its sole discretion, elect to exercise the warrant through a cashless exercise, in which case</w:t>
      </w:r>
    </w:p>
    <w:p>
      <w:pPr>
        <w:spacing w:after="0" w:line="1" w:lineRule="exact"/>
        <w:rPr>
          <w:sz w:val="20"/>
          <w:szCs w:val="20"/>
          <w:color w:val="auto"/>
        </w:rPr>
      </w:pPr>
    </w:p>
    <w:p>
      <w:pPr>
        <w:ind w:right="160"/>
        <w:spacing w:after="0" w:line="229" w:lineRule="auto"/>
        <w:rPr>
          <w:sz w:val="20"/>
          <w:szCs w:val="20"/>
          <w:color w:val="auto"/>
        </w:rPr>
      </w:pPr>
      <w:r>
        <w:rPr>
          <w:rFonts w:ascii="Arial" w:cs="Arial" w:eastAsia="Arial" w:hAnsi="Arial"/>
          <w:sz w:val="14"/>
          <w:szCs w:val="14"/>
          <w:color w:val="auto"/>
        </w:rPr>
        <w:t>the holder would receive upon such exercise the net number of shares of Common Stock determined according to the formula set forth in the pre-funded warrant. No fractional Common Stock will be issued in connection with the exercise of a pre-funded warrant. In lieu of fractional shares, the Company will pay the holder an amount in cash equal to the</w:t>
      </w:r>
    </w:p>
    <w:p>
      <w:pPr>
        <w:spacing w:after="0"/>
        <w:rPr>
          <w:sz w:val="20"/>
          <w:szCs w:val="20"/>
          <w:color w:val="auto"/>
        </w:rPr>
      </w:pPr>
      <w:r>
        <w:rPr>
          <w:rFonts w:ascii="Arial" w:cs="Arial" w:eastAsia="Arial" w:hAnsi="Arial"/>
          <w:sz w:val="16"/>
          <w:szCs w:val="16"/>
          <w:color w:val="auto"/>
        </w:rPr>
        <w:t>fractional amount multiplied by the fair market value of any fractional shares.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Exercise Limitations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Under the terms of the pre-funded warrants, the Company may not effect the exercise of any pre-funded warrant, and a holder will not be entitled to exercise any portion of any pre-</w:t>
      </w:r>
    </w:p>
    <w:p>
      <w:pPr>
        <w:spacing w:after="0" w:line="10" w:lineRule="exact"/>
        <w:rPr>
          <w:sz w:val="20"/>
          <w:szCs w:val="20"/>
          <w:color w:val="auto"/>
        </w:rPr>
      </w:pPr>
    </w:p>
    <w:p>
      <w:pPr>
        <w:ind w:right="280"/>
        <w:spacing w:after="0" w:line="229" w:lineRule="auto"/>
        <w:rPr>
          <w:sz w:val="20"/>
          <w:szCs w:val="20"/>
          <w:color w:val="auto"/>
        </w:rPr>
      </w:pPr>
      <w:r>
        <w:rPr>
          <w:rFonts w:ascii="Arial" w:cs="Arial" w:eastAsia="Arial" w:hAnsi="Arial"/>
          <w:sz w:val="14"/>
          <w:szCs w:val="14"/>
          <w:color w:val="auto"/>
        </w:rPr>
        <w:t>funded warrant, which, upon giving effect to such exercise, would cause the aggregate number of shares of Common Stock beneficially owned by the holder (together with its affiliates) to exceed 4.99% of the number of shares of Common Stock outstanding immediately after giving effect to the exercise. However, any holder may increase or decrease</w:t>
      </w:r>
    </w:p>
    <w:p>
      <w:pPr>
        <w:spacing w:after="0"/>
        <w:rPr>
          <w:sz w:val="20"/>
          <w:szCs w:val="20"/>
          <w:color w:val="auto"/>
        </w:rPr>
      </w:pPr>
      <w:r>
        <w:rPr>
          <w:rFonts w:ascii="Arial" w:cs="Arial" w:eastAsia="Arial" w:hAnsi="Arial"/>
          <w:sz w:val="16"/>
          <w:szCs w:val="16"/>
          <w:color w:val="auto"/>
        </w:rPr>
        <w:t>such percentage to any other percentage not in excess of 19.99% upon at least 61 days’ prior notice from the holder to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Exercise Price</w:t>
      </w:r>
    </w:p>
    <w:p>
      <w:pPr>
        <w:spacing w:after="0" w:line="134" w:lineRule="exact"/>
        <w:rPr>
          <w:sz w:val="20"/>
          <w:szCs w:val="20"/>
          <w:color w:val="auto"/>
        </w:rPr>
      </w:pPr>
    </w:p>
    <w:p>
      <w:pPr>
        <w:ind w:right="20"/>
        <w:spacing w:after="0" w:line="223" w:lineRule="auto"/>
        <w:rPr>
          <w:sz w:val="20"/>
          <w:szCs w:val="20"/>
          <w:color w:val="auto"/>
        </w:rPr>
      </w:pPr>
      <w:r>
        <w:rPr>
          <w:rFonts w:ascii="Arial" w:cs="Arial" w:eastAsia="Arial" w:hAnsi="Arial"/>
          <w:sz w:val="16"/>
          <w:szCs w:val="16"/>
          <w:color w:val="auto"/>
        </w:rPr>
        <w:t>The exercise price per whole Common Stock purchasable upon the exercise of the pre-funded warrants is $0.0001 per warrant share. The exercise price of the pre-funded warrants is subject to appropriate adjustment in the event of certain share dividends and distributions, stock splits, stock combinations, reclassifications or similar events affecting the Company’s Common Stock.</w:t>
      </w:r>
    </w:p>
    <w:p>
      <w:pPr>
        <w:sectPr>
          <w:pgSz w:w="11900" w:h="16838" w:orient="portrait"/>
          <w:cols w:equalWidth="0" w:num="1">
            <w:col w:w="11280"/>
          </w:cols>
          <w:pgMar w:left="300" w:top="1219" w:right="31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b w:val="1"/>
          <w:bCs w:val="1"/>
          <w:color w:val="auto"/>
        </w:rPr>
        <w:t>Anti-Takeover Effects of our Charter and Bylaws and Delaware Law</w:t>
      </w:r>
    </w:p>
    <w:p>
      <w:pPr>
        <w:spacing w:after="0" w:line="66"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Certain provisions of Delaware law and our Charter and Bylaws may have an anti-takeover effect, for example, by permitting issuances that would dilute the stock ownership of a person seeking to effect a change in the composition of the Board or contemplating a tender offer or other transaction for the combination of the Company with another company. It</w:t>
      </w:r>
    </w:p>
    <w:p>
      <w:pPr>
        <w:spacing w:after="0" w:line="224" w:lineRule="auto"/>
        <w:rPr>
          <w:sz w:val="20"/>
          <w:szCs w:val="20"/>
          <w:color w:val="auto"/>
        </w:rPr>
      </w:pPr>
      <w:r>
        <w:rPr>
          <w:rFonts w:ascii="Arial" w:cs="Arial" w:eastAsia="Arial" w:hAnsi="Arial"/>
          <w:sz w:val="16"/>
          <w:szCs w:val="16"/>
          <w:color w:val="auto"/>
        </w:rPr>
        <w:t>is possible that these provisions could make it more difficult to accomplish or could deter transactions that stockholders may otherwise consider to be in their best interest or in our best interests, including transactions that might result in a premium over the price of our Common Stock.</w:t>
      </w:r>
    </w:p>
    <w:p>
      <w:pPr>
        <w:spacing w:after="0" w:line="37"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These provisions, summarized below, are expected to discourage coercive takeover practices and inadequate takeover bids. These provisions are also designed to encourage persons seeking to acquire control of us to first negotiate with our Board. We believe that the benefits of increased protection of our potential ability to negotiate with the proponent of an</w:t>
      </w:r>
    </w:p>
    <w:p>
      <w:pPr>
        <w:spacing w:after="0" w:line="217" w:lineRule="auto"/>
        <w:rPr>
          <w:sz w:val="20"/>
          <w:szCs w:val="20"/>
          <w:color w:val="auto"/>
        </w:rPr>
      </w:pPr>
      <w:r>
        <w:rPr>
          <w:rFonts w:ascii="Arial" w:cs="Arial" w:eastAsia="Arial" w:hAnsi="Arial"/>
          <w:sz w:val="16"/>
          <w:szCs w:val="16"/>
          <w:color w:val="auto"/>
        </w:rPr>
        <w:t>unfriendly or unsolicited proposal to acquire or restructure us outweigh the disadvantages of discouraging these proposals because negotiation of these proposals could result in an improvement of their terms.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Delaware Anti-Takeover Statute</w:t>
      </w:r>
    </w:p>
    <w:p>
      <w:pPr>
        <w:spacing w:after="0" w:line="60"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We are subject to Section 203 of the DGCL, which prohibits a person deemed an “interested stockholder” from engaging in a “business combination” with a publicly held Delaware corporation for three years following the date such person becomes an interested stockholder unless the business combination is, or the transaction in which the person became an</w:t>
      </w:r>
    </w:p>
    <w:p>
      <w:pPr>
        <w:spacing w:after="0" w:line="237" w:lineRule="auto"/>
        <w:rPr>
          <w:sz w:val="20"/>
          <w:szCs w:val="20"/>
          <w:color w:val="auto"/>
        </w:rPr>
      </w:pPr>
      <w:r>
        <w:rPr>
          <w:rFonts w:ascii="Arial" w:cs="Arial" w:eastAsia="Arial" w:hAnsi="Arial"/>
          <w:sz w:val="14"/>
          <w:szCs w:val="14"/>
          <w:color w:val="auto"/>
        </w:rPr>
        <w:t>interested stockholder was, approved in a prescribed manner or another prescribed exception applies. Generally, an “interested stockholder” is a person who, together with affiliates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w:t>
      </w:r>
    </w:p>
    <w:p>
      <w:pPr>
        <w:spacing w:after="0" w:line="224" w:lineRule="auto"/>
        <w:rPr>
          <w:sz w:val="20"/>
          <w:szCs w:val="20"/>
          <w:color w:val="auto"/>
        </w:rPr>
      </w:pPr>
      <w:r>
        <w:rPr>
          <w:rFonts w:ascii="Arial" w:cs="Arial" w:eastAsia="Arial" w:hAnsi="Arial"/>
          <w:sz w:val="16"/>
          <w:szCs w:val="16"/>
          <w:color w:val="auto"/>
        </w:rPr>
        <w:t>anti-takeover effect with respect to transactions not approved in advance by the Board, such as discouraging takeover attempts that might result in a premium over the price of our Common Stock.</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Undesignated Preferred Stock</w:t>
      </w:r>
    </w:p>
    <w:p>
      <w:pPr>
        <w:spacing w:after="0" w:line="60"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The ability to authorize undesignated Preferred Stock makes it possible for our board of directors to issue Preferred Stock with voting or other rights or preferences that could impede the success of any attempt to change control of our company. These and other provisions may have the effect of deterring hostile takeovers or delaying changes in control or</w:t>
      </w:r>
    </w:p>
    <w:p>
      <w:pPr>
        <w:spacing w:after="0"/>
        <w:rPr>
          <w:sz w:val="20"/>
          <w:szCs w:val="20"/>
          <w:color w:val="auto"/>
        </w:rPr>
      </w:pPr>
      <w:r>
        <w:rPr>
          <w:rFonts w:ascii="Arial" w:cs="Arial" w:eastAsia="Arial" w:hAnsi="Arial"/>
          <w:sz w:val="16"/>
          <w:szCs w:val="16"/>
          <w:color w:val="auto"/>
        </w:rPr>
        <w:t>management of our company.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Stockholder Meetings</w:t>
      </w:r>
    </w:p>
    <w:p>
      <w:pPr>
        <w:spacing w:after="0" w:line="49" w:lineRule="exact"/>
        <w:rPr>
          <w:sz w:val="20"/>
          <w:szCs w:val="20"/>
          <w:color w:val="auto"/>
        </w:rPr>
      </w:pPr>
    </w:p>
    <w:p>
      <w:pPr>
        <w:jc w:val="both"/>
        <w:ind w:right="500"/>
        <w:spacing w:after="0" w:line="223" w:lineRule="auto"/>
        <w:rPr>
          <w:sz w:val="20"/>
          <w:szCs w:val="20"/>
          <w:color w:val="auto"/>
        </w:rPr>
      </w:pPr>
      <w:r>
        <w:rPr>
          <w:rFonts w:ascii="Arial" w:cs="Arial" w:eastAsia="Arial" w:hAnsi="Arial"/>
          <w:sz w:val="16"/>
          <w:szCs w:val="16"/>
          <w:color w:val="auto"/>
        </w:rPr>
        <w:t>Our Charter provides that a special meeting of stockholders may be called only the chairperson of the Board, the chief executive officer of the Company, the president of the Company or the Board acting pursuant to a resolution adopted by a majority of the total number of authorized directorships, whether or not there exist any vacancies or other unfilled seats in previously authorized directorships.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Advance Notification of Stockholder Nominations and Proposals</w:t>
      </w:r>
    </w:p>
    <w:p>
      <w:pPr>
        <w:spacing w:after="0" w:line="6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Our Bylaws establish advance notice procedures with respect to stockholder proposals and the nomination of candidates for election as directors, other than nominations made by or at the direction of the Board or a committee of the Board.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Elimination of Stockholder Action by Written Consent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Our Charter eliminates the right of stockholders to act by written consent without a meeting.</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Classified Board; Election and Removal of Directors</w:t>
      </w:r>
    </w:p>
    <w:p>
      <w:pPr>
        <w:spacing w:after="0" w:line="4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Our Board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w:t>
      </w:r>
    </w:p>
    <w:p>
      <w:pPr>
        <w:spacing w:after="0" w:line="229" w:lineRule="auto"/>
        <w:rPr>
          <w:sz w:val="20"/>
          <w:szCs w:val="20"/>
          <w:color w:val="auto"/>
        </w:rPr>
      </w:pPr>
      <w:r>
        <w:rPr>
          <w:rFonts w:ascii="Arial" w:cs="Arial" w:eastAsia="Arial" w:hAnsi="Arial"/>
          <w:sz w:val="14"/>
          <w:szCs w:val="14"/>
          <w:color w:val="auto"/>
        </w:rPr>
        <w:t>Because our stockholders do not have cumulative voting rights, our stockholders holding a majority of the shares of our Common Stock outstanding will be able to elect all of our directors. This system of electing and removing directors may tend to discourage a third party from making a tender offer or otherwise attempting to obtain control of us, because it</w:t>
      </w:r>
    </w:p>
    <w:p>
      <w:pPr>
        <w:spacing w:after="0"/>
        <w:rPr>
          <w:sz w:val="20"/>
          <w:szCs w:val="20"/>
          <w:color w:val="auto"/>
        </w:rPr>
      </w:pPr>
      <w:r>
        <w:rPr>
          <w:rFonts w:ascii="Arial" w:cs="Arial" w:eastAsia="Arial" w:hAnsi="Arial"/>
          <w:sz w:val="16"/>
          <w:szCs w:val="16"/>
          <w:color w:val="auto"/>
        </w:rPr>
        <w:t>generally makes it more difficult for stockholders to replace a majority of the directors.</w:t>
      </w:r>
    </w:p>
    <w:p>
      <w:pPr>
        <w:sectPr>
          <w:pgSz w:w="11900" w:h="16838" w:orient="portrait"/>
          <w:cols w:equalWidth="0" w:num="1">
            <w:col w:w="11280"/>
          </w:cols>
          <w:pgMar w:left="300" w:top="1298" w:right="31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i w:val="1"/>
          <w:iCs w:val="1"/>
          <w:color w:val="auto"/>
        </w:rPr>
        <w:t>Choice of Forum</w:t>
      </w:r>
    </w:p>
    <w:p>
      <w:pPr>
        <w:spacing w:after="0" w:line="60"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Our Bylaws provides that, unless we consent in writing to the selection of an alternative forum, the Court of Chancery of the State of Delaware (or, if the Court of Chancery does not have jurisdiction, then the United States District Court for the District of Delaware) will be the exclusive forum for any derivative action or proceeding brought on our behalf; any</w:t>
      </w:r>
    </w:p>
    <w:p>
      <w:pPr>
        <w:spacing w:after="0" w:line="237" w:lineRule="auto"/>
        <w:rPr>
          <w:sz w:val="20"/>
          <w:szCs w:val="20"/>
          <w:color w:val="auto"/>
        </w:rPr>
      </w:pPr>
      <w:r>
        <w:rPr>
          <w:rFonts w:ascii="Arial" w:cs="Arial" w:eastAsia="Arial" w:hAnsi="Arial"/>
          <w:sz w:val="14"/>
          <w:szCs w:val="14"/>
          <w:color w:val="auto"/>
        </w:rPr>
        <w:t>action asserting a breach of fiduciary duty; any action asserting a claim against us arising pursuant to the DGCL or our Charter or Bylaws; or any action asserting a claim against us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that is governed by the internal affairs doctrine (the “</w:t>
      </w:r>
      <w:r>
        <w:rPr>
          <w:rFonts w:ascii="Arial" w:cs="Arial" w:eastAsia="Arial" w:hAnsi="Arial"/>
          <w:sz w:val="14"/>
          <w:szCs w:val="14"/>
          <w:u w:val="single" w:color="auto"/>
          <w:color w:val="auto"/>
        </w:rPr>
        <w:t>Delaware Forum Provision</w:t>
      </w:r>
      <w:r>
        <w:rPr>
          <w:rFonts w:ascii="Arial" w:cs="Arial" w:eastAsia="Arial" w:hAnsi="Arial"/>
          <w:sz w:val="14"/>
          <w:szCs w:val="14"/>
          <w:color w:val="auto"/>
        </w:rPr>
        <w:t>”). In addition, unless we consent in writing to the selection of an alternative forum, the federal district courts of the United States of America shall be the sole and exclusive forum for the resolution of any complaint asserting a cause of action arising under the Securities Act</w:t>
      </w:r>
    </w:p>
    <w:p>
      <w:pPr>
        <w:spacing w:after="0" w:line="224" w:lineRule="auto"/>
        <w:rPr>
          <w:sz w:val="20"/>
          <w:szCs w:val="20"/>
          <w:color w:val="auto"/>
        </w:rPr>
      </w:pPr>
      <w:r>
        <w:rPr>
          <w:rFonts w:ascii="Arial" w:cs="Arial" w:eastAsia="Arial" w:hAnsi="Arial"/>
          <w:sz w:val="16"/>
          <w:szCs w:val="16"/>
          <w:color w:val="auto"/>
        </w:rPr>
        <w:t>against any person in connection with any offering of our securities, including, without limitation and for the avoidance of doubt, any auditor, underwriter, expert, control person or other defendant.</w:t>
      </w:r>
    </w:p>
    <w:p>
      <w:pPr>
        <w:spacing w:after="0" w:line="37"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provisions of the DGCL, our Charter and our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w:t>
      </w:r>
    </w:p>
    <w:p>
      <w:pPr>
        <w:spacing w:after="0" w:line="217" w:lineRule="auto"/>
        <w:rPr>
          <w:sz w:val="20"/>
          <w:szCs w:val="20"/>
          <w:color w:val="auto"/>
        </w:rPr>
      </w:pPr>
      <w:r>
        <w:rPr>
          <w:rFonts w:ascii="Arial" w:cs="Arial" w:eastAsia="Arial" w:hAnsi="Arial"/>
          <w:sz w:val="16"/>
          <w:szCs w:val="16"/>
          <w:color w:val="auto"/>
        </w:rPr>
        <w:t>preventing changes in our management. It is possible that these provisions could make it more difficult to accomplish transactions that stockholders may otherwise deem to be in their best interests.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66"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The transfer agent and registrar for our Common Stock is American Stock Transfer &amp; Trust Company, LLC. The transfer agent and registrar’s address is 6201 15th Avenue, Brooklyn, NY 11219, and its telephone number is (718) 921-8260.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Exchange Listing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Capital Market under the symbol “AADI.”</w:t>
      </w:r>
    </w:p>
    <w:p>
      <w:pPr>
        <w:sectPr>
          <w:pgSz w:w="11900" w:h="16838" w:orient="portrait"/>
          <w:cols w:equalWidth="0" w:num="1">
            <w:col w:w="11280"/>
          </w:cols>
          <w:pgMar w:left="300" w:top="1220"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AADI BIOSCIENCE, INC.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EXECUTIVE EMPLOYMENT AGREEMENT</w:t>
      </w:r>
    </w:p>
    <w:p>
      <w:pPr>
        <w:spacing w:after="0" w:line="1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2"/>
          <w:szCs w:val="12"/>
          <w:color w:val="auto"/>
        </w:rPr>
        <w:t>This Amended and Restated Executive Employment Agreement (the “</w:t>
      </w:r>
      <w:r>
        <w:rPr>
          <w:rFonts w:ascii="Arial" w:cs="Arial" w:eastAsia="Arial" w:hAnsi="Arial"/>
          <w:sz w:val="12"/>
          <w:szCs w:val="12"/>
          <w:b w:val="1"/>
          <w:bCs w:val="1"/>
          <w:color w:val="auto"/>
        </w:rPr>
        <w:t>Agreement</w:t>
      </w:r>
      <w:r>
        <w:rPr>
          <w:rFonts w:ascii="Arial" w:cs="Arial" w:eastAsia="Arial" w:hAnsi="Arial"/>
          <w:sz w:val="12"/>
          <w:szCs w:val="12"/>
          <w:color w:val="auto"/>
        </w:rPr>
        <w:t>”) is entered into as of November 8, 2022 by and between Aadi Bioscience, Inc. (“</w:t>
      </w:r>
      <w:r>
        <w:rPr>
          <w:rFonts w:ascii="Arial" w:cs="Arial" w:eastAsia="Arial" w:hAnsi="Arial"/>
          <w:sz w:val="12"/>
          <w:szCs w:val="12"/>
          <w:b w:val="1"/>
          <w:bCs w:val="1"/>
          <w:color w:val="auto"/>
        </w:rPr>
        <w:t>Aadi</w:t>
      </w:r>
      <w:r>
        <w:rPr>
          <w:rFonts w:ascii="Arial" w:cs="Arial" w:eastAsia="Arial" w:hAnsi="Arial"/>
          <w:sz w:val="12"/>
          <w:szCs w:val="12"/>
          <w:color w:val="auto"/>
        </w:rPr>
        <w:t>”), and Neil Desai, Ph.D. (“</w:t>
      </w:r>
      <w:r>
        <w:rPr>
          <w:rFonts w:ascii="Arial" w:cs="Arial" w:eastAsia="Arial" w:hAnsi="Arial"/>
          <w:sz w:val="12"/>
          <w:szCs w:val="12"/>
          <w:b w:val="1"/>
          <w:bCs w:val="1"/>
          <w:color w:val="auto"/>
        </w:rPr>
        <w:t>Executive</w:t>
      </w:r>
      <w:r>
        <w:rPr>
          <w:rFonts w:ascii="Arial" w:cs="Arial" w:eastAsia="Arial" w:hAnsi="Arial"/>
          <w:sz w:val="12"/>
          <w:szCs w:val="12"/>
          <w:color w:val="auto"/>
        </w:rPr>
        <w:t>”). This Agreement will be effective as of January 1, 2023 (the “</w:t>
      </w:r>
      <w:r>
        <w:rPr>
          <w:rFonts w:ascii="Arial" w:cs="Arial" w:eastAsia="Arial" w:hAnsi="Arial"/>
          <w:sz w:val="12"/>
          <w:szCs w:val="12"/>
          <w:b w:val="1"/>
          <w:bCs w:val="1"/>
          <w:color w:val="auto"/>
        </w:rPr>
        <w:t>Effective Date</w:t>
      </w:r>
      <w:r>
        <w:rPr>
          <w:rFonts w:ascii="Arial" w:cs="Arial" w:eastAsia="Arial" w:hAnsi="Arial"/>
          <w:sz w:val="12"/>
          <w:szCs w:val="12"/>
          <w:color w:val="auto"/>
        </w:rPr>
        <w:t>”) except as otherwise expressly provided herein and amends and restates the Employment Agreement by and between the Executive and the Company, dated August 23, 2021 (the “</w:t>
      </w:r>
      <w:r>
        <w:rPr>
          <w:rFonts w:ascii="Arial" w:cs="Arial" w:eastAsia="Arial" w:hAnsi="Arial"/>
          <w:sz w:val="12"/>
          <w:szCs w:val="12"/>
          <w:b w:val="1"/>
          <w:bCs w:val="1"/>
          <w:color w:val="auto"/>
        </w:rPr>
        <w:t>Prior Agreement</w:t>
      </w:r>
      <w:r>
        <w:rPr>
          <w:rFonts w:ascii="Arial" w:cs="Arial" w:eastAsia="Arial" w:hAnsi="Arial"/>
          <w:sz w:val="12"/>
          <w:szCs w:val="12"/>
          <w:color w:val="auto"/>
        </w:rPr>
        <w:t>”). Aadi, together with any other subsidiaries and their respective successors, including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entity employing you, shall be referred to in this letter as the “</w:t>
      </w:r>
      <w:r>
        <w:rPr>
          <w:rFonts w:ascii="Arial" w:cs="Arial" w:eastAsia="Arial" w:hAnsi="Arial"/>
          <w:sz w:val="14"/>
          <w:szCs w:val="14"/>
          <w:b w:val="1"/>
          <w:bCs w:val="1"/>
          <w:color w:val="auto"/>
        </w:rPr>
        <w:t>Company.</w:t>
      </w:r>
      <w:r>
        <w:rPr>
          <w:rFonts w:ascii="Arial" w:cs="Arial" w:eastAsia="Arial" w:hAnsi="Arial"/>
          <w:sz w:val="14"/>
          <w:szCs w:val="14"/>
          <w:color w:val="auto"/>
        </w:rPr>
        <w:t>”</w:t>
      </w:r>
    </w:p>
    <w:p>
      <w:pPr>
        <w:spacing w:after="0" w:line="135" w:lineRule="exact"/>
        <w:rPr>
          <w:sz w:val="20"/>
          <w:szCs w:val="20"/>
          <w:color w:val="auto"/>
        </w:rPr>
      </w:pPr>
    </w:p>
    <w:p>
      <w:pPr>
        <w:ind w:right="40" w:firstLine="514"/>
        <w:spacing w:after="0" w:line="270" w:lineRule="auto"/>
        <w:tabs>
          <w:tab w:leader="none" w:pos="1018"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Prior to Effective Date</w:t>
      </w:r>
      <w:r>
        <w:rPr>
          <w:rFonts w:ascii="Arial" w:cs="Arial" w:eastAsia="Arial" w:hAnsi="Arial"/>
          <w:sz w:val="13"/>
          <w:szCs w:val="13"/>
          <w:color w:val="auto"/>
        </w:rPr>
        <w:t>. Prior to the Effective Date, the terms and conditions of the Prior Agreement will continue to apply to Executive’s employment with the Company, except for Sections 7 and 12 below (and those provisions necessary to construe or give effect to such Sections, including Sections 4(c) and 8(c)), which shall be effective as of the date hereof.</w:t>
      </w:r>
    </w:p>
    <w:p>
      <w:pPr>
        <w:spacing w:after="0" w:line="119" w:lineRule="exact"/>
        <w:rPr>
          <w:rFonts w:ascii="Arial" w:cs="Arial" w:eastAsia="Arial" w:hAnsi="Arial"/>
          <w:sz w:val="13"/>
          <w:szCs w:val="13"/>
          <w:color w:val="auto"/>
        </w:rPr>
      </w:pPr>
    </w:p>
    <w:p>
      <w:pPr>
        <w:ind w:left="1020" w:hanging="506"/>
        <w:spacing w:after="0"/>
        <w:tabs>
          <w:tab w:leader="none" w:pos="1020"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Duties and Scope of Employment</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jc w:val="both"/>
        <w:ind w:firstLine="1023"/>
        <w:spacing w:after="0" w:line="238" w:lineRule="auto"/>
        <w:tabs>
          <w:tab w:leader="none" w:pos="1526"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Positions and Duties</w:t>
      </w:r>
      <w:r>
        <w:rPr>
          <w:rFonts w:ascii="Arial" w:cs="Arial" w:eastAsia="Arial" w:hAnsi="Arial"/>
          <w:sz w:val="13"/>
          <w:szCs w:val="13"/>
          <w:color w:val="auto"/>
        </w:rPr>
        <w:t>. Effective as of the Effective Date, Executive will serve as the Company’s Executive Chairman, reporting solely to the Chairman of the Board of Directors of Aadi (the “</w:t>
      </w:r>
      <w:r>
        <w:rPr>
          <w:rFonts w:ascii="Arial" w:cs="Arial" w:eastAsia="Arial" w:hAnsi="Arial"/>
          <w:sz w:val="13"/>
          <w:szCs w:val="13"/>
          <w:b w:val="1"/>
          <w:bCs w:val="1"/>
          <w:color w:val="auto"/>
        </w:rPr>
        <w:t>Board</w:t>
      </w:r>
      <w:r>
        <w:rPr>
          <w:rFonts w:ascii="Arial" w:cs="Arial" w:eastAsia="Arial" w:hAnsi="Arial"/>
          <w:sz w:val="13"/>
          <w:szCs w:val="13"/>
          <w:color w:val="auto"/>
        </w:rPr>
        <w:t>”). Executive will render such business and professional services in the performance of Executive’s duties, consistent with Executive’s position within the Company, as will reasonably be assigned to Executive by the Chairman of the Board. The period of Executive’s employment under this Agreement is referred to herein as the “</w:t>
      </w:r>
      <w:r>
        <w:rPr>
          <w:rFonts w:ascii="Arial" w:cs="Arial" w:eastAsia="Arial" w:hAnsi="Arial"/>
          <w:sz w:val="13"/>
          <w:szCs w:val="13"/>
          <w:b w:val="1"/>
          <w:bCs w:val="1"/>
          <w:color w:val="auto"/>
        </w:rPr>
        <w:t>Employment Term</w:t>
      </w:r>
      <w:r>
        <w:rPr>
          <w:rFonts w:ascii="Arial" w:cs="Arial" w:eastAsia="Arial" w:hAnsi="Arial"/>
          <w:sz w:val="13"/>
          <w:szCs w:val="13"/>
          <w:color w:val="auto"/>
        </w:rPr>
        <w:t>.” On termination of the Employment Term, regardless of the reason for such termination, Executive shall immediately (and with contemporaneous effect) resign any directorships, offices or other positions that he may hold in the Company or any affiliate of the Company, unless otherwise agreed in writing by Executive and the Company.</w:t>
      </w:r>
    </w:p>
    <w:p>
      <w:pPr>
        <w:spacing w:after="0" w:line="139" w:lineRule="exact"/>
        <w:rPr>
          <w:rFonts w:ascii="Arial" w:cs="Arial" w:eastAsia="Arial" w:hAnsi="Arial"/>
          <w:sz w:val="13"/>
          <w:szCs w:val="13"/>
          <w:color w:val="auto"/>
        </w:rPr>
      </w:pPr>
    </w:p>
    <w:p>
      <w:pPr>
        <w:ind w:firstLine="1023"/>
        <w:spacing w:after="0" w:line="236" w:lineRule="auto"/>
        <w:tabs>
          <w:tab w:leader="none" w:pos="1523"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Board Membership</w:t>
      </w:r>
      <w:r>
        <w:rPr>
          <w:rFonts w:ascii="Arial" w:cs="Arial" w:eastAsia="Arial" w:hAnsi="Arial"/>
          <w:sz w:val="14"/>
          <w:szCs w:val="14"/>
          <w:color w:val="auto"/>
        </w:rPr>
        <w:t>. During the Employment Term, Executive will continue to serve on the Board, subject to any required Board and stockholder approval. In addition, Executive will serve as the Chairman of a Research &amp; Development Committee upon creation by the Board.</w:t>
      </w:r>
    </w:p>
    <w:p>
      <w:pPr>
        <w:spacing w:after="0" w:line="128" w:lineRule="exact"/>
        <w:rPr>
          <w:rFonts w:ascii="Arial" w:cs="Arial" w:eastAsia="Arial" w:hAnsi="Arial"/>
          <w:sz w:val="14"/>
          <w:szCs w:val="14"/>
          <w:color w:val="auto"/>
        </w:rPr>
      </w:pPr>
    </w:p>
    <w:p>
      <w:pPr>
        <w:ind w:firstLine="1023"/>
        <w:spacing w:after="0" w:line="249" w:lineRule="auto"/>
        <w:tabs>
          <w:tab w:leader="none" w:pos="1526"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Obligations</w:t>
      </w:r>
      <w:r>
        <w:rPr>
          <w:rFonts w:ascii="Arial" w:cs="Arial" w:eastAsia="Arial" w:hAnsi="Arial"/>
          <w:sz w:val="14"/>
          <w:szCs w:val="14"/>
          <w:color w:val="auto"/>
        </w:rPr>
        <w:t>. During the Employment Term, Executive will perform Executive’s duties faithfully and to the best of Executive’s ability and will devote Executive’s reasonable business efforts and time to the Company, subject to the terms hereof.</w:t>
      </w:r>
    </w:p>
    <w:p>
      <w:pPr>
        <w:spacing w:after="0" w:line="122" w:lineRule="exact"/>
        <w:rPr>
          <w:rFonts w:ascii="Arial" w:cs="Arial" w:eastAsia="Arial" w:hAnsi="Arial"/>
          <w:sz w:val="14"/>
          <w:szCs w:val="14"/>
          <w:color w:val="auto"/>
        </w:rPr>
      </w:pPr>
    </w:p>
    <w:p>
      <w:pPr>
        <w:jc w:val="both"/>
        <w:ind w:firstLine="1023"/>
        <w:spacing w:after="0" w:line="231" w:lineRule="auto"/>
        <w:tabs>
          <w:tab w:leader="none" w:pos="1523"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Principal Location of Services</w:t>
      </w:r>
      <w:r>
        <w:rPr>
          <w:rFonts w:ascii="Arial" w:cs="Arial" w:eastAsia="Arial" w:hAnsi="Arial"/>
          <w:sz w:val="14"/>
          <w:szCs w:val="14"/>
          <w:color w:val="auto"/>
        </w:rPr>
        <w:t>. Executive shall perform his duties during the Employment Term out of offices located in Los Angeles Metropolitan area. Executive shall be permitted to work remotely but shall undertake such travel within or outside of the United States and shall be present in the Company’s offices located in the Los Angeles Metropolitan area, as is necessary or otherwise reasonably determined by the Company for the efficient operations of the Company.</w:t>
      </w:r>
    </w:p>
    <w:p>
      <w:pPr>
        <w:spacing w:after="0" w:line="129" w:lineRule="exact"/>
        <w:rPr>
          <w:rFonts w:ascii="Arial" w:cs="Arial" w:eastAsia="Arial" w:hAnsi="Arial"/>
          <w:sz w:val="14"/>
          <w:szCs w:val="14"/>
          <w:color w:val="auto"/>
        </w:rPr>
      </w:pPr>
    </w:p>
    <w:p>
      <w:pPr>
        <w:jc w:val="both"/>
        <w:ind w:firstLine="514"/>
        <w:spacing w:after="0" w:line="225" w:lineRule="auto"/>
        <w:tabs>
          <w:tab w:leader="none" w:pos="1018"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At-Will Employment</w:t>
      </w:r>
      <w:r>
        <w:rPr>
          <w:rFonts w:ascii="Arial" w:cs="Arial" w:eastAsia="Arial" w:hAnsi="Arial"/>
          <w:sz w:val="14"/>
          <w:szCs w:val="14"/>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128" w:lineRule="exact"/>
        <w:rPr>
          <w:rFonts w:ascii="Arial" w:cs="Arial" w:eastAsia="Arial" w:hAnsi="Arial"/>
          <w:sz w:val="14"/>
          <w:szCs w:val="14"/>
          <w:color w:val="auto"/>
        </w:rPr>
      </w:pPr>
    </w:p>
    <w:p>
      <w:pPr>
        <w:ind w:left="1020" w:hanging="506"/>
        <w:spacing w:after="0"/>
        <w:tabs>
          <w:tab w:leader="none" w:pos="1020"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w:t>
      </w:r>
    </w:p>
    <w:p>
      <w:pPr>
        <w:spacing w:after="0" w:line="157" w:lineRule="exact"/>
        <w:rPr>
          <w:rFonts w:ascii="Arial" w:cs="Arial" w:eastAsia="Arial" w:hAnsi="Arial"/>
          <w:sz w:val="14"/>
          <w:szCs w:val="14"/>
          <w:color w:val="auto"/>
        </w:rPr>
      </w:pPr>
    </w:p>
    <w:p>
      <w:pPr>
        <w:jc w:val="both"/>
        <w:ind w:firstLine="1023"/>
        <w:spacing w:after="0" w:line="226" w:lineRule="auto"/>
        <w:tabs>
          <w:tab w:leader="none" w:pos="1526"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Base Salary</w:t>
      </w:r>
      <w:r>
        <w:rPr>
          <w:rFonts w:ascii="Arial" w:cs="Arial" w:eastAsia="Arial" w:hAnsi="Arial"/>
          <w:sz w:val="14"/>
          <w:szCs w:val="14"/>
          <w:color w:val="auto"/>
        </w:rPr>
        <w:t>. Effective as of the Effective Date, the Company will pay Executive an annual salary of $624,000 as compensation for Executive’s employment services to the Company (the “</w:t>
      </w:r>
      <w:r>
        <w:rPr>
          <w:rFonts w:ascii="Arial" w:cs="Arial" w:eastAsia="Arial" w:hAnsi="Arial"/>
          <w:sz w:val="14"/>
          <w:szCs w:val="14"/>
          <w:b w:val="1"/>
          <w:bCs w:val="1"/>
          <w:color w:val="auto"/>
        </w:rPr>
        <w:t>Base Salary</w:t>
      </w:r>
      <w:r>
        <w:rPr>
          <w:rFonts w:ascii="Arial" w:cs="Arial" w:eastAsia="Arial" w:hAnsi="Arial"/>
          <w:sz w:val="14"/>
          <w:szCs w:val="14"/>
          <w:color w:val="auto"/>
        </w:rPr>
        <w:t>”). The Base Salary will be paid periodically in accordance with the Company’s normal payroll practices and be subject to the usual, required withholdings. Executive’s salary will be subject to review and adjustments will be made based upon the Company’s normal performance review practices.</w:t>
      </w:r>
    </w:p>
    <w:p>
      <w:pPr>
        <w:spacing w:after="0" w:line="139" w:lineRule="exact"/>
        <w:rPr>
          <w:rFonts w:ascii="Arial" w:cs="Arial" w:eastAsia="Arial" w:hAnsi="Arial"/>
          <w:sz w:val="14"/>
          <w:szCs w:val="14"/>
          <w:color w:val="auto"/>
        </w:rPr>
      </w:pPr>
    </w:p>
    <w:p>
      <w:pPr>
        <w:jc w:val="both"/>
        <w:ind w:firstLine="1023"/>
        <w:spacing w:after="0" w:line="225" w:lineRule="auto"/>
        <w:tabs>
          <w:tab w:leader="none" w:pos="1523" w:val="left"/>
        </w:tabs>
        <w:numPr>
          <w:ilvl w:val="1"/>
          <w:numId w:val="69"/>
        </w:numPr>
        <w:rPr>
          <w:rFonts w:ascii="Arial" w:cs="Arial" w:eastAsia="Arial" w:hAnsi="Arial"/>
          <w:sz w:val="14"/>
          <w:szCs w:val="14"/>
          <w:color w:val="auto"/>
        </w:rPr>
      </w:pPr>
      <w:r>
        <w:rPr>
          <w:rFonts w:ascii="Arial" w:cs="Arial" w:eastAsia="Arial" w:hAnsi="Arial"/>
          <w:sz w:val="14"/>
          <w:szCs w:val="14"/>
          <w:u w:val="single" w:color="auto"/>
          <w:color w:val="auto"/>
        </w:rPr>
        <w:t>Target Bonus</w:t>
      </w:r>
      <w:r>
        <w:rPr>
          <w:rFonts w:ascii="Arial" w:cs="Arial" w:eastAsia="Arial" w:hAnsi="Arial"/>
          <w:sz w:val="14"/>
          <w:szCs w:val="14"/>
          <w:color w:val="auto"/>
        </w:rPr>
        <w:t>. Effective as of the Effective Date, Executive will be eligible to receive an annual bonus of with a target amount equal to 60% of Executive’s Base Salary upon achievement of performance objectives to be determined by the Board or its authorized committee (the “</w:t>
      </w:r>
      <w:r>
        <w:rPr>
          <w:rFonts w:ascii="Arial" w:cs="Arial" w:eastAsia="Arial" w:hAnsi="Arial"/>
          <w:sz w:val="14"/>
          <w:szCs w:val="14"/>
          <w:b w:val="1"/>
          <w:bCs w:val="1"/>
          <w:color w:val="auto"/>
        </w:rPr>
        <w:t>Committee</w:t>
      </w:r>
      <w:r>
        <w:rPr>
          <w:rFonts w:ascii="Arial" w:cs="Arial" w:eastAsia="Arial" w:hAnsi="Arial"/>
          <w:sz w:val="14"/>
          <w:szCs w:val="14"/>
          <w:color w:val="auto"/>
        </w:rPr>
        <w:t>”) in its sole discretion (the “</w:t>
      </w:r>
      <w:r>
        <w:rPr>
          <w:rFonts w:ascii="Arial" w:cs="Arial" w:eastAsia="Arial" w:hAnsi="Arial"/>
          <w:sz w:val="14"/>
          <w:szCs w:val="14"/>
          <w:b w:val="1"/>
          <w:bCs w:val="1"/>
          <w:color w:val="auto"/>
        </w:rPr>
        <w:t>Target Bonus</w:t>
      </w:r>
      <w:r>
        <w:rPr>
          <w:rFonts w:ascii="Arial" w:cs="Arial" w:eastAsia="Arial" w:hAnsi="Arial"/>
          <w:sz w:val="14"/>
          <w:szCs w:val="14"/>
          <w:color w:val="auto"/>
        </w:rPr>
        <w:t>”). Executive’s actual bonus for the Company’s fiscal year 2022 will be determined without regard to the execution of this Agreement by the parties and will be determined consistent with other senior executives of the Company. The achieved portion of Executive’s Target Bonus, if any, will be paid, less applicable withholdings, as soon</w:t>
      </w:r>
    </w:p>
    <w:p>
      <w:pPr>
        <w:sectPr>
          <w:pgSz w:w="11900" w:h="16838" w:orient="portrait"/>
          <w:cols w:equalWidth="0" w:num="1">
            <w:col w:w="11280"/>
          </w:cols>
          <w:pgMar w:left="300" w:top="116" w:right="319" w:bottom="1440" w:gutter="0" w:footer="0" w:header="0"/>
        </w:sectPr>
      </w:pPr>
    </w:p>
    <w:bookmarkStart w:id="160" w:name="page161"/>
    <w:bookmarkEnd w:id="160"/>
    <w:p>
      <w:pPr>
        <w:spacing w:after="0" w:line="187" w:lineRule="auto"/>
        <w:rPr>
          <w:sz w:val="20"/>
          <w:szCs w:val="20"/>
          <w:color w:val="auto"/>
        </w:rPr>
      </w:pPr>
      <w:r>
        <w:rPr>
          <w:rFonts w:ascii="Arial" w:cs="Arial" w:eastAsia="Arial" w:hAnsi="Arial"/>
          <w:sz w:val="14"/>
          <w:szCs w:val="14"/>
          <w:color w:val="auto"/>
        </w:rPr>
        <w:t>as practicable after the Committee determines that the Target Bonus has been earned, but in no event shall the Target Bonus be paid after the later of (i) the fifteenth (15</w:t>
      </w:r>
      <w:r>
        <w:rPr>
          <w:rFonts w:ascii="Arial" w:cs="Arial" w:eastAsia="Arial" w:hAnsi="Arial"/>
          <w:sz w:val="18"/>
          <w:szCs w:val="18"/>
          <w:color w:val="auto"/>
          <w:vertAlign w:val="superscript"/>
        </w:rPr>
        <w:t>th</w:t>
      </w:r>
      <w:r>
        <w:rPr>
          <w:rFonts w:ascii="Arial" w:cs="Arial" w:eastAsia="Arial" w:hAnsi="Arial"/>
          <w:sz w:val="14"/>
          <w:szCs w:val="14"/>
          <w:color w:val="auto"/>
        </w:rPr>
        <w:t>) day of the third (3</w:t>
      </w:r>
      <w:r>
        <w:rPr>
          <w:rFonts w:ascii="Arial" w:cs="Arial" w:eastAsia="Arial" w:hAnsi="Arial"/>
          <w:sz w:val="18"/>
          <w:szCs w:val="18"/>
          <w:color w:val="auto"/>
          <w:vertAlign w:val="superscript"/>
        </w:rPr>
        <w:t>rd</w:t>
      </w:r>
      <w:r>
        <w:rPr>
          <w:rFonts w:ascii="Arial" w:cs="Arial" w:eastAsia="Arial" w:hAnsi="Arial"/>
          <w:sz w:val="14"/>
          <w:szCs w:val="14"/>
          <w:color w:val="auto"/>
        </w:rPr>
        <w:t>) month following the close of the Company’s fiscal year in which the Target Bonus is earned or (ii) March 15 following the calendar year in which the Target Bonus is earned.</w:t>
      </w:r>
    </w:p>
    <w:p>
      <w:pPr>
        <w:spacing w:after="0" w:line="139" w:lineRule="exact"/>
        <w:rPr>
          <w:sz w:val="20"/>
          <w:szCs w:val="20"/>
          <w:color w:val="auto"/>
        </w:rPr>
      </w:pPr>
    </w:p>
    <w:p>
      <w:pPr>
        <w:jc w:val="both"/>
        <w:ind w:firstLine="1023"/>
        <w:spacing w:after="0" w:line="226" w:lineRule="auto"/>
        <w:tabs>
          <w:tab w:leader="none" w:pos="1526" w:val="left"/>
        </w:tabs>
        <w:numPr>
          <w:ilvl w:val="1"/>
          <w:numId w:val="70"/>
        </w:numPr>
        <w:rPr>
          <w:rFonts w:ascii="Arial" w:cs="Arial" w:eastAsia="Arial" w:hAnsi="Arial"/>
          <w:sz w:val="13"/>
          <w:szCs w:val="13"/>
          <w:color w:val="auto"/>
        </w:rPr>
      </w:pPr>
      <w:r>
        <w:rPr>
          <w:rFonts w:ascii="Arial" w:cs="Arial" w:eastAsia="Arial" w:hAnsi="Arial"/>
          <w:sz w:val="13"/>
          <w:szCs w:val="13"/>
          <w:u w:val="single" w:color="auto"/>
          <w:color w:val="auto"/>
        </w:rPr>
        <w:t>Stock Option</w:t>
      </w:r>
      <w:r>
        <w:rPr>
          <w:rFonts w:ascii="Arial" w:cs="Arial" w:eastAsia="Arial" w:hAnsi="Arial"/>
          <w:sz w:val="13"/>
          <w:szCs w:val="13"/>
          <w:color w:val="auto"/>
        </w:rPr>
        <w:t>. Effective on the first trading day following the Effective Date, Executive will be granted a nonstatutory stock option to purchase 150,000 shares of the Company’s common stock at an exercise price per share equal to the fair market value of the Company’s common stock on the date of grant, which will be the closing price of the Company’s common stock as reported by the Nasdaq Stock Market on the first trading day following the Effective Date (the “</w:t>
      </w:r>
      <w:r>
        <w:rPr>
          <w:rFonts w:ascii="Arial" w:cs="Arial" w:eastAsia="Arial" w:hAnsi="Arial"/>
          <w:sz w:val="13"/>
          <w:szCs w:val="13"/>
          <w:b w:val="1"/>
          <w:bCs w:val="1"/>
          <w:color w:val="auto"/>
        </w:rPr>
        <w:t>Option</w:t>
      </w:r>
      <w:r>
        <w:rPr>
          <w:rFonts w:ascii="Arial" w:cs="Arial" w:eastAsia="Arial" w:hAnsi="Arial"/>
          <w:sz w:val="13"/>
          <w:szCs w:val="13"/>
          <w:color w:val="auto"/>
        </w:rPr>
        <w:t>”). Subject to the accelerated vesting provisions set forth herein, the Option will vest as to twenty-five percent (25%) of the shares subject to the Option one (1) year after the Effective Date, and as to 1/48</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of the shares subject to the Option monthly thereafter on the same day of the month as the Effective Date (and if there is no corresponding day, the last day of the month), so that the Option will be fully vested and exercisable four (4) years from the Effective Date, subject to Executive continuing to provide services to the Company through the relevant vesting dates. Except as provided herein, the Option will be subject to the terms and conditions of an equity incentive plan and related stock option agreement (in the Company’s then-standard form for executive officers) approved by the Board or Committee (collectively, the “</w:t>
      </w:r>
      <w:r>
        <w:rPr>
          <w:rFonts w:ascii="Arial" w:cs="Arial" w:eastAsia="Arial" w:hAnsi="Arial"/>
          <w:sz w:val="13"/>
          <w:szCs w:val="13"/>
          <w:b w:val="1"/>
          <w:bCs w:val="1"/>
          <w:color w:val="auto"/>
        </w:rPr>
        <w:t>Equity Documents</w:t>
      </w:r>
      <w:r>
        <w:rPr>
          <w:rFonts w:ascii="Arial" w:cs="Arial" w:eastAsia="Arial" w:hAnsi="Arial"/>
          <w:sz w:val="13"/>
          <w:szCs w:val="13"/>
          <w:color w:val="auto"/>
        </w:rPr>
        <w:t>”).</w:t>
      </w:r>
    </w:p>
    <w:p>
      <w:pPr>
        <w:spacing w:after="0" w:line="127" w:lineRule="exact"/>
        <w:rPr>
          <w:rFonts w:ascii="Arial" w:cs="Arial" w:eastAsia="Arial" w:hAnsi="Arial"/>
          <w:sz w:val="13"/>
          <w:szCs w:val="13"/>
          <w:color w:val="auto"/>
        </w:rPr>
      </w:pPr>
    </w:p>
    <w:p>
      <w:pPr>
        <w:jc w:val="both"/>
        <w:ind w:firstLine="1023"/>
        <w:spacing w:after="0" w:line="231" w:lineRule="auto"/>
        <w:tabs>
          <w:tab w:leader="none" w:pos="1523" w:val="left"/>
        </w:tabs>
        <w:numPr>
          <w:ilvl w:val="1"/>
          <w:numId w:val="70"/>
        </w:numPr>
        <w:rPr>
          <w:rFonts w:ascii="Arial" w:cs="Arial" w:eastAsia="Arial" w:hAnsi="Arial"/>
          <w:sz w:val="14"/>
          <w:szCs w:val="14"/>
          <w:color w:val="auto"/>
        </w:rPr>
      </w:pPr>
      <w:r>
        <w:rPr>
          <w:rFonts w:ascii="Arial" w:cs="Arial" w:eastAsia="Arial" w:hAnsi="Arial"/>
          <w:sz w:val="14"/>
          <w:szCs w:val="14"/>
          <w:u w:val="single" w:color="auto"/>
          <w:color w:val="auto"/>
        </w:rPr>
        <w:t>Equity</w:t>
      </w:r>
      <w:r>
        <w:rPr>
          <w:rFonts w:ascii="Arial" w:cs="Arial" w:eastAsia="Arial" w:hAnsi="Arial"/>
          <w:sz w:val="14"/>
          <w:szCs w:val="14"/>
          <w:color w:val="auto"/>
        </w:rPr>
        <w:t>. During the Employment Term, Executive will be eligible to receive equity awards pursuant to any plans or arrangements Aadi may have in effect from time to time. The Committee will determine in its discretion whether Executive will be granted any equity awards and the terms of any equity award in accordance with the terms of any applicable plan or arrangement that may be in effect from time to time.</w:t>
      </w:r>
    </w:p>
    <w:p>
      <w:pPr>
        <w:spacing w:after="0" w:line="129" w:lineRule="exact"/>
        <w:rPr>
          <w:rFonts w:ascii="Arial" w:cs="Arial" w:eastAsia="Arial" w:hAnsi="Arial"/>
          <w:sz w:val="14"/>
          <w:szCs w:val="14"/>
          <w:color w:val="auto"/>
        </w:rPr>
      </w:pPr>
    </w:p>
    <w:p>
      <w:pPr>
        <w:jc w:val="both"/>
        <w:ind w:firstLine="514"/>
        <w:spacing w:after="0" w:line="225" w:lineRule="auto"/>
        <w:tabs>
          <w:tab w:leader="none" w:pos="1018"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Employee Benefits</w:t>
      </w:r>
      <w:r>
        <w:rPr>
          <w:rFonts w:ascii="Arial" w:cs="Arial" w:eastAsia="Arial" w:hAnsi="Arial"/>
          <w:sz w:val="14"/>
          <w:szCs w:val="14"/>
          <w:color w:val="auto"/>
        </w:rPr>
        <w:t>. During the Employment Term, Executive will be entitled to participate in the employee benefit plans currently and hereafter maintained by the Company of general applicability to other senior executives of the Company. The Company reserves the right to cancel or change the benefit plans and programs it offers to its employees at any time. Executive shall also be entitled to five weeks of vacation, accruing annually, and participation in any 401(k) or employee benefit plan established by the Company, each as subject to the terms and conditions of such plans or programs adopted by the Company.</w:t>
      </w:r>
    </w:p>
    <w:p>
      <w:pPr>
        <w:spacing w:after="0" w:line="128" w:lineRule="exact"/>
        <w:rPr>
          <w:rFonts w:ascii="Arial" w:cs="Arial" w:eastAsia="Arial" w:hAnsi="Arial"/>
          <w:sz w:val="14"/>
          <w:szCs w:val="14"/>
          <w:color w:val="auto"/>
        </w:rPr>
      </w:pPr>
    </w:p>
    <w:p>
      <w:pPr>
        <w:ind w:firstLine="514"/>
        <w:spacing w:after="0" w:line="249" w:lineRule="auto"/>
        <w:tabs>
          <w:tab w:leader="none" w:pos="1018"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spacing w:after="0" w:line="122" w:lineRule="exact"/>
        <w:rPr>
          <w:rFonts w:ascii="Arial" w:cs="Arial" w:eastAsia="Arial" w:hAnsi="Arial"/>
          <w:sz w:val="14"/>
          <w:szCs w:val="14"/>
          <w:color w:val="auto"/>
        </w:rPr>
      </w:pPr>
    </w:p>
    <w:p>
      <w:pPr>
        <w:jc w:val="both"/>
        <w:ind w:firstLine="514"/>
        <w:spacing w:after="0" w:line="221" w:lineRule="auto"/>
        <w:tabs>
          <w:tab w:leader="none" w:pos="1018"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Severance</w:t>
      </w:r>
      <w:r>
        <w:rPr>
          <w:rFonts w:ascii="Arial" w:cs="Arial" w:eastAsia="Arial" w:hAnsi="Arial"/>
          <w:sz w:val="14"/>
          <w:szCs w:val="14"/>
          <w:color w:val="auto"/>
        </w:rPr>
        <w:t>. Upon termination of Executive’s employment for any reason, the Company will pay Executive (or provide Executive with, as applicable) (i) his Base Salary accrued through the date of termination, (ii) earned but unused vacation and paid time off as of the date of termination, (iii) reimbursement of expenses properly incurred prior to termination and properly documented in accordance with the Company’s policy and (iv) all benefits, including continuation and conversion rights, provided upon termination of employment under the Company’s employee benefit plans and policies in accordance with the terms of such plans and policies (the “</w:t>
      </w:r>
      <w:r>
        <w:rPr>
          <w:rFonts w:ascii="Arial" w:cs="Arial" w:eastAsia="Arial" w:hAnsi="Arial"/>
          <w:sz w:val="14"/>
          <w:szCs w:val="14"/>
          <w:b w:val="1"/>
          <w:bCs w:val="1"/>
          <w:color w:val="auto"/>
        </w:rPr>
        <w:t>Accrued Obligations</w:t>
      </w:r>
      <w:r>
        <w:rPr>
          <w:rFonts w:ascii="Arial" w:cs="Arial" w:eastAsia="Arial" w:hAnsi="Arial"/>
          <w:sz w:val="14"/>
          <w:szCs w:val="14"/>
          <w:color w:val="auto"/>
        </w:rPr>
        <w:t>”) within the time period required by applicable law, but in any event within thirty (30) days following his termination date.</w:t>
      </w:r>
    </w:p>
    <w:p>
      <w:pPr>
        <w:spacing w:after="0" w:line="139" w:lineRule="exact"/>
        <w:rPr>
          <w:rFonts w:ascii="Arial" w:cs="Arial" w:eastAsia="Arial" w:hAnsi="Arial"/>
          <w:sz w:val="14"/>
          <w:szCs w:val="14"/>
          <w:color w:val="auto"/>
        </w:rPr>
      </w:pPr>
    </w:p>
    <w:p>
      <w:pPr>
        <w:jc w:val="both"/>
        <w:ind w:firstLine="1023"/>
        <w:spacing w:after="0" w:line="226" w:lineRule="auto"/>
        <w:tabs>
          <w:tab w:leader="none" w:pos="1526" w:val="left"/>
        </w:tabs>
        <w:numPr>
          <w:ilvl w:val="1"/>
          <w:numId w:val="71"/>
        </w:numPr>
        <w:rPr>
          <w:rFonts w:ascii="Arial" w:cs="Arial" w:eastAsia="Arial" w:hAnsi="Arial"/>
          <w:sz w:val="14"/>
          <w:szCs w:val="14"/>
          <w:color w:val="auto"/>
        </w:rPr>
      </w:pPr>
      <w:r>
        <w:rPr>
          <w:rFonts w:ascii="Arial" w:cs="Arial" w:eastAsia="Arial" w:hAnsi="Arial"/>
          <w:sz w:val="14"/>
          <w:szCs w:val="14"/>
          <w:u w:val="single" w:color="auto"/>
          <w:color w:val="auto"/>
        </w:rPr>
        <w:t>Termination for other than Cause, Death or Disability Apart from a Change of Control</w:t>
      </w:r>
      <w:r>
        <w:rPr>
          <w:rFonts w:ascii="Arial" w:cs="Arial" w:eastAsia="Arial" w:hAnsi="Arial"/>
          <w:sz w:val="14"/>
          <w:szCs w:val="14"/>
          <w:color w:val="auto"/>
        </w:rPr>
        <w:t>. If, outside of the Change of Control Period, (i) the Company (or any parent or subsidiary or successor of the Company) terminates Executive’s employment with the Company other than for Cause, death or Disability (except as otherwise provided below), or (ii) Executive resigns from such employment for Good Reason, then, subject to Section 7, Executive will be entitled to receive:</w:t>
      </w:r>
    </w:p>
    <w:p>
      <w:pPr>
        <w:spacing w:after="0" w:line="139" w:lineRule="exact"/>
        <w:rPr>
          <w:rFonts w:ascii="Arial" w:cs="Arial" w:eastAsia="Arial" w:hAnsi="Arial"/>
          <w:sz w:val="14"/>
          <w:szCs w:val="14"/>
          <w:color w:val="auto"/>
        </w:rPr>
      </w:pPr>
    </w:p>
    <w:p>
      <w:pPr>
        <w:jc w:val="both"/>
        <w:ind w:firstLine="1787"/>
        <w:spacing w:after="0" w:line="235" w:lineRule="auto"/>
        <w:tabs>
          <w:tab w:leader="none" w:pos="2033" w:val="left"/>
        </w:tabs>
        <w:numPr>
          <w:ilvl w:val="2"/>
          <w:numId w:val="71"/>
        </w:numPr>
        <w:rPr>
          <w:rFonts w:ascii="Arial" w:cs="Arial" w:eastAsia="Arial" w:hAnsi="Arial"/>
          <w:sz w:val="13"/>
          <w:szCs w:val="13"/>
          <w:color w:val="auto"/>
        </w:rPr>
      </w:pPr>
      <w:r>
        <w:rPr>
          <w:rFonts w:ascii="Arial" w:cs="Arial" w:eastAsia="Arial" w:hAnsi="Arial"/>
          <w:sz w:val="13"/>
          <w:szCs w:val="13"/>
          <w:color w:val="auto"/>
        </w:rPr>
        <w:t xml:space="preserve">continuing payments of severance pay from the Company for a period of eighteen (18) months equal to an amount each month equal to the sum of (A)(x) one hundred and fifty percent (150%) of Executive’s Base Salary rate, as then in effect, </w:t>
      </w:r>
      <w:r>
        <w:rPr>
          <w:rFonts w:ascii="Arial" w:cs="Arial" w:eastAsia="Arial" w:hAnsi="Arial"/>
          <w:sz w:val="13"/>
          <w:szCs w:val="13"/>
          <w:i w:val="1"/>
          <w:iCs w:val="1"/>
          <w:color w:val="auto"/>
        </w:rPr>
        <w:t>plus</w:t>
      </w:r>
      <w:r>
        <w:rPr>
          <w:rFonts w:ascii="Arial" w:cs="Arial" w:eastAsia="Arial" w:hAnsi="Arial"/>
          <w:sz w:val="13"/>
          <w:szCs w:val="13"/>
          <w:color w:val="auto"/>
        </w:rPr>
        <w:t xml:space="preserve"> (y) one hundred and fifty percent (150%) of the sum of all performance bonuses paid to Executive for the Company’s fiscal year immediately preceding the fiscal year in which Executive’s termination of employment occurs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(B) 18. The severance will be paid, less applicable withholdings, in installments over the severance period described herein with the first payment to commence on the sixty-first (61st) day following Executive’s termination of employment (and include any severance payments that otherwise would have been paid to Executive within the sixty (60) days following Executive’s termination date), with any remaining payments paid in accordance with the Company’s normal payroll practices for the remainder of the severance period following Executive’s termination of employment (subject to any delay as may be required by Section 7(c)).</w:t>
      </w:r>
    </w:p>
    <w:p>
      <w:pPr>
        <w:spacing w:after="0" w:line="136" w:lineRule="exact"/>
        <w:rPr>
          <w:rFonts w:ascii="Arial" w:cs="Arial" w:eastAsia="Arial" w:hAnsi="Arial"/>
          <w:sz w:val="13"/>
          <w:szCs w:val="13"/>
          <w:color w:val="auto"/>
        </w:rPr>
      </w:pPr>
    </w:p>
    <w:p>
      <w:pPr>
        <w:ind w:firstLine="1787"/>
        <w:spacing w:after="0" w:line="239" w:lineRule="auto"/>
        <w:tabs>
          <w:tab w:leader="none" w:pos="2030" w:val="left"/>
        </w:tabs>
        <w:numPr>
          <w:ilvl w:val="2"/>
          <w:numId w:val="71"/>
        </w:numPr>
        <w:rPr>
          <w:rFonts w:ascii="Arial" w:cs="Arial" w:eastAsia="Arial" w:hAnsi="Arial"/>
          <w:sz w:val="14"/>
          <w:szCs w:val="14"/>
          <w:color w:val="auto"/>
        </w:rPr>
      </w:pPr>
      <w:r>
        <w:rPr>
          <w:rFonts w:ascii="Arial" w:cs="Arial" w:eastAsia="Arial" w:hAnsi="Arial"/>
          <w:sz w:val="14"/>
          <w:szCs w:val="14"/>
          <w:color w:val="auto"/>
        </w:rPr>
        <w:t>if Executive elects continuation coverage pursuant to the Consolidated Omnibus Budget Reconciliation Act of 1985, as amended (“</w:t>
      </w:r>
      <w:r>
        <w:rPr>
          <w:rFonts w:ascii="Arial" w:cs="Arial" w:eastAsia="Arial" w:hAnsi="Arial"/>
          <w:sz w:val="14"/>
          <w:szCs w:val="14"/>
          <w:b w:val="1"/>
          <w:bCs w:val="1"/>
          <w:color w:val="auto"/>
        </w:rPr>
        <w:t>COBRA</w:t>
      </w:r>
      <w:r>
        <w:rPr>
          <w:rFonts w:ascii="Arial" w:cs="Arial" w:eastAsia="Arial" w:hAnsi="Arial"/>
          <w:sz w:val="14"/>
          <w:szCs w:val="14"/>
          <w:color w:val="auto"/>
        </w:rPr>
        <w:t>”) within the time period prescribed pursuant to COBRA for Executive and Executive’s eligible dependents, then the Company will reimburse Executive for the COBRA premiums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302" w:right="319" w:bottom="1440" w:gutter="0" w:footer="0" w:header="0"/>
        </w:sectPr>
      </w:pPr>
    </w:p>
    <w:bookmarkStart w:id="161" w:name="page162"/>
    <w:bookmarkEnd w:id="161"/>
    <w:p>
      <w:pPr>
        <w:jc w:val="both"/>
        <w:spacing w:after="0" w:line="239" w:lineRule="auto"/>
        <w:rPr>
          <w:sz w:val="20"/>
          <w:szCs w:val="20"/>
          <w:color w:val="auto"/>
        </w:rPr>
      </w:pPr>
      <w:r>
        <w:rPr>
          <w:rFonts w:ascii="Arial" w:cs="Arial" w:eastAsia="Arial" w:hAnsi="Arial"/>
          <w:sz w:val="13"/>
          <w:szCs w:val="13"/>
          <w:color w:val="auto"/>
        </w:rPr>
        <w:t>for such coverage (at the coverage levels in effect immediately prior to Executive’s termination) until the earlier of (A) a period of eighteen (18) months from the date of termination or (B) the date upon which Executive and/or Executive’s eligible dependents are no longer eligible for COBRA continuation coverage. The reimbursements will be made by the Company to Executive consistent</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with the Company’s normal expense reimbursement policy. Notwithstanding the first sentence of this Section 6(a)(ii),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w:t>
      </w:r>
    </w:p>
    <w:p>
      <w:pPr>
        <w:jc w:val="both"/>
        <w:spacing w:after="0" w:line="227" w:lineRule="auto"/>
        <w:rPr>
          <w:sz w:val="20"/>
          <w:szCs w:val="20"/>
          <w:color w:val="auto"/>
        </w:rPr>
      </w:pPr>
      <w:r>
        <w:rPr>
          <w:rFonts w:ascii="Arial" w:cs="Arial" w:eastAsia="Arial" w:hAnsi="Arial"/>
          <w:sz w:val="13"/>
          <w:szCs w:val="13"/>
          <w:color w:val="auto"/>
        </w:rPr>
        <w:t>premium that Executive would be required to pay to continue the group health coverage for Executive and/or Executive’s eligible dependents in effect on the termination of employment date (which amount will be based on the premium for the first month of COBRA coverage), which payments will be made regardless of whether Executive and/or Executive’s eligible dependents elect COBRA continuation coverage and will commence on the month following Executive’s termination of employment and will end on the earlier of (x) the date upon which Executive obtains other employment</w:t>
      </w:r>
    </w:p>
    <w:p>
      <w:pPr>
        <w:jc w:val="both"/>
        <w:spacing w:after="0" w:line="246" w:lineRule="auto"/>
        <w:rPr>
          <w:sz w:val="20"/>
          <w:szCs w:val="20"/>
          <w:color w:val="auto"/>
        </w:rPr>
      </w:pPr>
      <w:r>
        <w:rPr>
          <w:rFonts w:ascii="Arial" w:cs="Arial" w:eastAsia="Arial" w:hAnsi="Arial"/>
          <w:sz w:val="12"/>
          <w:szCs w:val="12"/>
          <w:color w:val="auto"/>
        </w:rPr>
        <w:t>or (y) the date the Company has paid an amount equal to eighteen (18) payments. Any such taxable monthly payments that otherwise would have been paid to Executive within the sixty (60) days following Executive’s termination date instead will be paid on the sixty-first (61st) day following Executive’s termination of employment, with any remaining payments paid as provided in the prior sentence (subject to any delay as may be required by Section 7(c)). For the avoidance of doubt, the taxable payments in lieu of COBRA reimbursements may be used for any purpose, including, but</w:t>
      </w:r>
    </w:p>
    <w:p>
      <w:pPr>
        <w:spacing w:after="0"/>
        <w:rPr>
          <w:sz w:val="20"/>
          <w:szCs w:val="20"/>
          <w:color w:val="auto"/>
        </w:rPr>
      </w:pPr>
      <w:r>
        <w:rPr>
          <w:rFonts w:ascii="Arial" w:cs="Arial" w:eastAsia="Arial" w:hAnsi="Arial"/>
          <w:sz w:val="14"/>
          <w:szCs w:val="14"/>
          <w:color w:val="auto"/>
        </w:rPr>
        <w:t>not limited to continuation coverage under COBRA, and will be subject to all applicable tax withholdings.</w:t>
      </w:r>
    </w:p>
    <w:p>
      <w:pPr>
        <w:spacing w:after="0" w:line="135" w:lineRule="exact"/>
        <w:rPr>
          <w:sz w:val="20"/>
          <w:szCs w:val="20"/>
          <w:color w:val="auto"/>
        </w:rPr>
      </w:pPr>
    </w:p>
    <w:p>
      <w:pPr>
        <w:jc w:val="both"/>
        <w:ind w:firstLine="1787"/>
        <w:spacing w:after="0" w:line="231" w:lineRule="auto"/>
        <w:tabs>
          <w:tab w:leader="none" w:pos="2037" w:val="left"/>
        </w:tabs>
        <w:numPr>
          <w:ilvl w:val="2"/>
          <w:numId w:val="72"/>
        </w:numPr>
        <w:rPr>
          <w:rFonts w:ascii="Arial" w:cs="Arial" w:eastAsia="Arial" w:hAnsi="Arial"/>
          <w:sz w:val="14"/>
          <w:szCs w:val="14"/>
          <w:color w:val="auto"/>
        </w:rPr>
      </w:pPr>
      <w:r>
        <w:rPr>
          <w:rFonts w:ascii="Arial" w:cs="Arial" w:eastAsia="Arial" w:hAnsi="Arial"/>
          <w:sz w:val="14"/>
          <w:szCs w:val="14"/>
          <w:color w:val="auto"/>
        </w:rPr>
        <w:t>Executive’s outstanding and unvested equity awards subject solely to service-based vesting (i.e., not to include awards subject to performance vesting) will accelerate vesting as to the number of shares of Company common stock subject to such awards that would have otherwise vested had Executive continued to be employed by the Company for an additional eighteen (18) months following termination of Executive’s employment.</w:t>
      </w:r>
    </w:p>
    <w:p>
      <w:pPr>
        <w:spacing w:after="0" w:line="129" w:lineRule="exact"/>
        <w:rPr>
          <w:rFonts w:ascii="Arial" w:cs="Arial" w:eastAsia="Arial" w:hAnsi="Arial"/>
          <w:sz w:val="14"/>
          <w:szCs w:val="14"/>
          <w:color w:val="auto"/>
        </w:rPr>
      </w:pPr>
    </w:p>
    <w:p>
      <w:pPr>
        <w:ind w:firstLine="1787"/>
        <w:spacing w:after="0" w:line="236" w:lineRule="auto"/>
        <w:tabs>
          <w:tab w:leader="none" w:pos="2029" w:val="left"/>
        </w:tabs>
        <w:numPr>
          <w:ilvl w:val="2"/>
          <w:numId w:val="72"/>
        </w:numPr>
        <w:rPr>
          <w:rFonts w:ascii="Arial" w:cs="Arial" w:eastAsia="Arial" w:hAnsi="Arial"/>
          <w:sz w:val="14"/>
          <w:szCs w:val="14"/>
          <w:color w:val="auto"/>
        </w:rPr>
      </w:pPr>
      <w:r>
        <w:rPr>
          <w:rFonts w:ascii="Arial" w:cs="Arial" w:eastAsia="Arial" w:hAnsi="Arial"/>
          <w:sz w:val="14"/>
          <w:szCs w:val="14"/>
          <w:color w:val="auto"/>
        </w:rPr>
        <w:t>Executive’s outstanding stock option awards will remain exercisable until the earlier of (a) twelve (12) months following the date of Executive’s termination of employment, or (b) the expiration of the term of such Company stock option award set forth in the applicable Company stock option agreement.</w:t>
      </w:r>
    </w:p>
    <w:p>
      <w:pPr>
        <w:spacing w:after="0" w:line="139" w:lineRule="exact"/>
        <w:rPr>
          <w:rFonts w:ascii="Arial" w:cs="Arial" w:eastAsia="Arial" w:hAnsi="Arial"/>
          <w:sz w:val="14"/>
          <w:szCs w:val="14"/>
          <w:color w:val="auto"/>
        </w:rPr>
      </w:pPr>
    </w:p>
    <w:p>
      <w:pPr>
        <w:ind w:right="100" w:firstLine="1787"/>
        <w:spacing w:after="0" w:line="236" w:lineRule="auto"/>
        <w:tabs>
          <w:tab w:leader="none" w:pos="2032" w:val="left"/>
        </w:tabs>
        <w:numPr>
          <w:ilvl w:val="2"/>
          <w:numId w:val="72"/>
        </w:numPr>
        <w:rPr>
          <w:rFonts w:ascii="Arial" w:cs="Arial" w:eastAsia="Arial" w:hAnsi="Arial"/>
          <w:sz w:val="14"/>
          <w:szCs w:val="14"/>
          <w:color w:val="auto"/>
        </w:rPr>
      </w:pPr>
      <w:r>
        <w:rPr>
          <w:rFonts w:ascii="Arial" w:cs="Arial" w:eastAsia="Arial" w:hAnsi="Arial"/>
          <w:sz w:val="14"/>
          <w:szCs w:val="14"/>
          <w:color w:val="auto"/>
        </w:rPr>
        <w:t>If such termination occurs before the Option has been granted to Executive, effective immediately prior to such termination, the Company will grant to Executive the Option and clauses (iii) and (iv) shall be given effect with respect to the Option.</w:t>
      </w:r>
    </w:p>
    <w:p>
      <w:pPr>
        <w:spacing w:after="0" w:line="128" w:lineRule="exact"/>
        <w:rPr>
          <w:rFonts w:ascii="Arial" w:cs="Arial" w:eastAsia="Arial" w:hAnsi="Arial"/>
          <w:sz w:val="14"/>
          <w:szCs w:val="14"/>
          <w:color w:val="auto"/>
        </w:rPr>
      </w:pPr>
    </w:p>
    <w:p>
      <w:pPr>
        <w:ind w:right="20" w:firstLine="1787"/>
        <w:spacing w:after="0" w:line="231" w:lineRule="auto"/>
        <w:tabs>
          <w:tab w:leader="none" w:pos="2029" w:val="left"/>
        </w:tabs>
        <w:numPr>
          <w:ilvl w:val="2"/>
          <w:numId w:val="72"/>
        </w:numPr>
        <w:rPr>
          <w:rFonts w:ascii="Arial" w:cs="Arial" w:eastAsia="Arial" w:hAnsi="Arial"/>
          <w:sz w:val="14"/>
          <w:szCs w:val="14"/>
          <w:color w:val="auto"/>
        </w:rPr>
      </w:pPr>
      <w:r>
        <w:rPr>
          <w:rFonts w:ascii="Arial" w:cs="Arial" w:eastAsia="Arial" w:hAnsi="Arial"/>
          <w:sz w:val="14"/>
          <w:szCs w:val="14"/>
          <w:color w:val="auto"/>
        </w:rPr>
        <w:t>The Company will pay Executive (x) a pro rata annual bonus for the year in which such termination occurs based on actual performance (but treating all individual performance goals, if any, as achieved at target levels) (the “</w:t>
      </w:r>
      <w:r>
        <w:rPr>
          <w:rFonts w:ascii="Arial" w:cs="Arial" w:eastAsia="Arial" w:hAnsi="Arial"/>
          <w:sz w:val="14"/>
          <w:szCs w:val="14"/>
          <w:b w:val="1"/>
          <w:bCs w:val="1"/>
          <w:color w:val="auto"/>
        </w:rPr>
        <w:t>Pro Rata Bonus</w:t>
      </w:r>
      <w:r>
        <w:rPr>
          <w:rFonts w:ascii="Arial" w:cs="Arial" w:eastAsia="Arial" w:hAnsi="Arial"/>
          <w:sz w:val="14"/>
          <w:szCs w:val="14"/>
          <w:color w:val="auto"/>
        </w:rPr>
        <w:t>”), and (y) any earned but unpaid annual bonus for a performance year that ended prior to the date of termination (the “</w:t>
      </w:r>
      <w:r>
        <w:rPr>
          <w:rFonts w:ascii="Arial" w:cs="Arial" w:eastAsia="Arial" w:hAnsi="Arial"/>
          <w:sz w:val="14"/>
          <w:szCs w:val="14"/>
          <w:b w:val="1"/>
          <w:bCs w:val="1"/>
          <w:color w:val="auto"/>
        </w:rPr>
        <w:t>Prior Year Bonus</w:t>
      </w:r>
      <w:r>
        <w:rPr>
          <w:rFonts w:ascii="Arial" w:cs="Arial" w:eastAsia="Arial" w:hAnsi="Arial"/>
          <w:sz w:val="14"/>
          <w:szCs w:val="14"/>
          <w:color w:val="auto"/>
        </w:rPr>
        <w:t>”), which Pro Rata Bonus and Prior Year Bonus, as applicable, shall be paid at the time set forth in Section 4(b) above.</w:t>
      </w:r>
    </w:p>
    <w:p>
      <w:pPr>
        <w:spacing w:after="0" w:line="129" w:lineRule="exact"/>
        <w:rPr>
          <w:rFonts w:ascii="Arial" w:cs="Arial" w:eastAsia="Arial" w:hAnsi="Arial"/>
          <w:sz w:val="14"/>
          <w:szCs w:val="14"/>
          <w:color w:val="auto"/>
        </w:rPr>
      </w:pPr>
    </w:p>
    <w:p>
      <w:pPr>
        <w:jc w:val="both"/>
        <w:ind w:firstLine="1023"/>
        <w:spacing w:after="0" w:line="231" w:lineRule="auto"/>
        <w:tabs>
          <w:tab w:leader="none" w:pos="1523" w:val="left"/>
        </w:tabs>
        <w:numPr>
          <w:ilvl w:val="1"/>
          <w:numId w:val="73"/>
        </w:numPr>
        <w:rPr>
          <w:rFonts w:ascii="Arial" w:cs="Arial" w:eastAsia="Arial" w:hAnsi="Arial"/>
          <w:sz w:val="14"/>
          <w:szCs w:val="14"/>
          <w:color w:val="auto"/>
        </w:rPr>
      </w:pPr>
      <w:r>
        <w:rPr>
          <w:rFonts w:ascii="Arial" w:cs="Arial" w:eastAsia="Arial" w:hAnsi="Arial"/>
          <w:sz w:val="14"/>
          <w:szCs w:val="14"/>
          <w:u w:val="single" w:color="auto"/>
          <w:color w:val="auto"/>
        </w:rPr>
        <w:t>Termination for other than Cause, Death or Disability or Resignation by Executive for Good Reason Related to a Change of Control.</w:t>
      </w:r>
      <w:r>
        <w:rPr>
          <w:rFonts w:ascii="Arial" w:cs="Arial" w:eastAsia="Arial" w:hAnsi="Arial"/>
          <w:sz w:val="14"/>
          <w:szCs w:val="14"/>
          <w:color w:val="auto"/>
        </w:rPr>
        <w:t xml:space="preserve"> If, within the Change of Control Period (i) the Company (or any parent or subsidiary or successor of the Company) terminates Executive’s employment with the Company other than for Cause, death or Disability (except as otherwise provided below), or (ii) Executive resigns from such employment for Good Reason, then, subject to Section 8, Executive will be entitled to receive:</w:t>
      </w:r>
    </w:p>
    <w:p>
      <w:pPr>
        <w:spacing w:after="0" w:line="129" w:lineRule="exact"/>
        <w:rPr>
          <w:rFonts w:ascii="Arial" w:cs="Arial" w:eastAsia="Arial" w:hAnsi="Arial"/>
          <w:sz w:val="14"/>
          <w:szCs w:val="14"/>
          <w:color w:val="auto"/>
        </w:rPr>
      </w:pPr>
    </w:p>
    <w:p>
      <w:pPr>
        <w:jc w:val="both"/>
        <w:ind w:firstLine="1787"/>
        <w:spacing w:after="0" w:line="238" w:lineRule="auto"/>
        <w:tabs>
          <w:tab w:leader="none" w:pos="2033" w:val="left"/>
        </w:tabs>
        <w:numPr>
          <w:ilvl w:val="2"/>
          <w:numId w:val="73"/>
        </w:numPr>
        <w:rPr>
          <w:rFonts w:ascii="Arial" w:cs="Arial" w:eastAsia="Arial" w:hAnsi="Arial"/>
          <w:sz w:val="13"/>
          <w:szCs w:val="13"/>
          <w:color w:val="auto"/>
        </w:rPr>
      </w:pPr>
      <w:r>
        <w:rPr>
          <w:rFonts w:ascii="Arial" w:cs="Arial" w:eastAsia="Arial" w:hAnsi="Arial"/>
          <w:sz w:val="13"/>
          <w:szCs w:val="13"/>
          <w:color w:val="auto"/>
        </w:rPr>
        <w:t xml:space="preserve">a lump sum payment from the Company equal to one hundred and fifty percent (150%) of the sum of: (A) Executive’s Base Salary, as then in effect, or if greater, at the level in effect immediately prior to the Change of Control, </w:t>
      </w:r>
      <w:r>
        <w:rPr>
          <w:rFonts w:ascii="Arial" w:cs="Arial" w:eastAsia="Arial" w:hAnsi="Arial"/>
          <w:sz w:val="13"/>
          <w:szCs w:val="13"/>
          <w:i w:val="1"/>
          <w:iCs w:val="1"/>
          <w:color w:val="auto"/>
        </w:rPr>
        <w:t>plus</w:t>
      </w:r>
      <w:r>
        <w:rPr>
          <w:rFonts w:ascii="Arial" w:cs="Arial" w:eastAsia="Arial" w:hAnsi="Arial"/>
          <w:sz w:val="13"/>
          <w:szCs w:val="13"/>
          <w:color w:val="auto"/>
        </w:rPr>
        <w:t xml:space="preserve"> (B) Executive’s Target Bonus in effect for the fiscal year in which Executive’s termination of employment occurs. The severance will be paid, less applicable withholdings, on the sixty-first (61st) day following Executive’s termination of employment in accordance with the Company’s normal payroll practices (subject to any delay as may be required by Section 7(c)). For the avoidance of doubt, if (x) Executive incurred a termination of employment prior to a Change of Control that qualifies Executive for severance payments under Section 6(a)(i); and (y) a Change of Control occurs within the three (3)-month period following Executive’s termination of employment that qualifies Executive for the superior benefits under this Section 6(b)(i), then Executive shall be entitled to a lump-sum payment of the amount calculated under this Section 6(b)(i), less amounts already paid under Section 6(a)(i).</w:t>
      </w:r>
    </w:p>
    <w:p>
      <w:pPr>
        <w:spacing w:after="0" w:line="129" w:lineRule="exact"/>
        <w:rPr>
          <w:rFonts w:ascii="Arial" w:cs="Arial" w:eastAsia="Arial" w:hAnsi="Arial"/>
          <w:sz w:val="13"/>
          <w:szCs w:val="13"/>
          <w:color w:val="auto"/>
        </w:rPr>
      </w:pPr>
    </w:p>
    <w:p>
      <w:pPr>
        <w:jc w:val="both"/>
        <w:ind w:firstLine="1787"/>
        <w:spacing w:after="0" w:line="239" w:lineRule="auto"/>
        <w:tabs>
          <w:tab w:leader="none" w:pos="2030" w:val="left"/>
        </w:tabs>
        <w:numPr>
          <w:ilvl w:val="2"/>
          <w:numId w:val="73"/>
        </w:numPr>
        <w:rPr>
          <w:rFonts w:ascii="Arial" w:cs="Arial" w:eastAsia="Arial" w:hAnsi="Arial"/>
          <w:sz w:val="13"/>
          <w:szCs w:val="13"/>
          <w:color w:val="auto"/>
        </w:rPr>
      </w:pPr>
      <w:r>
        <w:rPr>
          <w:rFonts w:ascii="Arial" w:cs="Arial" w:eastAsia="Arial" w:hAnsi="Arial"/>
          <w:sz w:val="13"/>
          <w:szCs w:val="13"/>
          <w:color w:val="auto"/>
        </w:rPr>
        <w:t>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w:t>
      </w:r>
    </w:p>
    <w:p>
      <w:pPr>
        <w:ind w:firstLine="5"/>
        <w:spacing w:after="0" w:line="228" w:lineRule="auto"/>
        <w:tabs>
          <w:tab w:leader="none" w:pos="248" w:val="left"/>
        </w:tabs>
        <w:numPr>
          <w:ilvl w:val="0"/>
          <w:numId w:val="74"/>
        </w:numPr>
        <w:rPr>
          <w:rFonts w:ascii="Arial" w:cs="Arial" w:eastAsia="Arial" w:hAnsi="Arial"/>
          <w:sz w:val="14"/>
          <w:szCs w:val="14"/>
          <w:color w:val="auto"/>
        </w:rPr>
      </w:pPr>
      <w:r>
        <w:rPr>
          <w:rFonts w:ascii="Arial" w:cs="Arial" w:eastAsia="Arial" w:hAnsi="Arial"/>
          <w:sz w:val="14"/>
          <w:szCs w:val="14"/>
          <w:color w:val="auto"/>
        </w:rPr>
        <w:t>a period of eighteen (18) months from the date of termination or (B) the date upon which Executive and/or Executive’s eligible dependents are no longer eligible for COBRA continuation coverage. The reimbursements will be subject to the same conditions, limitations, and restrictions as the COBRA benefits described 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306" w:right="319" w:bottom="1440" w:gutter="0" w:footer="0" w:header="0"/>
        </w:sectPr>
      </w:pPr>
    </w:p>
    <w:bookmarkStart w:id="162" w:name="page163"/>
    <w:bookmarkEnd w:id="162"/>
    <w:p>
      <w:pPr>
        <w:spacing w:after="0" w:line="239" w:lineRule="auto"/>
        <w:rPr>
          <w:sz w:val="20"/>
          <w:szCs w:val="20"/>
          <w:color w:val="auto"/>
        </w:rPr>
      </w:pPr>
      <w:r>
        <w:rPr>
          <w:rFonts w:ascii="Arial" w:cs="Arial" w:eastAsia="Arial" w:hAnsi="Arial"/>
          <w:sz w:val="13"/>
          <w:szCs w:val="13"/>
          <w:color w:val="auto"/>
        </w:rPr>
        <w:t>Section 6(a)(ii); provided, however, that if the Company provides Executive a taxable monthly payment in lieu of COBRA reimbursement, such payment will be subject to the same conditions, limitations, and restrictions as COBRA benefits described in Section 6(a)(ii). For the avoidance of doubt, if (x) Executive incurred a termination of employment prior to a Change of Control that</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qualifies Executive for COBRA benefits under Section 6(a)(ii); and (y) a Change of Control occurs within the three (3)-month period following Executive’s termination of employment that qualifies Executive for the benefits under this Section 6(b)(ii), then Executive’s benefits under this Section 6(b)(ii) shall be offset by the benefits already provided to Executive under Section 6(b)(i).</w:t>
      </w:r>
    </w:p>
    <w:p>
      <w:pPr>
        <w:spacing w:after="0" w:line="121" w:lineRule="exact"/>
        <w:rPr>
          <w:sz w:val="20"/>
          <w:szCs w:val="20"/>
          <w:color w:val="auto"/>
        </w:rPr>
      </w:pPr>
    </w:p>
    <w:p>
      <w:pPr>
        <w:ind w:right="100" w:firstLine="1787"/>
        <w:spacing w:after="0" w:line="287" w:lineRule="auto"/>
        <w:tabs>
          <w:tab w:leader="none" w:pos="2037" w:val="left"/>
        </w:tabs>
        <w:numPr>
          <w:ilvl w:val="3"/>
          <w:numId w:val="75"/>
        </w:numPr>
        <w:rPr>
          <w:rFonts w:ascii="Arial" w:cs="Arial" w:eastAsia="Arial" w:hAnsi="Arial"/>
          <w:sz w:val="13"/>
          <w:szCs w:val="13"/>
          <w:color w:val="auto"/>
        </w:rPr>
      </w:pPr>
      <w:r>
        <w:rPr>
          <w:rFonts w:ascii="Arial" w:cs="Arial" w:eastAsia="Arial" w:hAnsi="Arial"/>
          <w:sz w:val="13"/>
          <w:szCs w:val="13"/>
          <w:color w:val="auto"/>
        </w:rPr>
        <w:t>accelerated vesting as to one hundred percent (100%) of all of Executive’s then-outstanding and unvested equity awards to acquire the Company’s common stock (as well as, if applicable, all property, rights and awards issued in substitution for Company equity awards, whether such substitute awards are payable in equity, cash or any other medium).</w:t>
      </w:r>
    </w:p>
    <w:p>
      <w:pPr>
        <w:spacing w:after="0" w:line="98" w:lineRule="exact"/>
        <w:rPr>
          <w:rFonts w:ascii="Arial" w:cs="Arial" w:eastAsia="Arial" w:hAnsi="Arial"/>
          <w:sz w:val="13"/>
          <w:szCs w:val="13"/>
          <w:color w:val="auto"/>
        </w:rPr>
      </w:pPr>
    </w:p>
    <w:p>
      <w:pPr>
        <w:ind w:firstLine="1787"/>
        <w:spacing w:after="0" w:line="236" w:lineRule="auto"/>
        <w:tabs>
          <w:tab w:leader="none" w:pos="2029" w:val="left"/>
        </w:tabs>
        <w:numPr>
          <w:ilvl w:val="3"/>
          <w:numId w:val="75"/>
        </w:numPr>
        <w:rPr>
          <w:rFonts w:ascii="Arial" w:cs="Arial" w:eastAsia="Arial" w:hAnsi="Arial"/>
          <w:sz w:val="14"/>
          <w:szCs w:val="14"/>
          <w:color w:val="auto"/>
        </w:rPr>
      </w:pPr>
      <w:r>
        <w:rPr>
          <w:rFonts w:ascii="Arial" w:cs="Arial" w:eastAsia="Arial" w:hAnsi="Arial"/>
          <w:sz w:val="14"/>
          <w:szCs w:val="14"/>
          <w:color w:val="auto"/>
        </w:rPr>
        <w:t>Executive’s outstanding stock option awards will remain exercisable until the earlier of (a) twelve (12) months following the date of Executive’s termination of employment, or (b) the expiration of the term of such Company stock option award as set forth in the applicable Company stock option agreement.</w:t>
      </w:r>
    </w:p>
    <w:p>
      <w:pPr>
        <w:spacing w:after="0" w:line="139" w:lineRule="exact"/>
        <w:rPr>
          <w:rFonts w:ascii="Arial" w:cs="Arial" w:eastAsia="Arial" w:hAnsi="Arial"/>
          <w:sz w:val="14"/>
          <w:szCs w:val="14"/>
          <w:color w:val="auto"/>
        </w:rPr>
      </w:pPr>
    </w:p>
    <w:p>
      <w:pPr>
        <w:ind w:right="100" w:firstLine="1787"/>
        <w:spacing w:after="0" w:line="236" w:lineRule="auto"/>
        <w:tabs>
          <w:tab w:leader="none" w:pos="2032" w:val="left"/>
        </w:tabs>
        <w:numPr>
          <w:ilvl w:val="3"/>
          <w:numId w:val="75"/>
        </w:numPr>
        <w:rPr>
          <w:rFonts w:ascii="Arial" w:cs="Arial" w:eastAsia="Arial" w:hAnsi="Arial"/>
          <w:sz w:val="14"/>
          <w:szCs w:val="14"/>
          <w:color w:val="auto"/>
        </w:rPr>
      </w:pPr>
      <w:r>
        <w:rPr>
          <w:rFonts w:ascii="Arial" w:cs="Arial" w:eastAsia="Arial" w:hAnsi="Arial"/>
          <w:sz w:val="14"/>
          <w:szCs w:val="14"/>
          <w:color w:val="auto"/>
        </w:rPr>
        <w:t>If such termination occurs before the Option has been granted to Executive, effective immediately prior to such termination, the Company will grant to Executive the Option and clauses (iii) and (iv) shall be given effect with respect to the Option.</w:t>
      </w:r>
    </w:p>
    <w:p>
      <w:pPr>
        <w:spacing w:after="0" w:line="128" w:lineRule="exact"/>
        <w:rPr>
          <w:rFonts w:ascii="Arial" w:cs="Arial" w:eastAsia="Arial" w:hAnsi="Arial"/>
          <w:sz w:val="14"/>
          <w:szCs w:val="14"/>
          <w:color w:val="auto"/>
        </w:rPr>
      </w:pPr>
    </w:p>
    <w:p>
      <w:pPr>
        <w:ind w:firstLine="1787"/>
        <w:spacing w:after="0" w:line="249" w:lineRule="auto"/>
        <w:tabs>
          <w:tab w:leader="none" w:pos="2029" w:val="left"/>
        </w:tabs>
        <w:numPr>
          <w:ilvl w:val="3"/>
          <w:numId w:val="75"/>
        </w:numPr>
        <w:rPr>
          <w:rFonts w:ascii="Arial" w:cs="Arial" w:eastAsia="Arial" w:hAnsi="Arial"/>
          <w:sz w:val="14"/>
          <w:szCs w:val="14"/>
          <w:color w:val="auto"/>
        </w:rPr>
      </w:pPr>
      <w:r>
        <w:rPr>
          <w:rFonts w:ascii="Arial" w:cs="Arial" w:eastAsia="Arial" w:hAnsi="Arial"/>
          <w:sz w:val="14"/>
          <w:szCs w:val="14"/>
          <w:color w:val="auto"/>
        </w:rPr>
        <w:t>The Company will pay Executive (x) the Pro Rata Bonus and (y) any applicable Prior Year Bonus, which Pro Rata Bonus and Prior Year Bonus, as applicable, shall be paid at the time set forth in Section 4(b) above.</w:t>
      </w:r>
    </w:p>
    <w:p>
      <w:pPr>
        <w:spacing w:after="0" w:line="122" w:lineRule="exact"/>
        <w:rPr>
          <w:rFonts w:ascii="Arial" w:cs="Arial" w:eastAsia="Arial" w:hAnsi="Arial"/>
          <w:sz w:val="14"/>
          <w:szCs w:val="14"/>
          <w:color w:val="auto"/>
        </w:rPr>
      </w:pPr>
    </w:p>
    <w:p>
      <w:pPr>
        <w:jc w:val="both"/>
        <w:ind w:firstLine="1023"/>
        <w:spacing w:after="0" w:line="232" w:lineRule="auto"/>
        <w:tabs>
          <w:tab w:leader="none" w:pos="1526" w:val="left"/>
        </w:tabs>
        <w:numPr>
          <w:ilvl w:val="2"/>
          <w:numId w:val="76"/>
        </w:numPr>
        <w:rPr>
          <w:rFonts w:ascii="Arial" w:cs="Arial" w:eastAsia="Arial" w:hAnsi="Arial"/>
          <w:sz w:val="13"/>
          <w:szCs w:val="13"/>
          <w:color w:val="auto"/>
        </w:rPr>
      </w:pPr>
      <w:r>
        <w:rPr>
          <w:rFonts w:ascii="Arial" w:cs="Arial" w:eastAsia="Arial" w:hAnsi="Arial"/>
          <w:sz w:val="13"/>
          <w:szCs w:val="13"/>
          <w:u w:val="single" w:color="auto"/>
          <w:color w:val="auto"/>
        </w:rPr>
        <w:t>Termination for Cause, Death or Disability; Resignation without Good Reason</w:t>
      </w:r>
      <w:r>
        <w:rPr>
          <w:rFonts w:ascii="Arial" w:cs="Arial" w:eastAsia="Arial" w:hAnsi="Arial"/>
          <w:sz w:val="13"/>
          <w:szCs w:val="13"/>
          <w:color w:val="auto"/>
        </w:rPr>
        <w:t>. If Executive’s employment with the Company (or any parent or subsidiary or successor of the Company) terminates voluntarily by Executive (except upon resignation for Good Reason), for Cause by the Company or due to Executive’s death or Disability, then (i) all vesting will terminate immediately with respect to Executive’s outstanding equity awards, (ii) all payments of compensation by the Company to Executive hereunder will terminate immediately (except that the Company will pay Executive (or provide Executive with, as applicable) (or, if applicable, his estate) the Accrued Obligations within thirty (30) days following his termination date), except that Executive shall be entitled to the Prior Year Bonus and (unless Executive’s employment is terminated for Cause) the Pro Rata Bonus, in each case, which shall be paid at the time set forth in Section 4(b) above, and</w:t>
      </w:r>
    </w:p>
    <w:p>
      <w:pPr>
        <w:jc w:val="both"/>
        <w:ind w:firstLine="5"/>
        <w:spacing w:after="0" w:line="220" w:lineRule="auto"/>
        <w:tabs>
          <w:tab w:leader="none" w:pos="258"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Executive will otherwise only be eligible for severance benefits in accordance with the Company’s established policies, if any, as then in effect. Notwithstanding the foregoing, if Executive’s employment with the Company terminates due to his death or Disability within eighteen (18) months following the date hereof, for purposes of applying Section 7(a) or Section 7(b) (as otherwise applicable), Executive will be deemed to have been terminated without Cause on the date Executive’s employment terminates due to death or Disability and Executive will be entitled to the payments and benefits provided under Section 7(a) or Section 7(b) (as otherwise applicable) following the date of such termination.</w:t>
      </w:r>
    </w:p>
    <w:p>
      <w:pPr>
        <w:spacing w:after="0" w:line="129" w:lineRule="exact"/>
        <w:rPr>
          <w:rFonts w:ascii="Arial" w:cs="Arial" w:eastAsia="Arial" w:hAnsi="Arial"/>
          <w:sz w:val="14"/>
          <w:szCs w:val="14"/>
          <w:color w:val="auto"/>
        </w:rPr>
      </w:pPr>
    </w:p>
    <w:p>
      <w:pPr>
        <w:jc w:val="both"/>
        <w:ind w:firstLine="1023"/>
        <w:spacing w:after="0" w:line="243" w:lineRule="auto"/>
        <w:tabs>
          <w:tab w:leader="none" w:pos="1523" w:val="left"/>
        </w:tabs>
        <w:numPr>
          <w:ilvl w:val="2"/>
          <w:numId w:val="77"/>
        </w:numPr>
        <w:rPr>
          <w:rFonts w:ascii="Arial" w:cs="Arial" w:eastAsia="Arial" w:hAnsi="Arial"/>
          <w:sz w:val="13"/>
          <w:szCs w:val="13"/>
          <w:color w:val="auto"/>
        </w:rPr>
      </w:pPr>
      <w:r>
        <w:rPr>
          <w:rFonts w:ascii="Arial" w:cs="Arial" w:eastAsia="Arial" w:hAnsi="Arial"/>
          <w:sz w:val="13"/>
          <w:szCs w:val="13"/>
          <w:u w:val="single" w:color="auto"/>
          <w:color w:val="auto"/>
        </w:rPr>
        <w:t>Exclusive Remedy</w:t>
      </w:r>
      <w:r>
        <w:rPr>
          <w:rFonts w:ascii="Arial" w:cs="Arial" w:eastAsia="Arial" w:hAnsi="Arial"/>
          <w:sz w:val="13"/>
          <w:szCs w:val="13"/>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including any prior employment agreements entered into between the Company and Executive. Executive will be entitled to no severance or other benefits upon termination of employment with respect to acceleration of award vesting or severance pay other than those benefits expressly set forth in this Section 7.</w:t>
      </w:r>
    </w:p>
    <w:p>
      <w:pPr>
        <w:spacing w:after="0" w:line="126" w:lineRule="exact"/>
        <w:rPr>
          <w:rFonts w:ascii="Arial" w:cs="Arial" w:eastAsia="Arial" w:hAnsi="Arial"/>
          <w:sz w:val="13"/>
          <w:szCs w:val="13"/>
          <w:color w:val="auto"/>
        </w:rPr>
      </w:pPr>
    </w:p>
    <w:p>
      <w:pPr>
        <w:ind w:left="1020" w:hanging="506"/>
        <w:spacing w:after="0"/>
        <w:tabs>
          <w:tab w:leader="none" w:pos="1020" w:val="left"/>
        </w:tabs>
        <w:numPr>
          <w:ilvl w:val="1"/>
          <w:numId w:val="77"/>
        </w:numPr>
        <w:rPr>
          <w:rFonts w:ascii="Arial" w:cs="Arial" w:eastAsia="Arial" w:hAnsi="Arial"/>
          <w:sz w:val="14"/>
          <w:szCs w:val="14"/>
          <w:color w:val="auto"/>
        </w:rPr>
      </w:pPr>
      <w:r>
        <w:rPr>
          <w:rFonts w:ascii="Arial" w:cs="Arial" w:eastAsia="Arial" w:hAnsi="Arial"/>
          <w:sz w:val="14"/>
          <w:szCs w:val="14"/>
          <w:u w:val="single" w:color="auto"/>
          <w:color w:val="auto"/>
        </w:rPr>
        <w:t>Conditions to Receipt of Severance; No Duty to Mitigate</w:t>
      </w:r>
      <w:r>
        <w:rPr>
          <w:rFonts w:ascii="Arial" w:cs="Arial" w:eastAsia="Arial" w:hAnsi="Arial"/>
          <w:sz w:val="14"/>
          <w:szCs w:val="14"/>
          <w:color w:val="auto"/>
        </w:rPr>
        <w:t>.</w:t>
      </w:r>
    </w:p>
    <w:p>
      <w:pPr>
        <w:spacing w:after="0" w:line="157" w:lineRule="exact"/>
        <w:rPr>
          <w:rFonts w:ascii="Arial" w:cs="Arial" w:eastAsia="Arial" w:hAnsi="Arial"/>
          <w:sz w:val="14"/>
          <w:szCs w:val="14"/>
          <w:color w:val="auto"/>
        </w:rPr>
      </w:pPr>
    </w:p>
    <w:p>
      <w:pPr>
        <w:jc w:val="both"/>
        <w:ind w:firstLine="1023"/>
        <w:spacing w:after="0" w:line="243" w:lineRule="auto"/>
        <w:tabs>
          <w:tab w:leader="none" w:pos="1526" w:val="left"/>
        </w:tabs>
        <w:numPr>
          <w:ilvl w:val="2"/>
          <w:numId w:val="78"/>
        </w:numPr>
        <w:rPr>
          <w:rFonts w:ascii="Arial" w:cs="Arial" w:eastAsia="Arial" w:hAnsi="Arial"/>
          <w:sz w:val="13"/>
          <w:szCs w:val="13"/>
          <w:color w:val="auto"/>
        </w:rPr>
      </w:pPr>
      <w:r>
        <w:rPr>
          <w:rFonts w:ascii="Arial" w:cs="Arial" w:eastAsia="Arial" w:hAnsi="Arial"/>
          <w:sz w:val="13"/>
          <w:szCs w:val="13"/>
          <w:u w:val="single" w:color="auto"/>
          <w:color w:val="auto"/>
        </w:rPr>
        <w:t>Separation Agreement and Release of Claims</w:t>
      </w:r>
      <w:r>
        <w:rPr>
          <w:rFonts w:ascii="Arial" w:cs="Arial" w:eastAsia="Arial" w:hAnsi="Arial"/>
          <w:sz w:val="13"/>
          <w:szCs w:val="13"/>
          <w:color w:val="auto"/>
        </w:rPr>
        <w:t>. The receipt of any severance pursuant to Section 7(a) or 7(b) will be subject to Executive signing and not revoking a separation agreement and release of claims in a form reasonably satisfactory to the Company (the “</w:t>
      </w:r>
      <w:r>
        <w:rPr>
          <w:rFonts w:ascii="Arial" w:cs="Arial" w:eastAsia="Arial" w:hAnsi="Arial"/>
          <w:sz w:val="13"/>
          <w:szCs w:val="13"/>
          <w:b w:val="1"/>
          <w:bCs w:val="1"/>
          <w:color w:val="auto"/>
        </w:rPr>
        <w:t>Release</w:t>
      </w:r>
      <w:r>
        <w:rPr>
          <w:rFonts w:ascii="Arial" w:cs="Arial" w:eastAsia="Arial" w:hAnsi="Arial"/>
          <w:sz w:val="13"/>
          <w:szCs w:val="13"/>
          <w:color w:val="auto"/>
        </w:rPr>
        <w:t>”) and provided that such Release becomes effective and irrevocable no later than sixty (60) days following the termination date (such deadline, the “</w:t>
      </w:r>
      <w:r>
        <w:rPr>
          <w:rFonts w:ascii="Arial" w:cs="Arial" w:eastAsia="Arial" w:hAnsi="Arial"/>
          <w:sz w:val="13"/>
          <w:szCs w:val="13"/>
          <w:b w:val="1"/>
          <w:bCs w:val="1"/>
          <w:color w:val="auto"/>
        </w:rPr>
        <w:t>Release Deadline</w:t>
      </w:r>
      <w:r>
        <w:rPr>
          <w:rFonts w:ascii="Arial" w:cs="Arial" w:eastAsia="Arial" w:hAnsi="Arial"/>
          <w:sz w:val="13"/>
          <w:szCs w:val="13"/>
          <w:color w:val="auto"/>
        </w:rPr>
        <w:t>”). If the Release does not become effective and irrevocable by the Release Deadline, Executive will forfeit any rights to severance or benefits under this Agreement. In no event will severance payments or benefits be paid or provided until the Release becomes effective and irrevocable.</w:t>
      </w:r>
    </w:p>
    <w:p>
      <w:pPr>
        <w:spacing w:after="0" w:line="126" w:lineRule="exact"/>
        <w:rPr>
          <w:rFonts w:ascii="Arial" w:cs="Arial" w:eastAsia="Arial" w:hAnsi="Arial"/>
          <w:sz w:val="13"/>
          <w:szCs w:val="13"/>
          <w:color w:val="auto"/>
        </w:rPr>
      </w:pPr>
    </w:p>
    <w:p>
      <w:pPr>
        <w:ind w:left="1520" w:hanging="497"/>
        <w:spacing w:after="0"/>
        <w:tabs>
          <w:tab w:leader="none" w:pos="1520" w:val="left"/>
        </w:tabs>
        <w:numPr>
          <w:ilvl w:val="2"/>
          <w:numId w:val="78"/>
        </w:numPr>
        <w:rPr>
          <w:rFonts w:ascii="Arial" w:cs="Arial" w:eastAsia="Arial" w:hAnsi="Arial"/>
          <w:sz w:val="14"/>
          <w:szCs w:val="14"/>
          <w:color w:val="auto"/>
        </w:rPr>
      </w:pP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left="1540" w:hanging="517"/>
        <w:spacing w:after="0"/>
        <w:tabs>
          <w:tab w:leader="none" w:pos="1540" w:val="left"/>
        </w:tabs>
        <w:numPr>
          <w:ilvl w:val="2"/>
          <w:numId w:val="78"/>
        </w:numPr>
        <w:rPr>
          <w:rFonts w:ascii="Arial" w:cs="Arial" w:eastAsia="Arial" w:hAnsi="Arial"/>
          <w:sz w:val="14"/>
          <w:szCs w:val="14"/>
          <w:color w:val="auto"/>
        </w:rPr>
      </w:pPr>
      <w:r>
        <w:rPr>
          <w:rFonts w:ascii="Arial" w:cs="Arial" w:eastAsia="Arial" w:hAnsi="Arial"/>
          <w:sz w:val="14"/>
          <w:szCs w:val="14"/>
          <w:u w:val="single" w:color="auto"/>
          <w:color w:val="auto"/>
        </w:rPr>
        <w:t>Section 409A</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300" w:top="1306" w:right="319" w:bottom="1440" w:gutter="0" w:footer="0" w:header="0"/>
        </w:sectPr>
      </w:pPr>
    </w:p>
    <w:bookmarkStart w:id="163" w:name="page164"/>
    <w:bookmarkEnd w:id="163"/>
    <w:p>
      <w:pPr>
        <w:jc w:val="both"/>
        <w:ind w:firstLine="1787"/>
        <w:spacing w:after="0" w:line="235" w:lineRule="auto"/>
        <w:tabs>
          <w:tab w:leader="none" w:pos="2033" w:val="left"/>
        </w:tabs>
        <w:numPr>
          <w:ilvl w:val="3"/>
          <w:numId w:val="79"/>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Code Section 409A, and the final regulations and any guidance promulgated thereunder (“</w:t>
      </w:r>
      <w:r>
        <w:rPr>
          <w:rFonts w:ascii="Arial" w:cs="Arial" w:eastAsia="Arial" w:hAnsi="Arial"/>
          <w:sz w:val="13"/>
          <w:szCs w:val="13"/>
          <w:b w:val="1"/>
          <w:bCs w:val="1"/>
          <w:color w:val="auto"/>
        </w:rPr>
        <w:t>Section 409A</w:t>
      </w:r>
      <w:r>
        <w:rPr>
          <w:rFonts w:ascii="Arial" w:cs="Arial" w:eastAsia="Arial" w:hAnsi="Arial"/>
          <w:sz w:val="13"/>
          <w:szCs w:val="13"/>
          <w:color w:val="auto"/>
        </w:rPr>
        <w:t>”) (together, the “</w:t>
      </w:r>
      <w:r>
        <w:rPr>
          <w:rFonts w:ascii="Arial" w:cs="Arial" w:eastAsia="Arial" w:hAnsi="Arial"/>
          <w:sz w:val="13"/>
          <w:szCs w:val="13"/>
          <w:b w:val="1"/>
          <w:bCs w:val="1"/>
          <w:color w:val="auto"/>
        </w:rPr>
        <w:t>Deferred Payments</w:t>
      </w:r>
      <w:r>
        <w:rPr>
          <w:rFonts w:ascii="Arial" w:cs="Arial" w:eastAsia="Arial" w:hAnsi="Arial"/>
          <w:sz w:val="13"/>
          <w:szCs w:val="13"/>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 To the extent that any payment under Section 7(b) above, if made in accordance with the timing provided in Section 7(b) would result in any portion of such payment being subject to additional taxes to Executive under Section 409A (or any similar state law), such payment shall instead be made consistent with the timing set forth in Section 7(a) (if doing so would avoid such additional taxes being imposed on Executive).</w:t>
      </w:r>
    </w:p>
    <w:p>
      <w:pPr>
        <w:spacing w:after="0" w:line="131" w:lineRule="exact"/>
        <w:rPr>
          <w:rFonts w:ascii="Arial" w:cs="Arial" w:eastAsia="Arial" w:hAnsi="Arial"/>
          <w:sz w:val="13"/>
          <w:szCs w:val="13"/>
          <w:color w:val="auto"/>
        </w:rPr>
      </w:pPr>
    </w:p>
    <w:p>
      <w:pPr>
        <w:jc w:val="both"/>
        <w:ind w:firstLine="1787"/>
        <w:spacing w:after="0" w:line="235" w:lineRule="auto"/>
        <w:tabs>
          <w:tab w:leader="none" w:pos="2030" w:val="left"/>
        </w:tabs>
        <w:numPr>
          <w:ilvl w:val="3"/>
          <w:numId w:val="79"/>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if Executive is a “specified employee” within the meaning of Section 409A at the time of Executive’s termination (other than due to death), then the Deferred Payments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for purposes of Section 1.409A-2(b)(2) of the Treasury Regulations.</w:t>
      </w:r>
    </w:p>
    <w:p>
      <w:pPr>
        <w:spacing w:after="0" w:line="142" w:lineRule="exact"/>
        <w:rPr>
          <w:rFonts w:ascii="Arial" w:cs="Arial" w:eastAsia="Arial" w:hAnsi="Arial"/>
          <w:sz w:val="13"/>
          <w:szCs w:val="13"/>
          <w:color w:val="auto"/>
        </w:rPr>
      </w:pPr>
    </w:p>
    <w:p>
      <w:pPr>
        <w:ind w:firstLine="1787"/>
        <w:spacing w:after="0" w:line="236" w:lineRule="auto"/>
        <w:tabs>
          <w:tab w:leader="none" w:pos="2037" w:val="left"/>
        </w:tabs>
        <w:numPr>
          <w:ilvl w:val="3"/>
          <w:numId w:val="79"/>
        </w:numPr>
        <w:rPr>
          <w:rFonts w:ascii="Arial" w:cs="Arial" w:eastAsia="Arial" w:hAnsi="Arial"/>
          <w:sz w:val="14"/>
          <w:szCs w:val="14"/>
          <w:color w:val="auto"/>
        </w:rPr>
      </w:pPr>
      <w:r>
        <w:rPr>
          <w:rFonts w:ascii="Arial" w:cs="Arial" w:eastAsia="Arial" w:hAnsi="Arial"/>
          <w:sz w:val="14"/>
          <w:szCs w:val="14"/>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28" w:lineRule="exact"/>
        <w:rPr>
          <w:rFonts w:ascii="Arial" w:cs="Arial" w:eastAsia="Arial" w:hAnsi="Arial"/>
          <w:sz w:val="14"/>
          <w:szCs w:val="14"/>
          <w:color w:val="auto"/>
        </w:rPr>
      </w:pPr>
    </w:p>
    <w:p>
      <w:pPr>
        <w:ind w:left="2040" w:hanging="253"/>
        <w:spacing w:after="0"/>
        <w:tabs>
          <w:tab w:leader="none" w:pos="2040" w:val="left"/>
        </w:tabs>
        <w:numPr>
          <w:ilvl w:val="3"/>
          <w:numId w:val="79"/>
        </w:numPr>
        <w:rPr>
          <w:rFonts w:ascii="Arial" w:cs="Arial" w:eastAsia="Arial" w:hAnsi="Arial"/>
          <w:sz w:val="12"/>
          <w:szCs w:val="12"/>
          <w:color w:val="auto"/>
        </w:rPr>
      </w:pPr>
      <w:r>
        <w:rPr>
          <w:rFonts w:ascii="Arial" w:cs="Arial" w:eastAsia="Arial" w:hAnsi="Arial"/>
          <w:sz w:val="12"/>
          <w:szCs w:val="12"/>
          <w:color w:val="auto"/>
        </w:rPr>
        <w:t>Any amount paid under this Agreement that qualifies as a payment made as a result of an involuntary separation from service pursuant to Section 1.409A-1(b)(9)</w:t>
      </w:r>
    </w:p>
    <w:p>
      <w:pPr>
        <w:spacing w:after="0" w:line="22" w:lineRule="exact"/>
        <w:rPr>
          <w:rFonts w:ascii="Arial" w:cs="Arial" w:eastAsia="Arial" w:hAnsi="Arial"/>
          <w:sz w:val="12"/>
          <w:szCs w:val="12"/>
          <w:color w:val="auto"/>
        </w:rPr>
      </w:pPr>
    </w:p>
    <w:p>
      <w:pPr>
        <w:ind w:left="260" w:hanging="255"/>
        <w:spacing w:after="0"/>
        <w:tabs>
          <w:tab w:leader="none" w:pos="2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of the Treasury Regulations that does not exceed the Section 409A Limit (as defined below) will not constitute Deferred Payments for purposes of clause (i) above.</w:t>
      </w:r>
    </w:p>
    <w:p>
      <w:pPr>
        <w:spacing w:after="0" w:line="134" w:lineRule="exact"/>
        <w:rPr>
          <w:rFonts w:ascii="Arial" w:cs="Arial" w:eastAsia="Arial" w:hAnsi="Arial"/>
          <w:sz w:val="14"/>
          <w:szCs w:val="14"/>
          <w:color w:val="auto"/>
        </w:rPr>
      </w:pPr>
    </w:p>
    <w:p>
      <w:pPr>
        <w:jc w:val="both"/>
        <w:ind w:firstLine="1787"/>
        <w:spacing w:after="0" w:line="221" w:lineRule="auto"/>
        <w:tabs>
          <w:tab w:leader="none" w:pos="2032" w:val="left"/>
        </w:tabs>
        <w:numPr>
          <w:ilvl w:val="3"/>
          <w:numId w:val="80"/>
        </w:numPr>
        <w:rPr>
          <w:rFonts w:ascii="Arial" w:cs="Arial" w:eastAsia="Arial" w:hAnsi="Arial"/>
          <w:sz w:val="14"/>
          <w:szCs w:val="14"/>
          <w:color w:val="auto"/>
        </w:rPr>
      </w:pPr>
      <w:r>
        <w:rPr>
          <w:rFonts w:ascii="Arial" w:cs="Arial" w:eastAsia="Arial" w:hAnsi="Arial"/>
          <w:sz w:val="14"/>
          <w:szCs w:val="14"/>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w:t>
      </w:r>
    </w:p>
    <w:p>
      <w:pPr>
        <w:spacing w:after="0" w:line="129" w:lineRule="exact"/>
        <w:rPr>
          <w:rFonts w:ascii="Arial" w:cs="Arial" w:eastAsia="Arial" w:hAnsi="Arial"/>
          <w:sz w:val="14"/>
          <w:szCs w:val="14"/>
          <w:color w:val="auto"/>
        </w:rPr>
      </w:pPr>
    </w:p>
    <w:p>
      <w:pPr>
        <w:jc w:val="both"/>
        <w:ind w:firstLine="1023"/>
        <w:spacing w:after="0" w:line="231" w:lineRule="auto"/>
        <w:tabs>
          <w:tab w:leader="none" w:pos="1523" w:val="left"/>
        </w:tabs>
        <w:numPr>
          <w:ilvl w:val="2"/>
          <w:numId w:val="80"/>
        </w:numPr>
        <w:rPr>
          <w:rFonts w:ascii="Arial" w:cs="Arial" w:eastAsia="Arial" w:hAnsi="Arial"/>
          <w:sz w:val="14"/>
          <w:szCs w:val="14"/>
          <w:color w:val="auto"/>
        </w:rPr>
      </w:pPr>
      <w:r>
        <w:rPr>
          <w:rFonts w:ascii="Arial" w:cs="Arial" w:eastAsia="Arial" w:hAnsi="Arial"/>
          <w:sz w:val="14"/>
          <w:szCs w:val="14"/>
          <w:u w:val="single" w:color="auto"/>
          <w:color w:val="auto"/>
        </w:rPr>
        <w:t>Confidential Information Agreement</w:t>
      </w:r>
      <w:r>
        <w:rPr>
          <w:rFonts w:ascii="Arial" w:cs="Arial" w:eastAsia="Arial" w:hAnsi="Arial"/>
          <w:sz w:val="14"/>
          <w:szCs w:val="14"/>
          <w:color w:val="auto"/>
        </w:rPr>
        <w:t>. Executive’s receipt of any payments or benefits under Section 6 will be subject to Executive continuing to comply with the terms of Confidential Information Agreement (as defined in Section 10). In the event Executive breaches the provisions of the Confidential Information Agreement, all continuing payments and benefits to which Executive may otherwise be entitled pursuant to Section 6(a) or (b) will immediately cease.</w:t>
      </w:r>
    </w:p>
    <w:p>
      <w:pPr>
        <w:spacing w:after="0" w:line="129" w:lineRule="exact"/>
        <w:rPr>
          <w:rFonts w:ascii="Arial" w:cs="Arial" w:eastAsia="Arial" w:hAnsi="Arial"/>
          <w:sz w:val="14"/>
          <w:szCs w:val="14"/>
          <w:color w:val="auto"/>
        </w:rPr>
      </w:pPr>
    </w:p>
    <w:p>
      <w:pPr>
        <w:ind w:firstLine="1023"/>
        <w:spacing w:after="0" w:line="236" w:lineRule="auto"/>
        <w:tabs>
          <w:tab w:leader="none" w:pos="1526" w:val="left"/>
        </w:tabs>
        <w:numPr>
          <w:ilvl w:val="2"/>
          <w:numId w:val="80"/>
        </w:numPr>
        <w:rPr>
          <w:rFonts w:ascii="Arial" w:cs="Arial" w:eastAsia="Arial" w:hAnsi="Arial"/>
          <w:sz w:val="14"/>
          <w:szCs w:val="14"/>
          <w:color w:val="auto"/>
        </w:rPr>
      </w:pPr>
      <w:r>
        <w:rPr>
          <w:rFonts w:ascii="Arial" w:cs="Arial" w:eastAsia="Arial" w:hAnsi="Arial"/>
          <w:sz w:val="14"/>
          <w:szCs w:val="14"/>
          <w:u w:val="single" w:color="auto"/>
          <w:color w:val="auto"/>
        </w:rPr>
        <w:t>No Duty to Mitigate</w:t>
      </w:r>
      <w:r>
        <w:rPr>
          <w:rFonts w:ascii="Arial" w:cs="Arial" w:eastAsia="Arial" w:hAnsi="Arial"/>
          <w:sz w:val="14"/>
          <w:szCs w:val="14"/>
          <w:color w:val="auto"/>
        </w:rPr>
        <w:t>. Executive will not be required to mitigate the amount of any payment contemplated by this Agreement, nor will any earnings that Executive may receive from any other source reduce any such payment.</w:t>
      </w:r>
    </w:p>
    <w:p>
      <w:pPr>
        <w:spacing w:after="0" w:line="139" w:lineRule="exact"/>
        <w:rPr>
          <w:rFonts w:ascii="Arial" w:cs="Arial" w:eastAsia="Arial" w:hAnsi="Arial"/>
          <w:sz w:val="14"/>
          <w:szCs w:val="14"/>
          <w:color w:val="auto"/>
        </w:rPr>
      </w:pPr>
    </w:p>
    <w:p>
      <w:pPr>
        <w:ind w:left="1020" w:hanging="506"/>
        <w:spacing w:after="0"/>
        <w:tabs>
          <w:tab w:leader="none" w:pos="1020" w:val="left"/>
        </w:tabs>
        <w:numPr>
          <w:ilvl w:val="1"/>
          <w:numId w:val="80"/>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jc w:val="both"/>
        <w:ind w:firstLine="1023"/>
        <w:spacing w:after="0" w:line="226" w:lineRule="auto"/>
        <w:tabs>
          <w:tab w:leader="none" w:pos="1526" w:val="left"/>
        </w:tabs>
        <w:numPr>
          <w:ilvl w:val="2"/>
          <w:numId w:val="81"/>
        </w:numPr>
        <w:rPr>
          <w:rFonts w:ascii="Arial" w:cs="Arial" w:eastAsia="Arial" w:hAnsi="Arial"/>
          <w:sz w:val="14"/>
          <w:szCs w:val="14"/>
          <w:color w:val="auto"/>
        </w:rPr>
      </w:pPr>
      <w:r>
        <w:rPr>
          <w:rFonts w:ascii="Arial" w:cs="Arial" w:eastAsia="Arial" w:hAnsi="Arial"/>
          <w:sz w:val="14"/>
          <w:szCs w:val="14"/>
          <w:u w:val="single" w:color="auto"/>
          <w:color w:val="auto"/>
        </w:rPr>
        <w:t>Cause</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Cause</w:t>
      </w:r>
      <w:r>
        <w:rPr>
          <w:rFonts w:ascii="Arial" w:cs="Arial" w:eastAsia="Arial" w:hAnsi="Arial"/>
          <w:sz w:val="14"/>
          <w:szCs w:val="14"/>
          <w:color w:val="auto"/>
        </w:rPr>
        <w:t xml:space="preserve">” is defined as (i) the willful failure, disregard, or refusal by Executive to perform the services hereunder or follow the reasonable instructions of the Board;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willful failure, disregard, or refusal by Executive to perform the services hereunder that can reasonably be cured shall not constitute Cause unless cure is not effected, as determined in good faith by the Board, within thirty (30) days after notice thereof is received by Executive from the Company; (ii) any willful or grossly negligent act by Executive having the effect of injuring, in a material way (whether financial or otherwise) as determined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306" w:right="319" w:bottom="1440" w:gutter="0" w:footer="0" w:header="0"/>
        </w:sectPr>
      </w:pPr>
    </w:p>
    <w:bookmarkStart w:id="164" w:name="page165"/>
    <w:bookmarkEnd w:id="164"/>
    <w:p>
      <w:pPr>
        <w:spacing w:after="0" w:line="239" w:lineRule="auto"/>
        <w:rPr>
          <w:sz w:val="20"/>
          <w:szCs w:val="20"/>
          <w:color w:val="auto"/>
        </w:rPr>
      </w:pPr>
      <w:r>
        <w:rPr>
          <w:rFonts w:ascii="Arial" w:cs="Arial" w:eastAsia="Arial" w:hAnsi="Arial"/>
          <w:sz w:val="13"/>
          <w:szCs w:val="13"/>
          <w:color w:val="auto"/>
        </w:rPr>
        <w:t>in good faith by the Board, the business or reputation of the Company or any of its subsidiaries or affiliates; (iii) Executive’s conviction of, guilty plea, or plea of nolo contendere to any felony or a misdemeanor involving moral turpitude; (iv) the determination by the Company, after a reasonable and good faith investigation by the Company following a written allegation by an employee of the</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Company, that Executive engaged in some form of harassment prohibited by law (including, without limitation, age, sex, disability, or race discrimination) unless Executive’s actions were specifically directed by the Board; or (v) material breach by Executive of any provision of this Agreement or any Confidential Information Agreement.</w:t>
      </w:r>
    </w:p>
    <w:p>
      <w:pPr>
        <w:spacing w:after="0" w:line="124" w:lineRule="exact"/>
        <w:rPr>
          <w:sz w:val="20"/>
          <w:szCs w:val="20"/>
          <w:color w:val="auto"/>
        </w:rPr>
      </w:pPr>
    </w:p>
    <w:p>
      <w:pPr>
        <w:ind w:left="1520" w:hanging="497"/>
        <w:spacing w:after="0"/>
        <w:tabs>
          <w:tab w:leader="none" w:pos="1520" w:val="left"/>
        </w:tabs>
        <w:numPr>
          <w:ilvl w:val="1"/>
          <w:numId w:val="82"/>
        </w:numPr>
        <w:rPr>
          <w:rFonts w:ascii="Arial" w:cs="Arial" w:eastAsia="Arial" w:hAnsi="Arial"/>
          <w:sz w:val="14"/>
          <w:szCs w:val="14"/>
          <w:color w:val="auto"/>
        </w:rPr>
      </w:pPr>
      <w:r>
        <w:rPr>
          <w:rFonts w:ascii="Arial" w:cs="Arial" w:eastAsia="Arial" w:hAnsi="Arial"/>
          <w:sz w:val="14"/>
          <w:szCs w:val="14"/>
          <w:u w:val="single" w:color="auto"/>
          <w:color w:val="auto"/>
        </w:rPr>
        <w:t>Change of Control</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Change of Control</w:t>
      </w:r>
      <w:r>
        <w:rPr>
          <w:rFonts w:ascii="Arial" w:cs="Arial" w:eastAsia="Arial" w:hAnsi="Arial"/>
          <w:sz w:val="14"/>
          <w:szCs w:val="14"/>
          <w:color w:val="auto"/>
        </w:rPr>
        <w:t>” means the occurrence of any of the following events:</w:t>
      </w:r>
    </w:p>
    <w:p>
      <w:pPr>
        <w:spacing w:after="0" w:line="161" w:lineRule="exact"/>
        <w:rPr>
          <w:rFonts w:ascii="Arial" w:cs="Arial" w:eastAsia="Arial" w:hAnsi="Arial"/>
          <w:sz w:val="14"/>
          <w:szCs w:val="14"/>
          <w:color w:val="auto"/>
        </w:rPr>
      </w:pPr>
    </w:p>
    <w:p>
      <w:pPr>
        <w:jc w:val="both"/>
        <w:ind w:firstLine="1787"/>
        <w:spacing w:after="0" w:line="232" w:lineRule="auto"/>
        <w:tabs>
          <w:tab w:leader="none" w:pos="2033" w:val="left"/>
        </w:tabs>
        <w:numPr>
          <w:ilvl w:val="2"/>
          <w:numId w:val="82"/>
        </w:numPr>
        <w:rPr>
          <w:rFonts w:ascii="Arial" w:cs="Arial" w:eastAsia="Arial" w:hAnsi="Arial"/>
          <w:sz w:val="13"/>
          <w:szCs w:val="13"/>
          <w:color w:val="auto"/>
        </w:rPr>
      </w:pPr>
      <w:r>
        <w:rPr>
          <w:rFonts w:ascii="Arial" w:cs="Arial" w:eastAsia="Arial" w:hAnsi="Arial"/>
          <w:sz w:val="13"/>
          <w:szCs w:val="13"/>
          <w:color w:val="auto"/>
        </w:rPr>
        <w:t>a change in the ownership of Aadi which occurs on the date that any one person (as defined in Section 13(d) and Section 14(d) of the Exchange Act), or more than one person acting as a group (“</w:t>
      </w:r>
      <w:r>
        <w:rPr>
          <w:rFonts w:ascii="Arial" w:cs="Arial" w:eastAsia="Arial" w:hAnsi="Arial"/>
          <w:sz w:val="13"/>
          <w:szCs w:val="13"/>
          <w:b w:val="1"/>
          <w:bCs w:val="1"/>
          <w:color w:val="auto"/>
        </w:rPr>
        <w:t>Person</w:t>
      </w:r>
      <w:r>
        <w:rPr>
          <w:rFonts w:ascii="Arial" w:cs="Arial" w:eastAsia="Arial" w:hAnsi="Arial"/>
          <w:sz w:val="13"/>
          <w:szCs w:val="13"/>
          <w:color w:val="auto"/>
        </w:rPr>
        <w:t>”), acquires ownership of the stock of Aadi that, together with the stock held by such Person, constitutes more than fifty percent (50%) of the total voting power of the stock of Aadi; provided, however, that for purposes of this subsection, the acquisition of additional stock by any one Person, who is considered to own more than fifty percent (50%) of the total voting power of the stock of Aadi will not be considered a Change of Control; provided, further, that any change in the ownership of the stock of Aadi as a result of a private financing of Aadi that is approved by the Board also will not be considered a Change of Control. Further, if the stockholders of Aadi immediately before such change in ownership continue to retain immediately after the change in ownership, in substantially the same proportions as their ownership of shares of Aadi’s voting stock immediately prior to the change in ownership, direct or indirect beneficial ownership of fifty percent (50%) or more of the total voting power of the stock of Aadi or of the ultimate parent entity of Aadi, such event shall not be considered a Change of Control under this subsection (i). For this purpose, indirect beneficial ownership shall include, without limitation, an interest resulting from ownership of the voting securities of one or more corporations or other business entities which own Aadi, as the case may be, either directly or through one or more subsidiary corporations or other business entities; or</w:t>
      </w:r>
    </w:p>
    <w:p>
      <w:pPr>
        <w:spacing w:after="0" w:line="142" w:lineRule="exact"/>
        <w:rPr>
          <w:rFonts w:ascii="Arial" w:cs="Arial" w:eastAsia="Arial" w:hAnsi="Arial"/>
          <w:sz w:val="13"/>
          <w:szCs w:val="13"/>
          <w:color w:val="auto"/>
        </w:rPr>
      </w:pPr>
    </w:p>
    <w:p>
      <w:pPr>
        <w:jc w:val="both"/>
        <w:ind w:firstLine="1787"/>
        <w:spacing w:after="0" w:line="249" w:lineRule="auto"/>
        <w:tabs>
          <w:tab w:leader="none" w:pos="2030" w:val="left"/>
        </w:tabs>
        <w:numPr>
          <w:ilvl w:val="2"/>
          <w:numId w:val="82"/>
        </w:numPr>
        <w:rPr>
          <w:rFonts w:ascii="Arial" w:cs="Arial" w:eastAsia="Arial" w:hAnsi="Arial"/>
          <w:sz w:val="12"/>
          <w:szCs w:val="12"/>
          <w:color w:val="auto"/>
        </w:rPr>
      </w:pPr>
      <w:r>
        <w:rPr>
          <w:rFonts w:ascii="Arial" w:cs="Arial" w:eastAsia="Arial" w:hAnsi="Arial"/>
          <w:sz w:val="12"/>
          <w:szCs w:val="12"/>
          <w:color w:val="auto"/>
        </w:rPr>
        <w:t>a change in the ownership of a substantial portion of Aadi’s assets which occurs on the date that any Person acquires (or has acquired during the twelve (12) month period ending on the date of the most recent acquisition by such person or persons) assets from Aadi that have a total gross fair market value equal to or more than fifty percent (50%) of the total gross fair market value of all of the assets of Aadi immediately prior to such acquisition or acquisitions; provided, however, that for purposes of this subsection (ii), the following will not constitute a change in the ownership of a substantial portion of Aadi’s assets: (A) a transfer to an entity that is controlled by Aadi’s stockholders immediately after the transfer, or (B) a transfer of assets by Aadi to: (1) a stockholder of Aadi (immediately before the asset transfer) in exchange for or with respect to Aadi’s stock, (2) an entity, fifty percent (50%) or more of the total value or voting power of which is owned, directly or indirectly, by Aadi, (3) a Person, that owns, directly or indirectly, fifty percent (50%) or more of the total value or voting power of all the outstanding stock of Aadi, or</w:t>
      </w:r>
    </w:p>
    <w:p>
      <w:pPr>
        <w:spacing w:after="0" w:line="1" w:lineRule="exact"/>
        <w:rPr>
          <w:rFonts w:ascii="Arial" w:cs="Arial" w:eastAsia="Arial" w:hAnsi="Arial"/>
          <w:sz w:val="12"/>
          <w:szCs w:val="12"/>
          <w:color w:val="auto"/>
        </w:rPr>
      </w:pPr>
    </w:p>
    <w:p>
      <w:pPr>
        <w:ind w:firstLine="5"/>
        <w:spacing w:after="0" w:line="251" w:lineRule="auto"/>
        <w:tabs>
          <w:tab w:leader="none" w:pos="203" w:val="left"/>
        </w:tabs>
        <w:numPr>
          <w:ilvl w:val="0"/>
          <w:numId w:val="83"/>
        </w:numPr>
        <w:rPr>
          <w:rFonts w:ascii="Arial" w:cs="Arial" w:eastAsia="Arial" w:hAnsi="Arial"/>
          <w:sz w:val="13"/>
          <w:szCs w:val="13"/>
          <w:color w:val="auto"/>
        </w:rPr>
      </w:pPr>
      <w:r>
        <w:rPr>
          <w:rFonts w:ascii="Arial" w:cs="Arial" w:eastAsia="Arial" w:hAnsi="Arial"/>
          <w:sz w:val="13"/>
          <w:szCs w:val="13"/>
          <w:color w:val="auto"/>
        </w:rPr>
        <w:t>an entity, at least fifty percent (50%) of the total value or voting power of which is owned, directly or indirectly, by a Person described in this subsection (8)(b)(ii). For purposes of this subsection (ii), gross fair market value means the value of the assets of Aadi, or the value of the assets being disposed of, determined without regard to any liabilities associated with such assets.</w:t>
      </w:r>
    </w:p>
    <w:p>
      <w:pPr>
        <w:spacing w:after="0" w:line="121" w:lineRule="exact"/>
        <w:rPr>
          <w:sz w:val="20"/>
          <w:szCs w:val="20"/>
          <w:color w:val="auto"/>
        </w:rPr>
      </w:pPr>
    </w:p>
    <w:p>
      <w:pPr>
        <w:ind w:firstLine="1528"/>
        <w:spacing w:after="0" w:line="249" w:lineRule="auto"/>
        <w:rPr>
          <w:sz w:val="20"/>
          <w:szCs w:val="20"/>
          <w:color w:val="auto"/>
        </w:rPr>
      </w:pPr>
      <w:r>
        <w:rPr>
          <w:rFonts w:ascii="Arial" w:cs="Arial" w:eastAsia="Arial" w:hAnsi="Arial"/>
          <w:sz w:val="14"/>
          <w:szCs w:val="14"/>
          <w:color w:val="auto"/>
        </w:rPr>
        <w:t>For purposes of this definition, persons will be considered to be acting as a group if they are owners of a corporation that enters into a merger, consolidation, purchase or acquisition of stock, or similar business transaction with Aadi.</w:t>
      </w:r>
    </w:p>
    <w:p>
      <w:pPr>
        <w:spacing w:after="0" w:line="122" w:lineRule="exact"/>
        <w:rPr>
          <w:sz w:val="20"/>
          <w:szCs w:val="20"/>
          <w:color w:val="auto"/>
        </w:rPr>
      </w:pPr>
    </w:p>
    <w:p>
      <w:pPr>
        <w:ind w:firstLine="1528"/>
        <w:spacing w:after="0" w:line="239" w:lineRule="auto"/>
        <w:rPr>
          <w:sz w:val="20"/>
          <w:szCs w:val="20"/>
          <w:color w:val="auto"/>
        </w:rPr>
      </w:pPr>
      <w:r>
        <w:rPr>
          <w:rFonts w:ascii="Arial" w:cs="Arial" w:eastAsia="Arial" w:hAnsi="Arial"/>
          <w:sz w:val="13"/>
          <w:szCs w:val="13"/>
          <w:color w:val="auto"/>
        </w:rPr>
        <w:t>Notwithstanding the foregoing, a transaction will not be deemed a Change of Control unless the transaction qualifies as a change in control event within the meaning of Section 409A, as it has been and may be amended from time to time, and any proposed or final Treasury Regulations and Internal Revenue Service guidance that has been promulgated or may be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promulgated thereunder from time to time.</w:t>
      </w:r>
    </w:p>
    <w:p>
      <w:pPr>
        <w:spacing w:after="0" w:line="135" w:lineRule="exact"/>
        <w:rPr>
          <w:sz w:val="20"/>
          <w:szCs w:val="20"/>
          <w:color w:val="auto"/>
        </w:rPr>
      </w:pPr>
    </w:p>
    <w:p>
      <w:pPr>
        <w:ind w:firstLine="1528"/>
        <w:spacing w:after="0" w:line="270" w:lineRule="auto"/>
        <w:rPr>
          <w:sz w:val="20"/>
          <w:szCs w:val="20"/>
          <w:color w:val="auto"/>
        </w:rPr>
      </w:pPr>
      <w:r>
        <w:rPr>
          <w:rFonts w:ascii="Arial" w:cs="Arial" w:eastAsia="Arial" w:hAnsi="Arial"/>
          <w:sz w:val="13"/>
          <w:szCs w:val="13"/>
          <w:color w:val="auto"/>
        </w:rPr>
        <w:t>Further and for the avoidance of doubt, a transaction will not constitute a Change of Control if: (i) its sole purpose is to change the state of Aadi’s incorporation, or (ii) its sole purpose is to create a holding company that will be owned in substantially the same proportions by the persons who held Aadi’s securities immediately before such transaction.</w:t>
      </w:r>
    </w:p>
    <w:p>
      <w:pPr>
        <w:spacing w:after="0" w:line="116" w:lineRule="exact"/>
        <w:rPr>
          <w:sz w:val="20"/>
          <w:szCs w:val="20"/>
          <w:color w:val="auto"/>
        </w:rPr>
      </w:pPr>
    </w:p>
    <w:p>
      <w:pPr>
        <w:ind w:firstLine="1023"/>
        <w:spacing w:after="0" w:line="239" w:lineRule="auto"/>
        <w:tabs>
          <w:tab w:leader="none" w:pos="1526"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Change of Control Period</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Change of Control Period</w:t>
      </w:r>
      <w:r>
        <w:rPr>
          <w:rFonts w:ascii="Arial" w:cs="Arial" w:eastAsia="Arial" w:hAnsi="Arial"/>
          <w:sz w:val="14"/>
          <w:szCs w:val="14"/>
          <w:color w:val="auto"/>
        </w:rPr>
        <w:t>” means the period that begins three (3) months prior to a Change of Control and ends twelve (12) months following a Change of Control.</w:t>
      </w:r>
    </w:p>
    <w:p>
      <w:pPr>
        <w:spacing w:after="0" w:line="124" w:lineRule="exact"/>
        <w:rPr>
          <w:rFonts w:ascii="Arial" w:cs="Arial" w:eastAsia="Arial" w:hAnsi="Arial"/>
          <w:sz w:val="14"/>
          <w:szCs w:val="14"/>
          <w:color w:val="auto"/>
        </w:rPr>
      </w:pPr>
    </w:p>
    <w:p>
      <w:pPr>
        <w:ind w:left="1520" w:hanging="497"/>
        <w:spacing w:after="0"/>
        <w:tabs>
          <w:tab w:leader="none" w:pos="1520"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Code</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300" w:top="1307" w:right="319" w:bottom="1440" w:gutter="0" w:footer="0" w:header="0"/>
        </w:sectPr>
      </w:pPr>
    </w:p>
    <w:bookmarkStart w:id="165" w:name="page166"/>
    <w:bookmarkEnd w:id="165"/>
    <w:p>
      <w:pPr>
        <w:jc w:val="both"/>
        <w:ind w:firstLine="1023"/>
        <w:spacing w:after="0" w:line="233" w:lineRule="auto"/>
        <w:tabs>
          <w:tab w:leader="none" w:pos="1526" w:val="left"/>
        </w:tabs>
        <w:numPr>
          <w:ilvl w:val="1"/>
          <w:numId w:val="85"/>
        </w:numPr>
        <w:rPr>
          <w:rFonts w:ascii="Arial" w:cs="Arial" w:eastAsia="Arial" w:hAnsi="Arial"/>
          <w:sz w:val="14"/>
          <w:szCs w:val="14"/>
          <w:color w:val="auto"/>
        </w:rPr>
      </w:pPr>
      <w:r>
        <w:rPr>
          <w:rFonts w:ascii="Arial" w:cs="Arial" w:eastAsia="Arial" w:hAnsi="Arial"/>
          <w:sz w:val="14"/>
          <w:szCs w:val="14"/>
          <w:u w:val="single" w:color="auto"/>
          <w:color w:val="auto"/>
        </w:rPr>
        <w:t>Disability</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Disability</w:t>
      </w:r>
      <w:r>
        <w:rPr>
          <w:rFonts w:ascii="Arial" w:cs="Arial" w:eastAsia="Arial" w:hAnsi="Arial"/>
          <w:sz w:val="14"/>
          <w:szCs w:val="14"/>
          <w:color w:val="auto"/>
        </w:rPr>
        <w:t>” means that Executive has been unable to engage in any substantial gainful activity by reason of any medically determinable physical or mental impairment for a period of ninety (90) consecutive days or more, or more than one hundred and eighty (180) days within any twelve (12)-month period, in each case, determined by the Board.</w:t>
      </w:r>
    </w:p>
    <w:p>
      <w:pPr>
        <w:spacing w:after="0" w:line="125" w:lineRule="exact"/>
        <w:rPr>
          <w:rFonts w:ascii="Arial" w:cs="Arial" w:eastAsia="Arial" w:hAnsi="Arial"/>
          <w:sz w:val="14"/>
          <w:szCs w:val="14"/>
          <w:color w:val="auto"/>
        </w:rPr>
      </w:pPr>
    </w:p>
    <w:p>
      <w:pPr>
        <w:jc w:val="both"/>
        <w:ind w:firstLine="1023"/>
        <w:spacing w:after="0" w:line="235" w:lineRule="auto"/>
        <w:tabs>
          <w:tab w:leader="none" w:pos="1521"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Good Reason</w:t>
      </w:r>
      <w:r>
        <w:rPr>
          <w:rFonts w:ascii="Arial" w:cs="Arial" w:eastAsia="Arial" w:hAnsi="Arial"/>
          <w:sz w:val="13"/>
          <w:szCs w:val="13"/>
          <w:color w:val="auto"/>
        </w:rPr>
        <w:t>. For the purposes of this Agreement, “</w:t>
      </w:r>
      <w:r>
        <w:rPr>
          <w:rFonts w:ascii="Arial" w:cs="Arial" w:eastAsia="Arial" w:hAnsi="Arial"/>
          <w:sz w:val="13"/>
          <w:szCs w:val="13"/>
          <w:b w:val="1"/>
          <w:bCs w:val="1"/>
          <w:color w:val="auto"/>
        </w:rPr>
        <w:t>Good Reason</w:t>
      </w:r>
      <w:r>
        <w:rPr>
          <w:rFonts w:ascii="Arial" w:cs="Arial" w:eastAsia="Arial" w:hAnsi="Arial"/>
          <w:sz w:val="13"/>
          <w:szCs w:val="13"/>
          <w:color w:val="auto"/>
        </w:rPr>
        <w:t>” means Executive’s resignation within thirty (30) days following the expiration of any Company cure period (discussed below) following the occurrence of one or more of the following, without Executive’s express written consent: (i) a material breach of any provision of this Agreement by the Company (including, without limitation, any change in Executive’s reporting requirements); (ii) any material reduction by the Company of Executive’s duties, responsibilities, or authority which causes Executive’s position to become materially of less responsibility or authority than Executive’s position as of immediately following the Effective Date; it being understood that a change to Executive’s title resulting in him no longer serving as Executive Chairman would constitute “Good Reason” under this Agreement; (iii) a material relocation of the Company’s principal place of business of Executive outside of the Los Angeles Metropolitan area; or (iv) a material (more than 7%) diminution in Executive’s base salary (other than in the context of salary or consideration reductions applied in identical percentages to all executive officers of the Company).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the Company receives such notice during which such condition must not have been cured.</w:t>
      </w:r>
    </w:p>
    <w:p>
      <w:pPr>
        <w:spacing w:after="0" w:line="125" w:lineRule="exact"/>
        <w:rPr>
          <w:rFonts w:ascii="Arial" w:cs="Arial" w:eastAsia="Arial" w:hAnsi="Arial"/>
          <w:sz w:val="13"/>
          <w:szCs w:val="13"/>
          <w:color w:val="auto"/>
        </w:rPr>
      </w:pPr>
    </w:p>
    <w:p>
      <w:pPr>
        <w:jc w:val="both"/>
        <w:ind w:firstLine="1023"/>
        <w:spacing w:after="0" w:line="226" w:lineRule="auto"/>
        <w:tabs>
          <w:tab w:leader="none" w:pos="1523" w:val="left"/>
        </w:tabs>
        <w:numPr>
          <w:ilvl w:val="1"/>
          <w:numId w:val="85"/>
        </w:numPr>
        <w:rPr>
          <w:rFonts w:ascii="Arial" w:cs="Arial" w:eastAsia="Arial" w:hAnsi="Arial"/>
          <w:sz w:val="14"/>
          <w:szCs w:val="14"/>
          <w:color w:val="auto"/>
        </w:rPr>
      </w:pPr>
      <w:r>
        <w:rPr>
          <w:rFonts w:ascii="Arial" w:cs="Arial" w:eastAsia="Arial" w:hAnsi="Arial"/>
          <w:sz w:val="14"/>
          <w:szCs w:val="14"/>
          <w:u w:val="single" w:color="auto"/>
          <w:color w:val="auto"/>
        </w:rPr>
        <w:t>Section 409A Limit</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Section 409A Limit</w:t>
      </w:r>
      <w:r>
        <w:rPr>
          <w:rFonts w:ascii="Arial" w:cs="Arial" w:eastAsia="Arial" w:hAnsi="Arial"/>
          <w:sz w:val="14"/>
          <w:szCs w:val="14"/>
          <w:color w:val="auto"/>
        </w:rPr>
        <w:t>” will mean two (2) times the lesser of: (i) Executive’s annualized compensation based upon the annual rate of pay paid to Executive during Executive’s taxable year preceding Executive’s taxable year of Executive’s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29" w:lineRule="exact"/>
        <w:rPr>
          <w:rFonts w:ascii="Arial" w:cs="Arial" w:eastAsia="Arial" w:hAnsi="Arial"/>
          <w:sz w:val="14"/>
          <w:szCs w:val="14"/>
          <w:color w:val="auto"/>
        </w:rPr>
      </w:pPr>
    </w:p>
    <w:p>
      <w:pPr>
        <w:jc w:val="both"/>
        <w:ind w:firstLine="514"/>
        <w:spacing w:after="0" w:line="231" w:lineRule="auto"/>
        <w:tabs>
          <w:tab w:leader="none" w:pos="1015"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Limitation on Payments</w:t>
      </w:r>
      <w:r>
        <w:rPr>
          <w:rFonts w:ascii="Arial" w:cs="Arial" w:eastAsia="Arial" w:hAnsi="Arial"/>
          <w:sz w:val="14"/>
          <w:szCs w:val="14"/>
          <w:color w:val="auto"/>
        </w:rPr>
        <w:t>. In the event that the severance and other benefits provided for in this Agreement or otherwise payable to Executive (i) constitute “parachute payments” within the meaning of Section 280G of the Code and (ii) but for this Section 9, would be subject to the excise tax imposed by Section 4999 of the Code, then Executive’s severance benefits will be either:</w:t>
      </w:r>
    </w:p>
    <w:p>
      <w:pPr>
        <w:spacing w:after="0" w:line="129" w:lineRule="exact"/>
        <w:rPr>
          <w:rFonts w:ascii="Arial" w:cs="Arial" w:eastAsia="Arial" w:hAnsi="Arial"/>
          <w:sz w:val="14"/>
          <w:szCs w:val="14"/>
          <w:color w:val="auto"/>
        </w:rPr>
      </w:pPr>
    </w:p>
    <w:p>
      <w:pPr>
        <w:ind w:left="1540" w:hanging="517"/>
        <w:spacing w:after="0"/>
        <w:tabs>
          <w:tab w:leader="none" w:pos="15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delivered in full, or</w:t>
      </w:r>
    </w:p>
    <w:p>
      <w:pPr>
        <w:spacing w:after="0" w:line="157" w:lineRule="exact"/>
        <w:rPr>
          <w:rFonts w:ascii="Arial" w:cs="Arial" w:eastAsia="Arial" w:hAnsi="Arial"/>
          <w:sz w:val="14"/>
          <w:szCs w:val="14"/>
          <w:color w:val="auto"/>
        </w:rPr>
      </w:pPr>
    </w:p>
    <w:p>
      <w:pPr>
        <w:ind w:left="1520" w:hanging="497"/>
        <w:spacing w:after="0"/>
        <w:tabs>
          <w:tab w:leader="none" w:pos="1520" w:val="left"/>
        </w:tabs>
        <w:numPr>
          <w:ilvl w:val="1"/>
          <w:numId w:val="86"/>
        </w:numPr>
        <w:rPr>
          <w:rFonts w:ascii="Arial" w:cs="Arial" w:eastAsia="Arial" w:hAnsi="Arial"/>
          <w:sz w:val="14"/>
          <w:szCs w:val="14"/>
          <w:color w:val="auto"/>
        </w:rPr>
      </w:pPr>
      <w:r>
        <w:rPr>
          <w:rFonts w:ascii="Arial" w:cs="Arial" w:eastAsia="Arial" w:hAnsi="Arial"/>
          <w:sz w:val="14"/>
          <w:szCs w:val="14"/>
          <w:color w:val="auto"/>
        </w:rPr>
        <w:t>delivered as to such lesser extent which would result in no portion of such severance benefits being subject to the excise tax under Section 4999 of the Code,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severance and other benefits constituting “parachute payments” is necessary so that no portion of such severance benefits is subject to the excise tax under Section 4999 of the Code, the reduction shall occur in the following order: (1) reduction of the cash severance payments; (2) cancellation of accelerated vesting of equity awards; and (3) reduction of continued employee benefits. In the event that acceleration of vesting of equity award compensation is to be reduced, such acceleration of vesting shall be cancelled in the reverse order of the date of grant of Executive’s equity awards.</w:t>
      </w:r>
    </w:p>
    <w:p>
      <w:pPr>
        <w:spacing w:after="0" w:line="12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3"/>
          <w:szCs w:val="13"/>
          <w:color w:val="auto"/>
        </w:rPr>
        <w:t>A nationally recognized certified professional services firm selected by the Company, the Company’s legal counsel or such other person or entity to which the parties mutually agree (the “</w:t>
      </w:r>
      <w:r>
        <w:rPr>
          <w:rFonts w:ascii="Arial" w:cs="Arial" w:eastAsia="Arial" w:hAnsi="Arial"/>
          <w:sz w:val="13"/>
          <w:szCs w:val="13"/>
          <w:b w:val="1"/>
          <w:bCs w:val="1"/>
          <w:color w:val="auto"/>
        </w:rPr>
        <w:t>Firm</w:t>
      </w:r>
      <w:r>
        <w:rPr>
          <w:rFonts w:ascii="Arial" w:cs="Arial" w:eastAsia="Arial" w:hAnsi="Arial"/>
          <w:sz w:val="13"/>
          <w:szCs w:val="13"/>
          <w:color w:val="auto"/>
        </w:rPr>
        <w:t>”) shall perform the foregoing calculations related to the Excise Tax. The Company shall bear all expenses with respect to the determinations by the Firm required to be made hereunder. For purposes of making the calculations required by this Section, the Firm may make reasonable assumptions and approximations concerning applicable taxes and may rely on reasonable, good faith</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interpretations concerning the application of Code Sections 280G and 4999. The Company and Executive will furnish to the Firm such information and documents as the Firm may reasonably request in order to make a determination under this Section. The Firm engaged to make the determinations hereunder shall provide its calculations, together with detailed supporting documentation, to the Company and Executive within fifteen (15) calendar days after the date on which Executive’s right to the severance benefits or other payments is triggered (if requested at that time by the Company</w:t>
      </w:r>
    </w:p>
    <w:p>
      <w:pPr>
        <w:jc w:val="both"/>
        <w:spacing w:after="0" w:line="228" w:lineRule="auto"/>
        <w:rPr>
          <w:sz w:val="20"/>
          <w:szCs w:val="20"/>
          <w:color w:val="auto"/>
        </w:rPr>
      </w:pPr>
      <w:r>
        <w:rPr>
          <w:rFonts w:ascii="Arial" w:cs="Arial" w:eastAsia="Arial" w:hAnsi="Arial"/>
          <w:sz w:val="14"/>
          <w:szCs w:val="14"/>
          <w:color w:val="auto"/>
        </w:rPr>
        <w:t>or Executive) or such other time as requested by the Company or Executive. Any good faith determinations of the Firm made hereunder shall be final, binding, and conclusive upon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80"/>
          </w:cols>
          <w:pgMar w:left="300" w:top="1303" w:right="319" w:bottom="1440" w:gutter="0" w:footer="0" w:header="0"/>
        </w:sectPr>
      </w:pPr>
    </w:p>
    <w:bookmarkStart w:id="166" w:name="page167"/>
    <w:bookmarkEnd w:id="166"/>
    <w:p>
      <w:pPr>
        <w:ind w:firstLine="514"/>
        <w:spacing w:after="0" w:line="236" w:lineRule="auto"/>
        <w:tabs>
          <w:tab w:leader="none" w:pos="1010" w:val="left"/>
        </w:tabs>
        <w:numPr>
          <w:ilvl w:val="1"/>
          <w:numId w:val="87"/>
        </w:numPr>
        <w:rPr>
          <w:rFonts w:ascii="Arial" w:cs="Arial" w:eastAsia="Arial" w:hAnsi="Arial"/>
          <w:sz w:val="14"/>
          <w:szCs w:val="14"/>
          <w:color w:val="auto"/>
        </w:rPr>
      </w:pP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The parties acknowledge and agree that Executive’s Confidential Information and Invention Assignment Agreement with Aadi, LLC (a predecessor to the Company) dated December 19, 2016 (the “</w:t>
      </w:r>
      <w:r>
        <w:rPr>
          <w:rFonts w:ascii="Arial" w:cs="Arial" w:eastAsia="Arial" w:hAnsi="Arial"/>
          <w:sz w:val="14"/>
          <w:szCs w:val="14"/>
          <w:b w:val="1"/>
          <w:bCs w:val="1"/>
          <w:color w:val="auto"/>
        </w:rPr>
        <w:t>Confidential Information Agreement</w:t>
      </w:r>
      <w:r>
        <w:rPr>
          <w:rFonts w:ascii="Arial" w:cs="Arial" w:eastAsia="Arial" w:hAnsi="Arial"/>
          <w:sz w:val="14"/>
          <w:szCs w:val="14"/>
          <w:color w:val="auto"/>
        </w:rPr>
        <w:t>”) shall continue to apply following the execution of this Agreement.</w:t>
      </w:r>
    </w:p>
    <w:p>
      <w:pPr>
        <w:spacing w:after="0" w:line="139" w:lineRule="exact"/>
        <w:rPr>
          <w:rFonts w:ascii="Arial" w:cs="Arial" w:eastAsia="Arial" w:hAnsi="Arial"/>
          <w:sz w:val="14"/>
          <w:szCs w:val="14"/>
          <w:color w:val="auto"/>
        </w:rPr>
      </w:pPr>
    </w:p>
    <w:p>
      <w:pPr>
        <w:ind w:firstLine="514"/>
        <w:spacing w:after="0" w:line="236" w:lineRule="auto"/>
        <w:tabs>
          <w:tab w:leader="none" w:pos="1015" w:val="left"/>
        </w:tabs>
        <w:numPr>
          <w:ilvl w:val="1"/>
          <w:numId w:val="87"/>
        </w:numPr>
        <w:rPr>
          <w:rFonts w:ascii="Arial" w:cs="Arial" w:eastAsia="Arial" w:hAnsi="Arial"/>
          <w:sz w:val="14"/>
          <w:szCs w:val="14"/>
          <w:color w:val="auto"/>
        </w:rPr>
      </w:pPr>
      <w:r>
        <w:rPr>
          <w:rFonts w:ascii="Arial" w:cs="Arial" w:eastAsia="Arial" w:hAnsi="Arial"/>
          <w:sz w:val="14"/>
          <w:szCs w:val="14"/>
          <w:u w:val="single" w:color="auto"/>
          <w:color w:val="auto"/>
        </w:rPr>
        <w:t>Legal Costs</w:t>
      </w:r>
      <w:r>
        <w:rPr>
          <w:rFonts w:ascii="Arial" w:cs="Arial" w:eastAsia="Arial" w:hAnsi="Arial"/>
          <w:sz w:val="14"/>
          <w:szCs w:val="14"/>
          <w:color w:val="auto"/>
        </w:rPr>
        <w:t>. The Company will reimburse Executive for reasonable legal fees and expenses directly relating to the preparation and negotiation of this Agreement up to an amount of $20,000 in the aggregate, within thirty (30) days of Executive’s submission of reasonable documentation thereof.</w:t>
      </w:r>
    </w:p>
    <w:p>
      <w:pPr>
        <w:spacing w:after="0" w:line="128" w:lineRule="exact"/>
        <w:rPr>
          <w:rFonts w:ascii="Arial" w:cs="Arial" w:eastAsia="Arial" w:hAnsi="Arial"/>
          <w:sz w:val="14"/>
          <w:szCs w:val="14"/>
          <w:color w:val="auto"/>
        </w:rPr>
      </w:pPr>
    </w:p>
    <w:p>
      <w:pPr>
        <w:jc w:val="both"/>
        <w:ind w:firstLine="514"/>
        <w:spacing w:after="0" w:line="231" w:lineRule="auto"/>
        <w:tabs>
          <w:tab w:leader="none" w:pos="1015" w:val="left"/>
        </w:tabs>
        <w:numPr>
          <w:ilvl w:val="1"/>
          <w:numId w:val="87"/>
        </w:numPr>
        <w:rPr>
          <w:rFonts w:ascii="Arial" w:cs="Arial" w:eastAsia="Arial" w:hAnsi="Arial"/>
          <w:sz w:val="14"/>
          <w:szCs w:val="14"/>
          <w:color w:val="auto"/>
        </w:rPr>
      </w:pPr>
      <w:r>
        <w:rPr>
          <w:rFonts w:ascii="Arial" w:cs="Arial" w:eastAsia="Arial" w:hAnsi="Arial"/>
          <w:sz w:val="14"/>
          <w:szCs w:val="14"/>
          <w:u w:val="single" w:color="auto"/>
          <w:color w:val="auto"/>
        </w:rPr>
        <w:t>Indemnification Agreement</w:t>
      </w:r>
      <w:r>
        <w:rPr>
          <w:rFonts w:ascii="Arial" w:cs="Arial" w:eastAsia="Arial" w:hAnsi="Arial"/>
          <w:sz w:val="14"/>
          <w:szCs w:val="14"/>
          <w:color w:val="auto"/>
        </w:rPr>
        <w:t>. The Indemnification Agreement previously entered into by and between the Company and Executive, dated on or around August 26, 2021 and in substantially the form attached as Exhibit 10.11 to the Company’s Current Report on Form 8-K filed with the Securities and Exchange Commission on August 27, 2021 (the “</w:t>
      </w:r>
      <w:r>
        <w:rPr>
          <w:rFonts w:ascii="Arial" w:cs="Arial" w:eastAsia="Arial" w:hAnsi="Arial"/>
          <w:sz w:val="14"/>
          <w:szCs w:val="14"/>
          <w:b w:val="1"/>
          <w:bCs w:val="1"/>
          <w:color w:val="auto"/>
        </w:rPr>
        <w:t>Indemnification</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 shall continue to remain in full force and effect.</w:t>
      </w:r>
    </w:p>
    <w:p>
      <w:pPr>
        <w:spacing w:after="0" w:line="129" w:lineRule="exact"/>
        <w:rPr>
          <w:rFonts w:ascii="Arial" w:cs="Arial" w:eastAsia="Arial" w:hAnsi="Arial"/>
          <w:sz w:val="14"/>
          <w:szCs w:val="14"/>
          <w:color w:val="auto"/>
        </w:rPr>
      </w:pPr>
    </w:p>
    <w:p>
      <w:pPr>
        <w:jc w:val="both"/>
        <w:ind w:firstLine="514"/>
        <w:spacing w:after="0" w:line="242" w:lineRule="auto"/>
        <w:tabs>
          <w:tab w:leader="none" w:pos="1015"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Assignment</w:t>
      </w:r>
      <w:r>
        <w:rPr>
          <w:rFonts w:ascii="Arial" w:cs="Arial" w:eastAsia="Arial" w:hAnsi="Arial"/>
          <w:sz w:val="13"/>
          <w:szCs w:val="13"/>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Arial" w:cs="Arial" w:eastAsia="Arial" w:hAnsi="Arial"/>
          <w:sz w:val="13"/>
          <w:szCs w:val="13"/>
          <w:b w:val="1"/>
          <w:bCs w:val="1"/>
          <w:color w:val="auto"/>
        </w:rPr>
        <w:t>successor</w:t>
      </w:r>
      <w:r>
        <w:rPr>
          <w:rFonts w:ascii="Arial" w:cs="Arial" w:eastAsia="Arial" w:hAnsi="Arial"/>
          <w:sz w:val="13"/>
          <w:szCs w:val="13"/>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26" w:lineRule="exact"/>
        <w:rPr>
          <w:rFonts w:ascii="Arial" w:cs="Arial" w:eastAsia="Arial" w:hAnsi="Arial"/>
          <w:sz w:val="13"/>
          <w:szCs w:val="13"/>
          <w:color w:val="auto"/>
        </w:rPr>
      </w:pPr>
    </w:p>
    <w:p>
      <w:pPr>
        <w:ind w:left="1020" w:hanging="506"/>
        <w:spacing w:after="0"/>
        <w:tabs>
          <w:tab w:leader="none" w:pos="1020" w:val="left"/>
        </w:tabs>
        <w:numPr>
          <w:ilvl w:val="1"/>
          <w:numId w:val="87"/>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requests, demands and other communications called for hereunder will be in writing and will be deemed given (i) on the date of delivery if delivered personally,</w:t>
      </w:r>
    </w:p>
    <w:p>
      <w:pPr>
        <w:spacing w:after="0" w:line="11" w:lineRule="exact"/>
        <w:rPr>
          <w:rFonts w:ascii="Arial" w:cs="Arial" w:eastAsia="Arial" w:hAnsi="Arial"/>
          <w:sz w:val="12"/>
          <w:szCs w:val="12"/>
          <w:color w:val="auto"/>
        </w:rPr>
      </w:pPr>
    </w:p>
    <w:p>
      <w:pPr>
        <w:ind w:left="220" w:hanging="215"/>
        <w:spacing w:after="0"/>
        <w:tabs>
          <w:tab w:leader="none" w:pos="2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one (1) day after being sent by a well-established commercial overnight service, or (iii) four (4) days after being mailed by registered or certified mail, return receipt requested, prepaid and</w:t>
      </w:r>
    </w:p>
    <w:p>
      <w:pPr>
        <w:spacing w:after="0"/>
        <w:rPr>
          <w:sz w:val="20"/>
          <w:szCs w:val="20"/>
          <w:color w:val="auto"/>
        </w:rPr>
      </w:pPr>
      <w:r>
        <w:rPr>
          <w:rFonts w:ascii="Arial" w:cs="Arial" w:eastAsia="Arial" w:hAnsi="Arial"/>
          <w:sz w:val="14"/>
          <w:szCs w:val="14"/>
          <w:color w:val="auto"/>
        </w:rPr>
        <w:t>addressed to the parties or their successors at the following addresses, or at such other addresses as the parties may later designate in writing:</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If to the Company:</w:t>
      </w:r>
    </w:p>
    <w:p>
      <w:pPr>
        <w:spacing w:after="0" w:line="6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AADi Bioscience, Inc.</w:t>
      </w:r>
    </w:p>
    <w:p>
      <w:pPr>
        <w:ind w:left="1020"/>
        <w:spacing w:after="0" w:line="205" w:lineRule="auto"/>
        <w:rPr>
          <w:sz w:val="20"/>
          <w:szCs w:val="20"/>
          <w:color w:val="auto"/>
        </w:rPr>
      </w:pPr>
      <w:r>
        <w:rPr>
          <w:rFonts w:ascii="Arial" w:cs="Arial" w:eastAsia="Arial" w:hAnsi="Arial"/>
          <w:sz w:val="14"/>
          <w:szCs w:val="14"/>
          <w:color w:val="auto"/>
        </w:rPr>
        <w:t>17383 Sunset Boulevard, Suite A250</w:t>
      </w:r>
    </w:p>
    <w:p>
      <w:pPr>
        <w:ind w:left="1020"/>
        <w:spacing w:after="0" w:line="206" w:lineRule="auto"/>
        <w:rPr>
          <w:sz w:val="20"/>
          <w:szCs w:val="20"/>
          <w:color w:val="auto"/>
        </w:rPr>
      </w:pPr>
      <w:r>
        <w:rPr>
          <w:rFonts w:ascii="Arial" w:cs="Arial" w:eastAsia="Arial" w:hAnsi="Arial"/>
          <w:sz w:val="14"/>
          <w:szCs w:val="14"/>
          <w:color w:val="auto"/>
        </w:rPr>
        <w:t>Pacific Palisades, CA 90272</w:t>
      </w:r>
    </w:p>
    <w:p>
      <w:pPr>
        <w:ind w:left="1020"/>
        <w:spacing w:after="0"/>
        <w:rPr>
          <w:sz w:val="20"/>
          <w:szCs w:val="20"/>
          <w:color w:val="auto"/>
        </w:rPr>
      </w:pPr>
      <w:r>
        <w:rPr>
          <w:rFonts w:ascii="Arial" w:cs="Arial" w:eastAsia="Arial" w:hAnsi="Arial"/>
          <w:sz w:val="14"/>
          <w:szCs w:val="14"/>
          <w:u w:val="single" w:color="auto"/>
          <w:color w:val="auto"/>
        </w:rPr>
        <w:t>Attn</w:t>
      </w:r>
      <w:r>
        <w:rPr>
          <w:rFonts w:ascii="Arial" w:cs="Arial" w:eastAsia="Arial" w:hAnsi="Arial"/>
          <w:sz w:val="14"/>
          <w:szCs w:val="14"/>
          <w:color w:val="auto"/>
        </w:rPr>
        <w:t>: Board of Directors</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If to Executive:</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 the last residential address known by the Company.</w:t>
      </w:r>
    </w:p>
    <w:p>
      <w:pPr>
        <w:spacing w:after="0" w:line="147" w:lineRule="exact"/>
        <w:rPr>
          <w:sz w:val="20"/>
          <w:szCs w:val="20"/>
          <w:color w:val="auto"/>
        </w:rPr>
      </w:pPr>
    </w:p>
    <w:p>
      <w:pPr>
        <w:ind w:firstLine="514"/>
        <w:spacing w:after="0" w:line="249" w:lineRule="auto"/>
        <w:tabs>
          <w:tab w:leader="none" w:pos="1015"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hereof becomes or is declared by a court of competent jurisdiction to be illegal, unenforceable or void, this Agreement will continue in full force and effect without said provision.</w:t>
      </w:r>
    </w:p>
    <w:p>
      <w:pPr>
        <w:spacing w:after="0" w:line="122" w:lineRule="exact"/>
        <w:rPr>
          <w:rFonts w:ascii="Arial" w:cs="Arial" w:eastAsia="Arial" w:hAnsi="Arial"/>
          <w:sz w:val="14"/>
          <w:szCs w:val="14"/>
          <w:color w:val="auto"/>
        </w:rPr>
      </w:pPr>
    </w:p>
    <w:p>
      <w:pPr>
        <w:jc w:val="both"/>
        <w:ind w:firstLine="514"/>
        <w:spacing w:after="0" w:line="231" w:lineRule="auto"/>
        <w:tabs>
          <w:tab w:leader="none" w:pos="1015"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Arbitration</w:t>
      </w:r>
      <w:r>
        <w:rPr>
          <w:rFonts w:ascii="Arial" w:cs="Arial" w:eastAsia="Arial" w:hAnsi="Arial"/>
          <w:sz w:val="14"/>
          <w:szCs w:val="14"/>
          <w:color w:val="auto"/>
        </w:rPr>
        <w:t>. Executive agrees that any and all controversies, claims, or disputes with anyone (including the Company and any employee, officer, director, stockholder or benefit plan of the Company in their capacity as such or otherwise) arising out of, relating to, or resulting from Executive’s service to the Company, shall be subject to arbitration in accordance with the provisions of the Confidential Information Agreement.</w:t>
      </w:r>
    </w:p>
    <w:p>
      <w:pPr>
        <w:spacing w:after="0" w:line="129" w:lineRule="exact"/>
        <w:rPr>
          <w:rFonts w:ascii="Arial" w:cs="Arial" w:eastAsia="Arial" w:hAnsi="Arial"/>
          <w:sz w:val="14"/>
          <w:szCs w:val="14"/>
          <w:color w:val="auto"/>
        </w:rPr>
      </w:pPr>
    </w:p>
    <w:p>
      <w:pPr>
        <w:jc w:val="both"/>
        <w:ind w:firstLine="514"/>
        <w:spacing w:after="0" w:line="238" w:lineRule="auto"/>
        <w:tabs>
          <w:tab w:leader="none" w:pos="1015"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Integration</w:t>
      </w:r>
      <w:r>
        <w:rPr>
          <w:rFonts w:ascii="Arial" w:cs="Arial" w:eastAsia="Arial" w:hAnsi="Arial"/>
          <w:sz w:val="13"/>
          <w:szCs w:val="13"/>
          <w:color w:val="auto"/>
        </w:rPr>
        <w:t>. This Agreement, along with the Confidential Information Agreement, the Equity Documents, the Indemnification Agreement and the plan and agreements governing your outstanding equity awards, represents the entire agreement and understanding between the parties as to the subject matter herein and supersedes all prior or contemporaneous agreements whether written or oral, including the Prior Agreement on and following the Effective Date. With respect to equity awards granted on or after the date of this Agreement, the acceleration of vesting provisions provided herein will apply to such equity awards except to the extent the applicable equity award agreement expressly supersedes this Agreement. This Agreement may be modified only by agreement of the parties by a written instrument executed by the parties that is designated as an amendment to this Agreement.</w:t>
      </w:r>
    </w:p>
    <w:p>
      <w:pPr>
        <w:spacing w:after="0" w:line="139" w:lineRule="exact"/>
        <w:rPr>
          <w:rFonts w:ascii="Arial" w:cs="Arial" w:eastAsia="Arial" w:hAnsi="Arial"/>
          <w:sz w:val="13"/>
          <w:szCs w:val="13"/>
          <w:color w:val="auto"/>
        </w:rPr>
      </w:pPr>
    </w:p>
    <w:p>
      <w:pPr>
        <w:ind w:firstLine="514"/>
        <w:spacing w:after="0" w:line="236" w:lineRule="auto"/>
        <w:tabs>
          <w:tab w:leader="none" w:pos="1015"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Waiver of Breach</w:t>
      </w:r>
      <w:r>
        <w:rPr>
          <w:rFonts w:ascii="Arial" w:cs="Arial" w:eastAsia="Arial" w:hAnsi="Arial"/>
          <w:sz w:val="14"/>
          <w:szCs w:val="14"/>
          <w:color w:val="auto"/>
        </w:rPr>
        <w:t>. The waiver of a breach of any term or provision of this Agreement, which must be in writing, will not operate as or be construed to be a waiver of any other previous or subsequent breach of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300" w:top="1306" w:right="319" w:bottom="1440" w:gutter="0" w:footer="0" w:header="0"/>
        </w:sectPr>
      </w:pPr>
    </w:p>
    <w:bookmarkStart w:id="167" w:name="page168"/>
    <w:bookmarkEnd w:id="167"/>
    <w:p>
      <w:pPr>
        <w:ind w:left="1000" w:hanging="506"/>
        <w:spacing w:after="0"/>
        <w:tabs>
          <w:tab w:leader="none" w:pos="1000"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All captions and section headings used in this Agreement are for convenient reference only and do not form a part of this Agreement.</w:t>
      </w:r>
    </w:p>
    <w:p>
      <w:pPr>
        <w:spacing w:after="0" w:line="146" w:lineRule="exact"/>
        <w:rPr>
          <w:rFonts w:ascii="Arial" w:cs="Arial" w:eastAsia="Arial" w:hAnsi="Arial"/>
          <w:sz w:val="14"/>
          <w:szCs w:val="14"/>
          <w:color w:val="auto"/>
        </w:rPr>
      </w:pPr>
    </w:p>
    <w:p>
      <w:pPr>
        <w:ind w:left="1000" w:hanging="506"/>
        <w:spacing w:after="0"/>
        <w:tabs>
          <w:tab w:leader="none" w:pos="1000"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All payments made pursuant to this Agreement will be subject to withholding of applicable taxes.</w:t>
      </w:r>
    </w:p>
    <w:p>
      <w:pPr>
        <w:spacing w:after="0" w:line="157" w:lineRule="exact"/>
        <w:rPr>
          <w:rFonts w:ascii="Arial" w:cs="Arial" w:eastAsia="Arial" w:hAnsi="Arial"/>
          <w:sz w:val="14"/>
          <w:szCs w:val="14"/>
          <w:color w:val="auto"/>
        </w:rPr>
      </w:pPr>
    </w:p>
    <w:p>
      <w:pPr>
        <w:ind w:left="1000" w:hanging="506"/>
        <w:spacing w:after="0"/>
        <w:tabs>
          <w:tab w:leader="none" w:pos="1000"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will be governed by the laws of the State of California (with the exception of its conflict of laws provisions).</w:t>
      </w:r>
    </w:p>
    <w:p>
      <w:pPr>
        <w:spacing w:after="0" w:line="146" w:lineRule="exact"/>
        <w:rPr>
          <w:rFonts w:ascii="Arial" w:cs="Arial" w:eastAsia="Arial" w:hAnsi="Arial"/>
          <w:sz w:val="14"/>
          <w:szCs w:val="14"/>
          <w:color w:val="auto"/>
        </w:rPr>
      </w:pPr>
    </w:p>
    <w:p>
      <w:pPr>
        <w:ind w:left="-20" w:firstLine="514"/>
        <w:spacing w:after="0" w:line="236" w:lineRule="auto"/>
        <w:tabs>
          <w:tab w:leader="none" w:pos="995"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Acknowledgment</w:t>
      </w:r>
      <w:r>
        <w:rPr>
          <w:rFonts w:ascii="Arial" w:cs="Arial" w:eastAsia="Arial" w:hAnsi="Arial"/>
          <w:sz w:val="14"/>
          <w:szCs w:val="14"/>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139" w:lineRule="exact"/>
        <w:rPr>
          <w:rFonts w:ascii="Arial" w:cs="Arial" w:eastAsia="Arial" w:hAnsi="Arial"/>
          <w:sz w:val="14"/>
          <w:szCs w:val="14"/>
          <w:color w:val="auto"/>
        </w:rPr>
      </w:pPr>
    </w:p>
    <w:p>
      <w:pPr>
        <w:ind w:left="-20" w:firstLine="514"/>
        <w:spacing w:after="0" w:line="236" w:lineRule="auto"/>
        <w:tabs>
          <w:tab w:leader="none" w:pos="995"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counterparts, and each counterpart will have the same force and effect as an original and will constitute an effective, binding agreement on the part of each of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320" w:top="1306" w:right="319" w:bottom="1440" w:gutter="0" w:footer="0" w:header="0"/>
        </w:sectPr>
      </w:pPr>
    </w:p>
    <w:bookmarkStart w:id="168" w:name="page169"/>
    <w:bookmarkEnd w:id="168"/>
    <w:p>
      <w:pPr>
        <w:ind w:left="520"/>
        <w:spacing w:after="0"/>
        <w:rPr>
          <w:sz w:val="20"/>
          <w:szCs w:val="20"/>
          <w:color w:val="auto"/>
        </w:rPr>
      </w:pPr>
      <w:r>
        <w:rPr>
          <w:rFonts w:ascii="Arial" w:cs="Arial" w:eastAsia="Arial" w:hAnsi="Arial"/>
          <w:sz w:val="12"/>
          <w:szCs w:val="12"/>
          <w:color w:val="auto"/>
        </w:rPr>
        <w:t>IN WITNESS WHEREOF, each of the parties has executed this Agreement, in the case of the Company by their duly authorized officers, as of the day and year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AADI BIOSCIENCE, INC.</w:t>
      </w:r>
    </w:p>
    <w:p>
      <w:pPr>
        <w:spacing w:after="0" w:line="200" w:lineRule="exact"/>
        <w:rPr>
          <w:sz w:val="20"/>
          <w:szCs w:val="20"/>
          <w:color w:val="auto"/>
        </w:rPr>
      </w:pPr>
    </w:p>
    <w:p>
      <w:pPr>
        <w:spacing w:after="0" w:line="307" w:lineRule="exact"/>
        <w:rPr>
          <w:sz w:val="20"/>
          <w:szCs w:val="20"/>
          <w:color w:val="auto"/>
        </w:rPr>
      </w:pPr>
    </w:p>
    <w:p>
      <w:pPr>
        <w:spacing w:after="0"/>
        <w:tabs>
          <w:tab w:leader="none" w:pos="360" w:val="left"/>
          <w:tab w:leader="none" w:pos="2140" w:val="left"/>
          <w:tab w:leader="none" w:pos="2620" w:val="left"/>
        </w:tabs>
        <w:rPr>
          <w:sz w:val="20"/>
          <w:szCs w:val="20"/>
          <w:color w:val="auto"/>
        </w:rPr>
      </w:pPr>
      <w:r>
        <w:rPr>
          <w:rFonts w:ascii="Arial" w:cs="Arial" w:eastAsia="Arial" w:hAnsi="Arial"/>
          <w:sz w:val="14"/>
          <w:szCs w:val="14"/>
          <w:color w:val="auto"/>
        </w:rPr>
        <w:t>By:</w:t>
        <w:tab/>
        <w:t>/s/ Caley Castelein</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2"/>
          <w:szCs w:val="12"/>
          <w:color w:val="auto"/>
        </w:rPr>
        <w:t>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-6985</wp:posOffset>
            </wp:positionV>
            <wp:extent cx="227901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2279015" cy="698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Name: Caley Castelein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Title: Chairman of the Board of Directors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EXECUTIVE: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Arial" w:cs="Arial" w:eastAsia="Arial" w:hAnsi="Arial"/>
                <w:sz w:val="14"/>
                <w:szCs w:val="14"/>
                <w:color w:val="auto"/>
              </w:rPr>
              <w:t>/s/ Neil Desai</w:t>
            </w:r>
          </w:p>
        </w:tc>
        <w:tc>
          <w:tcPr>
            <w:tcW w:w="2100" w:type="dxa"/>
            <w:vAlign w:val="bottom"/>
            <w:gridSpan w:val="2"/>
          </w:tcPr>
          <w:p>
            <w:pPr>
              <w:ind w:left="280"/>
              <w:spacing w:after="0"/>
              <w:rPr>
                <w:sz w:val="20"/>
                <w:szCs w:val="20"/>
                <w:color w:val="auto"/>
              </w:rPr>
            </w:pPr>
            <w:r>
              <w:rPr>
                <w:rFonts w:ascii="Arial" w:cs="Arial" w:eastAsia="Arial" w:hAnsi="Arial"/>
                <w:sz w:val="14"/>
                <w:szCs w:val="14"/>
                <w:color w:val="auto"/>
              </w:rPr>
              <w:t>Date:   November 8, 2022</w:t>
            </w:r>
          </w:p>
        </w:tc>
      </w:tr>
      <w:tr>
        <w:trPr>
          <w:trHeight w:val="171"/>
        </w:trPr>
        <w:tc>
          <w:tcPr>
            <w:tcW w:w="20" w:type="dxa"/>
            <w:vAlign w:val="bottom"/>
          </w:tcPr>
          <w:p>
            <w:pPr>
              <w:spacing w:after="0"/>
              <w:rPr>
                <w:sz w:val="14"/>
                <w:szCs w:val="14"/>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NEIL DESAI, PH.D.</w:t>
            </w:r>
          </w:p>
        </w:tc>
        <w:tc>
          <w:tcPr>
            <w:tcW w:w="62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[SIGNATURE PAGE TO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80"/>
          </w:cols>
          <w:pgMar w:left="300" w:top="1306" w:right="9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4"/>
          <w:szCs w:val="14"/>
          <w:b w:val="1"/>
          <w:bCs w:val="1"/>
          <w:color w:val="auto"/>
        </w:rPr>
        <w:t>Exhibit 10.17</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AADI BIOSCIENCE, INC.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EXECUTIVE EMPLOYMENT AGREEMENT</w:t>
      </w:r>
    </w:p>
    <w:p>
      <w:pPr>
        <w:spacing w:after="0" w:line="83"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3"/>
          <w:szCs w:val="13"/>
          <w:color w:val="auto"/>
        </w:rPr>
        <w:t>This Amended and Restated Executive Employment Agreement (the “</w:t>
      </w:r>
      <w:r>
        <w:rPr>
          <w:rFonts w:ascii="Arial" w:cs="Arial" w:eastAsia="Arial" w:hAnsi="Arial"/>
          <w:sz w:val="13"/>
          <w:szCs w:val="13"/>
          <w:b w:val="1"/>
          <w:bCs w:val="1"/>
          <w:color w:val="auto"/>
        </w:rPr>
        <w:t>Agreement</w:t>
      </w:r>
      <w:r>
        <w:rPr>
          <w:rFonts w:ascii="Arial" w:cs="Arial" w:eastAsia="Arial" w:hAnsi="Arial"/>
          <w:sz w:val="13"/>
          <w:szCs w:val="13"/>
          <w:color w:val="auto"/>
        </w:rPr>
        <w:t>”) is entered into as of November 8, 2022 by and between Aadi Bioscience, Inc. (“</w:t>
      </w:r>
      <w:r>
        <w:rPr>
          <w:rFonts w:ascii="Arial" w:cs="Arial" w:eastAsia="Arial" w:hAnsi="Arial"/>
          <w:sz w:val="13"/>
          <w:szCs w:val="13"/>
          <w:b w:val="1"/>
          <w:bCs w:val="1"/>
          <w:color w:val="auto"/>
        </w:rPr>
        <w:t>Aadi</w:t>
      </w:r>
      <w:r>
        <w:rPr>
          <w:rFonts w:ascii="Arial" w:cs="Arial" w:eastAsia="Arial" w:hAnsi="Arial"/>
          <w:sz w:val="13"/>
          <w:szCs w:val="13"/>
          <w:color w:val="auto"/>
        </w:rPr>
        <w:t>”), and Brendan Delaney (“</w:t>
      </w:r>
      <w:r>
        <w:rPr>
          <w:rFonts w:ascii="Arial" w:cs="Arial" w:eastAsia="Arial" w:hAnsi="Arial"/>
          <w:sz w:val="13"/>
          <w:szCs w:val="13"/>
          <w:b w:val="1"/>
          <w:bCs w:val="1"/>
          <w:color w:val="auto"/>
        </w:rPr>
        <w:t>Executive</w:t>
      </w:r>
      <w:r>
        <w:rPr>
          <w:rFonts w:ascii="Arial" w:cs="Arial" w:eastAsia="Arial" w:hAnsi="Arial"/>
          <w:sz w:val="13"/>
          <w:szCs w:val="13"/>
          <w:color w:val="auto"/>
        </w:rPr>
        <w:t>”). This Agreement will be effective January 1, 2023 (the “</w:t>
      </w:r>
      <w:r>
        <w:rPr>
          <w:rFonts w:ascii="Arial" w:cs="Arial" w:eastAsia="Arial" w:hAnsi="Arial"/>
          <w:sz w:val="13"/>
          <w:szCs w:val="13"/>
          <w:b w:val="1"/>
          <w:bCs w:val="1"/>
          <w:color w:val="auto"/>
        </w:rPr>
        <w:t>Effective Date</w:t>
      </w:r>
      <w:r>
        <w:rPr>
          <w:rFonts w:ascii="Arial" w:cs="Arial" w:eastAsia="Arial" w:hAnsi="Arial"/>
          <w:sz w:val="13"/>
          <w:szCs w:val="13"/>
          <w:color w:val="auto"/>
        </w:rPr>
        <w:t>”) and amends and restates the Employment Agreement by and between the Executive and the Company, dated September 14, 2021 (the “</w:t>
      </w:r>
      <w:r>
        <w:rPr>
          <w:rFonts w:ascii="Arial" w:cs="Arial" w:eastAsia="Arial" w:hAnsi="Arial"/>
          <w:sz w:val="13"/>
          <w:szCs w:val="13"/>
          <w:b w:val="1"/>
          <w:bCs w:val="1"/>
          <w:color w:val="auto"/>
        </w:rPr>
        <w:t>Prior Agreement</w:t>
      </w:r>
      <w:r>
        <w:rPr>
          <w:rFonts w:ascii="Arial" w:cs="Arial" w:eastAsia="Arial" w:hAnsi="Arial"/>
          <w:sz w:val="13"/>
          <w:szCs w:val="13"/>
          <w:color w:val="auto"/>
        </w:rPr>
        <w:t>”). Aadi, together with any other subsidiaries, including the entity employing you, shall be referred to in this letter as the “</w:t>
      </w:r>
      <w:r>
        <w:rPr>
          <w:rFonts w:ascii="Arial" w:cs="Arial" w:eastAsia="Arial" w:hAnsi="Arial"/>
          <w:sz w:val="13"/>
          <w:szCs w:val="13"/>
          <w:b w:val="1"/>
          <w:bCs w:val="1"/>
          <w:color w:val="auto"/>
        </w:rPr>
        <w:t>Company</w:t>
      </w:r>
      <w:r>
        <w:rPr>
          <w:rFonts w:ascii="Arial" w:cs="Arial" w:eastAsia="Arial" w:hAnsi="Arial"/>
          <w:sz w:val="13"/>
          <w:szCs w:val="13"/>
          <w:color w:val="auto"/>
        </w:rPr>
        <w:t>”.</w:t>
      </w:r>
    </w:p>
    <w:p>
      <w:pPr>
        <w:spacing w:after="0" w:line="37" w:lineRule="exact"/>
        <w:rPr>
          <w:sz w:val="20"/>
          <w:szCs w:val="20"/>
          <w:color w:val="auto"/>
        </w:rPr>
      </w:pPr>
    </w:p>
    <w:p>
      <w:pPr>
        <w:ind w:left="1020" w:hanging="506"/>
        <w:spacing w:after="0"/>
        <w:tabs>
          <w:tab w:leader="none" w:pos="1020"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Duties and Scope of Employment</w:t>
      </w:r>
      <w:r>
        <w:rPr>
          <w:rFonts w:ascii="Arial" w:cs="Arial" w:eastAsia="Arial" w:hAnsi="Arial"/>
          <w:sz w:val="14"/>
          <w:szCs w:val="14"/>
          <w:color w:val="auto"/>
        </w:rPr>
        <w:t>.</w:t>
      </w:r>
    </w:p>
    <w:p>
      <w:pPr>
        <w:spacing w:after="0" w:line="83" w:lineRule="exact"/>
        <w:rPr>
          <w:rFonts w:ascii="Arial" w:cs="Arial" w:eastAsia="Arial" w:hAnsi="Arial"/>
          <w:sz w:val="14"/>
          <w:szCs w:val="14"/>
          <w:color w:val="auto"/>
        </w:rPr>
      </w:pPr>
    </w:p>
    <w:p>
      <w:pPr>
        <w:jc w:val="both"/>
        <w:ind w:firstLine="1023"/>
        <w:spacing w:after="0" w:line="243" w:lineRule="auto"/>
        <w:tabs>
          <w:tab w:leader="none" w:pos="1526" w:val="left"/>
        </w:tabs>
        <w:numPr>
          <w:ilvl w:val="1"/>
          <w:numId w:val="91"/>
        </w:numPr>
        <w:rPr>
          <w:rFonts w:ascii="Arial" w:cs="Arial" w:eastAsia="Arial" w:hAnsi="Arial"/>
          <w:sz w:val="14"/>
          <w:szCs w:val="14"/>
          <w:color w:val="auto"/>
        </w:rPr>
      </w:pPr>
      <w:r>
        <w:rPr>
          <w:rFonts w:ascii="Arial" w:cs="Arial" w:eastAsia="Arial" w:hAnsi="Arial"/>
          <w:sz w:val="14"/>
          <w:szCs w:val="14"/>
          <w:u w:val="single" w:color="auto"/>
          <w:color w:val="auto"/>
        </w:rPr>
        <w:t>Positions and Duties</w:t>
      </w:r>
      <w:r>
        <w:rPr>
          <w:rFonts w:ascii="Arial" w:cs="Arial" w:eastAsia="Arial" w:hAnsi="Arial"/>
          <w:sz w:val="14"/>
          <w:szCs w:val="14"/>
          <w:color w:val="auto"/>
        </w:rPr>
        <w:t>. Effective as of the Effective Date, Executive will serve as the Company’s President and Chief Executive Officer. Executive will render such business and professional services in the performance of Executive’s duties, consistent with Executive’s position within the Company, as will reasonably be assigned to Executive by the Board of Directors of Aadi (the “</w:t>
      </w:r>
      <w:r>
        <w:rPr>
          <w:rFonts w:ascii="Arial" w:cs="Arial" w:eastAsia="Arial" w:hAnsi="Arial"/>
          <w:sz w:val="14"/>
          <w:szCs w:val="14"/>
          <w:b w:val="1"/>
          <w:bCs w:val="1"/>
          <w:color w:val="auto"/>
        </w:rPr>
        <w:t>Board</w:t>
      </w:r>
      <w:r>
        <w:rPr>
          <w:rFonts w:ascii="Arial" w:cs="Arial" w:eastAsia="Arial" w:hAnsi="Arial"/>
          <w:sz w:val="14"/>
          <w:szCs w:val="14"/>
          <w:color w:val="auto"/>
        </w:rPr>
        <w:t>”). The period of Executive’s employment under this Agreement is referred to herein as the “</w:t>
      </w:r>
      <w:r>
        <w:rPr>
          <w:rFonts w:ascii="Arial" w:cs="Arial" w:eastAsia="Arial" w:hAnsi="Arial"/>
          <w:sz w:val="14"/>
          <w:szCs w:val="14"/>
          <w:b w:val="1"/>
          <w:bCs w:val="1"/>
          <w:color w:val="auto"/>
        </w:rPr>
        <w:t>Employment Term</w:t>
      </w:r>
      <w:r>
        <w:rPr>
          <w:rFonts w:ascii="Arial" w:cs="Arial" w:eastAsia="Arial" w:hAnsi="Arial"/>
          <w:sz w:val="14"/>
          <w:szCs w:val="14"/>
          <w:color w:val="auto"/>
        </w:rPr>
        <w:t>.”</w:t>
      </w:r>
    </w:p>
    <w:p>
      <w:pPr>
        <w:spacing w:after="0" w:line="62" w:lineRule="exact"/>
        <w:rPr>
          <w:rFonts w:ascii="Arial" w:cs="Arial" w:eastAsia="Arial" w:hAnsi="Arial"/>
          <w:sz w:val="14"/>
          <w:szCs w:val="14"/>
          <w:color w:val="auto"/>
        </w:rPr>
      </w:pPr>
    </w:p>
    <w:p>
      <w:pPr>
        <w:ind w:left="1520" w:hanging="497"/>
        <w:spacing w:after="0"/>
        <w:tabs>
          <w:tab w:leader="none" w:pos="1520" w:val="left"/>
        </w:tabs>
        <w:numPr>
          <w:ilvl w:val="1"/>
          <w:numId w:val="91"/>
        </w:numPr>
        <w:rPr>
          <w:rFonts w:ascii="Arial" w:cs="Arial" w:eastAsia="Arial" w:hAnsi="Arial"/>
          <w:sz w:val="14"/>
          <w:szCs w:val="14"/>
          <w:color w:val="auto"/>
        </w:rPr>
      </w:pPr>
      <w:r>
        <w:rPr>
          <w:rFonts w:ascii="Arial" w:cs="Arial" w:eastAsia="Arial" w:hAnsi="Arial"/>
          <w:sz w:val="14"/>
          <w:szCs w:val="14"/>
          <w:u w:val="single" w:color="auto"/>
          <w:color w:val="auto"/>
        </w:rPr>
        <w:t>Board Membership</w:t>
      </w:r>
      <w:r>
        <w:rPr>
          <w:rFonts w:ascii="Arial" w:cs="Arial" w:eastAsia="Arial" w:hAnsi="Arial"/>
          <w:sz w:val="14"/>
          <w:szCs w:val="14"/>
          <w:color w:val="auto"/>
        </w:rPr>
        <w:t>. During the Employment Term, Executive will serve on the Board, subject to any required Board and stockholder approval.</w:t>
      </w:r>
    </w:p>
    <w:p>
      <w:pPr>
        <w:spacing w:after="0" w:line="83" w:lineRule="exact"/>
        <w:rPr>
          <w:rFonts w:ascii="Arial" w:cs="Arial" w:eastAsia="Arial" w:hAnsi="Arial"/>
          <w:sz w:val="14"/>
          <w:szCs w:val="14"/>
          <w:color w:val="auto"/>
        </w:rPr>
      </w:pPr>
    </w:p>
    <w:p>
      <w:pPr>
        <w:jc w:val="both"/>
        <w:ind w:firstLine="1023"/>
        <w:spacing w:after="0" w:line="271" w:lineRule="auto"/>
        <w:tabs>
          <w:tab w:leader="none" w:pos="1526" w:val="left"/>
        </w:tabs>
        <w:numPr>
          <w:ilvl w:val="1"/>
          <w:numId w:val="91"/>
        </w:numPr>
        <w:rPr>
          <w:rFonts w:ascii="Arial" w:cs="Arial" w:eastAsia="Arial" w:hAnsi="Arial"/>
          <w:sz w:val="13"/>
          <w:szCs w:val="13"/>
          <w:color w:val="auto"/>
        </w:rPr>
      </w:pPr>
      <w:r>
        <w:rPr>
          <w:rFonts w:ascii="Arial" w:cs="Arial" w:eastAsia="Arial" w:hAnsi="Arial"/>
          <w:sz w:val="13"/>
          <w:szCs w:val="13"/>
          <w:u w:val="single" w:color="auto"/>
          <w:color w:val="auto"/>
        </w:rPr>
        <w:t>Obligations</w:t>
      </w:r>
      <w:r>
        <w:rPr>
          <w:rFonts w:ascii="Arial" w:cs="Arial" w:eastAsia="Arial" w:hAnsi="Arial"/>
          <w:sz w:val="13"/>
          <w:szCs w:val="13"/>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 provided, however, that Executive may manage personal investments, participate in civic, charitable, educational and professional activities. In the event of any conflict between any policy of the Company and the terms of this Agreement, the terms of this Agreement shall govern and control.</w:t>
      </w:r>
    </w:p>
    <w:p>
      <w:pPr>
        <w:spacing w:after="0" w:line="46" w:lineRule="exact"/>
        <w:rPr>
          <w:rFonts w:ascii="Arial" w:cs="Arial" w:eastAsia="Arial" w:hAnsi="Arial"/>
          <w:sz w:val="13"/>
          <w:szCs w:val="13"/>
          <w:color w:val="auto"/>
        </w:rPr>
      </w:pPr>
    </w:p>
    <w:p>
      <w:pPr>
        <w:ind w:firstLine="1023"/>
        <w:spacing w:after="0" w:line="265" w:lineRule="auto"/>
        <w:tabs>
          <w:tab w:leader="none" w:pos="1523" w:val="left"/>
        </w:tabs>
        <w:numPr>
          <w:ilvl w:val="1"/>
          <w:numId w:val="91"/>
        </w:numPr>
        <w:rPr>
          <w:rFonts w:ascii="Arial" w:cs="Arial" w:eastAsia="Arial" w:hAnsi="Arial"/>
          <w:sz w:val="14"/>
          <w:szCs w:val="14"/>
          <w:color w:val="auto"/>
        </w:rPr>
      </w:pPr>
      <w:r>
        <w:rPr>
          <w:rFonts w:ascii="Arial" w:cs="Arial" w:eastAsia="Arial" w:hAnsi="Arial"/>
          <w:sz w:val="14"/>
          <w:szCs w:val="14"/>
          <w:u w:val="single" w:color="auto"/>
          <w:color w:val="auto"/>
        </w:rPr>
        <w:t>Principal Location of Services</w:t>
      </w:r>
      <w:r>
        <w:rPr>
          <w:rFonts w:ascii="Arial" w:cs="Arial" w:eastAsia="Arial" w:hAnsi="Arial"/>
          <w:sz w:val="14"/>
          <w:szCs w:val="14"/>
          <w:color w:val="auto"/>
        </w:rPr>
        <w:t>. Executive shall perform his duties during the Employment Term principally out of offices located in the New Jersey or New York Metropolitan area and shall undertake such travel within or outside of the United States as is necessary or advisable for the efficient operations of the Company.</w:t>
      </w:r>
    </w:p>
    <w:p>
      <w:pPr>
        <w:spacing w:after="0" w:line="47" w:lineRule="exact"/>
        <w:rPr>
          <w:rFonts w:ascii="Arial" w:cs="Arial" w:eastAsia="Arial" w:hAnsi="Arial"/>
          <w:sz w:val="14"/>
          <w:szCs w:val="14"/>
          <w:color w:val="auto"/>
        </w:rPr>
      </w:pPr>
    </w:p>
    <w:p>
      <w:pPr>
        <w:jc w:val="both"/>
        <w:ind w:firstLine="514"/>
        <w:spacing w:after="0" w:line="246" w:lineRule="auto"/>
        <w:tabs>
          <w:tab w:leader="none" w:pos="1018"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At-Will Employment</w:t>
      </w:r>
      <w:r>
        <w:rPr>
          <w:rFonts w:ascii="Arial" w:cs="Arial" w:eastAsia="Arial" w:hAnsi="Arial"/>
          <w:sz w:val="14"/>
          <w:szCs w:val="14"/>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50" w:lineRule="exact"/>
        <w:rPr>
          <w:rFonts w:ascii="Arial" w:cs="Arial" w:eastAsia="Arial" w:hAnsi="Arial"/>
          <w:sz w:val="14"/>
          <w:szCs w:val="14"/>
          <w:color w:val="auto"/>
        </w:rPr>
      </w:pPr>
    </w:p>
    <w:p>
      <w:pPr>
        <w:ind w:left="1020" w:hanging="506"/>
        <w:spacing w:after="0"/>
        <w:tabs>
          <w:tab w:leader="none" w:pos="1020"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w:t>
      </w:r>
    </w:p>
    <w:p>
      <w:pPr>
        <w:spacing w:after="0" w:line="83" w:lineRule="exact"/>
        <w:rPr>
          <w:rFonts w:ascii="Arial" w:cs="Arial" w:eastAsia="Arial" w:hAnsi="Arial"/>
          <w:sz w:val="14"/>
          <w:szCs w:val="14"/>
          <w:color w:val="auto"/>
        </w:rPr>
      </w:pPr>
    </w:p>
    <w:p>
      <w:pPr>
        <w:jc w:val="both"/>
        <w:ind w:firstLine="1023"/>
        <w:spacing w:after="0" w:line="246" w:lineRule="auto"/>
        <w:tabs>
          <w:tab w:leader="none" w:pos="1526" w:val="left"/>
        </w:tabs>
        <w:numPr>
          <w:ilvl w:val="1"/>
          <w:numId w:val="91"/>
        </w:numPr>
        <w:rPr>
          <w:rFonts w:ascii="Arial" w:cs="Arial" w:eastAsia="Arial" w:hAnsi="Arial"/>
          <w:sz w:val="14"/>
          <w:szCs w:val="14"/>
          <w:color w:val="auto"/>
        </w:rPr>
      </w:pPr>
      <w:r>
        <w:rPr>
          <w:rFonts w:ascii="Arial" w:cs="Arial" w:eastAsia="Arial" w:hAnsi="Arial"/>
          <w:sz w:val="14"/>
          <w:szCs w:val="14"/>
          <w:u w:val="single" w:color="auto"/>
          <w:color w:val="auto"/>
        </w:rPr>
        <w:t>Base Salary</w:t>
      </w:r>
      <w:r>
        <w:rPr>
          <w:rFonts w:ascii="Arial" w:cs="Arial" w:eastAsia="Arial" w:hAnsi="Arial"/>
          <w:sz w:val="14"/>
          <w:szCs w:val="14"/>
          <w:color w:val="auto"/>
        </w:rPr>
        <w:t>. Effective as of the Effective Date and for the remainder of the Employment Term, the Company will pay Executive an annual salary of $624,000 as compensation for Executive’s employment services to the Company (the “</w:t>
      </w:r>
      <w:r>
        <w:rPr>
          <w:rFonts w:ascii="Arial" w:cs="Arial" w:eastAsia="Arial" w:hAnsi="Arial"/>
          <w:sz w:val="14"/>
          <w:szCs w:val="14"/>
          <w:b w:val="1"/>
          <w:bCs w:val="1"/>
          <w:color w:val="auto"/>
        </w:rPr>
        <w:t>Base Salary</w:t>
      </w:r>
      <w:r>
        <w:rPr>
          <w:rFonts w:ascii="Arial" w:cs="Arial" w:eastAsia="Arial" w:hAnsi="Arial"/>
          <w:sz w:val="14"/>
          <w:szCs w:val="14"/>
          <w:color w:val="auto"/>
        </w:rPr>
        <w:t>”). The Base Salary will be paid periodically in accordance with the Company’s normal payroll practices and be subject to the usual, required withholdings. Executive’s salary will be subject to review at least annually and adjustments will be made based upon the Company’s normal performance review practices.</w:t>
      </w:r>
    </w:p>
    <w:p>
      <w:pPr>
        <w:spacing w:after="0" w:line="61" w:lineRule="exact"/>
        <w:rPr>
          <w:rFonts w:ascii="Arial" w:cs="Arial" w:eastAsia="Arial" w:hAnsi="Arial"/>
          <w:sz w:val="14"/>
          <w:szCs w:val="14"/>
          <w:color w:val="auto"/>
        </w:rPr>
      </w:pPr>
    </w:p>
    <w:p>
      <w:pPr>
        <w:jc w:val="both"/>
        <w:ind w:firstLine="1023"/>
        <w:spacing w:after="0" w:line="236" w:lineRule="auto"/>
        <w:tabs>
          <w:tab w:leader="none" w:pos="1523" w:val="left"/>
        </w:tabs>
        <w:numPr>
          <w:ilvl w:val="1"/>
          <w:numId w:val="91"/>
        </w:numPr>
        <w:rPr>
          <w:rFonts w:ascii="Arial" w:cs="Arial" w:eastAsia="Arial" w:hAnsi="Arial"/>
          <w:sz w:val="13"/>
          <w:szCs w:val="13"/>
          <w:color w:val="auto"/>
        </w:rPr>
      </w:pPr>
      <w:r>
        <w:rPr>
          <w:rFonts w:ascii="Arial" w:cs="Arial" w:eastAsia="Arial" w:hAnsi="Arial"/>
          <w:sz w:val="13"/>
          <w:szCs w:val="13"/>
          <w:u w:val="single" w:color="auto"/>
          <w:color w:val="auto"/>
        </w:rPr>
        <w:t>Target Bonus</w:t>
      </w:r>
      <w:r>
        <w:rPr>
          <w:rFonts w:ascii="Arial" w:cs="Arial" w:eastAsia="Arial" w:hAnsi="Arial"/>
          <w:sz w:val="13"/>
          <w:szCs w:val="13"/>
          <w:color w:val="auto"/>
        </w:rPr>
        <w:t>. Effective as of the Effective Date and for the remainder of the Employment Term, Executive will be eligible to receive an annual bonus of up to 60% of Executive’s Base Salary upon achievement of performance objectives to be determined by the Board or its authorized committee (the “</w:t>
      </w:r>
      <w:r>
        <w:rPr>
          <w:rFonts w:ascii="Arial" w:cs="Arial" w:eastAsia="Arial" w:hAnsi="Arial"/>
          <w:sz w:val="13"/>
          <w:szCs w:val="13"/>
          <w:b w:val="1"/>
          <w:bCs w:val="1"/>
          <w:color w:val="auto"/>
        </w:rPr>
        <w:t>Committee</w:t>
      </w:r>
      <w:r>
        <w:rPr>
          <w:rFonts w:ascii="Arial" w:cs="Arial" w:eastAsia="Arial" w:hAnsi="Arial"/>
          <w:sz w:val="13"/>
          <w:szCs w:val="13"/>
          <w:color w:val="auto"/>
        </w:rPr>
        <w:t>”) in its sole discretion, with reasonable input from Executive (the “</w:t>
      </w:r>
      <w:r>
        <w:rPr>
          <w:rFonts w:ascii="Arial" w:cs="Arial" w:eastAsia="Arial" w:hAnsi="Arial"/>
          <w:sz w:val="13"/>
          <w:szCs w:val="13"/>
          <w:b w:val="1"/>
          <w:bCs w:val="1"/>
          <w:color w:val="auto"/>
        </w:rPr>
        <w:t>Target Bonus</w:t>
      </w:r>
      <w:r>
        <w:rPr>
          <w:rFonts w:ascii="Arial" w:cs="Arial" w:eastAsia="Arial" w:hAnsi="Arial"/>
          <w:sz w:val="13"/>
          <w:szCs w:val="13"/>
          <w:color w:val="auto"/>
        </w:rPr>
        <w:t>”). For calendar year 2022, the achieved Target Bonus will be pro-rated for the portion of the calendar year that Executive was employed by the Company under the terms of this Agreement and the Target Bonus provided for under the Prior Agreement. The achieved portion of Executive’s Target Bonus will be paid, less applicable withholdings, as soon as practicable after the Board or Committee determines that the Target Bonus has been earned, but in no event shall the Target Bonus be paid after the later of (i) the fifteenth (15</w:t>
      </w:r>
      <w:r>
        <w:rPr>
          <w:rFonts w:ascii="Arial" w:cs="Arial" w:eastAsia="Arial" w:hAnsi="Arial"/>
          <w:sz w:val="17"/>
          <w:szCs w:val="17"/>
          <w:color w:val="auto"/>
          <w:vertAlign w:val="superscript"/>
        </w:rPr>
        <w:t>th</w:t>
      </w:r>
      <w:r>
        <w:rPr>
          <w:rFonts w:ascii="Arial" w:cs="Arial" w:eastAsia="Arial" w:hAnsi="Arial"/>
          <w:sz w:val="13"/>
          <w:szCs w:val="13"/>
          <w:color w:val="auto"/>
        </w:rPr>
        <w:t>) day of the third (3</w:t>
      </w:r>
      <w:r>
        <w:rPr>
          <w:rFonts w:ascii="Arial" w:cs="Arial" w:eastAsia="Arial" w:hAnsi="Arial"/>
          <w:sz w:val="17"/>
          <w:szCs w:val="17"/>
          <w:color w:val="auto"/>
          <w:vertAlign w:val="superscript"/>
        </w:rPr>
        <w:t>rd</w:t>
      </w:r>
      <w:r>
        <w:rPr>
          <w:rFonts w:ascii="Arial" w:cs="Arial" w:eastAsia="Arial" w:hAnsi="Arial"/>
          <w:sz w:val="13"/>
          <w:szCs w:val="13"/>
          <w:color w:val="auto"/>
        </w:rPr>
        <w:t>) month following the close of the Company’s fiscal year in which the Target Bonus is earned or (ii) March 15 following the calendar year in which the Target Bonus is earned.</w:t>
      </w:r>
    </w:p>
    <w:p>
      <w:pPr>
        <w:sectPr>
          <w:pgSz w:w="11900" w:h="16838" w:orient="portrait"/>
          <w:cols w:equalWidth="0" w:num="1">
            <w:col w:w="11280"/>
          </w:cols>
          <w:pgMar w:left="300" w:top="698" w:right="319" w:bottom="1440" w:gutter="0" w:footer="0" w:header="0"/>
        </w:sectPr>
      </w:pPr>
    </w:p>
    <w:bookmarkStart w:id="170" w:name="page171"/>
    <w:bookmarkEnd w:id="170"/>
    <w:p>
      <w:pPr>
        <w:jc w:val="both"/>
        <w:ind w:firstLine="1023"/>
        <w:spacing w:after="0" w:line="238" w:lineRule="auto"/>
        <w:tabs>
          <w:tab w:leader="none" w:pos="1526" w:val="left"/>
        </w:tabs>
        <w:numPr>
          <w:ilvl w:val="1"/>
          <w:numId w:val="92"/>
        </w:numPr>
        <w:rPr>
          <w:rFonts w:ascii="Arial" w:cs="Arial" w:eastAsia="Arial" w:hAnsi="Arial"/>
          <w:sz w:val="14"/>
          <w:szCs w:val="14"/>
          <w:color w:val="auto"/>
        </w:rPr>
      </w:pPr>
      <w:r>
        <w:rPr>
          <w:rFonts w:ascii="Arial" w:cs="Arial" w:eastAsia="Arial" w:hAnsi="Arial"/>
          <w:sz w:val="14"/>
          <w:szCs w:val="14"/>
          <w:u w:val="single" w:color="auto"/>
          <w:color w:val="auto"/>
        </w:rPr>
        <w:t>Stock Option</w:t>
      </w:r>
      <w:r>
        <w:rPr>
          <w:rFonts w:ascii="Arial" w:cs="Arial" w:eastAsia="Arial" w:hAnsi="Arial"/>
          <w:sz w:val="14"/>
          <w:szCs w:val="14"/>
          <w:color w:val="auto"/>
        </w:rPr>
        <w:t>. Subject to the approval of the Board or Committee, on the first trading day following the Effective Date Executive will be granted a nonstatutory stock option to purchase 150,000 shares of the Company’s common stock at an exercise price per share equal to the fair market value of the Company’s common stock on the date of grant, which will be the closing price of the Company’s common stock as reported by the Nasdaq Stock Market on the first trading day following the Effective Date (the “</w:t>
      </w:r>
      <w:r>
        <w:rPr>
          <w:rFonts w:ascii="Arial" w:cs="Arial" w:eastAsia="Arial" w:hAnsi="Arial"/>
          <w:sz w:val="14"/>
          <w:szCs w:val="14"/>
          <w:b w:val="1"/>
          <w:bCs w:val="1"/>
          <w:color w:val="auto"/>
        </w:rPr>
        <w:t>Option</w:t>
      </w:r>
      <w:r>
        <w:rPr>
          <w:rFonts w:ascii="Arial" w:cs="Arial" w:eastAsia="Arial" w:hAnsi="Arial"/>
          <w:sz w:val="14"/>
          <w:szCs w:val="14"/>
          <w:color w:val="auto"/>
        </w:rPr>
        <w:t>”). Subject to the accelerated vesting provisions set forth herein, the Option will vest as to twenty-five percent (25%) of the shares subject to the Option one (1) year after the Effective Date, and as to 1/48th of the shares subject to the Option monthly thereafter on the same day of the month as the Effective Date (and if there is no corresponding day, the last day of the month), so that the Option will be fully vested and exercisable four (4) years from the Effective Date, subject to Executive continuing to provide services to the Company through the relevant vesting dates. Except as provided herein, the Option will be subject to the terms and conditions of an equity incentive plan and related stock option agreement approved by the Board or Committee, including vesting requirements (collectively, the “</w:t>
      </w:r>
      <w:r>
        <w:rPr>
          <w:rFonts w:ascii="Arial" w:cs="Arial" w:eastAsia="Arial" w:hAnsi="Arial"/>
          <w:sz w:val="14"/>
          <w:szCs w:val="14"/>
          <w:b w:val="1"/>
          <w:bCs w:val="1"/>
          <w:color w:val="auto"/>
        </w:rPr>
        <w:t>Equity Documents</w:t>
      </w:r>
      <w:r>
        <w:rPr>
          <w:rFonts w:ascii="Arial" w:cs="Arial" w:eastAsia="Arial" w:hAnsi="Arial"/>
          <w:sz w:val="14"/>
          <w:szCs w:val="14"/>
          <w:color w:val="auto"/>
        </w:rPr>
        <w:t>”) and will be granted in accordance with the Company’s equity grant policy. For the avoidance of doubt, the Option will be in addition to the option covering shares of Company common stock granted to Executive in connection with the Prior Agreement.</w:t>
      </w:r>
    </w:p>
    <w:p>
      <w:pPr>
        <w:spacing w:after="0" w:line="69" w:lineRule="exact"/>
        <w:rPr>
          <w:rFonts w:ascii="Arial" w:cs="Arial" w:eastAsia="Arial" w:hAnsi="Arial"/>
          <w:sz w:val="14"/>
          <w:szCs w:val="14"/>
          <w:color w:val="auto"/>
        </w:rPr>
      </w:pPr>
    </w:p>
    <w:p>
      <w:pPr>
        <w:jc w:val="both"/>
        <w:ind w:firstLine="1023"/>
        <w:spacing w:after="0" w:line="251" w:lineRule="auto"/>
        <w:tabs>
          <w:tab w:leader="none" w:pos="1523" w:val="left"/>
        </w:tabs>
        <w:numPr>
          <w:ilvl w:val="1"/>
          <w:numId w:val="92"/>
        </w:numPr>
        <w:rPr>
          <w:rFonts w:ascii="Arial" w:cs="Arial" w:eastAsia="Arial" w:hAnsi="Arial"/>
          <w:sz w:val="14"/>
          <w:szCs w:val="14"/>
          <w:color w:val="auto"/>
        </w:rPr>
      </w:pPr>
      <w:r>
        <w:rPr>
          <w:rFonts w:ascii="Arial" w:cs="Arial" w:eastAsia="Arial" w:hAnsi="Arial"/>
          <w:sz w:val="14"/>
          <w:szCs w:val="14"/>
          <w:u w:val="single" w:color="auto"/>
          <w:color w:val="auto"/>
        </w:rPr>
        <w:t>Equity</w:t>
      </w:r>
      <w:r>
        <w:rPr>
          <w:rFonts w:ascii="Arial" w:cs="Arial" w:eastAsia="Arial" w:hAnsi="Arial"/>
          <w:sz w:val="14"/>
          <w:szCs w:val="14"/>
          <w:color w:val="auto"/>
        </w:rPr>
        <w:t>. During the Employment Term, Executive will be eligible to receive equity awards pursuant to any plans or arrangements the Company may have in effect from time to time. The Board or Committee will determine in its discretion whether Executive will be granted any equity awards and the terms of any equity award in accordance with the terms of any applicable plan or arrangement that may be in effect from time to time.</w:t>
      </w:r>
    </w:p>
    <w:p>
      <w:pPr>
        <w:spacing w:after="0" w:line="57" w:lineRule="exact"/>
        <w:rPr>
          <w:rFonts w:ascii="Arial" w:cs="Arial" w:eastAsia="Arial" w:hAnsi="Arial"/>
          <w:sz w:val="14"/>
          <w:szCs w:val="14"/>
          <w:color w:val="auto"/>
        </w:rPr>
      </w:pPr>
    </w:p>
    <w:p>
      <w:pPr>
        <w:jc w:val="both"/>
        <w:ind w:firstLine="514"/>
        <w:spacing w:after="0" w:line="246" w:lineRule="auto"/>
        <w:tabs>
          <w:tab w:leader="none" w:pos="1018"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Employee Benefits</w:t>
      </w:r>
      <w:r>
        <w:rPr>
          <w:rFonts w:ascii="Arial" w:cs="Arial" w:eastAsia="Arial" w:hAnsi="Arial"/>
          <w:sz w:val="14"/>
          <w:szCs w:val="14"/>
          <w:color w:val="auto"/>
        </w:rPr>
        <w:t>. During the Employment Term, Executive will be entitled to participate in the employee benefit plans currently and hereafter maintained by the Company of general applicability to other senior executives of the Company. The Company reserves the right to cancel or change the benefit plans and programs it offers to its employees at any time. Executive shall also be entitled to four weeks of vacation, accruing annually, and participation in any 401(k) or employee benefit plan established by the Company, each as subject to the terms and conditions of such plans or programs adopted by the Company.</w:t>
      </w:r>
    </w:p>
    <w:p>
      <w:pPr>
        <w:spacing w:after="0" w:line="61" w:lineRule="exact"/>
        <w:rPr>
          <w:rFonts w:ascii="Arial" w:cs="Arial" w:eastAsia="Arial" w:hAnsi="Arial"/>
          <w:sz w:val="14"/>
          <w:szCs w:val="14"/>
          <w:color w:val="auto"/>
        </w:rPr>
      </w:pPr>
    </w:p>
    <w:p>
      <w:pPr>
        <w:ind w:firstLine="514"/>
        <w:spacing w:after="0" w:line="265" w:lineRule="auto"/>
        <w:tabs>
          <w:tab w:leader="none" w:pos="1018"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Severance</w:t>
      </w:r>
      <w:r>
        <w:rPr>
          <w:rFonts w:ascii="Arial" w:cs="Arial" w:eastAsia="Arial" w:hAnsi="Arial"/>
          <w:sz w:val="14"/>
          <w:szCs w:val="14"/>
          <w:color w:val="auto"/>
        </w:rPr>
        <w:t>.</w:t>
      </w:r>
    </w:p>
    <w:p>
      <w:pPr>
        <w:spacing w:after="0" w:line="83" w:lineRule="exact"/>
        <w:rPr>
          <w:rFonts w:ascii="Arial" w:cs="Arial" w:eastAsia="Arial" w:hAnsi="Arial"/>
          <w:sz w:val="14"/>
          <w:szCs w:val="14"/>
          <w:color w:val="auto"/>
        </w:rPr>
      </w:pPr>
    </w:p>
    <w:p>
      <w:pPr>
        <w:jc w:val="both"/>
        <w:ind w:firstLine="1023"/>
        <w:spacing w:after="0" w:line="243" w:lineRule="auto"/>
        <w:tabs>
          <w:tab w:leader="none" w:pos="1526" w:val="left"/>
        </w:tabs>
        <w:numPr>
          <w:ilvl w:val="1"/>
          <w:numId w:val="93"/>
        </w:numPr>
        <w:rPr>
          <w:rFonts w:ascii="Arial" w:cs="Arial" w:eastAsia="Arial" w:hAnsi="Arial"/>
          <w:sz w:val="14"/>
          <w:szCs w:val="14"/>
          <w:color w:val="auto"/>
        </w:rPr>
      </w:pPr>
      <w:r>
        <w:rPr>
          <w:rFonts w:ascii="Arial" w:cs="Arial" w:eastAsia="Arial" w:hAnsi="Arial"/>
          <w:sz w:val="14"/>
          <w:szCs w:val="14"/>
          <w:u w:val="single" w:color="auto"/>
          <w:color w:val="auto"/>
        </w:rPr>
        <w:t>Termination for other than Cause, Death or Disability Apart from a Change of Control</w:t>
      </w:r>
      <w:r>
        <w:rPr>
          <w:rFonts w:ascii="Arial" w:cs="Arial" w:eastAsia="Arial" w:hAnsi="Arial"/>
          <w:sz w:val="14"/>
          <w:szCs w:val="14"/>
          <w:color w:val="auto"/>
        </w:rPr>
        <w:t>. If, outside of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7, Executive will be entitled to receive:</w:t>
      </w:r>
    </w:p>
    <w:p>
      <w:pPr>
        <w:spacing w:after="0" w:line="62" w:lineRule="exact"/>
        <w:rPr>
          <w:rFonts w:ascii="Arial" w:cs="Arial" w:eastAsia="Arial" w:hAnsi="Arial"/>
          <w:sz w:val="14"/>
          <w:szCs w:val="14"/>
          <w:color w:val="auto"/>
        </w:rPr>
      </w:pPr>
    </w:p>
    <w:p>
      <w:pPr>
        <w:jc w:val="both"/>
        <w:ind w:firstLine="1533"/>
        <w:spacing w:after="0" w:line="244" w:lineRule="auto"/>
        <w:tabs>
          <w:tab w:leader="none" w:pos="2033" w:val="left"/>
        </w:tabs>
        <w:numPr>
          <w:ilvl w:val="2"/>
          <w:numId w:val="93"/>
        </w:numPr>
        <w:rPr>
          <w:rFonts w:ascii="Arial" w:cs="Arial" w:eastAsia="Arial" w:hAnsi="Arial"/>
          <w:sz w:val="14"/>
          <w:szCs w:val="14"/>
          <w:color w:val="auto"/>
        </w:rPr>
      </w:pPr>
      <w:r>
        <w:rPr>
          <w:rFonts w:ascii="Arial" w:cs="Arial" w:eastAsia="Arial" w:hAnsi="Arial"/>
          <w:sz w:val="14"/>
          <w:szCs w:val="14"/>
          <w:color w:val="auto"/>
        </w:rPr>
        <w:t xml:space="preserve">continuing payments of severance pay for a period of 18 months at a rate equal to (A) one hundred and fifty percent (150%) of Executive’s Base Salary rate, as then in effect,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(B) 18. The severance will be paid, less applicable withholdings, in installments over the severance period described herein with the first payment to commence on the sixty-first (61st) day following Executive’s termination of employment (and include any severance payments that otherwise would have been paid to Executive within the sixty (60) days following Executive’s termination date), with any remaining payments paid in accordance with the Company’s normal payroll practices for the remainder of the severance period following Executive’s termination of employment (subject to any delay as may be required by Section 7(b)).</w:t>
      </w:r>
    </w:p>
    <w:p>
      <w:pPr>
        <w:spacing w:after="0" w:line="58" w:lineRule="exact"/>
        <w:rPr>
          <w:rFonts w:ascii="Arial" w:cs="Arial" w:eastAsia="Arial" w:hAnsi="Arial"/>
          <w:sz w:val="14"/>
          <w:szCs w:val="14"/>
          <w:color w:val="auto"/>
        </w:rPr>
      </w:pPr>
    </w:p>
    <w:p>
      <w:pPr>
        <w:jc w:val="both"/>
        <w:ind w:firstLine="1533"/>
        <w:spacing w:after="0"/>
        <w:tabs>
          <w:tab w:leader="none" w:pos="2030" w:val="left"/>
        </w:tabs>
        <w:numPr>
          <w:ilvl w:val="2"/>
          <w:numId w:val="93"/>
        </w:numPr>
        <w:rPr>
          <w:rFonts w:ascii="Arial" w:cs="Arial" w:eastAsia="Arial" w:hAnsi="Arial"/>
          <w:sz w:val="14"/>
          <w:szCs w:val="14"/>
          <w:color w:val="auto"/>
        </w:rPr>
      </w:pPr>
      <w:r>
        <w:rPr>
          <w:rFonts w:ascii="Arial" w:cs="Arial" w:eastAsia="Arial" w:hAnsi="Arial"/>
          <w:sz w:val="14"/>
          <w:szCs w:val="14"/>
          <w:color w:val="auto"/>
        </w:rPr>
        <w:t>if Executive elects continuation coverage pursuant to the Consolidated Omnibus Budget Reconciliation Act of 1985, as amended (“</w:t>
      </w:r>
      <w:r>
        <w:rPr>
          <w:rFonts w:ascii="Arial" w:cs="Arial" w:eastAsia="Arial" w:hAnsi="Arial"/>
          <w:sz w:val="14"/>
          <w:szCs w:val="14"/>
          <w:b w:val="1"/>
          <w:bCs w:val="1"/>
          <w:color w:val="auto"/>
        </w:rPr>
        <w:t>COBRA</w:t>
      </w:r>
      <w:r>
        <w:rPr>
          <w:rFonts w:ascii="Arial" w:cs="Arial" w:eastAsia="Arial" w:hAnsi="Arial"/>
          <w:sz w:val="14"/>
          <w:szCs w:val="14"/>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eighteen (18) months from the date of termination or (B) the date upon which Executive and/or Executive’s eligible dependents are no longer eligible for COBRA continuation coverage. The reimbursements will be made by the Company to Executive consistent with the Company’s normal expense reimbursement policy. Notwithstanding the first sentence of this Section 6(a)(ii),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222" w:right="319" w:bottom="1440" w:gutter="0" w:footer="0" w:header="0"/>
        </w:sectPr>
      </w:pPr>
    </w:p>
    <w:bookmarkStart w:id="171" w:name="page172"/>
    <w:bookmarkEnd w:id="171"/>
    <w:p>
      <w:pPr>
        <w:jc w:val="both"/>
        <w:spacing w:after="0" w:line="259" w:lineRule="auto"/>
        <w:rPr>
          <w:sz w:val="20"/>
          <w:szCs w:val="20"/>
          <w:color w:val="auto"/>
        </w:rPr>
      </w:pPr>
      <w:r>
        <w:rPr>
          <w:rFonts w:ascii="Arial" w:cs="Arial" w:eastAsia="Arial" w:hAnsi="Arial"/>
          <w:sz w:val="13"/>
          <w:szCs w:val="13"/>
          <w:color w:val="auto"/>
        </w:rPr>
        <w:t>month (except as provided by the following sentence), in an amount equal to the monthly COBRA premium that Executive would be required to pay to continue the group health coverage for Executive and/or Executive’s eligible dependents in effect on the termination of employment date (which amount will be based on the premium for the first month of COBRA coverage), which payments will be made regardless of whether Executive and/or Executive’s eligible dependents elect COBRA continuation coverage and will commence on the month following Executive’s termination of employment and will end on the earlier of (x) the date upon which Executive obtains other employment with comparable health insurance coverage as that provided by Employer to Executive, or (y) the date the Company has paid an amount equal to eighteen (18) payments. Any such taxable monthly payments that otherwise would have been paid to Executive within the sixty</w:t>
      </w:r>
    </w:p>
    <w:p>
      <w:pPr>
        <w:spacing w:after="0" w:line="1" w:lineRule="exact"/>
        <w:rPr>
          <w:sz w:val="20"/>
          <w:szCs w:val="20"/>
          <w:color w:val="auto"/>
        </w:rPr>
      </w:pPr>
    </w:p>
    <w:p>
      <w:pPr>
        <w:jc w:val="both"/>
        <w:ind w:firstLine="5"/>
        <w:spacing w:after="0" w:line="236" w:lineRule="auto"/>
        <w:tabs>
          <w:tab w:leader="none" w:pos="273" w:val="left"/>
        </w:tabs>
        <w:numPr>
          <w:ilvl w:val="0"/>
          <w:numId w:val="94"/>
        </w:numPr>
        <w:rPr>
          <w:rFonts w:ascii="Arial" w:cs="Arial" w:eastAsia="Arial" w:hAnsi="Arial"/>
          <w:sz w:val="14"/>
          <w:szCs w:val="14"/>
          <w:color w:val="auto"/>
        </w:rPr>
      </w:pPr>
      <w:r>
        <w:rPr>
          <w:rFonts w:ascii="Arial" w:cs="Arial" w:eastAsia="Arial" w:hAnsi="Arial"/>
          <w:sz w:val="14"/>
          <w:szCs w:val="14"/>
          <w:color w:val="auto"/>
        </w:rPr>
        <w:t>days following Executive’s termination date instead will be paid on the sixty-first (61st) day following Executive’s termination of employment, with any remaining payments paid as provided in the prior sentence (subject to any delay as may be required by Section 7(b)). For the avoidance of doubt, the taxable payments in lieu of COBRA reimbursements may be used for any purpose, including, but not limited to continuation coverage under COBRA, and will be subject to all applicable tax withholdings.</w:t>
      </w:r>
    </w:p>
    <w:p>
      <w:pPr>
        <w:spacing w:after="0" w:line="64" w:lineRule="exact"/>
        <w:rPr>
          <w:rFonts w:ascii="Arial" w:cs="Arial" w:eastAsia="Arial" w:hAnsi="Arial"/>
          <w:sz w:val="14"/>
          <w:szCs w:val="14"/>
          <w:color w:val="auto"/>
        </w:rPr>
      </w:pPr>
    </w:p>
    <w:p>
      <w:pPr>
        <w:ind w:right="380" w:firstLine="1023"/>
        <w:spacing w:after="0" w:line="251" w:lineRule="auto"/>
        <w:tabs>
          <w:tab w:leader="none" w:pos="1523" w:val="left"/>
        </w:tabs>
        <w:numPr>
          <w:ilvl w:val="1"/>
          <w:numId w:val="94"/>
        </w:numPr>
        <w:rPr>
          <w:rFonts w:ascii="Arial" w:cs="Arial" w:eastAsia="Arial" w:hAnsi="Arial"/>
          <w:sz w:val="14"/>
          <w:szCs w:val="14"/>
          <w:color w:val="auto"/>
        </w:rPr>
      </w:pPr>
      <w:r>
        <w:rPr>
          <w:rFonts w:ascii="Arial" w:cs="Arial" w:eastAsia="Arial" w:hAnsi="Arial"/>
          <w:sz w:val="14"/>
          <w:szCs w:val="14"/>
          <w:u w:val="single" w:color="auto"/>
          <w:color w:val="auto"/>
        </w:rPr>
        <w:t>Termination for other than Cause, Death or Disability or Resignation by Executive for Good Reason Related to a Change of Control</w:t>
      </w:r>
      <w:r>
        <w:rPr>
          <w:rFonts w:ascii="Arial" w:cs="Arial" w:eastAsia="Arial" w:hAnsi="Arial"/>
          <w:sz w:val="14"/>
          <w:szCs w:val="14"/>
          <w:color w:val="auto"/>
        </w:rPr>
        <w:t>. If, within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8, Executive will be entitled to receive:</w:t>
      </w:r>
    </w:p>
    <w:p>
      <w:pPr>
        <w:spacing w:after="0" w:line="57" w:lineRule="exact"/>
        <w:rPr>
          <w:rFonts w:ascii="Arial" w:cs="Arial" w:eastAsia="Arial" w:hAnsi="Arial"/>
          <w:sz w:val="14"/>
          <w:szCs w:val="14"/>
          <w:color w:val="auto"/>
        </w:rPr>
      </w:pPr>
    </w:p>
    <w:p>
      <w:pPr>
        <w:jc w:val="both"/>
        <w:ind w:firstLine="1533"/>
        <w:spacing w:after="0" w:line="265" w:lineRule="auto"/>
        <w:tabs>
          <w:tab w:leader="none" w:pos="2033" w:val="left"/>
        </w:tabs>
        <w:numPr>
          <w:ilvl w:val="2"/>
          <w:numId w:val="94"/>
        </w:numPr>
        <w:rPr>
          <w:rFonts w:ascii="Arial" w:cs="Arial" w:eastAsia="Arial" w:hAnsi="Arial"/>
          <w:sz w:val="13"/>
          <w:szCs w:val="13"/>
          <w:color w:val="auto"/>
        </w:rPr>
      </w:pPr>
      <w:r>
        <w:rPr>
          <w:rFonts w:ascii="Arial" w:cs="Arial" w:eastAsia="Arial" w:hAnsi="Arial"/>
          <w:sz w:val="13"/>
          <w:szCs w:val="13"/>
          <w:color w:val="auto"/>
        </w:rPr>
        <w:t xml:space="preserve">a lump sum payment equal to one hundred and fifty percent (150%) of the sum of: (A) Executive’s Base Salary, as then in effect, or if greater, at the level in effect immediately prior to the Change of Control, </w:t>
      </w:r>
      <w:r>
        <w:rPr>
          <w:rFonts w:ascii="Arial" w:cs="Arial" w:eastAsia="Arial" w:hAnsi="Arial"/>
          <w:sz w:val="13"/>
          <w:szCs w:val="13"/>
          <w:i w:val="1"/>
          <w:iCs w:val="1"/>
          <w:color w:val="auto"/>
        </w:rPr>
        <w:t>plus</w:t>
      </w:r>
      <w:r>
        <w:rPr>
          <w:rFonts w:ascii="Arial" w:cs="Arial" w:eastAsia="Arial" w:hAnsi="Arial"/>
          <w:sz w:val="13"/>
          <w:szCs w:val="13"/>
          <w:color w:val="auto"/>
        </w:rPr>
        <w:t xml:space="preserve"> (B) Executive’s Target Bonus in effect for the fiscal year in which Executive’s termination of employment occurs. The severance will be paid, less applicable withholdings, on the sixty-first (61st) day following Executive’s termination of employment in accordance with the Company’s normal payroll practices (subject to any delay as may be required by Section 7(b)). For the avoidance of doubt, if (x) Executive incurred a termination of employment prior to a Change of Control that qualifies Executive for severance payments under Section 6(a)(i); and (y) a Change of Control occurs within the three (3)-month period following Executive’s termination of employment that qualifies Executive for the superior benefits under this Section 6(b)(i), then Executive shall be entitled to a lump-sum payment of the amount calculated under this Section 6(b)(i), less amounts already paid under Section 6(a)(i).</w:t>
      </w:r>
    </w:p>
    <w:p>
      <w:pPr>
        <w:spacing w:after="0" w:line="49" w:lineRule="exact"/>
        <w:rPr>
          <w:rFonts w:ascii="Arial" w:cs="Arial" w:eastAsia="Arial" w:hAnsi="Arial"/>
          <w:sz w:val="13"/>
          <w:szCs w:val="13"/>
          <w:color w:val="auto"/>
        </w:rPr>
      </w:pPr>
    </w:p>
    <w:p>
      <w:pPr>
        <w:jc w:val="both"/>
        <w:ind w:firstLine="1533"/>
        <w:spacing w:after="0" w:line="265" w:lineRule="auto"/>
        <w:tabs>
          <w:tab w:leader="none" w:pos="2030" w:val="left"/>
        </w:tabs>
        <w:numPr>
          <w:ilvl w:val="2"/>
          <w:numId w:val="94"/>
        </w:numPr>
        <w:rPr>
          <w:rFonts w:ascii="Arial" w:cs="Arial" w:eastAsia="Arial" w:hAnsi="Arial"/>
          <w:sz w:val="13"/>
          <w:szCs w:val="13"/>
          <w:color w:val="auto"/>
        </w:rPr>
      </w:pPr>
      <w:r>
        <w:rPr>
          <w:rFonts w:ascii="Arial" w:cs="Arial" w:eastAsia="Arial" w:hAnsi="Arial"/>
          <w:sz w:val="13"/>
          <w:szCs w:val="13"/>
          <w:color w:val="auto"/>
        </w:rPr>
        <w:t>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w:t>
      </w:r>
    </w:p>
    <w:p>
      <w:pPr>
        <w:jc w:val="both"/>
        <w:spacing w:after="0" w:line="236" w:lineRule="auto"/>
        <w:rPr>
          <w:rFonts w:ascii="Arial" w:cs="Arial" w:eastAsia="Arial" w:hAnsi="Arial"/>
          <w:sz w:val="13"/>
          <w:szCs w:val="13"/>
          <w:color w:val="auto"/>
        </w:rPr>
      </w:pPr>
      <w:r>
        <w:rPr>
          <w:rFonts w:ascii="Arial" w:cs="Arial" w:eastAsia="Arial" w:hAnsi="Arial"/>
          <w:sz w:val="14"/>
          <w:szCs w:val="14"/>
          <w:color w:val="auto"/>
        </w:rPr>
        <w:t>(A) a period of eighteen (18) months from the date of termination or (B) the date upon which Executive and/or Executive’s eligible dependents are no longer eligible for COBRA continuation coverage. The reimbursements will be subject to the same conditions, limitations, and restrictions as the COBRA benefits described in Section 6(a)(ii). For the avoidance of doubt, if (x) Executive incurred a termination of employment prior to a Change of Control that qualifies Executive for COBRA benefits under Section 6(a)(ii); and (y) a Change of Control occurs within the three (3)-month period following Executive’s termination of employment that qualifies Executive for the benefits under this Section 6(b)(ii), then Executive’s benefits under this Section 6(b)(ii) shall be offset by the benefits already provided to Executive under Section 6(b)(i); and</w:t>
      </w:r>
    </w:p>
    <w:p>
      <w:pPr>
        <w:spacing w:after="0" w:line="66" w:lineRule="exact"/>
        <w:rPr>
          <w:rFonts w:ascii="Arial" w:cs="Arial" w:eastAsia="Arial" w:hAnsi="Arial"/>
          <w:sz w:val="13"/>
          <w:szCs w:val="13"/>
          <w:color w:val="auto"/>
        </w:rPr>
      </w:pPr>
    </w:p>
    <w:p>
      <w:pPr>
        <w:ind w:left="2040" w:hanging="507"/>
        <w:spacing w:after="0"/>
        <w:tabs>
          <w:tab w:leader="none" w:pos="2040" w:val="left"/>
        </w:tabs>
        <w:numPr>
          <w:ilvl w:val="2"/>
          <w:numId w:val="94"/>
        </w:numPr>
        <w:rPr>
          <w:rFonts w:ascii="Arial" w:cs="Arial" w:eastAsia="Arial" w:hAnsi="Arial"/>
          <w:sz w:val="13"/>
          <w:szCs w:val="13"/>
          <w:color w:val="auto"/>
        </w:rPr>
      </w:pPr>
      <w:r>
        <w:rPr>
          <w:rFonts w:ascii="Arial" w:cs="Arial" w:eastAsia="Arial" w:hAnsi="Arial"/>
          <w:sz w:val="13"/>
          <w:szCs w:val="13"/>
          <w:color w:val="auto"/>
        </w:rPr>
        <w:t>accelerated vesting as to one hundred percent (100%) of Executive’s then-outstanding and unvested equity awards to acquire Company common stock.</w:t>
      </w:r>
    </w:p>
    <w:p>
      <w:pPr>
        <w:spacing w:after="0" w:line="94" w:lineRule="exact"/>
        <w:rPr>
          <w:rFonts w:ascii="Arial" w:cs="Arial" w:eastAsia="Arial" w:hAnsi="Arial"/>
          <w:sz w:val="13"/>
          <w:szCs w:val="13"/>
          <w:color w:val="auto"/>
        </w:rPr>
      </w:pPr>
    </w:p>
    <w:p>
      <w:pPr>
        <w:jc w:val="both"/>
        <w:ind w:firstLine="1023"/>
        <w:spacing w:after="0" w:line="271" w:lineRule="auto"/>
        <w:tabs>
          <w:tab w:leader="none" w:pos="1526" w:val="left"/>
        </w:tabs>
        <w:numPr>
          <w:ilvl w:val="1"/>
          <w:numId w:val="94"/>
        </w:numPr>
        <w:rPr>
          <w:rFonts w:ascii="Arial" w:cs="Arial" w:eastAsia="Arial" w:hAnsi="Arial"/>
          <w:sz w:val="13"/>
          <w:szCs w:val="13"/>
          <w:color w:val="auto"/>
        </w:rPr>
      </w:pPr>
      <w:r>
        <w:rPr>
          <w:rFonts w:ascii="Arial" w:cs="Arial" w:eastAsia="Arial" w:hAnsi="Arial"/>
          <w:sz w:val="13"/>
          <w:szCs w:val="13"/>
          <w:u w:val="single" w:color="auto"/>
          <w:color w:val="auto"/>
        </w:rPr>
        <w:t>Termination for Cause, Death or Disability; Resignation without Good Reason</w:t>
      </w:r>
      <w:r>
        <w:rPr>
          <w:rFonts w:ascii="Arial" w:cs="Arial" w:eastAsia="Arial" w:hAnsi="Arial"/>
          <w:sz w:val="13"/>
          <w:szCs w:val="13"/>
          <w:color w:val="auto"/>
        </w:rPr>
        <w:t>. If Executive’s employment with the Company (or any parent or subsidiary or successor of the Company) terminates voluntarily by Executive (except upon resignation for Good Reason), for Cause by the Company or due to Executive’s death or Disability, then (i) all vesting will terminate immediately with respect to Executive’s outstanding equity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spacing w:after="0" w:line="46" w:lineRule="exact"/>
        <w:rPr>
          <w:rFonts w:ascii="Arial" w:cs="Arial" w:eastAsia="Arial" w:hAnsi="Arial"/>
          <w:sz w:val="13"/>
          <w:szCs w:val="13"/>
          <w:color w:val="auto"/>
        </w:rPr>
      </w:pPr>
    </w:p>
    <w:p>
      <w:pPr>
        <w:jc w:val="both"/>
        <w:ind w:firstLine="1023"/>
        <w:spacing w:after="0" w:line="251" w:lineRule="auto"/>
        <w:tabs>
          <w:tab w:leader="none" w:pos="1523" w:val="left"/>
        </w:tabs>
        <w:numPr>
          <w:ilvl w:val="1"/>
          <w:numId w:val="94"/>
        </w:numPr>
        <w:rPr>
          <w:rFonts w:ascii="Arial" w:cs="Arial" w:eastAsia="Arial" w:hAnsi="Arial"/>
          <w:sz w:val="14"/>
          <w:szCs w:val="14"/>
          <w:color w:val="auto"/>
        </w:rPr>
      </w:pPr>
      <w:r>
        <w:rPr>
          <w:rFonts w:ascii="Arial" w:cs="Arial" w:eastAsia="Arial" w:hAnsi="Arial"/>
          <w:sz w:val="14"/>
          <w:szCs w:val="14"/>
          <w:u w:val="single" w:color="auto"/>
          <w:color w:val="auto"/>
        </w:rPr>
        <w:t>Termination for Any Reason</w:t>
      </w:r>
      <w:r>
        <w:rPr>
          <w:rFonts w:ascii="Arial" w:cs="Arial" w:eastAsia="Arial" w:hAnsi="Arial"/>
          <w:sz w:val="14"/>
          <w:szCs w:val="14"/>
          <w:color w:val="auto"/>
        </w:rPr>
        <w:t>. Upon termination of Executive’s employment for any reason, Executive (or his estate) shall be entitled to receive (i) his Base Salary accrued through the date of termination, (ii) earned but unused vacation and paid time off as of the date of termination, (iii) reimbursement of expenses properly incurred prior to termination and properly documented in accordance with the Company’s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221" w:right="319" w:bottom="1440" w:gutter="0" w:footer="0" w:header="0"/>
        </w:sectPr>
      </w:pPr>
    </w:p>
    <w:bookmarkStart w:id="172" w:name="page173"/>
    <w:bookmarkEnd w:id="172"/>
    <w:p>
      <w:pPr>
        <w:jc w:val="both"/>
        <w:ind w:firstLine="5"/>
        <w:spacing w:after="0" w:line="246" w:lineRule="auto"/>
        <w:tabs>
          <w:tab w:leader="none" w:pos="248" w:val="left"/>
        </w:tabs>
        <w:numPr>
          <w:ilvl w:val="0"/>
          <w:numId w:val="95"/>
        </w:numPr>
        <w:rPr>
          <w:rFonts w:ascii="Arial" w:cs="Arial" w:eastAsia="Arial" w:hAnsi="Arial"/>
          <w:sz w:val="14"/>
          <w:szCs w:val="14"/>
          <w:color w:val="auto"/>
        </w:rPr>
      </w:pPr>
      <w:r>
        <w:rPr>
          <w:rFonts w:ascii="Arial" w:cs="Arial" w:eastAsia="Arial" w:hAnsi="Arial"/>
          <w:sz w:val="14"/>
          <w:szCs w:val="14"/>
          <w:color w:val="auto"/>
        </w:rPr>
        <w:t>all benefits, including continuation and conversion rights, provided upon termination of employment under the Company’s employee benefit plans and policies in accordance with the terms of such plans and policies, and (v) except in the case of termination for Cause or resignation without Good Reason, Executive’s Target Bonus actually earned for the fiscal year ending prior to the date of termination to the extent not yet paid on the date of termination (collectively the “</w:t>
      </w:r>
      <w:r>
        <w:rPr>
          <w:rFonts w:ascii="Arial" w:cs="Arial" w:eastAsia="Arial" w:hAnsi="Arial"/>
          <w:sz w:val="14"/>
          <w:szCs w:val="14"/>
          <w:b w:val="1"/>
          <w:bCs w:val="1"/>
          <w:color w:val="auto"/>
        </w:rPr>
        <w:t>Accrued Obligations</w:t>
      </w:r>
      <w:r>
        <w:rPr>
          <w:rFonts w:ascii="Arial" w:cs="Arial" w:eastAsia="Arial" w:hAnsi="Arial"/>
          <w:sz w:val="14"/>
          <w:szCs w:val="14"/>
          <w:color w:val="auto"/>
        </w:rPr>
        <w:t>”). For avoidance of doubt, upon termination for Cause or resignation without Good Reason, Executive shall not be entitled to any payments or benefits other than the Accrued Obligation.</w:t>
      </w:r>
    </w:p>
    <w:p>
      <w:pPr>
        <w:spacing w:after="0" w:line="61" w:lineRule="exact"/>
        <w:rPr>
          <w:rFonts w:ascii="Arial" w:cs="Arial" w:eastAsia="Arial" w:hAnsi="Arial"/>
          <w:sz w:val="14"/>
          <w:szCs w:val="14"/>
          <w:color w:val="auto"/>
        </w:rPr>
      </w:pPr>
    </w:p>
    <w:p>
      <w:pPr>
        <w:jc w:val="both"/>
        <w:ind w:firstLine="1023"/>
        <w:spacing w:after="0" w:line="266" w:lineRule="auto"/>
        <w:tabs>
          <w:tab w:leader="none" w:pos="1526" w:val="left"/>
        </w:tabs>
        <w:numPr>
          <w:ilvl w:val="2"/>
          <w:numId w:val="95"/>
        </w:numPr>
        <w:rPr>
          <w:rFonts w:ascii="Arial" w:cs="Arial" w:eastAsia="Arial" w:hAnsi="Arial"/>
          <w:sz w:val="13"/>
          <w:szCs w:val="13"/>
          <w:color w:val="auto"/>
        </w:rPr>
      </w:pPr>
      <w:r>
        <w:rPr>
          <w:rFonts w:ascii="Arial" w:cs="Arial" w:eastAsia="Arial" w:hAnsi="Arial"/>
          <w:sz w:val="13"/>
          <w:szCs w:val="13"/>
          <w:u w:val="single" w:color="auto"/>
          <w:color w:val="auto"/>
        </w:rPr>
        <w:t>Exclusive Remedy</w:t>
      </w:r>
      <w:r>
        <w:rPr>
          <w:rFonts w:ascii="Arial" w:cs="Arial" w:eastAsia="Arial" w:hAnsi="Arial"/>
          <w:sz w:val="13"/>
          <w:szCs w:val="13"/>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including any prior employment agreements entered into between the Company and Executive. Executive will be entitled to no severance or other benefits upon termination of employment with respect to acceleration of award vesting or severance pay other than those benefits expressly set forth in this Section 7.</w:t>
      </w:r>
    </w:p>
    <w:p>
      <w:pPr>
        <w:spacing w:after="0" w:line="48" w:lineRule="exact"/>
        <w:rPr>
          <w:rFonts w:ascii="Arial" w:cs="Arial" w:eastAsia="Arial" w:hAnsi="Arial"/>
          <w:sz w:val="13"/>
          <w:szCs w:val="13"/>
          <w:color w:val="auto"/>
        </w:rPr>
      </w:pPr>
    </w:p>
    <w:p>
      <w:pPr>
        <w:ind w:left="1020" w:hanging="506"/>
        <w:spacing w:after="0"/>
        <w:tabs>
          <w:tab w:leader="none" w:pos="1020" w:val="left"/>
        </w:tabs>
        <w:numPr>
          <w:ilvl w:val="1"/>
          <w:numId w:val="95"/>
        </w:numPr>
        <w:rPr>
          <w:rFonts w:ascii="Arial" w:cs="Arial" w:eastAsia="Arial" w:hAnsi="Arial"/>
          <w:sz w:val="14"/>
          <w:szCs w:val="14"/>
          <w:color w:val="auto"/>
        </w:rPr>
      </w:pPr>
      <w:r>
        <w:rPr>
          <w:rFonts w:ascii="Arial" w:cs="Arial" w:eastAsia="Arial" w:hAnsi="Arial"/>
          <w:sz w:val="14"/>
          <w:szCs w:val="14"/>
          <w:u w:val="single" w:color="auto"/>
          <w:color w:val="auto"/>
        </w:rPr>
        <w:t>Conditions to Receipt of Severance; No Duty to Mitigate</w:t>
      </w:r>
      <w:r>
        <w:rPr>
          <w:rFonts w:ascii="Arial" w:cs="Arial" w:eastAsia="Arial" w:hAnsi="Arial"/>
          <w:sz w:val="14"/>
          <w:szCs w:val="14"/>
          <w:color w:val="auto"/>
        </w:rPr>
        <w:t>.</w:t>
      </w:r>
    </w:p>
    <w:p>
      <w:pPr>
        <w:spacing w:after="0" w:line="83" w:lineRule="exact"/>
        <w:rPr>
          <w:rFonts w:ascii="Arial" w:cs="Arial" w:eastAsia="Arial" w:hAnsi="Arial"/>
          <w:sz w:val="14"/>
          <w:szCs w:val="14"/>
          <w:color w:val="auto"/>
        </w:rPr>
      </w:pPr>
    </w:p>
    <w:p>
      <w:pPr>
        <w:jc w:val="both"/>
        <w:ind w:firstLine="1023"/>
        <w:spacing w:after="0" w:line="271" w:lineRule="auto"/>
        <w:tabs>
          <w:tab w:leader="none" w:pos="1526" w:val="left"/>
        </w:tabs>
        <w:numPr>
          <w:ilvl w:val="2"/>
          <w:numId w:val="96"/>
        </w:numPr>
        <w:rPr>
          <w:rFonts w:ascii="Arial" w:cs="Arial" w:eastAsia="Arial" w:hAnsi="Arial"/>
          <w:sz w:val="13"/>
          <w:szCs w:val="13"/>
          <w:color w:val="auto"/>
        </w:rPr>
      </w:pPr>
      <w:r>
        <w:rPr>
          <w:rFonts w:ascii="Arial" w:cs="Arial" w:eastAsia="Arial" w:hAnsi="Arial"/>
          <w:sz w:val="13"/>
          <w:szCs w:val="13"/>
          <w:u w:val="single" w:color="auto"/>
          <w:color w:val="auto"/>
        </w:rPr>
        <w:t>Separation Agreement and Release of Claims</w:t>
      </w:r>
      <w:r>
        <w:rPr>
          <w:rFonts w:ascii="Arial" w:cs="Arial" w:eastAsia="Arial" w:hAnsi="Arial"/>
          <w:sz w:val="13"/>
          <w:szCs w:val="13"/>
          <w:color w:val="auto"/>
        </w:rPr>
        <w:t>. The receipt of any severance pursuant to Section 6(a) or (b) will be subject to Executive signing and not revoking a separation agreement and release of claims in a form reasonably satisfactory to the Company (the “</w:t>
      </w:r>
      <w:r>
        <w:rPr>
          <w:rFonts w:ascii="Arial" w:cs="Arial" w:eastAsia="Arial" w:hAnsi="Arial"/>
          <w:sz w:val="13"/>
          <w:szCs w:val="13"/>
          <w:b w:val="1"/>
          <w:bCs w:val="1"/>
          <w:color w:val="auto"/>
        </w:rPr>
        <w:t>Release</w:t>
      </w:r>
      <w:r>
        <w:rPr>
          <w:rFonts w:ascii="Arial" w:cs="Arial" w:eastAsia="Arial" w:hAnsi="Arial"/>
          <w:sz w:val="13"/>
          <w:szCs w:val="13"/>
          <w:color w:val="auto"/>
        </w:rPr>
        <w:t>”) and provided that such Release becomes effective and irrevocable no later than sixty (60) days following the termination date (such deadline, the “</w:t>
      </w:r>
      <w:r>
        <w:rPr>
          <w:rFonts w:ascii="Arial" w:cs="Arial" w:eastAsia="Arial" w:hAnsi="Arial"/>
          <w:sz w:val="13"/>
          <w:szCs w:val="13"/>
          <w:b w:val="1"/>
          <w:bCs w:val="1"/>
          <w:color w:val="auto"/>
        </w:rPr>
        <w:t>Release Deadline</w:t>
      </w:r>
      <w:r>
        <w:rPr>
          <w:rFonts w:ascii="Arial" w:cs="Arial" w:eastAsia="Arial" w:hAnsi="Arial"/>
          <w:sz w:val="13"/>
          <w:szCs w:val="13"/>
          <w:color w:val="auto"/>
        </w:rPr>
        <w:t>”). If the Release does not become effective and irrevocable by the Release Deadline, Executive will forfeit any rights to severance or benefits under this Agreement. In no event will severance payments or benefits be paid or provided until the Release becomes effective and irrevocable.</w:t>
      </w:r>
    </w:p>
    <w:p>
      <w:pPr>
        <w:spacing w:after="0" w:line="46" w:lineRule="exact"/>
        <w:rPr>
          <w:rFonts w:ascii="Arial" w:cs="Arial" w:eastAsia="Arial" w:hAnsi="Arial"/>
          <w:sz w:val="13"/>
          <w:szCs w:val="13"/>
          <w:color w:val="auto"/>
        </w:rPr>
      </w:pPr>
    </w:p>
    <w:p>
      <w:pPr>
        <w:ind w:left="1520" w:hanging="497"/>
        <w:spacing w:after="0"/>
        <w:tabs>
          <w:tab w:leader="none" w:pos="1520" w:val="left"/>
        </w:tabs>
        <w:numPr>
          <w:ilvl w:val="2"/>
          <w:numId w:val="96"/>
        </w:numPr>
        <w:rPr>
          <w:rFonts w:ascii="Arial" w:cs="Arial" w:eastAsia="Arial" w:hAnsi="Arial"/>
          <w:sz w:val="14"/>
          <w:szCs w:val="14"/>
          <w:color w:val="auto"/>
        </w:rPr>
      </w:pPr>
      <w:r>
        <w:rPr>
          <w:rFonts w:ascii="Arial" w:cs="Arial" w:eastAsia="Arial" w:hAnsi="Arial"/>
          <w:sz w:val="14"/>
          <w:szCs w:val="14"/>
          <w:u w:val="single" w:color="auto"/>
          <w:color w:val="auto"/>
        </w:rPr>
        <w:t>Section 409A</w:t>
      </w:r>
      <w:r>
        <w:rPr>
          <w:rFonts w:ascii="Arial" w:cs="Arial" w:eastAsia="Arial" w:hAnsi="Arial"/>
          <w:sz w:val="14"/>
          <w:szCs w:val="14"/>
          <w:color w:val="auto"/>
        </w:rPr>
        <w:t>.</w:t>
      </w:r>
    </w:p>
    <w:p>
      <w:pPr>
        <w:spacing w:after="0" w:line="83" w:lineRule="exact"/>
        <w:rPr>
          <w:rFonts w:ascii="Arial" w:cs="Arial" w:eastAsia="Arial" w:hAnsi="Arial"/>
          <w:sz w:val="14"/>
          <w:szCs w:val="14"/>
          <w:color w:val="auto"/>
        </w:rPr>
      </w:pPr>
    </w:p>
    <w:p>
      <w:pPr>
        <w:jc w:val="both"/>
        <w:ind w:firstLine="1533"/>
        <w:spacing w:after="0" w:line="244" w:lineRule="auto"/>
        <w:tabs>
          <w:tab w:leader="none" w:pos="2033" w:val="left"/>
        </w:tabs>
        <w:numPr>
          <w:ilvl w:val="3"/>
          <w:numId w:val="96"/>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Code Section 409A, and the final regulations and any guidance promulgated thereunder (“</w:t>
      </w:r>
      <w:r>
        <w:rPr>
          <w:rFonts w:ascii="Arial" w:cs="Arial" w:eastAsia="Arial" w:hAnsi="Arial"/>
          <w:sz w:val="14"/>
          <w:szCs w:val="14"/>
          <w:b w:val="1"/>
          <w:bCs w:val="1"/>
          <w:color w:val="auto"/>
        </w:rPr>
        <w:t>Section 409A</w:t>
      </w:r>
      <w:r>
        <w:rPr>
          <w:rFonts w:ascii="Arial" w:cs="Arial" w:eastAsia="Arial" w:hAnsi="Arial"/>
          <w:sz w:val="14"/>
          <w:szCs w:val="14"/>
          <w:color w:val="auto"/>
        </w:rPr>
        <w:t>”) (together, the “</w:t>
      </w:r>
      <w:r>
        <w:rPr>
          <w:rFonts w:ascii="Arial" w:cs="Arial" w:eastAsia="Arial" w:hAnsi="Arial"/>
          <w:sz w:val="14"/>
          <w:szCs w:val="14"/>
          <w:b w:val="1"/>
          <w:bCs w:val="1"/>
          <w:color w:val="auto"/>
        </w:rPr>
        <w:t>Deferred Payments</w:t>
      </w:r>
      <w:r>
        <w:rPr>
          <w:rFonts w:ascii="Arial" w:cs="Arial" w:eastAsia="Arial" w:hAnsi="Arial"/>
          <w:sz w:val="14"/>
          <w:szCs w:val="14"/>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62" w:lineRule="exact"/>
        <w:rPr>
          <w:rFonts w:ascii="Arial" w:cs="Arial" w:eastAsia="Arial" w:hAnsi="Arial"/>
          <w:sz w:val="14"/>
          <w:szCs w:val="14"/>
          <w:color w:val="auto"/>
        </w:rPr>
      </w:pPr>
    </w:p>
    <w:p>
      <w:pPr>
        <w:jc w:val="both"/>
        <w:ind w:firstLine="1533"/>
        <w:spacing w:after="0" w:line="260" w:lineRule="auto"/>
        <w:tabs>
          <w:tab w:leader="none" w:pos="2030" w:val="left"/>
        </w:tabs>
        <w:numPr>
          <w:ilvl w:val="3"/>
          <w:numId w:val="96"/>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if Executive is a “specified employee” within the meaning of Section 409A at the time of Executive’s termination (other than due to death), then the Deferred Payments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for purposes of Section 1.409A-2(b)(2) of the Treasury Regulations.</w:t>
      </w:r>
    </w:p>
    <w:p>
      <w:pPr>
        <w:spacing w:after="0" w:line="54" w:lineRule="exact"/>
        <w:rPr>
          <w:rFonts w:ascii="Arial" w:cs="Arial" w:eastAsia="Arial" w:hAnsi="Arial"/>
          <w:sz w:val="13"/>
          <w:szCs w:val="13"/>
          <w:color w:val="auto"/>
        </w:rPr>
      </w:pPr>
    </w:p>
    <w:p>
      <w:pPr>
        <w:ind w:firstLine="1533"/>
        <w:spacing w:after="0" w:line="265" w:lineRule="auto"/>
        <w:tabs>
          <w:tab w:leader="none" w:pos="2037" w:val="left"/>
        </w:tabs>
        <w:numPr>
          <w:ilvl w:val="3"/>
          <w:numId w:val="96"/>
        </w:numPr>
        <w:rPr>
          <w:rFonts w:ascii="Arial" w:cs="Arial" w:eastAsia="Arial" w:hAnsi="Arial"/>
          <w:sz w:val="14"/>
          <w:szCs w:val="14"/>
          <w:color w:val="auto"/>
        </w:rPr>
      </w:pPr>
      <w:r>
        <w:rPr>
          <w:rFonts w:ascii="Arial" w:cs="Arial" w:eastAsia="Arial" w:hAnsi="Arial"/>
          <w:sz w:val="14"/>
          <w:szCs w:val="14"/>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47" w:lineRule="exact"/>
        <w:rPr>
          <w:rFonts w:ascii="Arial" w:cs="Arial" w:eastAsia="Arial" w:hAnsi="Arial"/>
          <w:sz w:val="14"/>
          <w:szCs w:val="14"/>
          <w:color w:val="auto"/>
        </w:rPr>
      </w:pPr>
    </w:p>
    <w:p>
      <w:pPr>
        <w:ind w:left="2040" w:hanging="507"/>
        <w:spacing w:after="0"/>
        <w:tabs>
          <w:tab w:leader="none" w:pos="2040" w:val="left"/>
        </w:tabs>
        <w:numPr>
          <w:ilvl w:val="3"/>
          <w:numId w:val="96"/>
        </w:numPr>
        <w:rPr>
          <w:rFonts w:ascii="Arial" w:cs="Arial" w:eastAsia="Arial" w:hAnsi="Arial"/>
          <w:sz w:val="12"/>
          <w:szCs w:val="12"/>
          <w:color w:val="auto"/>
        </w:rPr>
      </w:pPr>
      <w:r>
        <w:rPr>
          <w:rFonts w:ascii="Arial" w:cs="Arial" w:eastAsia="Arial" w:hAnsi="Arial"/>
          <w:sz w:val="12"/>
          <w:szCs w:val="12"/>
          <w:color w:val="auto"/>
        </w:rPr>
        <w:t>Any amount paid under this Agreement that qualifies as a payment made as a result of an involuntary separation from service pursuant to Section 1.409A-1(b)(9)</w:t>
      </w:r>
    </w:p>
    <w:p>
      <w:pPr>
        <w:spacing w:after="0" w:line="33" w:lineRule="exact"/>
        <w:rPr>
          <w:rFonts w:ascii="Arial" w:cs="Arial" w:eastAsia="Arial" w:hAnsi="Arial"/>
          <w:sz w:val="12"/>
          <w:szCs w:val="12"/>
          <w:color w:val="auto"/>
        </w:rPr>
      </w:pPr>
    </w:p>
    <w:p>
      <w:pPr>
        <w:ind w:left="260" w:hanging="255"/>
        <w:spacing w:after="0"/>
        <w:tabs>
          <w:tab w:leader="none" w:pos="2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of the Treasury Regulations that does not exceed the Section 409A Limit (as defined below) will not constitute Deferred Payments for purposes of clause (i) above.</w:t>
      </w:r>
    </w:p>
    <w:p>
      <w:pPr>
        <w:spacing w:after="0" w:line="71" w:lineRule="exact"/>
        <w:rPr>
          <w:rFonts w:ascii="Arial" w:cs="Arial" w:eastAsia="Arial" w:hAnsi="Arial"/>
          <w:sz w:val="14"/>
          <w:szCs w:val="14"/>
          <w:color w:val="auto"/>
        </w:rPr>
      </w:pPr>
    </w:p>
    <w:p>
      <w:pPr>
        <w:jc w:val="both"/>
        <w:ind w:firstLine="1533"/>
        <w:spacing w:after="0" w:line="251" w:lineRule="auto"/>
        <w:tabs>
          <w:tab w:leader="none" w:pos="2032" w:val="left"/>
        </w:tabs>
        <w:numPr>
          <w:ilvl w:val="3"/>
          <w:numId w:val="97"/>
        </w:numPr>
        <w:rPr>
          <w:rFonts w:ascii="Arial" w:cs="Arial" w:eastAsia="Arial" w:hAnsi="Arial"/>
          <w:sz w:val="14"/>
          <w:szCs w:val="14"/>
          <w:color w:val="auto"/>
        </w:rPr>
      </w:pPr>
      <w:r>
        <w:rPr>
          <w:rFonts w:ascii="Arial" w:cs="Arial" w:eastAsia="Arial" w:hAnsi="Arial"/>
          <w:sz w:val="14"/>
          <w:szCs w:val="14"/>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222" w:right="319" w:bottom="1440" w:gutter="0" w:footer="0" w:header="0"/>
        </w:sectPr>
      </w:pPr>
    </w:p>
    <w:bookmarkStart w:id="173" w:name="page174"/>
    <w:bookmarkEnd w:id="173"/>
    <w:p>
      <w:pPr>
        <w:jc w:val="both"/>
        <w:spacing w:after="0" w:line="279" w:lineRule="auto"/>
        <w:rPr>
          <w:sz w:val="20"/>
          <w:szCs w:val="20"/>
          <w:color w:val="auto"/>
        </w:rPr>
      </w:pPr>
      <w:r>
        <w:rPr>
          <w:rFonts w:ascii="Arial" w:cs="Arial" w:eastAsia="Arial" w:hAnsi="Arial"/>
          <w:sz w:val="13"/>
          <w:szCs w:val="13"/>
          <w:color w:val="auto"/>
        </w:rPr>
        <w:t>such reasonable actions which are necessary, appropriate or desirable to avoid imposition of any additional tax or income recognition prior to actual payment to Executive under Section 409A. 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w:t>
      </w:r>
    </w:p>
    <w:p>
      <w:pPr>
        <w:spacing w:after="0" w:line="41" w:lineRule="exact"/>
        <w:rPr>
          <w:sz w:val="20"/>
          <w:szCs w:val="20"/>
          <w:color w:val="auto"/>
        </w:rPr>
      </w:pPr>
    </w:p>
    <w:p>
      <w:pPr>
        <w:jc w:val="both"/>
        <w:ind w:firstLine="1023"/>
        <w:spacing w:after="0" w:line="251" w:lineRule="auto"/>
        <w:tabs>
          <w:tab w:leader="none" w:pos="1526" w:val="left"/>
        </w:tabs>
        <w:numPr>
          <w:ilvl w:val="2"/>
          <w:numId w:val="98"/>
        </w:numPr>
        <w:rPr>
          <w:rFonts w:ascii="Arial" w:cs="Arial" w:eastAsia="Arial" w:hAnsi="Arial"/>
          <w:sz w:val="14"/>
          <w:szCs w:val="14"/>
          <w:color w:val="auto"/>
        </w:rPr>
      </w:pPr>
      <w:r>
        <w:rPr>
          <w:rFonts w:ascii="Arial" w:cs="Arial" w:eastAsia="Arial" w:hAnsi="Arial"/>
          <w:sz w:val="14"/>
          <w:szCs w:val="14"/>
          <w:u w:val="single" w:color="auto"/>
          <w:color w:val="auto"/>
        </w:rPr>
        <w:t>Confidential Information Agreement</w:t>
      </w:r>
      <w:r>
        <w:rPr>
          <w:rFonts w:ascii="Arial" w:cs="Arial" w:eastAsia="Arial" w:hAnsi="Arial"/>
          <w:sz w:val="14"/>
          <w:szCs w:val="14"/>
          <w:color w:val="auto"/>
        </w:rPr>
        <w:t>. Executive’s receipt of any payments or benefits under Section 6 will be subject to Executive continuing to comply with the terms of Confidential Information Agreement (as defined in Section 10). In the event Executive breaches the provisions of the Confidential Information Agreement, all continuing payments and benefits to which Executive may otherwise be entitled pursuant to Section 6(a) or (b) will immediately cease.</w:t>
      </w:r>
    </w:p>
    <w:p>
      <w:pPr>
        <w:spacing w:after="0" w:line="57" w:lineRule="exact"/>
        <w:rPr>
          <w:rFonts w:ascii="Arial" w:cs="Arial" w:eastAsia="Arial" w:hAnsi="Arial"/>
          <w:sz w:val="14"/>
          <w:szCs w:val="14"/>
          <w:color w:val="auto"/>
        </w:rPr>
      </w:pPr>
    </w:p>
    <w:p>
      <w:pPr>
        <w:ind w:firstLine="1023"/>
        <w:spacing w:after="0" w:line="249" w:lineRule="auto"/>
        <w:tabs>
          <w:tab w:leader="none" w:pos="1523" w:val="left"/>
        </w:tabs>
        <w:numPr>
          <w:ilvl w:val="2"/>
          <w:numId w:val="98"/>
        </w:numPr>
        <w:rPr>
          <w:rFonts w:ascii="Arial" w:cs="Arial" w:eastAsia="Arial" w:hAnsi="Arial"/>
          <w:sz w:val="14"/>
          <w:szCs w:val="14"/>
          <w:color w:val="auto"/>
        </w:rPr>
      </w:pPr>
      <w:r>
        <w:rPr>
          <w:rFonts w:ascii="Arial" w:cs="Arial" w:eastAsia="Arial" w:hAnsi="Arial"/>
          <w:sz w:val="14"/>
          <w:szCs w:val="14"/>
          <w:u w:val="single" w:color="auto"/>
          <w:color w:val="auto"/>
        </w:rPr>
        <w:t>No Duty to Mitigate</w:t>
      </w:r>
      <w:r>
        <w:rPr>
          <w:rFonts w:ascii="Arial" w:cs="Arial" w:eastAsia="Arial" w:hAnsi="Arial"/>
          <w:sz w:val="14"/>
          <w:szCs w:val="14"/>
          <w:color w:val="auto"/>
        </w:rPr>
        <w:t>. Executive will not be required to mitigate the amount of any payment contemplated by this Agreement, nor will any earnings that Executive may receive from any other source reduce any such payment.</w:t>
      </w:r>
    </w:p>
    <w:p>
      <w:pPr>
        <w:spacing w:after="0" w:line="58" w:lineRule="exact"/>
        <w:rPr>
          <w:rFonts w:ascii="Arial" w:cs="Arial" w:eastAsia="Arial" w:hAnsi="Arial"/>
          <w:sz w:val="14"/>
          <w:szCs w:val="14"/>
          <w:color w:val="auto"/>
        </w:rPr>
      </w:pPr>
    </w:p>
    <w:p>
      <w:pPr>
        <w:ind w:left="1020" w:hanging="506"/>
        <w:spacing w:after="0"/>
        <w:tabs>
          <w:tab w:leader="none" w:pos="1020" w:val="left"/>
        </w:tabs>
        <w:numPr>
          <w:ilvl w:val="1"/>
          <w:numId w:val="99"/>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79" w:lineRule="exact"/>
        <w:rPr>
          <w:rFonts w:ascii="Arial" w:cs="Arial" w:eastAsia="Arial" w:hAnsi="Arial"/>
          <w:sz w:val="14"/>
          <w:szCs w:val="14"/>
          <w:color w:val="auto"/>
        </w:rPr>
      </w:pPr>
    </w:p>
    <w:p>
      <w:pPr>
        <w:jc w:val="both"/>
        <w:ind w:firstLine="1023"/>
        <w:spacing w:after="0" w:line="242" w:lineRule="auto"/>
        <w:tabs>
          <w:tab w:leader="none" w:pos="1526" w:val="left"/>
        </w:tabs>
        <w:numPr>
          <w:ilvl w:val="2"/>
          <w:numId w:val="99"/>
        </w:numPr>
        <w:rPr>
          <w:rFonts w:ascii="Arial" w:cs="Arial" w:eastAsia="Arial" w:hAnsi="Arial"/>
          <w:sz w:val="14"/>
          <w:szCs w:val="14"/>
          <w:color w:val="auto"/>
        </w:rPr>
      </w:pPr>
      <w:r>
        <w:rPr>
          <w:rFonts w:ascii="Arial" w:cs="Arial" w:eastAsia="Arial" w:hAnsi="Arial"/>
          <w:sz w:val="14"/>
          <w:szCs w:val="14"/>
          <w:u w:val="single" w:color="auto"/>
          <w:color w:val="auto"/>
        </w:rPr>
        <w:t>Cause</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Cause</w:t>
      </w:r>
      <w:r>
        <w:rPr>
          <w:rFonts w:ascii="Arial" w:cs="Arial" w:eastAsia="Arial" w:hAnsi="Arial"/>
          <w:sz w:val="14"/>
          <w:szCs w:val="14"/>
          <w:color w:val="auto"/>
        </w:rPr>
        <w:t xml:space="preserve">” is defined as (i) the willful failure, disregard, or refusal by Executive to perform the services hereunder or follow the reasonable instructions of the Board;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willful failure, disregard, or refusal by Executive to perform the services hereunder shall not constitute Cause unless cure is not effected, as determined in good faith by the Board, within thirty (30) days after notice thereof is received by the Executive from the Company; (ii) any willful or grossly negligent act by the Executive having the effect of injuring, in a material way (whether financial or otherwise) as determined in good faith by the Board, the business or reputation of the Company or any of its subsidiaries or affiliates; (iii) Executive’s conviction of, guilty plea, or plea of nolo contendere to any felony or a misdemeanor involving moral turpitude; (iv) the determination by the Company, after a reasonable and good faith investigation by the Company following a written allegation by an employee of the Company, that the Executive engaged in some form of harassment prohibited by law (including, without limitation, age, sex, disability, or race discrimination) unless Executive’s actions were specifically directed by the Board; or (v) material breach by the Executive of any material provision of this Agreement or any Confidential Information Agreement.</w:t>
      </w:r>
    </w:p>
    <w:p>
      <w:pPr>
        <w:spacing w:after="0" w:line="59" w:lineRule="exact"/>
        <w:rPr>
          <w:rFonts w:ascii="Arial" w:cs="Arial" w:eastAsia="Arial" w:hAnsi="Arial"/>
          <w:sz w:val="14"/>
          <w:szCs w:val="14"/>
          <w:color w:val="auto"/>
        </w:rPr>
      </w:pPr>
    </w:p>
    <w:p>
      <w:pPr>
        <w:ind w:left="1520" w:hanging="497"/>
        <w:spacing w:after="0"/>
        <w:tabs>
          <w:tab w:leader="none" w:pos="1520" w:val="left"/>
        </w:tabs>
        <w:numPr>
          <w:ilvl w:val="2"/>
          <w:numId w:val="99"/>
        </w:numPr>
        <w:rPr>
          <w:rFonts w:ascii="Arial" w:cs="Arial" w:eastAsia="Arial" w:hAnsi="Arial"/>
          <w:sz w:val="14"/>
          <w:szCs w:val="14"/>
          <w:color w:val="auto"/>
        </w:rPr>
      </w:pPr>
      <w:r>
        <w:rPr>
          <w:rFonts w:ascii="Arial" w:cs="Arial" w:eastAsia="Arial" w:hAnsi="Arial"/>
          <w:sz w:val="14"/>
          <w:szCs w:val="14"/>
          <w:u w:val="single" w:color="auto"/>
          <w:color w:val="auto"/>
        </w:rPr>
        <w:t>Change of Control</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Change of Control</w:t>
      </w:r>
      <w:r>
        <w:rPr>
          <w:rFonts w:ascii="Arial" w:cs="Arial" w:eastAsia="Arial" w:hAnsi="Arial"/>
          <w:sz w:val="14"/>
          <w:szCs w:val="14"/>
          <w:color w:val="auto"/>
        </w:rPr>
        <w:t>” means the occurrence of any of the following events:</w:t>
      </w:r>
    </w:p>
    <w:p>
      <w:pPr>
        <w:spacing w:after="0" w:line="87" w:lineRule="exact"/>
        <w:rPr>
          <w:rFonts w:ascii="Arial" w:cs="Arial" w:eastAsia="Arial" w:hAnsi="Arial"/>
          <w:sz w:val="14"/>
          <w:szCs w:val="14"/>
          <w:color w:val="auto"/>
        </w:rPr>
      </w:pPr>
    </w:p>
    <w:p>
      <w:pPr>
        <w:jc w:val="both"/>
        <w:ind w:firstLine="1533"/>
        <w:spacing w:after="0" w:line="238" w:lineRule="auto"/>
        <w:tabs>
          <w:tab w:leader="none" w:pos="2033" w:val="left"/>
        </w:tabs>
        <w:numPr>
          <w:ilvl w:val="3"/>
          <w:numId w:val="99"/>
        </w:numPr>
        <w:rPr>
          <w:rFonts w:ascii="Arial" w:cs="Arial" w:eastAsia="Arial" w:hAnsi="Arial"/>
          <w:sz w:val="14"/>
          <w:szCs w:val="14"/>
          <w:color w:val="auto"/>
        </w:rPr>
      </w:pPr>
      <w:r>
        <w:rPr>
          <w:rFonts w:ascii="Arial" w:cs="Arial" w:eastAsia="Arial" w:hAnsi="Arial"/>
          <w:sz w:val="14"/>
          <w:szCs w:val="14"/>
          <w:color w:val="auto"/>
        </w:rPr>
        <w:t>a change in the ownership of the Company which occurs on the date that any one person (as defined in Section 13(d) and Section 14(d) of the Exchange Act), or more than one person acting as a group (“</w:t>
      </w:r>
      <w:r>
        <w:rPr>
          <w:rFonts w:ascii="Arial" w:cs="Arial" w:eastAsia="Arial" w:hAnsi="Arial"/>
          <w:sz w:val="14"/>
          <w:szCs w:val="14"/>
          <w:b w:val="1"/>
          <w:bCs w:val="1"/>
          <w:color w:val="auto"/>
        </w:rPr>
        <w:t>Person</w:t>
      </w:r>
      <w:r>
        <w:rPr>
          <w:rFonts w:ascii="Arial" w:cs="Arial" w:eastAsia="Arial" w:hAnsi="Arial"/>
          <w:sz w:val="14"/>
          <w:szCs w:val="14"/>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of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of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69" w:lineRule="exact"/>
        <w:rPr>
          <w:rFonts w:ascii="Arial" w:cs="Arial" w:eastAsia="Arial" w:hAnsi="Arial"/>
          <w:sz w:val="14"/>
          <w:szCs w:val="14"/>
          <w:color w:val="auto"/>
        </w:rPr>
      </w:pPr>
    </w:p>
    <w:p>
      <w:pPr>
        <w:jc w:val="both"/>
        <w:ind w:firstLine="1533"/>
        <w:spacing w:after="0" w:line="246" w:lineRule="auto"/>
        <w:tabs>
          <w:tab w:leader="none" w:pos="2030" w:val="left"/>
        </w:tabs>
        <w:numPr>
          <w:ilvl w:val="3"/>
          <w:numId w:val="99"/>
        </w:numPr>
        <w:rPr>
          <w:rFonts w:ascii="Arial" w:cs="Arial" w:eastAsia="Arial" w:hAnsi="Arial"/>
          <w:sz w:val="14"/>
          <w:szCs w:val="14"/>
          <w:color w:val="auto"/>
        </w:rPr>
      </w:pPr>
      <w:r>
        <w:rPr>
          <w:rFonts w:ascii="Arial" w:cs="Arial" w:eastAsia="Arial" w:hAnsi="Arial"/>
          <w:sz w:val="14"/>
          <w:szCs w:val="14"/>
          <w:color w:val="auto"/>
        </w:rPr>
        <w:t>A change in the effective control of the Company which occurs on the date that a majority of members of the Board of Directors of the Company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61" w:lineRule="exact"/>
        <w:rPr>
          <w:rFonts w:ascii="Arial" w:cs="Arial" w:eastAsia="Arial" w:hAnsi="Arial"/>
          <w:sz w:val="14"/>
          <w:szCs w:val="14"/>
          <w:color w:val="auto"/>
        </w:rPr>
      </w:pPr>
    </w:p>
    <w:p>
      <w:pPr>
        <w:ind w:left="2040" w:hanging="507"/>
        <w:spacing w:after="0"/>
        <w:tabs>
          <w:tab w:leader="none" w:pos="2040" w:val="left"/>
        </w:tabs>
        <w:numPr>
          <w:ilvl w:val="3"/>
          <w:numId w:val="99"/>
        </w:numPr>
        <w:rPr>
          <w:rFonts w:ascii="Arial" w:cs="Arial" w:eastAsia="Arial" w:hAnsi="Arial"/>
          <w:sz w:val="12"/>
          <w:szCs w:val="12"/>
          <w:color w:val="auto"/>
        </w:rPr>
      </w:pPr>
      <w:r>
        <w:rPr>
          <w:rFonts w:ascii="Arial" w:cs="Arial" w:eastAsia="Arial" w:hAnsi="Arial"/>
          <w:sz w:val="12"/>
          <w:szCs w:val="12"/>
          <w:color w:val="auto"/>
        </w:rPr>
        <w:t>a change in the ownership of a substantial portion of the Company’s assets which occurs on the date that any Person acquires (or has acquired during the twelve</w:t>
      </w:r>
    </w:p>
    <w:p>
      <w:pPr>
        <w:spacing w:after="0" w:line="22" w:lineRule="exact"/>
        <w:rPr>
          <w:rFonts w:ascii="Arial" w:cs="Arial" w:eastAsia="Arial" w:hAnsi="Arial"/>
          <w:sz w:val="12"/>
          <w:szCs w:val="12"/>
          <w:color w:val="auto"/>
        </w:rPr>
      </w:pPr>
    </w:p>
    <w:p>
      <w:pPr>
        <w:ind w:left="280" w:hanging="275"/>
        <w:spacing w:after="0"/>
        <w:tabs>
          <w:tab w:leader="none" w:pos="2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month period 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222" w:right="319" w:bottom="1440" w:gutter="0" w:footer="0" w:header="0"/>
        </w:sectPr>
      </w:pPr>
    </w:p>
    <w:bookmarkStart w:id="174" w:name="page175"/>
    <w:bookmarkEnd w:id="174"/>
    <w:p>
      <w:pPr>
        <w:jc w:val="both"/>
        <w:spacing w:after="0" w:line="239" w:lineRule="auto"/>
        <w:rPr>
          <w:sz w:val="20"/>
          <w:szCs w:val="20"/>
          <w:color w:val="auto"/>
        </w:rPr>
      </w:pPr>
      <w:r>
        <w:rPr>
          <w:rFonts w:ascii="Arial" w:cs="Arial" w:eastAsia="Arial" w:hAnsi="Arial"/>
          <w:sz w:val="14"/>
          <w:szCs w:val="14"/>
          <w:color w:val="auto"/>
        </w:rPr>
        <w:t>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(8)(b)(ii). For purposes of this subsection (iii), gross fair market value means the value of the assets of the Company, or the value of the assets being disposed of, determined without regard to any liabilities associated with such assets.</w:t>
      </w:r>
    </w:p>
    <w:p>
      <w:pPr>
        <w:spacing w:after="0" w:line="65" w:lineRule="exact"/>
        <w:rPr>
          <w:sz w:val="20"/>
          <w:szCs w:val="20"/>
          <w:color w:val="auto"/>
        </w:rPr>
      </w:pPr>
    </w:p>
    <w:p>
      <w:pPr>
        <w:jc w:val="both"/>
        <w:ind w:firstLine="1528"/>
        <w:spacing w:after="0" w:line="265" w:lineRule="auto"/>
        <w:rPr>
          <w:sz w:val="20"/>
          <w:szCs w:val="20"/>
          <w:color w:val="auto"/>
        </w:rPr>
      </w:pPr>
      <w:r>
        <w:rPr>
          <w:rFonts w:ascii="Arial" w:cs="Arial" w:eastAsia="Arial" w:hAnsi="Arial"/>
          <w:sz w:val="14"/>
          <w:szCs w:val="14"/>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48" w:lineRule="exact"/>
        <w:rPr>
          <w:sz w:val="20"/>
          <w:szCs w:val="20"/>
          <w:color w:val="auto"/>
        </w:rPr>
      </w:pPr>
    </w:p>
    <w:p>
      <w:pPr>
        <w:jc w:val="both"/>
        <w:ind w:firstLine="1528"/>
        <w:spacing w:after="0" w:line="251" w:lineRule="auto"/>
        <w:rPr>
          <w:sz w:val="20"/>
          <w:szCs w:val="20"/>
          <w:color w:val="auto"/>
        </w:rPr>
      </w:pPr>
      <w:r>
        <w:rPr>
          <w:rFonts w:ascii="Arial" w:cs="Arial" w:eastAsia="Arial" w:hAnsi="Arial"/>
          <w:sz w:val="14"/>
          <w:szCs w:val="14"/>
          <w:color w:val="auto"/>
        </w:rPr>
        <w:t>Notwithstanding the foregoing, a transaction will not be deemed a Change in Control unless the transaction qualifies as a change in control event within the meaning of Section 409A, as it has been and may be amended from time to time, and any proposed or final Treasury Regulations and Internal Revenue Service guidance that has been promulgated or may be promulgated thereunder from time to time.</w:t>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2"/>
          <w:szCs w:val="12"/>
          <w:color w:val="auto"/>
        </w:rPr>
        <w:t>Further and for the avoidance of doubt, a transaction will not constitute a Change in Control if: (i) its sole purpose is to change the state of the Company’s incorporation, or</w:t>
      </w:r>
    </w:p>
    <w:p>
      <w:pPr>
        <w:spacing w:after="0" w:line="33" w:lineRule="exact"/>
        <w:rPr>
          <w:sz w:val="20"/>
          <w:szCs w:val="20"/>
          <w:color w:val="auto"/>
        </w:rPr>
      </w:pPr>
    </w:p>
    <w:p>
      <w:pPr>
        <w:ind w:left="220" w:hanging="215"/>
        <w:spacing w:after="0"/>
        <w:tabs>
          <w:tab w:leader="none" w:pos="2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its sole purpose is to create a holding company that will be owned in substantially the same proportions by the persons who held the Company’s securities immediately before such transaction.</w:t>
      </w:r>
    </w:p>
    <w:p>
      <w:pPr>
        <w:spacing w:after="0" w:line="78" w:lineRule="exact"/>
        <w:rPr>
          <w:rFonts w:ascii="Arial" w:cs="Arial" w:eastAsia="Arial" w:hAnsi="Arial"/>
          <w:sz w:val="13"/>
          <w:szCs w:val="13"/>
          <w:color w:val="auto"/>
        </w:rPr>
      </w:pPr>
    </w:p>
    <w:p>
      <w:pPr>
        <w:ind w:firstLine="1023"/>
        <w:spacing w:after="0" w:line="271" w:lineRule="auto"/>
        <w:tabs>
          <w:tab w:leader="none" w:pos="1526" w:val="left"/>
        </w:tabs>
        <w:numPr>
          <w:ilvl w:val="1"/>
          <w:numId w:val="101"/>
        </w:numPr>
        <w:rPr>
          <w:rFonts w:ascii="Arial" w:cs="Arial" w:eastAsia="Arial" w:hAnsi="Arial"/>
          <w:sz w:val="14"/>
          <w:szCs w:val="14"/>
          <w:color w:val="auto"/>
        </w:rPr>
      </w:pPr>
      <w:r>
        <w:rPr>
          <w:rFonts w:ascii="Arial" w:cs="Arial" w:eastAsia="Arial" w:hAnsi="Arial"/>
          <w:sz w:val="14"/>
          <w:szCs w:val="14"/>
          <w:u w:val="single" w:color="auto"/>
          <w:color w:val="auto"/>
        </w:rPr>
        <w:t>Change of Control Period</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Change of Control Period</w:t>
      </w:r>
      <w:r>
        <w:rPr>
          <w:rFonts w:ascii="Arial" w:cs="Arial" w:eastAsia="Arial" w:hAnsi="Arial"/>
          <w:sz w:val="14"/>
          <w:szCs w:val="14"/>
          <w:color w:val="auto"/>
        </w:rPr>
        <w:t>” means the period that begins three (3) months prior to a Change of Control and ends twelve (12) months following a Change of Control.</w:t>
      </w:r>
    </w:p>
    <w:p>
      <w:pPr>
        <w:spacing w:after="0" w:line="39" w:lineRule="exact"/>
        <w:rPr>
          <w:rFonts w:ascii="Arial" w:cs="Arial" w:eastAsia="Arial" w:hAnsi="Arial"/>
          <w:sz w:val="14"/>
          <w:szCs w:val="14"/>
          <w:color w:val="auto"/>
        </w:rPr>
      </w:pPr>
    </w:p>
    <w:p>
      <w:pPr>
        <w:ind w:left="1520" w:hanging="497"/>
        <w:spacing w:after="0"/>
        <w:tabs>
          <w:tab w:leader="none" w:pos="1520" w:val="left"/>
        </w:tabs>
        <w:numPr>
          <w:ilvl w:val="1"/>
          <w:numId w:val="101"/>
        </w:numPr>
        <w:rPr>
          <w:rFonts w:ascii="Arial" w:cs="Arial" w:eastAsia="Arial" w:hAnsi="Arial"/>
          <w:sz w:val="14"/>
          <w:szCs w:val="14"/>
          <w:color w:val="auto"/>
        </w:rPr>
      </w:pPr>
      <w:r>
        <w:rPr>
          <w:rFonts w:ascii="Arial" w:cs="Arial" w:eastAsia="Arial" w:hAnsi="Arial"/>
          <w:sz w:val="14"/>
          <w:szCs w:val="14"/>
          <w:u w:val="single" w:color="auto"/>
          <w:color w:val="auto"/>
        </w:rPr>
        <w:t>Code</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83" w:lineRule="exact"/>
        <w:rPr>
          <w:rFonts w:ascii="Arial" w:cs="Arial" w:eastAsia="Arial" w:hAnsi="Arial"/>
          <w:sz w:val="14"/>
          <w:szCs w:val="14"/>
          <w:color w:val="auto"/>
        </w:rPr>
      </w:pPr>
    </w:p>
    <w:p>
      <w:pPr>
        <w:jc w:val="both"/>
        <w:ind w:firstLine="1023"/>
        <w:spacing w:after="0" w:line="246" w:lineRule="auto"/>
        <w:tabs>
          <w:tab w:leader="none" w:pos="1526" w:val="left"/>
        </w:tabs>
        <w:numPr>
          <w:ilvl w:val="1"/>
          <w:numId w:val="101"/>
        </w:numPr>
        <w:rPr>
          <w:rFonts w:ascii="Arial" w:cs="Arial" w:eastAsia="Arial" w:hAnsi="Arial"/>
          <w:sz w:val="14"/>
          <w:szCs w:val="14"/>
          <w:color w:val="auto"/>
        </w:rPr>
      </w:pPr>
      <w:r>
        <w:rPr>
          <w:rFonts w:ascii="Arial" w:cs="Arial" w:eastAsia="Arial" w:hAnsi="Arial"/>
          <w:sz w:val="14"/>
          <w:szCs w:val="14"/>
          <w:u w:val="single" w:color="auto"/>
          <w:color w:val="auto"/>
        </w:rPr>
        <w:t>Disability</w:t>
      </w:r>
      <w:r>
        <w:rPr>
          <w:rFonts w:ascii="Arial" w:cs="Arial" w:eastAsia="Arial" w:hAnsi="Arial"/>
          <w:sz w:val="14"/>
          <w:szCs w:val="14"/>
          <w:color w:val="auto"/>
        </w:rPr>
        <w:t>. For purposes of this Agreement, “</w:t>
      </w:r>
      <w:r>
        <w:rPr>
          <w:rFonts w:ascii="Arial" w:cs="Arial" w:eastAsia="Arial" w:hAnsi="Arial"/>
          <w:sz w:val="14"/>
          <w:szCs w:val="14"/>
          <w:b w:val="1"/>
          <w:bCs w:val="1"/>
          <w:color w:val="auto"/>
        </w:rPr>
        <w:t>Disability</w:t>
      </w:r>
      <w:r>
        <w:rPr>
          <w:rFonts w:ascii="Arial" w:cs="Arial" w:eastAsia="Arial" w:hAnsi="Arial"/>
          <w:sz w:val="14"/>
          <w:szCs w:val="14"/>
          <w:color w:val="auto"/>
        </w:rPr>
        <w:t>” means that Executive has been unable to engage in any substantial gainful activity by reason of any medically determinable physical or mental impairment for a period of ninety (90) consecutive days or more, or more than one hundred and eighty (180) days within any twelve (12)-month period, in each case, determined by the Board. This provision shall be subject to compliance with all federal, state and local disability laws.</w:t>
      </w:r>
    </w:p>
    <w:p>
      <w:pPr>
        <w:spacing w:after="0" w:line="56" w:lineRule="exact"/>
        <w:rPr>
          <w:rFonts w:ascii="Arial" w:cs="Arial" w:eastAsia="Arial" w:hAnsi="Arial"/>
          <w:sz w:val="14"/>
          <w:szCs w:val="14"/>
          <w:color w:val="auto"/>
        </w:rPr>
      </w:pPr>
    </w:p>
    <w:p>
      <w:pPr>
        <w:jc w:val="both"/>
        <w:ind w:firstLine="1023"/>
        <w:spacing w:after="0" w:line="242" w:lineRule="auto"/>
        <w:tabs>
          <w:tab w:leader="none" w:pos="1521" w:val="left"/>
        </w:tabs>
        <w:numPr>
          <w:ilvl w:val="1"/>
          <w:numId w:val="101"/>
        </w:numPr>
        <w:rPr>
          <w:rFonts w:ascii="Arial" w:cs="Arial" w:eastAsia="Arial" w:hAnsi="Arial"/>
          <w:sz w:val="14"/>
          <w:szCs w:val="14"/>
          <w:color w:val="auto"/>
        </w:rPr>
      </w:pPr>
      <w:r>
        <w:rPr>
          <w:rFonts w:ascii="Arial" w:cs="Arial" w:eastAsia="Arial" w:hAnsi="Arial"/>
          <w:sz w:val="14"/>
          <w:szCs w:val="14"/>
          <w:u w:val="single" w:color="auto"/>
          <w:color w:val="auto"/>
        </w:rPr>
        <w:t>Good Reason</w:t>
      </w:r>
      <w:r>
        <w:rPr>
          <w:rFonts w:ascii="Arial" w:cs="Arial" w:eastAsia="Arial" w:hAnsi="Arial"/>
          <w:sz w:val="14"/>
          <w:szCs w:val="14"/>
          <w:color w:val="auto"/>
        </w:rPr>
        <w:t>. For the purposes of this Agreement, “</w:t>
      </w:r>
      <w:r>
        <w:rPr>
          <w:rFonts w:ascii="Arial" w:cs="Arial" w:eastAsia="Arial" w:hAnsi="Arial"/>
          <w:sz w:val="14"/>
          <w:szCs w:val="14"/>
          <w:b w:val="1"/>
          <w:bCs w:val="1"/>
          <w:color w:val="auto"/>
        </w:rPr>
        <w:t>Good Reason</w:t>
      </w:r>
      <w:r>
        <w:rPr>
          <w:rFonts w:ascii="Arial" w:cs="Arial" w:eastAsia="Arial" w:hAnsi="Arial"/>
          <w:sz w:val="14"/>
          <w:szCs w:val="14"/>
          <w:color w:val="auto"/>
        </w:rPr>
        <w:t>” means Executive’s resignation within thirty (30) days following the expiration of any Company cure period (discussed below) following the occurrence of one or more of the following, without Executive’s express written consent: (i) a material breach of any provision of this Agreement by the Company; (ii) any material reduction by the Company of Executive’s duties, responsibilities, or authority which causes Executive’s position to become materially of less responsibility or authority than Executive’s position as of immediately following the Effective Date; (iii) a material relocation of the Company’s principal place of business of Executive more than 50 miles from Executive’s residence in New Jersey ; or (iv) a material (more than 7%) diminution in Executive’s base salary (other than in the context of salary or consideration reductions applied in identical percentages to all executive officers of the Company).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the Company receives such notice during which such condition must not have been cured.</w:t>
      </w:r>
    </w:p>
    <w:p>
      <w:pPr>
        <w:spacing w:after="0" w:line="59" w:lineRule="exact"/>
        <w:rPr>
          <w:rFonts w:ascii="Arial" w:cs="Arial" w:eastAsia="Arial" w:hAnsi="Arial"/>
          <w:sz w:val="14"/>
          <w:szCs w:val="14"/>
          <w:color w:val="auto"/>
        </w:rPr>
      </w:pPr>
    </w:p>
    <w:p>
      <w:pPr>
        <w:jc w:val="both"/>
        <w:ind w:firstLine="1023"/>
        <w:spacing w:after="0" w:line="283" w:lineRule="auto"/>
        <w:tabs>
          <w:tab w:leader="none" w:pos="1523" w:val="left"/>
        </w:tabs>
        <w:numPr>
          <w:ilvl w:val="1"/>
          <w:numId w:val="101"/>
        </w:numPr>
        <w:rPr>
          <w:rFonts w:ascii="Arial" w:cs="Arial" w:eastAsia="Arial" w:hAnsi="Arial"/>
          <w:sz w:val="13"/>
          <w:szCs w:val="13"/>
          <w:color w:val="auto"/>
        </w:rPr>
      </w:pPr>
      <w:r>
        <w:rPr>
          <w:rFonts w:ascii="Arial" w:cs="Arial" w:eastAsia="Arial" w:hAnsi="Arial"/>
          <w:sz w:val="13"/>
          <w:szCs w:val="13"/>
          <w:u w:val="single" w:color="auto"/>
          <w:color w:val="auto"/>
        </w:rPr>
        <w:t>Section 409A Limit</w:t>
      </w:r>
      <w:r>
        <w:rPr>
          <w:rFonts w:ascii="Arial" w:cs="Arial" w:eastAsia="Arial" w:hAnsi="Arial"/>
          <w:sz w:val="13"/>
          <w:szCs w:val="13"/>
          <w:color w:val="auto"/>
        </w:rPr>
        <w:t>. For purposes of this Agreement, “</w:t>
      </w:r>
      <w:r>
        <w:rPr>
          <w:rFonts w:ascii="Arial" w:cs="Arial" w:eastAsia="Arial" w:hAnsi="Arial"/>
          <w:sz w:val="13"/>
          <w:szCs w:val="13"/>
          <w:b w:val="1"/>
          <w:bCs w:val="1"/>
          <w:color w:val="auto"/>
        </w:rPr>
        <w:t>Section 409A Limit</w:t>
      </w:r>
      <w:r>
        <w:rPr>
          <w:rFonts w:ascii="Arial" w:cs="Arial" w:eastAsia="Arial" w:hAnsi="Arial"/>
          <w:sz w:val="13"/>
          <w:szCs w:val="13"/>
          <w:color w:val="auto"/>
        </w:rPr>
        <w:t>” will mean two (2) times the lesser of: (i) Executive’s annualized compensation based upon the annual rate of pay paid to Executive during the Executive’s taxable year preceding the Executive’s taxable year of Executive’s separation from service as determined under Treasury Regulation Section 1.409A-1(b)(9)(iii)(A)(1) and any Internal Revenue Service guidance issued with respect thereto; or (ii) the maximum amount that may be taken into account under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222" w:right="31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color w:val="auto"/>
        </w:rPr>
        <w:t>qualified plan pursuant to Section 401(a)(17) of the Internal Revenue Code for the year in which Executive’s separation from service occurred.</w:t>
      </w:r>
    </w:p>
    <w:p>
      <w:pPr>
        <w:spacing w:after="0" w:line="83" w:lineRule="exact"/>
        <w:rPr>
          <w:sz w:val="20"/>
          <w:szCs w:val="20"/>
          <w:color w:val="auto"/>
        </w:rPr>
      </w:pPr>
    </w:p>
    <w:p>
      <w:pPr>
        <w:jc w:val="both"/>
        <w:ind w:firstLine="514"/>
        <w:spacing w:after="0" w:line="251" w:lineRule="auto"/>
        <w:tabs>
          <w:tab w:leader="none" w:pos="1018" w:val="left"/>
        </w:tabs>
        <w:numPr>
          <w:ilvl w:val="0"/>
          <w:numId w:val="102"/>
        </w:numPr>
        <w:rPr>
          <w:rFonts w:ascii="Arial" w:cs="Arial" w:eastAsia="Arial" w:hAnsi="Arial"/>
          <w:sz w:val="14"/>
          <w:szCs w:val="14"/>
          <w:color w:val="auto"/>
        </w:rPr>
      </w:pPr>
      <w:r>
        <w:rPr>
          <w:rFonts w:ascii="Arial" w:cs="Arial" w:eastAsia="Arial" w:hAnsi="Arial"/>
          <w:sz w:val="14"/>
          <w:szCs w:val="14"/>
          <w:u w:val="single" w:color="auto"/>
          <w:color w:val="auto"/>
        </w:rPr>
        <w:t>Limitation on Payments</w:t>
      </w:r>
      <w:r>
        <w:rPr>
          <w:rFonts w:ascii="Arial" w:cs="Arial" w:eastAsia="Arial" w:hAnsi="Arial"/>
          <w:sz w:val="14"/>
          <w:szCs w:val="14"/>
          <w:color w:val="auto"/>
        </w:rPr>
        <w:t>. In the event that the severance and other benefits provided for in this Agreement or otherwise payable to Executive (i) constitute “parachute payments” within the meaning of Section 280G of the Code and (ii) but for this Section 9, would be subject to the excise tax imposed by Section 4999 of the Code, then Executive’s severance benefits will be either:</w:t>
      </w:r>
    </w:p>
    <w:p>
      <w:pPr>
        <w:spacing w:after="0" w:line="57" w:lineRule="exact"/>
        <w:rPr>
          <w:rFonts w:ascii="Arial" w:cs="Arial" w:eastAsia="Arial" w:hAnsi="Arial"/>
          <w:sz w:val="14"/>
          <w:szCs w:val="14"/>
          <w:color w:val="auto"/>
        </w:rPr>
      </w:pPr>
    </w:p>
    <w:p>
      <w:pPr>
        <w:ind w:left="1540" w:hanging="517"/>
        <w:spacing w:after="0"/>
        <w:tabs>
          <w:tab w:leader="none" w:pos="154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delivered in full, or</w:t>
      </w:r>
    </w:p>
    <w:p>
      <w:pPr>
        <w:spacing w:after="0" w:line="83" w:lineRule="exact"/>
        <w:rPr>
          <w:rFonts w:ascii="Arial" w:cs="Arial" w:eastAsia="Arial" w:hAnsi="Arial"/>
          <w:sz w:val="14"/>
          <w:szCs w:val="14"/>
          <w:color w:val="auto"/>
        </w:rPr>
      </w:pPr>
    </w:p>
    <w:p>
      <w:pPr>
        <w:ind w:left="1520" w:hanging="497"/>
        <w:spacing w:after="0"/>
        <w:tabs>
          <w:tab w:leader="none" w:pos="152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delivered as to such lesser extent which would result in no portion of such severance benefits being subject to the excise tax under Section 4999 of the Code,</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(2) cancellation of accelerated vesting of equity awards; and (3) reduction of continued employee benefits. In the event that acceleration of vesting of equity award compensation is to be reduced, such acceleration of vesting shall be cancelled in the reverse order of the date of grant of Executive’s equity awards.</w:t>
      </w:r>
    </w:p>
    <w:p>
      <w:pPr>
        <w:spacing w:after="0" w:line="3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4"/>
          <w:szCs w:val="14"/>
          <w:color w:val="auto"/>
        </w:rPr>
        <w:t>A nationally recognized certified professional services firm selected by the Company, the Company’s legal counsel or such other person or entity to which the parties mutually agree (the “</w:t>
      </w:r>
      <w:r>
        <w:rPr>
          <w:rFonts w:ascii="Arial" w:cs="Arial" w:eastAsia="Arial" w:hAnsi="Arial"/>
          <w:sz w:val="14"/>
          <w:szCs w:val="14"/>
          <w:b w:val="1"/>
          <w:bCs w:val="1"/>
          <w:color w:val="auto"/>
        </w:rPr>
        <w:t>Firm</w:t>
      </w:r>
      <w:r>
        <w:rPr>
          <w:rFonts w:ascii="Arial" w:cs="Arial" w:eastAsia="Arial" w:hAnsi="Arial"/>
          <w:sz w:val="14"/>
          <w:szCs w:val="14"/>
          <w:color w:val="auto"/>
        </w:rPr>
        <w:t>”) shall perform the foregoing calculations related to the Excise Tax. The Company shall bear all expenses with respect to the determinations by the Firm required to be made hereunder. For purposes of making the calculations required by this Section, the Firm may make reasonable assumptions and approximations concerning applicable taxes and may rely on reasonable, good faith interpretations concerning the application of Code Sections 280G and 4999. The Company and Executive will furnish to the Firm such information and documents as the Firm may reasonably request in order to make a determination under this Section. The Firm engaged to make the determinations hereunder shall provide its calculations, together with detailed supporting documentation, to the Company and Executive within fifteen (15) calendar days after the date on which Executive’s right to the severance benefits or other payments is triggered (if requested at that time by the Company or Executive) or such other time as requested by the Company or Executive. Any good faith determinations of the Firm made hereunder shall be final, binding, and conclusive upon the Company and Executive.</w:t>
      </w:r>
    </w:p>
    <w:p>
      <w:pPr>
        <w:spacing w:after="0" w:line="61" w:lineRule="exact"/>
        <w:rPr>
          <w:sz w:val="20"/>
          <w:szCs w:val="20"/>
          <w:color w:val="auto"/>
        </w:rPr>
      </w:pPr>
    </w:p>
    <w:p>
      <w:pPr>
        <w:ind w:firstLine="514"/>
        <w:spacing w:after="0" w:line="255" w:lineRule="auto"/>
        <w:tabs>
          <w:tab w:leader="none" w:pos="1050" w:val="left"/>
        </w:tabs>
        <w:numPr>
          <w:ilvl w:val="1"/>
          <w:numId w:val="103"/>
        </w:numPr>
        <w:rPr>
          <w:rFonts w:ascii="Arial" w:cs="Arial" w:eastAsia="Arial" w:hAnsi="Arial"/>
          <w:sz w:val="14"/>
          <w:szCs w:val="14"/>
          <w:color w:val="auto"/>
        </w:rPr>
      </w:pP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Executive agrees to continue to abide by the Company’s Confidential Information and Invention Assignment Agreement (the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 previously executed by Executive on or around September 14, 2021.</w:t>
      </w:r>
    </w:p>
    <w:p>
      <w:pPr>
        <w:spacing w:after="0" w:line="54" w:lineRule="exact"/>
        <w:rPr>
          <w:rFonts w:ascii="Arial" w:cs="Arial" w:eastAsia="Arial" w:hAnsi="Arial"/>
          <w:sz w:val="14"/>
          <w:szCs w:val="14"/>
          <w:color w:val="auto"/>
        </w:rPr>
      </w:pPr>
    </w:p>
    <w:p>
      <w:pPr>
        <w:jc w:val="both"/>
        <w:ind w:firstLine="514"/>
        <w:spacing w:after="0" w:line="244" w:lineRule="auto"/>
        <w:tabs>
          <w:tab w:leader="none" w:pos="1010" w:val="left"/>
        </w:tabs>
        <w:numPr>
          <w:ilvl w:val="1"/>
          <w:numId w:val="103"/>
        </w:numPr>
        <w:rPr>
          <w:rFonts w:ascii="Arial" w:cs="Arial" w:eastAsia="Arial" w:hAnsi="Arial"/>
          <w:sz w:val="14"/>
          <w:szCs w:val="14"/>
          <w:color w:val="auto"/>
        </w:rPr>
      </w:pPr>
      <w:r>
        <w:rPr>
          <w:rFonts w:ascii="Arial" w:cs="Arial" w:eastAsia="Arial" w:hAnsi="Arial"/>
          <w:sz w:val="14"/>
          <w:szCs w:val="14"/>
          <w:u w:val="single" w:color="auto"/>
          <w:color w:val="auto"/>
        </w:rPr>
        <w:t>Indemnification Agreement</w:t>
      </w:r>
      <w:r>
        <w:rPr>
          <w:rFonts w:ascii="Arial" w:cs="Arial" w:eastAsia="Arial" w:hAnsi="Arial"/>
          <w:sz w:val="14"/>
          <w:szCs w:val="14"/>
          <w:color w:val="auto"/>
        </w:rPr>
        <w:t>. The Indemnification Agreement previously entered into by and between the Company and Executive, dated on or around September 14, 2021 and in substantially the form attached as Exhibit 10.11 to the Company’s Current Report on Form 8-K filed with the Securities and Exchange Commission on August 27, 2021 (the “</w:t>
      </w:r>
      <w:r>
        <w:rPr>
          <w:rFonts w:ascii="Arial" w:cs="Arial" w:eastAsia="Arial" w:hAnsi="Arial"/>
          <w:sz w:val="14"/>
          <w:szCs w:val="14"/>
          <w:b w:val="1"/>
          <w:bCs w:val="1"/>
          <w:color w:val="auto"/>
        </w:rPr>
        <w:t>Indemnification</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 shall continue to remain in full force and effect. In the event that the Company adopts a more favorable form of Indemnification Agreement, or amendments to the form of</w:t>
      </w:r>
      <w:r>
        <w:rPr>
          <w:rFonts w:ascii="Arial" w:cs="Arial" w:eastAsia="Arial" w:hAnsi="Arial"/>
          <w:sz w:val="14"/>
          <w:szCs w:val="14"/>
          <w:b w:val="1"/>
          <w:bCs w:val="1"/>
          <w:color w:val="auto"/>
        </w:rPr>
        <w:t xml:space="preserve"> </w:t>
      </w:r>
      <w:r>
        <w:rPr>
          <w:rFonts w:ascii="Arial" w:cs="Arial" w:eastAsia="Arial" w:hAnsi="Arial"/>
          <w:sz w:val="14"/>
          <w:szCs w:val="14"/>
          <w:color w:val="auto"/>
        </w:rPr>
        <w:t>Indemnification Agreement, for other executives or Board members in the future, Executive shall be given the opportunity to enter into a new or amended Indemnification Agreement on the same terms.</w:t>
      </w:r>
    </w:p>
    <w:p>
      <w:pPr>
        <w:spacing w:after="0" w:line="62" w:lineRule="exact"/>
        <w:rPr>
          <w:rFonts w:ascii="Arial" w:cs="Arial" w:eastAsia="Arial" w:hAnsi="Arial"/>
          <w:sz w:val="14"/>
          <w:szCs w:val="14"/>
          <w:color w:val="auto"/>
        </w:rPr>
      </w:pPr>
    </w:p>
    <w:p>
      <w:pPr>
        <w:jc w:val="both"/>
        <w:ind w:firstLine="514"/>
        <w:spacing w:after="0" w:line="267" w:lineRule="auto"/>
        <w:tabs>
          <w:tab w:leader="none" w:pos="1015" w:val="left"/>
        </w:tabs>
        <w:numPr>
          <w:ilvl w:val="1"/>
          <w:numId w:val="103"/>
        </w:numPr>
        <w:rPr>
          <w:rFonts w:ascii="Arial" w:cs="Arial" w:eastAsia="Arial" w:hAnsi="Arial"/>
          <w:sz w:val="13"/>
          <w:szCs w:val="13"/>
          <w:color w:val="auto"/>
        </w:rPr>
      </w:pPr>
      <w:r>
        <w:rPr>
          <w:rFonts w:ascii="Arial" w:cs="Arial" w:eastAsia="Arial" w:hAnsi="Arial"/>
          <w:sz w:val="13"/>
          <w:szCs w:val="13"/>
          <w:u w:val="single" w:color="auto"/>
          <w:color w:val="auto"/>
        </w:rPr>
        <w:t>Assignment</w:t>
      </w:r>
      <w:r>
        <w:rPr>
          <w:rFonts w:ascii="Arial" w:cs="Arial" w:eastAsia="Arial" w:hAnsi="Arial"/>
          <w:sz w:val="13"/>
          <w:szCs w:val="13"/>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Arial" w:cs="Arial" w:eastAsia="Arial" w:hAnsi="Arial"/>
          <w:sz w:val="13"/>
          <w:szCs w:val="13"/>
          <w:b w:val="1"/>
          <w:bCs w:val="1"/>
          <w:color w:val="auto"/>
        </w:rPr>
        <w:t>successor</w:t>
      </w:r>
      <w:r>
        <w:rPr>
          <w:rFonts w:ascii="Arial" w:cs="Arial" w:eastAsia="Arial" w:hAnsi="Arial"/>
          <w:sz w:val="13"/>
          <w:szCs w:val="13"/>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49" w:lineRule="exact"/>
        <w:rPr>
          <w:rFonts w:ascii="Arial" w:cs="Arial" w:eastAsia="Arial" w:hAnsi="Arial"/>
          <w:sz w:val="13"/>
          <w:szCs w:val="13"/>
          <w:color w:val="auto"/>
        </w:rPr>
      </w:pPr>
    </w:p>
    <w:p>
      <w:pPr>
        <w:ind w:left="1020" w:hanging="506"/>
        <w:spacing w:after="0"/>
        <w:tabs>
          <w:tab w:leader="none" w:pos="1020" w:val="left"/>
        </w:tabs>
        <w:numPr>
          <w:ilvl w:val="1"/>
          <w:numId w:val="103"/>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requests, demands and other communications called for hereunder will be in writing and will be deemed given (i) on the date of delivery if delivered personally,</w:t>
      </w:r>
    </w:p>
    <w:p>
      <w:pPr>
        <w:spacing w:after="0" w:line="33" w:lineRule="exact"/>
        <w:rPr>
          <w:rFonts w:ascii="Arial" w:cs="Arial" w:eastAsia="Arial" w:hAnsi="Arial"/>
          <w:sz w:val="12"/>
          <w:szCs w:val="12"/>
          <w:color w:val="auto"/>
        </w:rPr>
      </w:pPr>
    </w:p>
    <w:p>
      <w:pPr>
        <w:ind w:left="220" w:hanging="215"/>
        <w:spacing w:after="0"/>
        <w:tabs>
          <w:tab w:leader="none" w:pos="2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one (1) day after being sent by a well established commercial overnight service, or (iii) four (4) days after being mailed by registered or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1221" w:right="319"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color w:val="auto"/>
        </w:rPr>
        <w:t>mail, return receipt requested, prepaid and addressed to the parties or their successors at the following addresses, or at such other addresses as the parties may later designate in writing:</w:t>
      </w:r>
    </w:p>
    <w:p>
      <w:pPr>
        <w:spacing w:after="0" w:line="9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If to the Company:</w:t>
      </w:r>
    </w:p>
    <w:p>
      <w:pPr>
        <w:spacing w:after="0" w:line="8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Aadi Bioscience, Inc.</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17383 Sunset Boulevard, Suite A250</w:t>
      </w:r>
    </w:p>
    <w:p>
      <w:pPr>
        <w:ind w:left="1020"/>
        <w:spacing w:after="0" w:line="237" w:lineRule="auto"/>
        <w:rPr>
          <w:sz w:val="20"/>
          <w:szCs w:val="20"/>
          <w:color w:val="auto"/>
        </w:rPr>
      </w:pPr>
      <w:r>
        <w:rPr>
          <w:rFonts w:ascii="Arial" w:cs="Arial" w:eastAsia="Arial" w:hAnsi="Arial"/>
          <w:sz w:val="14"/>
          <w:szCs w:val="14"/>
          <w:color w:val="auto"/>
        </w:rPr>
        <w:t>Pacific Palisades, CA 90272</w:t>
      </w:r>
    </w:p>
    <w:p>
      <w:pPr>
        <w:ind w:left="1020"/>
        <w:spacing w:after="0"/>
        <w:rPr>
          <w:sz w:val="20"/>
          <w:szCs w:val="20"/>
          <w:color w:val="auto"/>
        </w:rPr>
      </w:pPr>
      <w:r>
        <w:rPr>
          <w:rFonts w:ascii="Arial" w:cs="Arial" w:eastAsia="Arial" w:hAnsi="Arial"/>
          <w:sz w:val="14"/>
          <w:szCs w:val="14"/>
          <w:u w:val="single" w:color="auto"/>
          <w:color w:val="auto"/>
        </w:rPr>
        <w:t>Attn</w:t>
      </w:r>
      <w:r>
        <w:rPr>
          <w:rFonts w:ascii="Arial" w:cs="Arial" w:eastAsia="Arial" w:hAnsi="Arial"/>
          <w:sz w:val="14"/>
          <w:szCs w:val="14"/>
          <w:color w:val="auto"/>
        </w:rPr>
        <w:t>: Board of Directors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If to Executive:</w:t>
      </w:r>
    </w:p>
    <w:p>
      <w:pPr>
        <w:spacing w:after="0" w:line="7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 the last residential address known by the Company.</w:t>
      </w:r>
    </w:p>
    <w:p>
      <w:pPr>
        <w:spacing w:after="0" w:line="83" w:lineRule="exact"/>
        <w:rPr>
          <w:sz w:val="20"/>
          <w:szCs w:val="20"/>
          <w:color w:val="auto"/>
        </w:rPr>
      </w:pPr>
    </w:p>
    <w:p>
      <w:pPr>
        <w:ind w:firstLine="514"/>
        <w:spacing w:after="0" w:line="265" w:lineRule="auto"/>
        <w:tabs>
          <w:tab w:leader="none" w:pos="1015"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hereof becomes or is declared by a court of competent jurisdiction to be illegal, unenforceable or void, this Agreement will continue in full force and effect without said provision.</w:t>
      </w:r>
    </w:p>
    <w:p>
      <w:pPr>
        <w:spacing w:after="0" w:line="47" w:lineRule="exact"/>
        <w:rPr>
          <w:rFonts w:ascii="Arial" w:cs="Arial" w:eastAsia="Arial" w:hAnsi="Arial"/>
          <w:sz w:val="14"/>
          <w:szCs w:val="14"/>
          <w:color w:val="auto"/>
        </w:rPr>
      </w:pPr>
    </w:p>
    <w:p>
      <w:pPr>
        <w:jc w:val="both"/>
        <w:ind w:firstLine="514"/>
        <w:spacing w:after="0" w:line="251" w:lineRule="auto"/>
        <w:tabs>
          <w:tab w:leader="none" w:pos="1015"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Arbitration</w:t>
      </w:r>
      <w:r>
        <w:rPr>
          <w:rFonts w:ascii="Arial" w:cs="Arial" w:eastAsia="Arial" w:hAnsi="Arial"/>
          <w:sz w:val="14"/>
          <w:szCs w:val="14"/>
          <w:color w:val="auto"/>
        </w:rPr>
        <w:t>. Executive agrees that any and all controversies, claims, or disputes with anyone (including the Company and any employee, officer, director, stockholder or benefit plan of the Company in their capacity as such or otherwise) arising out of, relating to, or resulting from Executive’s service to the Company, shall be subject to arbitration in accordance with the provisions of the Confidential Information Agreement.</w:t>
      </w:r>
    </w:p>
    <w:p>
      <w:pPr>
        <w:spacing w:after="0" w:line="57" w:lineRule="exact"/>
        <w:rPr>
          <w:rFonts w:ascii="Arial" w:cs="Arial" w:eastAsia="Arial" w:hAnsi="Arial"/>
          <w:sz w:val="14"/>
          <w:szCs w:val="14"/>
          <w:color w:val="auto"/>
        </w:rPr>
      </w:pPr>
    </w:p>
    <w:p>
      <w:pPr>
        <w:jc w:val="both"/>
        <w:ind w:firstLine="514"/>
        <w:spacing w:after="0" w:line="244" w:lineRule="auto"/>
        <w:tabs>
          <w:tab w:leader="none" w:pos="1015"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Integration</w:t>
      </w:r>
      <w:r>
        <w:rPr>
          <w:rFonts w:ascii="Arial" w:cs="Arial" w:eastAsia="Arial" w:hAnsi="Arial"/>
          <w:sz w:val="14"/>
          <w:szCs w:val="14"/>
          <w:color w:val="auto"/>
        </w:rPr>
        <w:t>. This Agreement, along with the Confidential Information Agreement, Equity Documents and Indemnification Agreement, represents the entire agreement and understanding between the parties as to the subject matter herein and supersedes all prior or contemporaneous agreements whether written or oral, including the Prior Agreement. With respect to equity awards granted on or after the date of this Agreement, the acceleration of vesting provisions provided herein will apply to such equity awards except to the extent the applicable equity award agreement expressly supersedes this Agreement. This Agreement may be modified only by agreement of the parties by a written instrument executed by the parties that is designated as an amendment to this Agreement.</w:t>
      </w:r>
    </w:p>
    <w:p>
      <w:pPr>
        <w:spacing w:after="0" w:line="62" w:lineRule="exact"/>
        <w:rPr>
          <w:rFonts w:ascii="Arial" w:cs="Arial" w:eastAsia="Arial" w:hAnsi="Arial"/>
          <w:sz w:val="14"/>
          <w:szCs w:val="14"/>
          <w:color w:val="auto"/>
        </w:rPr>
      </w:pPr>
    </w:p>
    <w:p>
      <w:pPr>
        <w:ind w:firstLine="514"/>
        <w:spacing w:after="0" w:line="265" w:lineRule="auto"/>
        <w:tabs>
          <w:tab w:leader="none" w:pos="1015"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Waiver of Breach</w:t>
      </w:r>
      <w:r>
        <w:rPr>
          <w:rFonts w:ascii="Arial" w:cs="Arial" w:eastAsia="Arial" w:hAnsi="Arial"/>
          <w:sz w:val="14"/>
          <w:szCs w:val="14"/>
          <w:color w:val="auto"/>
        </w:rPr>
        <w:t>. The waiver of a breach of any term or provision of this Agreement, which must be in writing, will not operate as or be construed to be a waiver of any other previous or subsequent breach of this Agreement.</w:t>
      </w:r>
    </w:p>
    <w:p>
      <w:pPr>
        <w:spacing w:after="0" w:line="37" w:lineRule="exact"/>
        <w:rPr>
          <w:rFonts w:ascii="Arial" w:cs="Arial" w:eastAsia="Arial" w:hAnsi="Arial"/>
          <w:sz w:val="14"/>
          <w:szCs w:val="14"/>
          <w:color w:val="auto"/>
        </w:rPr>
      </w:pPr>
    </w:p>
    <w:p>
      <w:pPr>
        <w:ind w:left="1020" w:hanging="506"/>
        <w:spacing w:after="0"/>
        <w:tabs>
          <w:tab w:leader="none" w:pos="102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All captions and section headings used in this Agreement are for convenient reference only and do not form a part of this Agreement.</w:t>
      </w:r>
    </w:p>
    <w:p>
      <w:pPr>
        <w:spacing w:after="0" w:line="83" w:lineRule="exact"/>
        <w:rPr>
          <w:rFonts w:ascii="Arial" w:cs="Arial" w:eastAsia="Arial" w:hAnsi="Arial"/>
          <w:sz w:val="14"/>
          <w:szCs w:val="14"/>
          <w:color w:val="auto"/>
        </w:rPr>
      </w:pPr>
    </w:p>
    <w:p>
      <w:pPr>
        <w:ind w:left="1020" w:hanging="506"/>
        <w:spacing w:after="0"/>
        <w:tabs>
          <w:tab w:leader="none" w:pos="102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All payments made pursuant to this Agreement will be subject to withholding of applicable taxes.</w:t>
      </w:r>
    </w:p>
    <w:p>
      <w:pPr>
        <w:spacing w:after="0" w:line="83" w:lineRule="exact"/>
        <w:rPr>
          <w:rFonts w:ascii="Arial" w:cs="Arial" w:eastAsia="Arial" w:hAnsi="Arial"/>
          <w:sz w:val="14"/>
          <w:szCs w:val="14"/>
          <w:color w:val="auto"/>
        </w:rPr>
      </w:pPr>
    </w:p>
    <w:p>
      <w:pPr>
        <w:ind w:left="1020" w:hanging="506"/>
        <w:spacing w:after="0"/>
        <w:tabs>
          <w:tab w:leader="none" w:pos="102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will be governed by the laws of the State of New Jersey (with the exception of its conflict of laws provisions).</w:t>
      </w:r>
    </w:p>
    <w:p>
      <w:pPr>
        <w:spacing w:after="0" w:line="83" w:lineRule="exact"/>
        <w:rPr>
          <w:rFonts w:ascii="Arial" w:cs="Arial" w:eastAsia="Arial" w:hAnsi="Arial"/>
          <w:sz w:val="14"/>
          <w:szCs w:val="14"/>
          <w:color w:val="auto"/>
        </w:rPr>
      </w:pPr>
    </w:p>
    <w:p>
      <w:pPr>
        <w:ind w:firstLine="514"/>
        <w:spacing w:after="0" w:line="265" w:lineRule="auto"/>
        <w:tabs>
          <w:tab w:leader="none" w:pos="1015"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Acknowledgment</w:t>
      </w:r>
      <w:r>
        <w:rPr>
          <w:rFonts w:ascii="Arial" w:cs="Arial" w:eastAsia="Arial" w:hAnsi="Arial"/>
          <w:sz w:val="14"/>
          <w:szCs w:val="14"/>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47" w:lineRule="exact"/>
        <w:rPr>
          <w:rFonts w:ascii="Arial" w:cs="Arial" w:eastAsia="Arial" w:hAnsi="Arial"/>
          <w:sz w:val="14"/>
          <w:szCs w:val="14"/>
          <w:color w:val="auto"/>
        </w:rPr>
      </w:pPr>
    </w:p>
    <w:p>
      <w:pPr>
        <w:ind w:firstLine="514"/>
        <w:spacing w:after="0" w:line="265" w:lineRule="auto"/>
        <w:tabs>
          <w:tab w:leader="none" w:pos="1015"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counterparts, and each counterpart will have the same force and effect as an original and will constitute an effective, binding agreement on the part of each of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1221" w:right="319" w:bottom="1440" w:gutter="0" w:footer="0" w:header="0"/>
        </w:sectPr>
      </w:pPr>
    </w:p>
    <w:bookmarkStart w:id="177" w:name="page178"/>
    <w:bookmarkEnd w:id="177"/>
    <w:p>
      <w:pPr>
        <w:ind w:left="520"/>
        <w:spacing w:after="0"/>
        <w:rPr>
          <w:sz w:val="20"/>
          <w:szCs w:val="20"/>
          <w:color w:val="auto"/>
        </w:rPr>
      </w:pPr>
      <w:r>
        <w:rPr>
          <w:rFonts w:ascii="Arial" w:cs="Arial" w:eastAsia="Arial" w:hAnsi="Arial"/>
          <w:sz w:val="12"/>
          <w:szCs w:val="12"/>
          <w:color w:val="auto"/>
        </w:rPr>
        <w:t>IN WITNESS WHEREOF, each of the parties has executed this Agreement, in the case of the Company by their duly authorized officers, as of the day and year first above written.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AADI BIOSCIENCE, INC.</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Caley Castelein</w:t>
      </w:r>
      <w:r>
        <w:rPr>
          <w:rFonts w:ascii="Arial" w:cs="Arial" w:eastAsia="Arial" w:hAnsi="Arial"/>
          <w:sz w:val="14"/>
          <w:szCs w:val="14"/>
          <w:color w:val="auto"/>
        </w:rPr>
        <w:t xml:space="preserve"> Date: </w:t>
      </w:r>
      <w:r>
        <w:rPr>
          <w:rFonts w:ascii="Arial" w:cs="Arial" w:eastAsia="Arial" w:hAnsi="Arial"/>
          <w:sz w:val="14"/>
          <w:szCs w:val="14"/>
          <w:u w:val="single" w:color="auto"/>
          <w:color w:val="auto"/>
        </w:rPr>
        <w:t>November 8, 2022</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Name: Caley Castelein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Title: Chairman of the Board of Directors</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EXECUTIVE: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Brendan Delaney</w:t>
      </w:r>
      <w:r>
        <w:rPr>
          <w:rFonts w:ascii="Arial" w:cs="Arial" w:eastAsia="Arial" w:hAnsi="Arial"/>
          <w:sz w:val="14"/>
          <w:szCs w:val="14"/>
          <w:color w:val="auto"/>
        </w:rPr>
        <w:t xml:space="preserve"> Date: </w:t>
      </w:r>
      <w:r>
        <w:rPr>
          <w:rFonts w:ascii="Arial" w:cs="Arial" w:eastAsia="Arial" w:hAnsi="Arial"/>
          <w:sz w:val="14"/>
          <w:szCs w:val="14"/>
          <w:u w:val="single" w:color="auto"/>
          <w:color w:val="auto"/>
        </w:rPr>
        <w:t>November 8, 2022</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Brendan Delaney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[SIGNATURE PAGE TO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680"/>
          </w:cols>
          <w:pgMar w:left="300" w:top="1232" w:right="91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color w:val="929292"/>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AMENDMENT 01 to</w:t>
      </w:r>
    </w:p>
    <w:p>
      <w:pPr>
        <w:jc w:val="center"/>
        <w:spacing w:after="0" w:line="208" w:lineRule="auto"/>
        <w:rPr>
          <w:sz w:val="20"/>
          <w:szCs w:val="20"/>
          <w:color w:val="auto"/>
        </w:rPr>
      </w:pPr>
      <w:r>
        <w:rPr>
          <w:rFonts w:ascii="Arial" w:cs="Arial" w:eastAsia="Arial" w:hAnsi="Arial"/>
          <w:sz w:val="17"/>
          <w:szCs w:val="17"/>
          <w:b w:val="1"/>
          <w:bCs w:val="1"/>
          <w:u w:val="single" w:color="auto"/>
          <w:color w:val="auto"/>
        </w:rPr>
        <w:t>NEGOTIATED PURCHASE ORDER TERMS AND CONDITIONS</w:t>
      </w:r>
    </w:p>
    <w:p>
      <w:pPr>
        <w:jc w:val="center"/>
        <w:spacing w:after="0"/>
        <w:rPr>
          <w:sz w:val="20"/>
          <w:szCs w:val="20"/>
          <w:color w:val="auto"/>
        </w:rPr>
      </w:pPr>
      <w:r>
        <w:rPr>
          <w:rFonts w:ascii="Arial" w:cs="Arial" w:eastAsia="Arial" w:hAnsi="Arial"/>
          <w:sz w:val="17"/>
          <w:szCs w:val="17"/>
          <w:b w:val="1"/>
          <w:bCs w:val="1"/>
          <w:u w:val="single" w:color="auto"/>
          <w:color w:val="auto"/>
        </w:rPr>
        <w:t>FOR CLINICAL AND COMMERCIAL PRODUCT</w:t>
      </w:r>
    </w:p>
    <w:p>
      <w:pPr>
        <w:spacing w:after="0" w:line="31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 xml:space="preserve">This Amendment No. 01 to the Negotiated Purchase Order Terms and Conditions for Clinical and Commercial Product of January 13, 2022 (the </w:t>
      </w:r>
      <w:r>
        <w:rPr>
          <w:rFonts w:ascii="Arial" w:cs="Arial" w:eastAsia="Arial" w:hAnsi="Arial"/>
          <w:sz w:val="16"/>
          <w:szCs w:val="16"/>
          <w:b w:val="1"/>
          <w:bCs w:val="1"/>
          <w:color w:val="auto"/>
        </w:rPr>
        <w:t>“Amendment”</w:t>
      </w:r>
      <w:r>
        <w:rPr>
          <w:rFonts w:ascii="Arial" w:cs="Arial" w:eastAsia="Arial" w:hAnsi="Arial"/>
          <w:sz w:val="16"/>
          <w:szCs w:val="16"/>
          <w:color w:val="auto"/>
        </w:rPr>
        <w:t>) is made effective as of August 1, 2022 (“</w:t>
      </w:r>
      <w:r>
        <w:rPr>
          <w:rFonts w:ascii="Arial" w:cs="Arial" w:eastAsia="Arial" w:hAnsi="Arial"/>
          <w:sz w:val="16"/>
          <w:szCs w:val="16"/>
          <w:b w:val="1"/>
          <w:bCs w:val="1"/>
          <w:color w:val="auto"/>
        </w:rPr>
        <w:t>Amendment Effective Date</w:t>
      </w:r>
      <w:r>
        <w:rPr>
          <w:rFonts w:ascii="Arial" w:cs="Arial" w:eastAsia="Arial" w:hAnsi="Arial"/>
          <w:sz w:val="16"/>
          <w:szCs w:val="16"/>
          <w:color w:val="auto"/>
        </w:rPr>
        <w:t>”) by and between Fresenius Kabi, LLC, a Delaware company having a principal place of business at Three Corporate Drive, Lake Zurich, IL 60047 (“</w:t>
      </w:r>
      <w:r>
        <w:rPr>
          <w:rFonts w:ascii="Arial" w:cs="Arial" w:eastAsia="Arial" w:hAnsi="Arial"/>
          <w:sz w:val="16"/>
          <w:szCs w:val="16"/>
          <w:b w:val="1"/>
          <w:bCs w:val="1"/>
          <w:color w:val="auto"/>
        </w:rPr>
        <w:t>FRESENIUS KABI</w:t>
      </w:r>
      <w:r>
        <w:rPr>
          <w:rFonts w:ascii="Arial" w:cs="Arial" w:eastAsia="Arial" w:hAnsi="Arial"/>
          <w:sz w:val="16"/>
          <w:szCs w:val="16"/>
          <w:color w:val="auto"/>
        </w:rPr>
        <w:t>”)</w:t>
      </w:r>
      <w:r>
        <w:rPr>
          <w:rFonts w:ascii="Arial" w:cs="Arial" w:eastAsia="Arial" w:hAnsi="Arial"/>
          <w:sz w:val="15"/>
          <w:szCs w:val="15"/>
          <w:color w:val="auto"/>
        </w:rPr>
        <w:t>, and</w:t>
      </w:r>
      <w:r>
        <w:rPr>
          <w:rFonts w:ascii="Arial" w:cs="Arial" w:eastAsia="Arial" w:hAnsi="Arial"/>
          <w:sz w:val="16"/>
          <w:szCs w:val="16"/>
          <w:color w:val="auto"/>
        </w:rPr>
        <w:t xml:space="preserve"> AADi Bioscience, Inc., a Delaware corporation having a principal address at 17383 Sunset Blvd., Suite A 250, Pacific Palisades, CA 90272 (“</w:t>
      </w:r>
      <w:r>
        <w:rPr>
          <w:rFonts w:ascii="Arial" w:cs="Arial" w:eastAsia="Arial" w:hAnsi="Arial"/>
          <w:sz w:val="16"/>
          <w:szCs w:val="16"/>
          <w:b w:val="1"/>
          <w:bCs w:val="1"/>
          <w:color w:val="auto"/>
        </w:rPr>
        <w:t>AADI</w:t>
      </w:r>
      <w:r>
        <w:rPr>
          <w:rFonts w:ascii="Arial" w:cs="Arial" w:eastAsia="Arial" w:hAnsi="Arial"/>
          <w:sz w:val="16"/>
          <w:szCs w:val="16"/>
          <w:color w:val="auto"/>
        </w:rPr>
        <w:t>” or “</w:t>
      </w:r>
      <w:r>
        <w:rPr>
          <w:rFonts w:ascii="Arial" w:cs="Arial" w:eastAsia="Arial" w:hAnsi="Arial"/>
          <w:sz w:val="16"/>
          <w:szCs w:val="16"/>
          <w:b w:val="1"/>
          <w:bCs w:val="1"/>
          <w:color w:val="auto"/>
        </w:rPr>
        <w:t>Customer</w:t>
      </w:r>
      <w:r>
        <w:rPr>
          <w:rFonts w:ascii="Arial" w:cs="Arial" w:eastAsia="Arial" w:hAnsi="Arial"/>
          <w:sz w:val="16"/>
          <w:szCs w:val="16"/>
          <w:color w:val="auto"/>
        </w:rPr>
        <w:t>”)</w:t>
      </w:r>
      <w:r>
        <w:rPr>
          <w:rFonts w:ascii="Arial" w:cs="Arial" w:eastAsia="Arial" w:hAnsi="Arial"/>
          <w:sz w:val="15"/>
          <w:szCs w:val="15"/>
          <w:color w:val="auto"/>
        </w:rPr>
        <w:t>. AADI and the Company may hereafter be referred to collectively as the</w:t>
      </w:r>
      <w:r>
        <w:rPr>
          <w:rFonts w:ascii="Arial" w:cs="Arial" w:eastAsia="Arial" w:hAnsi="Arial"/>
          <w:sz w:val="16"/>
          <w:szCs w:val="16"/>
          <w:color w:val="auto"/>
        </w:rPr>
        <w:t xml:space="preserve"> </w:t>
      </w:r>
      <w:r>
        <w:rPr>
          <w:rFonts w:ascii="Arial" w:cs="Arial" w:eastAsia="Arial" w:hAnsi="Arial"/>
          <w:sz w:val="15"/>
          <w:szCs w:val="15"/>
          <w:b w:val="1"/>
          <w:bCs w:val="1"/>
          <w:color w:val="auto"/>
        </w:rPr>
        <w:t xml:space="preserve">“Parties” </w:t>
      </w:r>
      <w:r>
        <w:rPr>
          <w:rFonts w:ascii="Arial" w:cs="Arial" w:eastAsia="Arial" w:hAnsi="Arial"/>
          <w:sz w:val="15"/>
          <w:szCs w:val="15"/>
          <w:color w:val="auto"/>
        </w:rPr>
        <w:t>and individually as a</w:t>
      </w:r>
      <w:r>
        <w:rPr>
          <w:rFonts w:ascii="Arial" w:cs="Arial" w:eastAsia="Arial" w:hAnsi="Arial"/>
          <w:sz w:val="15"/>
          <w:szCs w:val="15"/>
          <w:b w:val="1"/>
          <w:bCs w:val="1"/>
          <w:color w:val="auto"/>
        </w:rPr>
        <w:t xml:space="preserve"> “Party”</w:t>
      </w:r>
      <w:r>
        <w:rPr>
          <w:rFonts w:ascii="Arial" w:cs="Arial" w:eastAsia="Arial" w:hAnsi="Arial"/>
          <w:sz w:val="15"/>
          <w:szCs w:val="15"/>
          <w:color w:val="auto"/>
        </w:rPr>
        <w:t>.</w:t>
      </w:r>
    </w:p>
    <w:p>
      <w:pPr>
        <w:spacing w:after="0" w:line="131" w:lineRule="exact"/>
        <w:rPr>
          <w:sz w:val="20"/>
          <w:szCs w:val="20"/>
          <w:color w:val="auto"/>
        </w:rPr>
      </w:pPr>
    </w:p>
    <w:p>
      <w:pPr>
        <w:jc w:val="both"/>
        <w:ind w:firstLine="1019"/>
        <w:spacing w:after="0" w:line="236" w:lineRule="auto"/>
        <w:rPr>
          <w:sz w:val="20"/>
          <w:szCs w:val="20"/>
          <w:color w:val="auto"/>
        </w:rPr>
      </w:pPr>
      <w:r>
        <w:rPr>
          <w:rFonts w:ascii="Arial" w:cs="Arial" w:eastAsia="Arial" w:hAnsi="Arial"/>
          <w:sz w:val="17"/>
          <w:szCs w:val="17"/>
          <w:color w:val="auto"/>
        </w:rPr>
        <w:t>WHEREAS, FRESENIUS KABI and AADI are Parties to the Negotiated Purchase Order Terms and Conditions for Clinical and Commercial Product signed on January 13, 2022 (“</w:t>
      </w:r>
      <w:r>
        <w:rPr>
          <w:rFonts w:ascii="Arial" w:cs="Arial" w:eastAsia="Arial" w:hAnsi="Arial"/>
          <w:sz w:val="17"/>
          <w:szCs w:val="17"/>
          <w:b w:val="1"/>
          <w:bCs w:val="1"/>
          <w:color w:val="auto"/>
        </w:rPr>
        <w:t>the Agreement</w:t>
      </w:r>
      <w:r>
        <w:rPr>
          <w:rFonts w:ascii="Arial" w:cs="Arial" w:eastAsia="Arial" w:hAnsi="Arial"/>
          <w:sz w:val="17"/>
          <w:szCs w:val="17"/>
          <w:color w:val="auto"/>
        </w:rPr>
        <w:t>”);</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WHEREAS, the Parties mutually desire to amend, modify and restate certain terms and conditions of the Agreement.</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NOW THEREFORE, in consideration of the premises and the mutual covenants herein contained, it is mutually agreed as follows:</w:t>
      </w:r>
    </w:p>
    <w:p>
      <w:pPr>
        <w:spacing w:after="0" w:line="140" w:lineRule="exact"/>
        <w:rPr>
          <w:sz w:val="20"/>
          <w:szCs w:val="20"/>
          <w:color w:val="auto"/>
        </w:rPr>
      </w:pPr>
    </w:p>
    <w:p>
      <w:pPr>
        <w:ind w:left="500" w:hanging="495"/>
        <w:spacing w:after="0"/>
        <w:tabs>
          <w:tab w:leader="none" w:pos="500" w:val="left"/>
        </w:tabs>
        <w:numPr>
          <w:ilvl w:val="0"/>
          <w:numId w:val="106"/>
        </w:numPr>
        <w:rPr>
          <w:rFonts w:ascii="Arial" w:cs="Arial" w:eastAsia="Arial" w:hAnsi="Arial"/>
          <w:sz w:val="16"/>
          <w:szCs w:val="16"/>
          <w:b w:val="1"/>
          <w:bCs w:val="1"/>
          <w:color w:val="auto"/>
        </w:rPr>
      </w:pPr>
      <w:r>
        <w:rPr>
          <w:rFonts w:ascii="Arial" w:cs="Arial" w:eastAsia="Arial" w:hAnsi="Arial"/>
          <w:sz w:val="17"/>
          <w:szCs w:val="17"/>
          <w:b w:val="1"/>
          <w:bCs w:val="1"/>
          <w:color w:val="auto"/>
        </w:rPr>
        <w:t>DEFINITIONS</w:t>
      </w:r>
    </w:p>
    <w:p>
      <w:pPr>
        <w:spacing w:after="0" w:line="169"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7"/>
          <w:szCs w:val="17"/>
          <w:color w:val="auto"/>
        </w:rPr>
        <w:t>Unless otherwise defined herein, capitalized words in this Amendment shall have the meaning attributed to them in the Agreement.</w:t>
      </w:r>
    </w:p>
    <w:p>
      <w:pPr>
        <w:spacing w:after="0" w:line="140" w:lineRule="exact"/>
        <w:rPr>
          <w:rFonts w:ascii="Arial" w:cs="Arial" w:eastAsia="Arial" w:hAnsi="Arial"/>
          <w:sz w:val="16"/>
          <w:szCs w:val="16"/>
          <w:b w:val="1"/>
          <w:bCs w:val="1"/>
          <w:color w:val="auto"/>
        </w:rPr>
      </w:pPr>
    </w:p>
    <w:p>
      <w:pPr>
        <w:ind w:left="500" w:hanging="495"/>
        <w:spacing w:after="0"/>
        <w:tabs>
          <w:tab w:leader="none" w:pos="500" w:val="left"/>
        </w:tabs>
        <w:numPr>
          <w:ilvl w:val="0"/>
          <w:numId w:val="106"/>
        </w:numPr>
        <w:rPr>
          <w:rFonts w:ascii="Arial" w:cs="Arial" w:eastAsia="Arial" w:hAnsi="Arial"/>
          <w:sz w:val="16"/>
          <w:szCs w:val="16"/>
          <w:b w:val="1"/>
          <w:bCs w:val="1"/>
          <w:color w:val="auto"/>
        </w:rPr>
      </w:pPr>
      <w:r>
        <w:rPr>
          <w:rFonts w:ascii="Arial" w:cs="Arial" w:eastAsia="Arial" w:hAnsi="Arial"/>
          <w:sz w:val="17"/>
          <w:szCs w:val="17"/>
          <w:b w:val="1"/>
          <w:bCs w:val="1"/>
          <w:color w:val="auto"/>
        </w:rPr>
        <w:t>AMENDMENTS</w:t>
      </w:r>
    </w:p>
    <w:p>
      <w:pPr>
        <w:spacing w:after="0" w:line="169"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7"/>
          <w:szCs w:val="17"/>
          <w:color w:val="auto"/>
        </w:rPr>
        <w:t>The Parties agree that, as of the Amendment Effective Date, the Agreement is amended as set forth in this Section 2.</w:t>
      </w:r>
    </w:p>
    <w:p>
      <w:pPr>
        <w:spacing w:after="0" w:line="165" w:lineRule="exact"/>
        <w:rPr>
          <w:sz w:val="20"/>
          <w:szCs w:val="20"/>
          <w:color w:val="auto"/>
        </w:rPr>
      </w:pPr>
    </w:p>
    <w:p>
      <w:pPr>
        <w:jc w:val="both"/>
        <w:ind w:left="500" w:hanging="501"/>
        <w:spacing w:after="0" w:line="227" w:lineRule="auto"/>
        <w:tabs>
          <w:tab w:leader="none" w:pos="4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7"/>
          <w:szCs w:val="17"/>
          <w:color w:val="auto"/>
        </w:rPr>
        <w:t>The following sentence shall be added as the last sentence to the second paragraph on page 1 of the Agreement following the language “If FRESENIUS KABI cannot agree to the AADI’s proposed delivery date, FRESENIUS KABI may decline the Purchase Order and the Parties shall negotiate in good faith a new delivery date”:</w:t>
      </w:r>
    </w:p>
    <w:p>
      <w:pPr>
        <w:spacing w:after="0" w:line="124" w:lineRule="exact"/>
        <w:rPr>
          <w:sz w:val="20"/>
          <w:szCs w:val="20"/>
          <w:color w:val="auto"/>
        </w:rPr>
      </w:pPr>
    </w:p>
    <w:p>
      <w:pPr>
        <w:jc w:val="both"/>
        <w:ind w:left="500"/>
        <w:spacing w:after="0" w:line="262" w:lineRule="auto"/>
        <w:rPr>
          <w:sz w:val="20"/>
          <w:szCs w:val="20"/>
          <w:color w:val="auto"/>
        </w:rPr>
      </w:pPr>
      <w:r>
        <w:rPr>
          <w:rFonts w:ascii="Arial" w:cs="Arial" w:eastAsia="Arial" w:hAnsi="Arial"/>
          <w:sz w:val="16"/>
          <w:szCs w:val="16"/>
          <w:color w:val="auto"/>
        </w:rPr>
        <w:t>“FRESENIUS KABI may elect not to manufacture Product for any confirmed purchase orders if any outstanding invoices payable by AADI exceed [***]. In such instance, the Parties shall agree on an alternative manufacturing dates as soon as the outstanding invoices have been settled by AADI.”</w:t>
      </w:r>
    </w:p>
    <w:p>
      <w:pPr>
        <w:spacing w:after="0" w:line="108"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color w:val="auto"/>
        </w:rPr>
        <w:t>The following sentences shall be added to the end of Section 12 (Payment) of the Agreement:</w:t>
      </w:r>
    </w:p>
    <w:p>
      <w:pPr>
        <w:spacing w:after="0" w:line="156" w:lineRule="exact"/>
        <w:rPr>
          <w:sz w:val="20"/>
          <w:szCs w:val="20"/>
          <w:color w:val="auto"/>
        </w:rPr>
      </w:pPr>
    </w:p>
    <w:p>
      <w:pPr>
        <w:jc w:val="both"/>
        <w:ind w:left="500"/>
        <w:spacing w:after="0" w:line="227" w:lineRule="auto"/>
        <w:rPr>
          <w:sz w:val="20"/>
          <w:szCs w:val="20"/>
          <w:color w:val="auto"/>
        </w:rPr>
      </w:pPr>
      <w:r>
        <w:rPr>
          <w:rFonts w:ascii="Arial" w:cs="Arial" w:eastAsia="Arial" w:hAnsi="Arial"/>
          <w:sz w:val="17"/>
          <w:szCs w:val="17"/>
          <w:color w:val="auto"/>
        </w:rPr>
        <w:t>“Notwithstanding anything to the contrary in this Agreement, FRESENIUS KABI may invoice any Product (i) that has been released by AADI as agreed in the Quality Agreement but is not delivered to AADI within [***] calendar days after its release, or (ii) if the review at AADI to release Product is pending for more than [***] from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601345</wp:posOffset>
            </wp:positionV>
            <wp:extent cx="716153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80"/>
          </w:cols>
          <w:pgMar w:left="300" w:top="116" w:right="3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color w:val="929292"/>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500"/>
        <w:spacing w:after="0" w:line="227" w:lineRule="auto"/>
        <w:rPr>
          <w:sz w:val="20"/>
          <w:szCs w:val="20"/>
          <w:color w:val="auto"/>
        </w:rPr>
      </w:pPr>
      <w:r>
        <w:rPr>
          <w:rFonts w:ascii="Arial" w:cs="Arial" w:eastAsia="Arial" w:hAnsi="Arial"/>
          <w:sz w:val="17"/>
          <w:szCs w:val="17"/>
          <w:color w:val="auto"/>
        </w:rPr>
        <w:t>on which FRESENIUS KABI has provided the relevant executed batch record, the certificate of analysis and the certificate of compliance without AADI’s approval or request for comments or changes, or (iii) if all documentation has been provided by FRESENIUS KABI to AADI for release of Product but regulatory approval for a Product Change has not been received by the respective regulatory authority.</w:t>
      </w:r>
    </w:p>
    <w:p>
      <w:pPr>
        <w:spacing w:after="0" w:line="124" w:lineRule="exact"/>
        <w:rPr>
          <w:sz w:val="20"/>
          <w:szCs w:val="20"/>
          <w:color w:val="auto"/>
        </w:rPr>
      </w:pPr>
    </w:p>
    <w:p>
      <w:pPr>
        <w:jc w:val="both"/>
        <w:ind w:left="500"/>
        <w:spacing w:after="0" w:line="262" w:lineRule="auto"/>
        <w:rPr>
          <w:sz w:val="20"/>
          <w:szCs w:val="20"/>
          <w:color w:val="auto"/>
        </w:rPr>
      </w:pPr>
      <w:r>
        <w:rPr>
          <w:rFonts w:ascii="Arial" w:cs="Arial" w:eastAsia="Arial" w:hAnsi="Arial"/>
          <w:sz w:val="16"/>
          <w:szCs w:val="16"/>
          <w:color w:val="auto"/>
        </w:rPr>
        <w:t>Such invoice shall be paid by AADI in US Dollars within [***] calendar days from the date of receipt of the applicable invoice. In the event the Parties agree in writing that Product is stored for an agreed period of time at FRESENIUS KABI after release, fees as described in Section 14 apply.</w:t>
      </w:r>
    </w:p>
    <w:p>
      <w:pPr>
        <w:spacing w:after="0" w:line="108"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color w:val="auto"/>
        </w:rPr>
        <w:t>Section 14, shall be deleted and replaced by the following new clause:</w:t>
      </w:r>
    </w:p>
    <w:p>
      <w:pPr>
        <w:spacing w:after="0" w:line="152" w:lineRule="exact"/>
        <w:rPr>
          <w:sz w:val="20"/>
          <w:szCs w:val="20"/>
          <w:color w:val="auto"/>
        </w:rPr>
      </w:pPr>
    </w:p>
    <w:p>
      <w:pPr>
        <w:jc w:val="both"/>
        <w:ind w:left="500"/>
        <w:spacing w:after="0" w:line="2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14) Storage</w:t>
      </w:r>
      <w:r>
        <w:rPr>
          <w:rFonts w:ascii="Arial" w:cs="Arial" w:eastAsia="Arial" w:hAnsi="Arial"/>
          <w:sz w:val="16"/>
          <w:szCs w:val="16"/>
          <w:color w:val="auto"/>
        </w:rPr>
        <w:t>: In the event that AADI fails to pick up any Product within [***] calendar days of FRESENIUS KABI’s release of the Product or any Product subject to Section 12 as amended above by Section 2.2 of this Amendment, FRESENIUS KABI shall notify AADI and may thereafter arrange for storage of such Product at AADI’s risk and expense. For Product stored at the manufacturing facility, FRESENIUS KABI shall charge AADI a storage fee of [***] per pallet for the first month, and [***] per pallet for each started month thereafter stored at 2-8°C or as otherwise agreed in the Quality Agreement. AADI acknowledges that if the number of stored pallets at any given time will exceed [***] pallets, FRESENIUS KABI may need to arrange for storage with a third party, which shall also be at AADI’s risk and expense, or alternatively FRESENIUS KABI may delay further batch manufacture of Product.”</w:t>
      </w:r>
    </w:p>
    <w:p>
      <w:pPr>
        <w:spacing w:after="0" w:line="125"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color w:val="auto"/>
        </w:rPr>
        <w:t>The last sentence of Section 17 subsection c) shall be deleted and replaced by the following sentence:</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 clarity, FRESENIUS KABI is not responsible for any costs, or replacement, of Product or Supplied Material if [***].</w:t>
      </w:r>
    </w:p>
    <w:p>
      <w:pPr>
        <w:spacing w:after="0" w:line="335"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color w:val="auto"/>
        </w:rPr>
        <w:t>Section 31 shall be deleted and replaced by the following new clause:</w:t>
      </w:r>
    </w:p>
    <w:p>
      <w:pPr>
        <w:spacing w:after="0" w:line="152" w:lineRule="exact"/>
        <w:rPr>
          <w:sz w:val="20"/>
          <w:szCs w:val="20"/>
          <w:color w:val="auto"/>
        </w:rPr>
      </w:pPr>
    </w:p>
    <w:p>
      <w:pPr>
        <w:jc w:val="both"/>
        <w:ind w:left="500" w:firstLine="6"/>
        <w:spacing w:after="0" w:line="247" w:lineRule="auto"/>
        <w:tabs>
          <w:tab w:leader="none" w:pos="779" w:val="left"/>
        </w:tabs>
        <w:numPr>
          <w:ilvl w:val="0"/>
          <w:numId w:val="107"/>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Termination</w:t>
      </w:r>
      <w:r>
        <w:rPr>
          <w:rFonts w:ascii="Arial" w:cs="Arial" w:eastAsia="Arial" w:hAnsi="Arial"/>
          <w:sz w:val="15"/>
          <w:szCs w:val="15"/>
          <w:color w:val="auto"/>
        </w:rPr>
        <w:t>: The term of this Agreement begins upon FRESENIUS KABI’s acceptance of the purchase order and continues until March 31, 2024 (or such later date as may be agreed between the Parties) subject to the terms that survive expiration or termination of this Agreement (i.e., Sections 2, 4, 19, 21, and 26-31). Upon expiration or termination of this Agreement, no Party shall have any obligation to make any further payments to the other, except for amounts accrued prior to expiration or termination. Further, any purchase orders for Product confirmed by FRESENIUS KABI with a batch manufacturing date for Product prior to expiration or termination of the term of this Agreement shall be delivered by FRESENIUS KABI and shall be paid by AADI in full pursuant to this Agreement. Except as otherwise agreed upon by the Parties, AADI may terminate a purchase order for Products within [***] day of FRESENIUS KABI’s confirmation of the purchase order. AADI may not terminate a confirmed purchase order for Products after such time.”</w:t>
      </w:r>
    </w:p>
    <w:p>
      <w:pPr>
        <w:spacing w:after="0" w:line="310"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5"/>
          <w:szCs w:val="15"/>
          <w:color w:val="auto"/>
        </w:rPr>
        <w:t>Section 1. of Exhibit C (“Price”) shall be deleted and replaced by the following new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716153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80"/>
          </w:cols>
          <w:pgMar w:left="300" w:top="116" w:right="31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color w:val="929292"/>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Price</w:t>
      </w:r>
    </w:p>
    <w:p>
      <w:pPr>
        <w:spacing w:after="0" w:line="144" w:lineRule="exact"/>
        <w:rPr>
          <w:sz w:val="20"/>
          <w:szCs w:val="20"/>
          <w:color w:val="auto"/>
        </w:rPr>
      </w:pPr>
    </w:p>
    <w:p>
      <w:pPr>
        <w:jc w:val="both"/>
        <w:ind w:left="400"/>
        <w:spacing w:after="0" w:line="236" w:lineRule="auto"/>
        <w:rPr>
          <w:sz w:val="20"/>
          <w:szCs w:val="20"/>
          <w:color w:val="auto"/>
        </w:rPr>
      </w:pPr>
      <w:r>
        <w:rPr>
          <w:rFonts w:ascii="Arial" w:cs="Arial" w:eastAsia="Arial" w:hAnsi="Arial"/>
          <w:sz w:val="17"/>
          <w:szCs w:val="17"/>
          <w:color w:val="auto"/>
        </w:rPr>
        <w:t>The table below identifies the Price per unit of Product that applies based on the total quantity of Product actually purchased by AADI for delivery during a given calendar year pursuant to this Agreement. The Price of the Product is calculated based on a batch-size of [***].</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For clarity, [***]; with the exception that for the following purchase orders placed by AADI in 2022, the Price per unit of Product set forth in the Price Table at</w:t>
      </w:r>
    </w:p>
    <w:p>
      <w:pPr>
        <w:spacing w:after="0" w:line="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Section 1.A of Exhibit C shall apply:</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  [***]</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Assumptions for Product Prices include but are not limited to:</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05" w:lineRule="exact"/>
        <w:rPr>
          <w:sz w:val="20"/>
          <w:szCs w:val="20"/>
          <w:color w:val="auto"/>
        </w:rPr>
      </w:pPr>
    </w:p>
    <w:p>
      <w:pPr>
        <w:jc w:val="both"/>
        <w:ind w:left="400"/>
        <w:spacing w:after="0" w:line="241" w:lineRule="auto"/>
        <w:rPr>
          <w:sz w:val="20"/>
          <w:szCs w:val="20"/>
          <w:color w:val="auto"/>
        </w:rPr>
      </w:pPr>
      <w:r>
        <w:rPr>
          <w:rFonts w:ascii="Arial" w:cs="Arial" w:eastAsia="Arial" w:hAnsi="Arial"/>
          <w:sz w:val="16"/>
          <w:szCs w:val="16"/>
          <w:color w:val="auto"/>
        </w:rPr>
        <w:t>Price for Product manufactured by FRESENIUS KABI after December 31, 2022 assumes AADI has submitted purchase orders for not less than [***] batches of either commercial and/or clinical Product to be manufactured in 2023, and that FRESENIUS KABI is timely provided with Supplied Materials to allow it to manufacture not less than [***] batches of Product, under this Agreement in the calendar year 2023 (as defined by the manufacturing date).</w:t>
      </w:r>
    </w:p>
    <w:p>
      <w:pPr>
        <w:spacing w:after="0" w:line="125" w:lineRule="exact"/>
        <w:rPr>
          <w:sz w:val="20"/>
          <w:szCs w:val="20"/>
          <w:color w:val="auto"/>
        </w:rPr>
      </w:pPr>
    </w:p>
    <w:p>
      <w:pPr>
        <w:jc w:val="both"/>
        <w:ind w:left="400"/>
        <w:spacing w:after="0" w:line="227" w:lineRule="auto"/>
        <w:rPr>
          <w:sz w:val="20"/>
          <w:szCs w:val="20"/>
          <w:color w:val="auto"/>
        </w:rPr>
      </w:pPr>
      <w:r>
        <w:rPr>
          <w:rFonts w:ascii="Arial" w:cs="Arial" w:eastAsia="Arial" w:hAnsi="Arial"/>
          <w:sz w:val="17"/>
          <w:szCs w:val="17"/>
          <w:color w:val="auto"/>
        </w:rPr>
        <w:t>Each process-performance qualification batch for Product manufactured under the Prior NTCs in the FRESENIUS KABI facility in [***] with an upscaled batch size of [***] shall count as [***] batches towards the not less than [***] batch requirement. Costs for these process-performance qualification batches for Product with an upscaled batch size shall be quoted separately and agreed between the Parties in writing.</w:t>
      </w: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clarity, FRESENIUS KABI shall increase the Price for Product manufactured under this Agreement in the calendar year 2023 if [***].</w:t>
      </w:r>
    </w:p>
    <w:p>
      <w:pPr>
        <w:spacing w:after="0" w:line="200" w:lineRule="exact"/>
        <w:rPr>
          <w:sz w:val="20"/>
          <w:szCs w:val="20"/>
          <w:color w:val="auto"/>
        </w:rPr>
      </w:pPr>
    </w:p>
    <w:p>
      <w:pPr>
        <w:spacing w:after="0" w:line="293" w:lineRule="exact"/>
        <w:rPr>
          <w:sz w:val="20"/>
          <w:szCs w:val="20"/>
          <w:color w:val="auto"/>
        </w:rPr>
      </w:pPr>
    </w:p>
    <w:p>
      <w:pPr>
        <w:ind w:left="500" w:hanging="495"/>
        <w:spacing w:after="0"/>
        <w:tabs>
          <w:tab w:leader="none" w:pos="500" w:val="left"/>
        </w:tabs>
        <w:numPr>
          <w:ilvl w:val="0"/>
          <w:numId w:val="108"/>
        </w:numPr>
        <w:rPr>
          <w:rFonts w:ascii="Arial" w:cs="Arial" w:eastAsia="Arial" w:hAnsi="Arial"/>
          <w:sz w:val="16"/>
          <w:szCs w:val="16"/>
          <w:b w:val="1"/>
          <w:bCs w:val="1"/>
          <w:color w:val="auto"/>
        </w:rPr>
      </w:pPr>
      <w:r>
        <w:rPr>
          <w:rFonts w:ascii="Arial" w:cs="Arial" w:eastAsia="Arial" w:hAnsi="Arial"/>
          <w:sz w:val="17"/>
          <w:szCs w:val="17"/>
          <w:b w:val="1"/>
          <w:bCs w:val="1"/>
          <w:color w:val="auto"/>
        </w:rPr>
        <w:t>INTEGRATION</w:t>
      </w:r>
    </w:p>
    <w:p>
      <w:pPr>
        <w:jc w:val="both"/>
        <w:ind w:left="500"/>
        <w:spacing w:after="0" w:line="221" w:lineRule="auto"/>
        <w:rPr>
          <w:rFonts w:ascii="Arial" w:cs="Arial" w:eastAsia="Arial" w:hAnsi="Arial"/>
          <w:sz w:val="16"/>
          <w:szCs w:val="16"/>
          <w:b w:val="1"/>
          <w:bCs w:val="1"/>
          <w:color w:val="auto"/>
        </w:rPr>
      </w:pPr>
      <w:r>
        <w:rPr>
          <w:rFonts w:ascii="Arial" w:cs="Arial" w:eastAsia="Arial" w:hAnsi="Arial"/>
          <w:sz w:val="17"/>
          <w:szCs w:val="17"/>
          <w:color w:val="auto"/>
        </w:rPr>
        <w:t>Except for the sections of the Agreement specifically amended hereunder, all terms and conditions of the Agreement remain and shall remain in full force and effect. This Amendment shall hereafter be incorporated into and deemed part of the Agreement and any future reference to the Agreement shall include the terms and conditions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723265</wp:posOffset>
            </wp:positionV>
            <wp:extent cx="716153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80"/>
          </w:cols>
          <w:pgMar w:left="300" w:top="115" w:right="31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color w:val="929292"/>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hanging="495"/>
        <w:spacing w:after="0"/>
        <w:tabs>
          <w:tab w:leader="none" w:pos="500" w:val="left"/>
        </w:tabs>
        <w:numPr>
          <w:ilvl w:val="0"/>
          <w:numId w:val="109"/>
        </w:numPr>
        <w:rPr>
          <w:rFonts w:ascii="Arial" w:cs="Arial" w:eastAsia="Arial" w:hAnsi="Arial"/>
          <w:sz w:val="16"/>
          <w:szCs w:val="16"/>
          <w:b w:val="1"/>
          <w:bCs w:val="1"/>
          <w:color w:val="auto"/>
        </w:rPr>
      </w:pPr>
      <w:r>
        <w:rPr>
          <w:rFonts w:ascii="Arial" w:cs="Arial" w:eastAsia="Arial" w:hAnsi="Arial"/>
          <w:sz w:val="17"/>
          <w:szCs w:val="17"/>
          <w:b w:val="1"/>
          <w:bCs w:val="1"/>
          <w:color w:val="auto"/>
        </w:rPr>
        <w:t>APPLICABLE LAW &amp; JURISDICTION</w:t>
      </w:r>
    </w:p>
    <w:p>
      <w:pPr>
        <w:ind w:left="500"/>
        <w:spacing w:after="0" w:line="227" w:lineRule="auto"/>
        <w:rPr>
          <w:rFonts w:ascii="Arial" w:cs="Arial" w:eastAsia="Arial" w:hAnsi="Arial"/>
          <w:sz w:val="16"/>
          <w:szCs w:val="16"/>
          <w:b w:val="1"/>
          <w:bCs w:val="1"/>
          <w:color w:val="auto"/>
        </w:rPr>
      </w:pPr>
      <w:r>
        <w:rPr>
          <w:rFonts w:ascii="Arial" w:cs="Arial" w:eastAsia="Arial" w:hAnsi="Arial"/>
          <w:sz w:val="17"/>
          <w:szCs w:val="17"/>
          <w:color w:val="auto"/>
        </w:rPr>
        <w:t>This Amendment shall be governed by, and construed in accordance with, the laws which govern the Agreement, and the Parties submit to the jurisdiction and dispute resolution provisions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[signature page follows immediately 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737870</wp:posOffset>
            </wp:positionV>
            <wp:extent cx="716153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80"/>
          </w:cols>
          <w:pgMar w:left="300" w:top="115" w:right="31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color w:val="929292"/>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each Party is signing this Amendment on the date stated opposite that Party’s signature.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AADi Bioscience, Inc.</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3"/>
          </w:tcPr>
          <w:p>
            <w:pPr>
              <w:spacing w:after="0"/>
              <w:rPr>
                <w:sz w:val="20"/>
                <w:szCs w:val="20"/>
                <w:color w:val="auto"/>
              </w:rPr>
            </w:pPr>
            <w:r>
              <w:rPr>
                <w:rFonts w:ascii="Arial" w:cs="Arial" w:eastAsia="Arial" w:hAnsi="Arial"/>
                <w:sz w:val="16"/>
                <w:szCs w:val="16"/>
                <w:color w:val="auto"/>
              </w:rPr>
              <w:t>By: _/s/ Brendan Delaney_____________________</w:t>
            </w:r>
          </w:p>
        </w:tc>
        <w:tc>
          <w:tcPr>
            <w:tcW w:w="2620" w:type="dxa"/>
            <w:vAlign w:val="bottom"/>
            <w:gridSpan w:val="3"/>
          </w:tcPr>
          <w:p>
            <w:pPr>
              <w:ind w:left="160"/>
              <w:spacing w:after="0"/>
              <w:rPr>
                <w:sz w:val="20"/>
                <w:szCs w:val="20"/>
                <w:color w:val="auto"/>
              </w:rPr>
            </w:pPr>
            <w:r>
              <w:rPr>
                <w:rFonts w:ascii="Arial" w:cs="Arial" w:eastAsia="Arial" w:hAnsi="Arial"/>
                <w:sz w:val="16"/>
                <w:szCs w:val="16"/>
                <w:color w:val="auto"/>
                <w:w w:val="96"/>
              </w:rPr>
              <w:t>Date:__1/12/2023______________</w:t>
            </w:r>
          </w:p>
        </w:tc>
      </w:tr>
      <w:tr>
        <w:trPr>
          <w:trHeight w:val="20"/>
        </w:trPr>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6"/>
        </w:trPr>
        <w:tc>
          <w:tcPr>
            <w:tcW w:w="1760" w:type="dxa"/>
            <w:vAlign w:val="bottom"/>
            <w:gridSpan w:val="2"/>
          </w:tcPr>
          <w:p>
            <w:pPr>
              <w:spacing w:after="0" w:line="137" w:lineRule="exact"/>
              <w:rPr>
                <w:sz w:val="20"/>
                <w:szCs w:val="20"/>
                <w:color w:val="auto"/>
              </w:rPr>
            </w:pPr>
            <w:r>
              <w:rPr>
                <w:rFonts w:ascii="Arial" w:cs="Arial" w:eastAsia="Arial" w:hAnsi="Arial"/>
                <w:sz w:val="14"/>
                <w:szCs w:val="14"/>
                <w:color w:val="auto"/>
              </w:rPr>
              <w:t>Name: Brendan Delaney</w:t>
            </w: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87"/>
        </w:trPr>
        <w:tc>
          <w:tcPr>
            <w:tcW w:w="3760" w:type="dxa"/>
            <w:vAlign w:val="bottom"/>
            <w:gridSpan w:val="3"/>
          </w:tcPr>
          <w:p>
            <w:pPr>
              <w:spacing w:after="0"/>
              <w:rPr>
                <w:sz w:val="20"/>
                <w:szCs w:val="20"/>
                <w:color w:val="auto"/>
              </w:rPr>
            </w:pPr>
            <w:r>
              <w:rPr>
                <w:rFonts w:ascii="Arial" w:cs="Arial" w:eastAsia="Arial" w:hAnsi="Arial"/>
                <w:sz w:val="16"/>
                <w:szCs w:val="16"/>
                <w:color w:val="auto"/>
              </w:rPr>
              <w:t>Title: Chief Executive Officer</w:t>
            </w: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Fresenius Kabi, LLC</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gridSpan w:val="3"/>
          </w:tcPr>
          <w:p>
            <w:pPr>
              <w:spacing w:after="0"/>
              <w:rPr>
                <w:sz w:val="20"/>
                <w:szCs w:val="20"/>
                <w:color w:val="auto"/>
              </w:rPr>
            </w:pPr>
            <w:r>
              <w:rPr>
                <w:rFonts w:ascii="Arial" w:cs="Arial" w:eastAsia="Arial" w:hAnsi="Arial"/>
                <w:sz w:val="16"/>
                <w:szCs w:val="16"/>
                <w:color w:val="auto"/>
              </w:rPr>
              <w:t>By: _/s/ Michael Marinoff___________</w:t>
            </w:r>
          </w:p>
        </w:tc>
        <w:tc>
          <w:tcPr>
            <w:tcW w:w="2200" w:type="dxa"/>
            <w:vAlign w:val="bottom"/>
            <w:gridSpan w:val="3"/>
          </w:tcPr>
          <w:p>
            <w:pPr>
              <w:ind w:left="180"/>
              <w:spacing w:after="0"/>
              <w:rPr>
                <w:sz w:val="20"/>
                <w:szCs w:val="20"/>
                <w:color w:val="auto"/>
              </w:rPr>
            </w:pPr>
            <w:r>
              <w:rPr>
                <w:rFonts w:ascii="Arial" w:cs="Arial" w:eastAsia="Arial" w:hAnsi="Arial"/>
                <w:sz w:val="16"/>
                <w:szCs w:val="16"/>
                <w:color w:val="auto"/>
                <w:w w:val="96"/>
              </w:rPr>
              <w:t>Date:_1/17/2023__________</w:t>
            </w:r>
          </w:p>
        </w:tc>
      </w:tr>
      <w:tr>
        <w:trPr>
          <w:trHeight w:val="20"/>
        </w:trPr>
        <w:tc>
          <w:tcPr>
            <w:tcW w:w="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6"/>
        </w:trPr>
        <w:tc>
          <w:tcPr>
            <w:tcW w:w="1700" w:type="dxa"/>
            <w:vAlign w:val="bottom"/>
            <w:gridSpan w:val="2"/>
          </w:tcPr>
          <w:p>
            <w:pPr>
              <w:spacing w:after="0" w:line="137" w:lineRule="exact"/>
              <w:rPr>
                <w:sz w:val="20"/>
                <w:szCs w:val="20"/>
                <w:color w:val="auto"/>
              </w:rPr>
            </w:pPr>
            <w:r>
              <w:rPr>
                <w:rFonts w:ascii="Arial" w:cs="Arial" w:eastAsia="Arial" w:hAnsi="Arial"/>
                <w:sz w:val="14"/>
                <w:szCs w:val="14"/>
                <w:color w:val="auto"/>
              </w:rPr>
              <w:t>Name: Michael Marinoff</w:t>
            </w: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87"/>
        </w:trPr>
        <w:tc>
          <w:tcPr>
            <w:tcW w:w="2820" w:type="dxa"/>
            <w:vAlign w:val="bottom"/>
            <w:gridSpan w:val="3"/>
          </w:tcPr>
          <w:p>
            <w:pPr>
              <w:spacing w:after="0"/>
              <w:rPr>
                <w:sz w:val="20"/>
                <w:szCs w:val="20"/>
                <w:color w:val="auto"/>
              </w:rPr>
            </w:pPr>
            <w:r>
              <w:rPr>
                <w:rFonts w:ascii="Arial" w:cs="Arial" w:eastAsia="Arial" w:hAnsi="Arial"/>
                <w:sz w:val="16"/>
                <w:szCs w:val="16"/>
                <w:color w:val="auto"/>
              </w:rPr>
              <w:t>Title: Senior Director</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Fresenius Kabi, LLC</w:t>
      </w:r>
    </w:p>
    <w:p>
      <w:pPr>
        <w:spacing w:after="0" w:line="339" w:lineRule="exact"/>
        <w:rPr>
          <w:sz w:val="20"/>
          <w:szCs w:val="20"/>
          <w:color w:val="auto"/>
        </w:rPr>
      </w:pPr>
    </w:p>
    <w:p>
      <w:pPr>
        <w:spacing w:after="0"/>
        <w:tabs>
          <w:tab w:leader="none" w:pos="3280" w:val="left"/>
        </w:tabs>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__/s/ Saleem Farooqui_____________</w:t>
      </w:r>
      <w:r>
        <w:rPr>
          <w:sz w:val="20"/>
          <w:szCs w:val="20"/>
          <w:color w:val="auto"/>
        </w:rPr>
        <w:tab/>
      </w:r>
      <w:r>
        <w:rPr>
          <w:rFonts w:ascii="Arial" w:cs="Arial" w:eastAsia="Arial" w:hAnsi="Arial"/>
          <w:sz w:val="14"/>
          <w:szCs w:val="14"/>
          <w:color w:val="auto"/>
        </w:rPr>
        <w:t>Date:_</w:t>
      </w:r>
      <w:r>
        <w:rPr>
          <w:rFonts w:ascii="Arial" w:cs="Arial" w:eastAsia="Arial" w:hAnsi="Arial"/>
          <w:sz w:val="14"/>
          <w:szCs w:val="14"/>
          <w:u w:val="single" w:color="auto"/>
          <w:color w:val="auto"/>
        </w:rPr>
        <w:t>1/17/2023</w:t>
      </w:r>
      <w:r>
        <w:rPr>
          <w:rFonts w:ascii="Arial" w:cs="Arial" w:eastAsia="Arial" w:hAnsi="Arial"/>
          <w:sz w:val="14"/>
          <w:szCs w:val="14"/>
          <w:color w:val="auto"/>
        </w:rPr>
        <w:t>___________</w:t>
      </w:r>
    </w:p>
    <w:p>
      <w:pPr>
        <w:spacing w:after="0" w:line="207" w:lineRule="auto"/>
        <w:rPr>
          <w:sz w:val="20"/>
          <w:szCs w:val="20"/>
          <w:color w:val="auto"/>
        </w:rPr>
      </w:pPr>
      <w:r>
        <w:rPr>
          <w:rFonts w:ascii="Arial" w:cs="Arial" w:eastAsia="Arial" w:hAnsi="Arial"/>
          <w:sz w:val="16"/>
          <w:szCs w:val="16"/>
          <w:color w:val="auto"/>
        </w:rPr>
        <w:t>Name: Saleem Farooqui</w:t>
      </w:r>
    </w:p>
    <w:p>
      <w:pPr>
        <w:spacing w:after="0"/>
        <w:rPr>
          <w:sz w:val="20"/>
          <w:szCs w:val="20"/>
          <w:color w:val="auto"/>
        </w:rPr>
      </w:pPr>
      <w:r>
        <w:rPr>
          <w:rFonts w:ascii="Arial" w:cs="Arial" w:eastAsia="Arial" w:hAnsi="Arial"/>
          <w:sz w:val="16"/>
          <w:szCs w:val="16"/>
          <w:color w:val="auto"/>
        </w:rPr>
        <w:t>Title: EVP BU Gx Pharma &amp; IV Fluids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497840</wp:posOffset>
            </wp:positionV>
            <wp:extent cx="716153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80"/>
          </w:cols>
          <w:pgMar w:left="300" w:top="116" w:right="319" w:bottom="1440" w:gutter="0" w:footer="0" w:header="0"/>
        </w:sectPr>
      </w:pPr>
    </w:p>
    <w:bookmarkStart w:id="183" w:name="page184"/>
    <w:bookmarkEnd w:id="1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35" w:name="page236"/>
    <w:bookmarkEnd w:id="235"/>
    <w:p>
      <w:pPr>
        <w:ind w:left="10480"/>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6860" w:type="dxa"/>
            <w:vAlign w:val="bottom"/>
            <w:gridSpan w:val="3"/>
          </w:tcPr>
          <w:p>
            <w:pPr>
              <w:spacing w:after="0"/>
              <w:rPr>
                <w:sz w:val="20"/>
                <w:szCs w:val="20"/>
                <w:color w:val="auto"/>
              </w:rPr>
            </w:pPr>
            <w:r>
              <w:rPr>
                <w:rFonts w:ascii="Arial" w:cs="Arial" w:eastAsia="Arial" w:hAnsi="Arial"/>
                <w:sz w:val="16"/>
                <w:szCs w:val="16"/>
                <w:b w:val="1"/>
                <w:bCs w:val="1"/>
                <w:color w:val="auto"/>
              </w:rPr>
              <w:t>Subsidiaries of Aadi Bioscience, Inc.</w:t>
            </w:r>
          </w:p>
        </w:tc>
      </w:tr>
      <w:tr>
        <w:trPr>
          <w:trHeight w:val="383"/>
        </w:trPr>
        <w:tc>
          <w:tcPr>
            <w:tcW w:w="444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192"/>
        </w:trPr>
        <w:tc>
          <w:tcPr>
            <w:tcW w:w="4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Subsidiary</w:t>
            </w:r>
          </w:p>
        </w:tc>
        <w:tc>
          <w:tcPr>
            <w:tcW w:w="960" w:type="dxa"/>
            <w:vAlign w:val="bottom"/>
            <w:tcBorders>
              <w:bottom w:val="single" w:sz="8" w:color="auto"/>
              <w:right w:val="single" w:sz="8" w:color="auto"/>
            </w:tcBorders>
          </w:tcPr>
          <w:p>
            <w:pPr>
              <w:spacing w:after="0"/>
              <w:rPr>
                <w:sz w:val="16"/>
                <w:szCs w:val="16"/>
                <w:color w:val="auto"/>
              </w:rPr>
            </w:pPr>
          </w:p>
        </w:tc>
        <w:tc>
          <w:tcPr>
            <w:tcW w:w="5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Jurisdiction of Incorporation or Organization</w:t>
            </w:r>
          </w:p>
        </w:tc>
      </w:tr>
      <w:tr>
        <w:trPr>
          <w:trHeight w:val="190"/>
        </w:trPr>
        <w:tc>
          <w:tcPr>
            <w:tcW w:w="4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Aadi Subsidiary, Inc.</w:t>
            </w:r>
          </w:p>
        </w:tc>
        <w:tc>
          <w:tcPr>
            <w:tcW w:w="960" w:type="dxa"/>
            <w:vAlign w:val="bottom"/>
            <w:tcBorders>
              <w:bottom w:val="single" w:sz="8" w:color="auto"/>
              <w:right w:val="single" w:sz="8" w:color="auto"/>
            </w:tcBorders>
          </w:tcPr>
          <w:p>
            <w:pPr>
              <w:spacing w:after="0"/>
              <w:rPr>
                <w:sz w:val="16"/>
                <w:szCs w:val="16"/>
                <w:color w:val="auto"/>
              </w:rPr>
            </w:pPr>
          </w:p>
        </w:tc>
        <w:tc>
          <w:tcPr>
            <w:tcW w:w="5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300"/>
          </w:cols>
          <w:pgMar w:left="300" w:top="312" w:right="29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4"/>
          <w:szCs w:val="14"/>
          <w:u w:val="single" w:color="auto"/>
          <w:color w:val="auto"/>
        </w:rPr>
        <w:t>Consent of Independent Registered Public Accounting Firm</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Aadi Bioscience, Inc.</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Pacific Palisades, California</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hereby consent to the incorporation by reference in the Registration Statements on Form S-3 (Nos. 333-268021, 333-259785, 333-255129, 333-223113, 333-217320 and 333-229087) and Form S-8 (Nos. 333-262639, 333-259787, 333-220057, 333-224189, 333-229089, 333-230114 and 333-237210) of Aadi Bioscience, Inc., of our report dated March 28, 2023, relating to the consolidated financial statements, which appears in this Annual Report on Form 10-K.</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BDO USA, LLP</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March 28, 2023</w:t>
      </w:r>
    </w:p>
    <w:p>
      <w:pPr>
        <w:sectPr>
          <w:pgSz w:w="11900" w:h="16838" w:orient="portrait"/>
          <w:cols w:equalWidth="0" w:num="1">
            <w:col w:w="11280"/>
          </w:cols>
          <w:pgMar w:left="300" w:top="1222" w:right="3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4"/>
          <w:szCs w:val="14"/>
          <w:b w:val="1"/>
          <w:bCs w:val="1"/>
          <w:color w:val="auto"/>
        </w:rPr>
        <w:t>Exhibit 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I, Scott Giacobello, certify that:</w:t>
      </w:r>
    </w:p>
    <w:p>
      <w:pPr>
        <w:spacing w:after="0" w:line="157" w:lineRule="exact"/>
        <w:rPr>
          <w:sz w:val="20"/>
          <w:szCs w:val="20"/>
          <w:color w:val="auto"/>
        </w:rPr>
      </w:pPr>
    </w:p>
    <w:p>
      <w:pPr>
        <w:ind w:left="520" w:hanging="515"/>
        <w:spacing w:after="0"/>
        <w:tabs>
          <w:tab w:leader="none" w:pos="5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Aadi Bioscience, Inc.;</w:t>
      </w:r>
    </w:p>
    <w:p>
      <w:pPr>
        <w:spacing w:after="0" w:line="167" w:lineRule="exact"/>
        <w:rPr>
          <w:rFonts w:ascii="Arial" w:cs="Arial" w:eastAsia="Arial" w:hAnsi="Arial"/>
          <w:sz w:val="14"/>
          <w:szCs w:val="14"/>
          <w:color w:val="auto"/>
        </w:rPr>
      </w:pPr>
    </w:p>
    <w:p>
      <w:pPr>
        <w:ind w:left="520" w:right="720" w:hanging="515"/>
        <w:spacing w:after="0" w:line="281" w:lineRule="auto"/>
        <w:tabs>
          <w:tab w:leader="none" w:pos="5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4"/>
          <w:szCs w:val="14"/>
          <w:color w:val="auto"/>
        </w:rPr>
      </w:pPr>
    </w:p>
    <w:p>
      <w:pPr>
        <w:ind w:left="520" w:right="200" w:hanging="515"/>
        <w:spacing w:after="0" w:line="281" w:lineRule="auto"/>
        <w:tabs>
          <w:tab w:leader="none" w:pos="5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4"/>
          <w:szCs w:val="14"/>
          <w:color w:val="auto"/>
        </w:rPr>
      </w:pPr>
    </w:p>
    <w:p>
      <w:pPr>
        <w:ind w:left="520" w:right="240" w:hanging="515"/>
        <w:spacing w:after="0" w:line="281" w:lineRule="auto"/>
        <w:tabs>
          <w:tab w:leader="none" w:pos="5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4"/>
          <w:szCs w:val="14"/>
          <w:color w:val="auto"/>
        </w:rPr>
      </w:pPr>
    </w:p>
    <w:p>
      <w:pPr>
        <w:jc w:val="both"/>
        <w:ind w:left="1020" w:right="360" w:hanging="506"/>
        <w:spacing w:after="0" w:line="267" w:lineRule="auto"/>
        <w:tabs>
          <w:tab w:leader="none" w:pos="1018" w:val="left"/>
        </w:tabs>
        <w:numPr>
          <w:ilvl w:val="1"/>
          <w:numId w:val="11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4"/>
          <w:szCs w:val="14"/>
          <w:color w:val="auto"/>
        </w:rPr>
      </w:pPr>
    </w:p>
    <w:p>
      <w:pPr>
        <w:jc w:val="both"/>
        <w:ind w:left="1020" w:right="580" w:hanging="506"/>
        <w:spacing w:after="0" w:line="267" w:lineRule="auto"/>
        <w:tabs>
          <w:tab w:leader="none" w:pos="1015" w:val="left"/>
        </w:tabs>
        <w:numPr>
          <w:ilvl w:val="1"/>
          <w:numId w:val="11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4"/>
          <w:szCs w:val="14"/>
          <w:color w:val="auto"/>
        </w:rPr>
      </w:pPr>
    </w:p>
    <w:p>
      <w:pPr>
        <w:ind w:left="1020" w:right="180" w:hanging="506"/>
        <w:spacing w:after="0" w:line="281" w:lineRule="auto"/>
        <w:tabs>
          <w:tab w:leader="none" w:pos="1018" w:val="left"/>
        </w:tabs>
        <w:numPr>
          <w:ilvl w:val="1"/>
          <w:numId w:val="11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4"/>
          <w:szCs w:val="14"/>
          <w:color w:val="auto"/>
        </w:rPr>
      </w:pPr>
    </w:p>
    <w:p>
      <w:pPr>
        <w:ind w:left="1020" w:right="200" w:hanging="506"/>
        <w:spacing w:after="0" w:line="368" w:lineRule="auto"/>
        <w:tabs>
          <w:tab w:leader="none" w:pos="1015" w:val="left"/>
        </w:tabs>
        <w:numPr>
          <w:ilvl w:val="1"/>
          <w:numId w:val="11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2"/>
          <w:szCs w:val="12"/>
          <w:color w:val="auto"/>
        </w:rPr>
      </w:pPr>
    </w:p>
    <w:p>
      <w:pPr>
        <w:ind w:left="520" w:right="400" w:hanging="515"/>
        <w:spacing w:after="0" w:line="281" w:lineRule="auto"/>
        <w:tabs>
          <w:tab w:leader="none" w:pos="5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4"/>
          <w:szCs w:val="14"/>
          <w:color w:val="auto"/>
        </w:rPr>
      </w:pPr>
    </w:p>
    <w:p>
      <w:pPr>
        <w:ind w:left="1020" w:right="520" w:hanging="506"/>
        <w:spacing w:after="0" w:line="281" w:lineRule="auto"/>
        <w:tabs>
          <w:tab w:leader="none" w:pos="1018" w:val="left"/>
        </w:tabs>
        <w:numPr>
          <w:ilvl w:val="1"/>
          <w:numId w:val="11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4"/>
          <w:szCs w:val="14"/>
          <w:color w:val="auto"/>
        </w:rPr>
      </w:pPr>
    </w:p>
    <w:p>
      <w:pPr>
        <w:ind w:left="1020" w:hanging="506"/>
        <w:spacing w:after="0"/>
        <w:tabs>
          <w:tab w:leader="none" w:pos="102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20"/>
        <w:spacing w:after="0"/>
        <w:tabs>
          <w:tab w:leader="none" w:pos="5960" w:val="left"/>
          <w:tab w:leader="none" w:pos="8280" w:val="left"/>
        </w:tabs>
        <w:rPr>
          <w:sz w:val="20"/>
          <w:szCs w:val="20"/>
          <w:color w:val="auto"/>
        </w:rPr>
      </w:pPr>
      <w:r>
        <w:rPr>
          <w:rFonts w:ascii="Arial" w:cs="Arial" w:eastAsia="Arial" w:hAnsi="Arial"/>
          <w:sz w:val="14"/>
          <w:szCs w:val="14"/>
          <w:color w:val="auto"/>
        </w:rPr>
        <w:t>Date: March 28,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12065</wp:posOffset>
            </wp:positionV>
            <wp:extent cx="308546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3085465" cy="6985"/>
                    </a:xfrm>
                    <a:prstGeom prst="rect">
                      <a:avLst/>
                    </a:prstGeom>
                    <a:noFill/>
                  </pic:spPr>
                </pic:pic>
              </a:graphicData>
            </a:graphic>
          </wp:anchor>
        </w:drawing>
      </w:r>
    </w:p>
    <w:p>
      <w:pPr>
        <w:spacing w:after="0" w:line="6"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Scott Giacobello</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auto"/>
        </w:rPr>
        <w:t>Interim Chief Executive Officer and President, and Chief Financial Officer</w:t>
      </w:r>
    </w:p>
    <w:p>
      <w:pPr>
        <w:ind w:left="7860"/>
        <w:spacing w:after="0" w:line="222" w:lineRule="auto"/>
        <w:rPr>
          <w:sz w:val="20"/>
          <w:szCs w:val="20"/>
          <w:color w:val="auto"/>
        </w:rPr>
      </w:pPr>
      <w:r>
        <w:rPr>
          <w:rFonts w:ascii="Arial" w:cs="Arial" w:eastAsia="Arial" w:hAnsi="Arial"/>
          <w:sz w:val="14"/>
          <w:szCs w:val="14"/>
          <w:b w:val="1"/>
          <w:bCs w:val="1"/>
          <w:color w:val="auto"/>
        </w:rPr>
        <w:t>(Principal Executive Officer and</w:t>
      </w:r>
    </w:p>
    <w:p>
      <w:pPr>
        <w:ind w:left="80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80"/>
          </w:cols>
          <w:pgMar w:left="300" w:top="931" w:right="3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4"/>
          <w:szCs w:val="14"/>
          <w:b w:val="1"/>
          <w:bCs w:val="1"/>
          <w:color w:val="auto"/>
        </w:rPr>
        <w:t>Exhibit 32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8" w:lineRule="exact"/>
        <w:rPr>
          <w:sz w:val="20"/>
          <w:szCs w:val="20"/>
          <w:color w:val="auto"/>
        </w:rPr>
      </w:pPr>
    </w:p>
    <w:p>
      <w:pPr>
        <w:ind w:right="620" w:firstLine="509"/>
        <w:spacing w:after="0" w:line="281" w:lineRule="auto"/>
        <w:rPr>
          <w:sz w:val="20"/>
          <w:szCs w:val="20"/>
          <w:color w:val="auto"/>
        </w:rPr>
      </w:pPr>
      <w:r>
        <w:rPr>
          <w:rFonts w:ascii="Arial" w:cs="Arial" w:eastAsia="Arial" w:hAnsi="Arial"/>
          <w:sz w:val="14"/>
          <w:szCs w:val="14"/>
          <w:color w:val="auto"/>
        </w:rPr>
        <w:t>In connection with the Annual Report of Aadi Bioscience,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132" w:lineRule="exact"/>
        <w:rPr>
          <w:sz w:val="20"/>
          <w:szCs w:val="20"/>
          <w:color w:val="auto"/>
        </w:rPr>
      </w:pPr>
    </w:p>
    <w:p>
      <w:pPr>
        <w:ind w:left="1020" w:hanging="506"/>
        <w:spacing w:after="0"/>
        <w:tabs>
          <w:tab w:leader="none" w:pos="10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1020" w:hanging="506"/>
        <w:spacing w:after="0"/>
        <w:tabs>
          <w:tab w:leader="none" w:pos="10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210" w:lineRule="exact"/>
        <w:rPr>
          <w:sz w:val="20"/>
          <w:szCs w:val="20"/>
          <w:color w:val="auto"/>
        </w:rPr>
      </w:pPr>
    </w:p>
    <w:p>
      <w:pPr>
        <w:ind w:left="20"/>
        <w:spacing w:after="0"/>
        <w:tabs>
          <w:tab w:leader="none" w:pos="5960" w:val="left"/>
          <w:tab w:leader="none" w:pos="8280" w:val="left"/>
        </w:tabs>
        <w:rPr>
          <w:sz w:val="20"/>
          <w:szCs w:val="20"/>
          <w:color w:val="auto"/>
        </w:rPr>
      </w:pPr>
      <w:r>
        <w:rPr>
          <w:rFonts w:ascii="Arial" w:cs="Arial" w:eastAsia="Arial" w:hAnsi="Arial"/>
          <w:sz w:val="14"/>
          <w:szCs w:val="14"/>
          <w:color w:val="auto"/>
        </w:rPr>
        <w:t>Date: March 28,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12065</wp:posOffset>
            </wp:positionV>
            <wp:extent cx="308546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3085465" cy="6985"/>
                    </a:xfrm>
                    <a:prstGeom prst="rect">
                      <a:avLst/>
                    </a:prstGeom>
                    <a:noFill/>
                  </pic:spPr>
                </pic:pic>
              </a:graphicData>
            </a:graphic>
          </wp:anchor>
        </w:drawing>
      </w:r>
    </w:p>
    <w:p>
      <w:pPr>
        <w:spacing w:after="0" w:line="6"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Scott Giacobello</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auto"/>
        </w:rPr>
        <w:t>Interim Chief Executive Officer and President, and Chief Financial Officer</w:t>
      </w:r>
    </w:p>
    <w:p>
      <w:pPr>
        <w:ind w:left="7860"/>
        <w:spacing w:after="0" w:line="222" w:lineRule="auto"/>
        <w:rPr>
          <w:sz w:val="20"/>
          <w:szCs w:val="20"/>
          <w:color w:val="auto"/>
        </w:rPr>
      </w:pPr>
      <w:r>
        <w:rPr>
          <w:rFonts w:ascii="Arial" w:cs="Arial" w:eastAsia="Arial" w:hAnsi="Arial"/>
          <w:sz w:val="14"/>
          <w:szCs w:val="14"/>
          <w:b w:val="1"/>
          <w:bCs w:val="1"/>
          <w:color w:val="auto"/>
        </w:rPr>
        <w:t>(Principal Executive Officer and</w:t>
      </w:r>
    </w:p>
    <w:p>
      <w:pPr>
        <w:ind w:left="80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80"/>
      </w:cols>
      <w:pgMar w:left="300" w:top="9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x"/>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1"/>
    </w:lvl>
    <w:lvl w:ilvl="1">
      <w:lvlJc w:val="left"/>
      <w:lvlText w:val="(%2)"/>
      <w:numFmt w:val="decimal"/>
      <w:start w:val="1"/>
    </w:lvl>
  </w:abstractNum>
  <w:abstractNum w:abstractNumId="62">
    <w:nsid w:val="76272110"/>
    <w:multiLevelType w:val="hybridMultilevel"/>
    <w:lvl w:ilvl="0">
      <w:lvlJc w:val="left"/>
      <w:lvlText w:val="%1."/>
      <w:numFmt w:val="decimal"/>
      <w:start w:val="6"/>
    </w:lvl>
    <w:lvl w:ilvl="1">
      <w:lvlJc w:val="left"/>
      <w:lvlText w:val="%2"/>
      <w:numFmt w:val="decimal"/>
      <w:start w:val="1"/>
    </w:lvl>
  </w:abstractNum>
  <w:abstractNum w:abstractNumId="63">
    <w:nsid w:val="4C04A8AF"/>
    <w:multiLevelType w:val="hybridMultilevel"/>
    <w:lvl w:ilvl="0">
      <w:lvlJc w:val="left"/>
      <w:lvlText w:val="%1."/>
      <w:numFmt w:val="decimal"/>
      <w:start w:val="9"/>
    </w:lvl>
  </w:abstractNum>
  <w:abstractNum w:abstractNumId="64">
    <w:nsid w:val="1716703B"/>
    <w:multiLevelType w:val="hybridMultilevel"/>
    <w:lvl w:ilvl="0">
      <w:lvlJc w:val="left"/>
      <w:lvlText w:val="%1."/>
      <w:numFmt w:val="decimal"/>
      <w:start w:val="1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1."/>
      <w:numFmt w:val="decimal"/>
      <w:start w:val="1"/>
    </w:lvl>
    <w:lvl w:ilvl="1">
      <w:lvlJc w:val="left"/>
      <w:lvlText w:val="(%2)"/>
      <w:numFmt w:val="lowerLetter"/>
      <w:start w:val="1"/>
    </w:lvl>
  </w:abstractNum>
  <w:abstractNum w:abstractNumId="69">
    <w:nsid w:val="2DF6D64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0">
    <w:nsid w:val="46B7D4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1">
    <w:nsid w:val="4A2AC3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72">
    <w:nsid w:val="39EE015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73">
    <w:nsid w:val="57FC4FB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4">
    <w:nsid w:val="CC1016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75">
    <w:nsid w:val="43F1842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76">
    <w:nsid w:val="60EF0119"/>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4"/>
    </w:lvl>
    <w:lvl w:ilvl="3">
      <w:lvlJc w:val="left"/>
      <w:lvlText w:val="%4"/>
      <w:numFmt w:val="lowerRoman"/>
      <w:start w:val="1"/>
    </w:lvl>
  </w:abstractNum>
  <w:abstractNum w:abstractNumId="77">
    <w:nsid w:val="26F324B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8">
    <w:nsid w:val="7F0157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9">
    <w:nsid w:val="49DA307D"/>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3"/>
    </w:lvl>
    <w:lvl w:ilvl="3">
      <w:lvlJc w:val="left"/>
      <w:lvlText w:val="(%4)"/>
      <w:numFmt w:val="lowerRoman"/>
      <w:start w:val="5"/>
    </w:lvl>
  </w:abstractNum>
  <w:abstractNum w:abstractNumId="80">
    <w:nsid w:val="7055A5F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1">
    <w:nsid w:val="5FB837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2">
    <w:nsid w:val="50801E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3">
    <w:nsid w:val="488AC1A"/>
    <w:multiLevelType w:val="hybridMultilevel"/>
    <w:lvl w:ilvl="0">
      <w:lvlJc w:val="left"/>
      <w:lvlText w:val="(%1)"/>
      <w:numFmt w:val="lowerLetter"/>
      <w:start w:val="3"/>
    </w:lvl>
  </w:abstractNum>
  <w:abstractNum w:abstractNumId="84">
    <w:nsid w:val="5FB8011C"/>
    <w:multiLevelType w:val="hybridMultilevel"/>
    <w:lvl w:ilvl="0">
      <w:lvlJc w:val="left"/>
      <w:lvlText w:val="%1"/>
      <w:numFmt w:val="decimal"/>
      <w:start w:val="1"/>
    </w:lvl>
    <w:lvl w:ilvl="1">
      <w:lvlJc w:val="left"/>
      <w:lvlText w:val="(%2)"/>
      <w:numFmt w:val="lowerLetter"/>
      <w:start w:val="5"/>
    </w:lvl>
  </w:abstractNum>
  <w:abstractNum w:abstractNumId="85">
    <w:nsid w:val="6AA78F7F"/>
    <w:multiLevelType w:val="hybridMultilevel"/>
    <w:lvl w:ilvl="0">
      <w:lvlJc w:val="left"/>
      <w:lvlText w:val="%1."/>
      <w:numFmt w:val="decimal"/>
      <w:start w:val="10"/>
    </w:lvl>
    <w:lvl w:ilvl="1">
      <w:lvlJc w:val="left"/>
      <w:lvlText w:val="(%2)"/>
      <w:numFmt w:val="lowerLetter"/>
      <w:start w:val="1"/>
    </w:lvl>
  </w:abstractNum>
  <w:abstractNum w:abstractNumId="86">
    <w:nsid w:val="7672BD23"/>
    <w:multiLevelType w:val="hybridMultilevel"/>
    <w:lvl w:ilvl="0">
      <w:lvlJc w:val="left"/>
      <w:lvlText w:val="%1"/>
      <w:numFmt w:val="lowerRoman"/>
      <w:start w:val="1"/>
    </w:lvl>
    <w:lvl w:ilvl="1">
      <w:lvlJc w:val="left"/>
      <w:lvlText w:val="%2."/>
      <w:numFmt w:val="decimal"/>
      <w:start w:val="11"/>
    </w:lvl>
  </w:abstractNum>
  <w:abstractNum w:abstractNumId="87">
    <w:nsid w:val="6FC75AF8"/>
    <w:multiLevelType w:val="hybridMultilevel"/>
    <w:lvl w:ilvl="0">
      <w:lvlJc w:val="left"/>
      <w:lvlText w:val="(%1)"/>
      <w:numFmt w:val="lowerRoman"/>
      <w:start w:val="2"/>
    </w:lvl>
    <w:lvl w:ilvl="1">
      <w:lvlJc w:val="left"/>
      <w:lvlText w:val="%2"/>
      <w:numFmt w:val="decimal"/>
      <w:start w:val="1"/>
    </w:lvl>
  </w:abstractNum>
  <w:abstractNum w:abstractNumId="88">
    <w:nsid w:val="6A5F7029"/>
    <w:multiLevelType w:val="hybridMultilevel"/>
    <w:lvl w:ilvl="0">
      <w:lvlJc w:val="left"/>
      <w:lvlText w:val="%1."/>
      <w:numFmt w:val="decimal"/>
      <w:start w:val="16"/>
    </w:lvl>
  </w:abstractNum>
  <w:abstractNum w:abstractNumId="89">
    <w:nsid w:val="7D5E18F8"/>
    <w:multiLevelType w:val="hybridMultilevel"/>
    <w:lvl w:ilvl="0">
      <w:lvlJc w:val="left"/>
      <w:lvlText w:val="%1."/>
      <w:numFmt w:val="decimal"/>
      <w:start w:val="20"/>
    </w:lvl>
  </w:abstractNum>
  <w:abstractNum w:abstractNumId="90">
    <w:nsid w:val="5F3534A4"/>
    <w:multiLevelType w:val="hybridMultilevel"/>
    <w:lvl w:ilvl="0">
      <w:lvlJc w:val="left"/>
      <w:lvlText w:val="%1."/>
      <w:numFmt w:val="decimal"/>
      <w:start w:val="1"/>
    </w:lvl>
    <w:lvl w:ilvl="1">
      <w:lvlJc w:val="left"/>
      <w:lvlText w:val="(%2)"/>
      <w:numFmt w:val="lowerLetter"/>
      <w:start w:val="1"/>
    </w:lvl>
  </w:abstractNum>
  <w:abstractNum w:abstractNumId="91">
    <w:nsid w:val="73A1821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2">
    <w:nsid w:val="7DE6771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3">
    <w:nsid w:val="555C55B5"/>
    <w:multiLevelType w:val="hybridMultilevel"/>
    <w:lvl w:ilvl="0">
      <w:lvlJc w:val="left"/>
      <w:lvlText w:val="(%1)"/>
      <w:numFmt w:val="decimal"/>
      <w:start w:val="60"/>
    </w:lvl>
    <w:lvl w:ilvl="1">
      <w:lvlJc w:val="left"/>
      <w:lvlText w:val="(%2)"/>
      <w:numFmt w:val="lowerLetter"/>
      <w:start w:val="2"/>
    </w:lvl>
    <w:lvl w:ilvl="2">
      <w:lvlJc w:val="left"/>
      <w:lvlText w:val="(%3)"/>
      <w:numFmt w:val="lowerRoman"/>
      <w:start w:val="1"/>
    </w:lvl>
  </w:abstractNum>
  <w:abstractNum w:abstractNumId="94">
    <w:nsid w:val="3FA62ACA"/>
    <w:multiLevelType w:val="hybridMultilevel"/>
    <w:lvl w:ilvl="0">
      <w:lvlJc w:val="left"/>
      <w:lvlText w:val="(%1)"/>
      <w:numFmt w:val="lowerRoman"/>
      <w:start w:val="4"/>
    </w:lvl>
    <w:lvl w:ilvl="1">
      <w:lvlJc w:val="left"/>
      <w:lvlText w:val="%2."/>
      <w:numFmt w:val="decimal"/>
      <w:start w:val="6"/>
    </w:lvl>
    <w:lvl w:ilvl="2">
      <w:lvlJc w:val="left"/>
      <w:lvlText w:val="(%3)"/>
      <w:numFmt w:val="lowerLetter"/>
      <w:start w:val="5"/>
    </w:lvl>
    <w:lvl w:ilvl="3">
      <w:lvlJc w:val="left"/>
      <w:lvlText w:val="%4"/>
      <w:numFmt w:val="lowerRoman"/>
      <w:start w:val="1"/>
    </w:lvl>
  </w:abstractNum>
  <w:abstractNum w:abstractNumId="95">
    <w:nsid w:val="14FCE74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6">
    <w:nsid w:val="6A3DD3E8"/>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97">
    <w:nsid w:val="71C91298"/>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98">
    <w:nsid w:val="9DAF632"/>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99">
    <w:nsid w:val="53299938"/>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0">
    <w:nsid w:val="1FBFE8E0"/>
    <w:multiLevelType w:val="hybridMultilevel"/>
    <w:lvl w:ilvl="0">
      <w:lvlJc w:val="left"/>
      <w:lvlText w:val="(%1)"/>
      <w:numFmt w:val="lowerLetter"/>
      <w:start w:val="35"/>
    </w:lvl>
    <w:lvl w:ilvl="1">
      <w:lvlJc w:val="left"/>
      <w:lvlText w:val="(%2)"/>
      <w:numFmt w:val="lowerLetter"/>
      <w:start w:val="3"/>
    </w:lvl>
  </w:abstractNum>
  <w:abstractNum w:abstractNumId="101">
    <w:nsid w:val="5092CA79"/>
    <w:multiLevelType w:val="hybridMultilevel"/>
    <w:lvl w:ilvl="0">
      <w:lvlJc w:val="left"/>
      <w:lvlText w:val="%1."/>
      <w:numFmt w:val="decimal"/>
      <w:start w:val="9"/>
    </w:lvl>
    <w:lvl w:ilvl="1">
      <w:lvlJc w:val="left"/>
      <w:lvlText w:val="(%2)"/>
      <w:numFmt w:val="lowerLetter"/>
      <w:start w:val="1"/>
    </w:lvl>
  </w:abstractNum>
  <w:abstractNum w:abstractNumId="102">
    <w:nsid w:val="1D545C4D"/>
    <w:multiLevelType w:val="hybridMultilevel"/>
    <w:lvl w:ilvl="0">
      <w:lvlJc w:val="left"/>
      <w:lvlText w:val="%1"/>
      <w:numFmt w:val="lowerRoman"/>
      <w:start w:val="1"/>
    </w:lvl>
    <w:lvl w:ilvl="1">
      <w:lvlJc w:val="left"/>
      <w:lvlText w:val="%2."/>
      <w:numFmt w:val="decimal"/>
      <w:start w:val="10"/>
    </w:lvl>
  </w:abstractNum>
  <w:abstractNum w:abstractNumId="103">
    <w:nsid w:val="59ADEA3D"/>
    <w:multiLevelType w:val="hybridMultilevel"/>
    <w:lvl w:ilvl="0">
      <w:lvlJc w:val="left"/>
      <w:lvlText w:val="(%1)"/>
      <w:numFmt w:val="lowerRoman"/>
      <w:start w:val="2"/>
    </w:lvl>
    <w:lvl w:ilvl="1">
      <w:lvlJc w:val="left"/>
      <w:lvlText w:val="%2"/>
      <w:numFmt w:val="decimal"/>
      <w:start w:val="1"/>
    </w:lvl>
  </w:abstractNum>
  <w:abstractNum w:abstractNumId="104">
    <w:nsid w:val="288F1A34"/>
    <w:multiLevelType w:val="hybridMultilevel"/>
    <w:lvl w:ilvl="0">
      <w:lvlJc w:val="left"/>
      <w:lvlText w:val="%1."/>
      <w:numFmt w:val="decimal"/>
      <w:start w:val="14"/>
    </w:lvl>
  </w:abstractNum>
  <w:abstractNum w:abstractNumId="105">
    <w:nsid w:val="2A155DBC"/>
    <w:multiLevelType w:val="hybridMultilevel"/>
    <w:lvl w:ilvl="0">
      <w:lvlJc w:val="left"/>
      <w:lvlText w:val="%1."/>
      <w:numFmt w:val="decimal"/>
      <w:start w:val="1"/>
    </w:lvl>
  </w:abstractNum>
  <w:abstractNum w:abstractNumId="106">
    <w:nsid w:val="1D9F6E5F"/>
    <w:multiLevelType w:val="hybridMultilevel"/>
    <w:lvl w:ilvl="0">
      <w:lvlJc w:val="left"/>
      <w:lvlText w:val="%1)"/>
      <w:numFmt w:val="decimal"/>
      <w:start w:val="31"/>
    </w:lvl>
  </w:abstractNum>
  <w:abstractNum w:abstractNumId="107">
    <w:nsid w:val="97E1B4E"/>
    <w:multiLevelType w:val="hybridMultilevel"/>
    <w:lvl w:ilvl="0">
      <w:lvlJc w:val="left"/>
      <w:lvlText w:val="%1."/>
      <w:numFmt w:val="decimal"/>
      <w:start w:val="2"/>
    </w:lvl>
  </w:abstractNum>
  <w:abstractNum w:abstractNumId="108">
    <w:nsid w:val="51088277"/>
    <w:multiLevelType w:val="hybridMultilevel"/>
    <w:lvl w:ilvl="0">
      <w:lvlJc w:val="left"/>
      <w:lvlText w:val="%1."/>
      <w:numFmt w:val="decimal"/>
      <w:start w:val="3"/>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20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190" Type="http://schemas.openxmlformats.org/officeDocument/2006/relationships/hyperlink" Target="http://www.sec.gov/Archives/edgar/data/0001422142/000119312521162770/d120588dex21.htm" TargetMode="External"/><Relationship Id="rId191" Type="http://schemas.openxmlformats.org/officeDocument/2006/relationships/hyperlink" Target="http://www.sec.gov/Archives/edgar/data/1422142/000119312521257910/d119681dex31.htm" TargetMode="External"/><Relationship Id="rId192" Type="http://schemas.openxmlformats.org/officeDocument/2006/relationships/hyperlink" Target="http://www.sec.gov/Archives/edgar/data/1422142/000119312521257910/d119681dex32.htm" TargetMode="External"/><Relationship Id="rId193" Type="http://schemas.openxmlformats.org/officeDocument/2006/relationships/hyperlink" Target="https://www.sec.gov/Archives/edgar/data/1422142/000119312522249235/d367672dex41.htm" TargetMode="External"/><Relationship Id="rId194" Type="http://schemas.openxmlformats.org/officeDocument/2006/relationships/hyperlink" Target="https://www.sec.gov/Archives/edgar/data/1422142/000119312522249235/d367672dex101.htm" TargetMode="External"/><Relationship Id="rId195" Type="http://schemas.openxmlformats.org/officeDocument/2006/relationships/hyperlink" Target="https://www.sec.gov/Archives/edgar/data/1422142/000119312522249235/d367672dex102.htm" TargetMode="External"/><Relationship Id="rId196" Type="http://schemas.openxmlformats.org/officeDocument/2006/relationships/hyperlink" Target="http://www.sec.gov/Archives/edgar/data/1422142/000119312521257910/d119681dex103.htm" TargetMode="External"/><Relationship Id="rId197" Type="http://schemas.openxmlformats.org/officeDocument/2006/relationships/hyperlink" Target="https://www.sec.gov/Archives/edgar/data/1422142/000156459022010721/aadi-ex105_377.htm" TargetMode="External"/><Relationship Id="rId198" Type="http://schemas.openxmlformats.org/officeDocument/2006/relationships/hyperlink" Target="http://www.sec.gov/Archives/edgar/data/1422142/000119312521257910/d119681dex106.htm" TargetMode="External"/><Relationship Id="rId199" Type="http://schemas.openxmlformats.org/officeDocument/2006/relationships/hyperlink" Target="http://www.sec.gov/Archives/edgar/data/1422142/000119312521257910/d119681dex107.htm" TargetMode="External"/><Relationship Id="rId200" Type="http://schemas.openxmlformats.org/officeDocument/2006/relationships/hyperlink" Target="http://www.sec.gov/Archives/edgar/data/1422142/000119312521257910/d119681dex108.htm" TargetMode="External"/><Relationship Id="rId202" Type="http://schemas.openxmlformats.org/officeDocument/2006/relationships/hyperlink" Target="http://www.sec.gov/Archives/edgar/data/1422142/000119312521257910/d119681dex109.htm" TargetMode="External"/><Relationship Id="rId203" Type="http://schemas.openxmlformats.org/officeDocument/2006/relationships/hyperlink" Target="http://www.sec.gov/Archives/edgar/data/1422142/000119312521257910/d119681dex1010.htm" TargetMode="External"/><Relationship Id="rId204" Type="http://schemas.openxmlformats.org/officeDocument/2006/relationships/hyperlink" Target="http://www.sec.gov/Archives/edgar/data/1422142/000119312521257910/d119681dex1011.htm" TargetMode="External"/><Relationship Id="rId205" Type="http://schemas.openxmlformats.org/officeDocument/2006/relationships/hyperlink" Target="http://www.sec.gov/Archives/edgar/data/1422142/000156459021055958/aadi-ex1013_331.htm" TargetMode="External"/><Relationship Id="rId206" Type="http://schemas.openxmlformats.org/officeDocument/2006/relationships/hyperlink" Target="http://www.sec.gov/Archives/edgar/data/1422142/000156459021055958/aadi-ex1014_329.htm" TargetMode="External"/><Relationship Id="rId207" Type="http://schemas.openxmlformats.org/officeDocument/2006/relationships/hyperlink" Target="http://www.sec.gov/Archives/edgar/data/1422142/000156459021055958/aadi-ex1015_224.htm" TargetMode="External"/><Relationship Id="rId208" Type="http://schemas.openxmlformats.org/officeDocument/2006/relationships/hyperlink" Target="http://www.sec.gov/Archives/edgar/data/1422142/000156459021055958/aadi-ex1017_330.htm" TargetMode="External"/><Relationship Id="rId209" Type="http://schemas.openxmlformats.org/officeDocument/2006/relationships/hyperlink" Target="http://www.sec.gov/Archives/edgar/data/1422142/000156459018005868/arpo-ex1015_878.htm" TargetMode="External"/><Relationship Id="rId210" Type="http://schemas.openxmlformats.org/officeDocument/2006/relationships/hyperlink" Target="https://www.sec.gov/Archives/edgar/data/1422142/000119312521276826/d234049dex101.htm" TargetMode="External"/><Relationship Id="rId211" Type="http://schemas.openxmlformats.org/officeDocument/2006/relationships/hyperlink" Target="https://www.sec.gov/Archives/edgar/data/1422142/000119312521257910/d11968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2023-03-29T05:27:09Z</dcterms:created>
  <dcterms:modified xsi:type="dcterms:W3CDTF">2023-03-29T05:27:09Z</dcterms:modified>
</cp:coreProperties>
</file>