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80645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4360" w:right="3800" w:hanging="4352"/>
        <w:spacing w:after="0" w:line="330" w:lineRule="auto"/>
        <w:tabs>
          <w:tab w:leader="none" w:pos="60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2017</w:t>
      </w:r>
    </w:p>
    <w:p>
      <w:pPr>
        <w:ind w:left="560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600" w:right="800" w:hanging="592"/>
        <w:spacing w:after="0" w:line="249" w:lineRule="auto"/>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000-53057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66675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Aerpio Pharmaceuticals,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74930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8"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7680" w:type="dxa"/>
            <w:vAlign w:val="bottom"/>
          </w:tcPr>
          <w:p>
            <w:pPr>
              <w:jc w:val="center"/>
              <w:ind w:right="2308"/>
              <w:spacing w:after="0"/>
              <w:rPr>
                <w:sz w:val="20"/>
                <w:szCs w:val="20"/>
                <w:color w:val="auto"/>
              </w:rPr>
            </w:pPr>
            <w:r>
              <w:rPr>
                <w:rFonts w:ascii="Arial" w:cs="Arial" w:eastAsia="Arial" w:hAnsi="Arial"/>
                <w:sz w:val="14"/>
                <w:szCs w:val="14"/>
                <w:b w:val="1"/>
                <w:bCs w:val="1"/>
                <w:color w:val="auto"/>
                <w:w w:val="94"/>
              </w:rPr>
              <w:t>Delaware</w:t>
            </w:r>
          </w:p>
        </w:tc>
        <w:tc>
          <w:tcPr>
            <w:tcW w:w="124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EIN 61-1547850</w:t>
            </w:r>
          </w:p>
        </w:tc>
        <w:tc>
          <w:tcPr>
            <w:tcW w:w="0" w:type="dxa"/>
            <w:vAlign w:val="bottom"/>
          </w:tcPr>
          <w:p>
            <w:pPr>
              <w:spacing w:after="0"/>
              <w:rPr>
                <w:sz w:val="1"/>
                <w:szCs w:val="1"/>
                <w:color w:val="auto"/>
              </w:rPr>
            </w:pPr>
          </w:p>
        </w:tc>
      </w:tr>
      <w:tr>
        <w:trPr>
          <w:trHeight w:val="149"/>
        </w:trPr>
        <w:tc>
          <w:tcPr>
            <w:tcW w:w="7680" w:type="dxa"/>
            <w:vAlign w:val="bottom"/>
          </w:tcPr>
          <w:p>
            <w:pPr>
              <w:ind w:left="1900"/>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12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9"/>
        </w:trPr>
        <w:tc>
          <w:tcPr>
            <w:tcW w:w="7680" w:type="dxa"/>
            <w:vAlign w:val="bottom"/>
          </w:tcPr>
          <w:p>
            <w:pPr>
              <w:jc w:val="center"/>
              <w:ind w:right="2308"/>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Arial" w:cs="Arial" w:eastAsia="Arial" w:hAnsi="Arial"/>
                <w:sz w:val="14"/>
                <w:szCs w:val="14"/>
                <w:b w:val="1"/>
                <w:bCs w:val="1"/>
                <w:color w:val="auto"/>
              </w:rPr>
              <w:t>organization)</w:t>
            </w:r>
          </w:p>
        </w:tc>
        <w:tc>
          <w:tcPr>
            <w:tcW w:w="12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49"/>
        </w:trPr>
        <w:tc>
          <w:tcPr>
            <w:tcW w:w="7680" w:type="dxa"/>
            <w:vAlign w:val="bottom"/>
          </w:tcPr>
          <w:p>
            <w:pPr>
              <w:jc w:val="center"/>
              <w:ind w:right="2308"/>
              <w:spacing w:after="0" w:line="149" w:lineRule="exact"/>
              <w:rPr>
                <w:sz w:val="20"/>
                <w:szCs w:val="20"/>
                <w:color w:val="auto"/>
              </w:rPr>
            </w:pPr>
            <w:r>
              <w:rPr>
                <w:rFonts w:ascii="Arial" w:cs="Arial" w:eastAsia="Arial" w:hAnsi="Arial"/>
                <w:sz w:val="14"/>
                <w:szCs w:val="14"/>
                <w:b w:val="1"/>
                <w:bCs w:val="1"/>
                <w:color w:val="auto"/>
                <w:w w:val="97"/>
              </w:rPr>
              <w:t>9987 Carver Road, Cincinnati, OH</w:t>
            </w:r>
          </w:p>
        </w:tc>
        <w:tc>
          <w:tcPr>
            <w:tcW w:w="12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45242</w:t>
            </w:r>
          </w:p>
        </w:tc>
        <w:tc>
          <w:tcPr>
            <w:tcW w:w="0" w:type="dxa"/>
            <w:vAlign w:val="bottom"/>
          </w:tcPr>
          <w:p>
            <w:pPr>
              <w:spacing w:after="0"/>
              <w:rPr>
                <w:sz w:val="1"/>
                <w:szCs w:val="1"/>
                <w:color w:val="auto"/>
              </w:rPr>
            </w:pPr>
          </w:p>
        </w:tc>
      </w:tr>
      <w:tr>
        <w:trPr>
          <w:trHeight w:val="186"/>
        </w:trPr>
        <w:tc>
          <w:tcPr>
            <w:tcW w:w="7680" w:type="dxa"/>
            <w:vAlign w:val="bottom"/>
          </w:tcPr>
          <w:p>
            <w:pPr>
              <w:jc w:val="center"/>
              <w:ind w:right="23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6"/>
        </w:trPr>
        <w:tc>
          <w:tcPr>
            <w:tcW w:w="7680" w:type="dxa"/>
            <w:vAlign w:val="bottom"/>
          </w:tcPr>
          <w:p>
            <w:pPr>
              <w:ind w:left="3420"/>
              <w:spacing w:after="0"/>
              <w:rPr>
                <w:sz w:val="20"/>
                <w:szCs w:val="20"/>
                <w:color w:val="auto"/>
              </w:rPr>
            </w:pPr>
            <w:r>
              <w:rPr>
                <w:rFonts w:ascii="Arial" w:cs="Arial" w:eastAsia="Arial" w:hAnsi="Arial"/>
                <w:sz w:val="14"/>
                <w:szCs w:val="14"/>
                <w:b w:val="1"/>
                <w:bCs w:val="1"/>
                <w:color w:val="auto"/>
                <w:w w:val="94"/>
              </w:rPr>
              <w:t>Registrant’s telephone number, including area code: (513) 985-1920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59055</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35" w:lineRule="exact"/>
        <w:rPr>
          <w:sz w:val="24"/>
          <w:szCs w:val="24"/>
          <w:color w:val="auto"/>
        </w:rPr>
      </w:pPr>
    </w:p>
    <w:p>
      <w:pPr>
        <w:ind w:right="180"/>
        <w:spacing w:after="0" w:line="253" w:lineRule="auto"/>
        <w:rPr>
          <w:sz w:val="20"/>
          <w:szCs w:val="20"/>
          <w:color w:val="auto"/>
        </w:rPr>
      </w:pPr>
      <w:r>
        <w:rPr>
          <w:rFonts w:ascii="Arial" w:cs="Arial" w:eastAsia="Arial" w:hAnsi="Arial"/>
          <w:sz w:val="14"/>
          <w:szCs w:val="14"/>
          <w:color w:val="auto"/>
        </w:rPr>
        <w:t>Securities registered pursuant to Section 12(b) of the Act: Common Stock, Par Value $0.0001 Per Share; Common stock traded on the over-the-counter market middle tier group, or OTCQB stock market.</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59" w:lineRule="exact"/>
        <w:rPr>
          <w:sz w:val="24"/>
          <w:szCs w:val="24"/>
          <w:color w:val="auto"/>
        </w:rPr>
      </w:pPr>
    </w:p>
    <w:p>
      <w:pPr>
        <w:ind w:right="3720"/>
        <w:spacing w:after="0" w:line="23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8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19"/>
                <w:szCs w:val="19"/>
                <w:color w:val="auto"/>
              </w:rPr>
            </w:pPr>
          </w:p>
        </w:tc>
        <w:tc>
          <w:tcPr>
            <w:tcW w:w="2960" w:type="dxa"/>
            <w:vAlign w:val="bottom"/>
          </w:tcPr>
          <w:p>
            <w:pPr>
              <w:ind w:left="1660"/>
              <w:spacing w:after="0"/>
              <w:rPr>
                <w:sz w:val="20"/>
                <w:szCs w:val="20"/>
                <w:color w:val="auto"/>
              </w:rPr>
            </w:pPr>
            <w:r>
              <w:rPr>
                <w:rFonts w:ascii="Arial" w:cs="Arial" w:eastAsia="Arial" w:hAnsi="Arial"/>
                <w:sz w:val="14"/>
                <w:szCs w:val="14"/>
                <w:color w:val="auto"/>
              </w:rPr>
              <w:t>Accelerated filer</w:t>
            </w:r>
          </w:p>
        </w:tc>
        <w:tc>
          <w:tcPr>
            <w:tcW w:w="46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246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00"/>
              <w:spacing w:after="0"/>
              <w:rPr>
                <w:sz w:val="20"/>
                <w:szCs w:val="20"/>
                <w:color w:val="auto"/>
              </w:rPr>
            </w:pPr>
            <w:r>
              <w:rPr>
                <w:rFonts w:ascii="Arial" w:cs="Arial" w:eastAsia="Arial" w:hAnsi="Arial"/>
                <w:sz w:val="14"/>
                <w:szCs w:val="14"/>
                <w:color w:val="auto"/>
              </w:rPr>
              <w:t>(Do not check if a smaller reporting company)</w:t>
            </w:r>
          </w:p>
        </w:tc>
        <w:tc>
          <w:tcPr>
            <w:tcW w:w="3420" w:type="dxa"/>
            <w:vAlign w:val="bottom"/>
            <w:gridSpan w:val="2"/>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57"/>
        </w:trPr>
        <w:tc>
          <w:tcPr>
            <w:tcW w:w="24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540" w:type="dxa"/>
            <w:vAlign w:val="bottom"/>
            <w:gridSpan w:val="2"/>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45"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right="100"/>
        <w:spacing w:after="0" w:line="231" w:lineRule="auto"/>
        <w:rPr>
          <w:sz w:val="20"/>
          <w:szCs w:val="20"/>
          <w:color w:val="auto"/>
        </w:rPr>
      </w:pPr>
      <w:r>
        <w:rPr>
          <w:rFonts w:ascii="Arial" w:cs="Arial" w:eastAsia="Arial" w:hAnsi="Arial"/>
          <w:sz w:val="14"/>
          <w:szCs w:val="14"/>
          <w:color w:val="auto"/>
        </w:rPr>
        <w:t>The registrant’s common stock began trading on the OTCQB on August 8, 2017. As of March 8, 2018, the aggregate market value of the registrant’s voting and non-voting common stock held by non-affiliates (without admitting that any person whose shares are not included in such calculation is an affiliate) computed by reference to the price at which the common stock was last sold on March 8, 2018 was approximately $77,257,985. The registrant has provided this information as of March 8, 2018 because the registrant’s stock was not trading on a national securities exchange as of the last business day of its most recently completed second fiscal quarter and therefore cannot calculate the aggregate market value of its voting and non-voting equity held by non-affiliates as of such date.</w:t>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As of March 8, 2018, there were 27,140,969 shares of common stock, $0.0001 par value per share, outstanding.</w:t>
      </w:r>
    </w:p>
    <w:p>
      <w:pPr>
        <w:spacing w:after="0" w:line="136"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are incorporated by reference into Part III of this Report. Such Proxy Statement will be filed with the Securities and Exchange Commission within 120 days of the Registrant's fiscal year ended December 31, 2017.</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80" w:type="dxa"/>
            <w:vAlign w:val="bottom"/>
            <w:gridSpan w:val="10"/>
          </w:tcPr>
          <w:p>
            <w:pPr>
              <w:ind w:left="9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85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Unresolved Staff Comments</w:t>
              </w:r>
            </w:hyperlink>
          </w:p>
        </w:tc>
        <w:tc>
          <w:tcPr>
            <w:tcW w:w="740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Properties</w:t>
              </w:r>
            </w:hyperlink>
          </w:p>
        </w:tc>
        <w:tc>
          <w:tcPr>
            <w:tcW w:w="872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line="190" w:lineRule="exact"/>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4"/>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4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Financial Statements and Supplementary Data</w:t>
              </w:r>
            </w:hyperlink>
          </w:p>
        </w:tc>
        <w:tc>
          <w:tcPr>
            <w:tcW w:w="20" w:type="dxa"/>
            <w:vAlign w:val="bottom"/>
            <w:tcBorders>
              <w:top w:val="single" w:sz="8" w:color="0000EE"/>
            </w:tcBorders>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460" w:type="dxa"/>
            <w:vAlign w:val="bottom"/>
            <w:gridSpan w:val="2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0"/>
          </w:tcPr>
          <w:p>
            <w:pPr>
              <w:spacing w:after="0"/>
              <w:rPr>
                <w:sz w:val="18"/>
                <w:szCs w:val="18"/>
                <w:color w:val="auto"/>
              </w:rPr>
            </w:pPr>
          </w:p>
        </w:tc>
        <w:tc>
          <w:tcPr>
            <w:tcW w:w="29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line="190" w:lineRule="exact"/>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36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6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line="190" w:lineRule="exact"/>
              <w:rPr>
                <w:rFonts w:ascii="Arial" w:cs="Arial" w:eastAsia="Arial" w:hAnsi="Arial"/>
                <w:sz w:val="18"/>
                <w:szCs w:val="18"/>
                <w:color w:val="0000EE"/>
              </w:rPr>
            </w:pPr>
            <w:hyperlink w:anchor="page102">
              <w:r>
                <w:rPr>
                  <w:rFonts w:ascii="Arial" w:cs="Arial" w:eastAsia="Arial" w:hAnsi="Arial"/>
                  <w:sz w:val="18"/>
                  <w:szCs w:val="18"/>
                  <w:color w:val="0000EE"/>
                </w:rPr>
                <w:t>Exhibits, Consolidated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Form of 10-K Summary</w:t>
              </w:r>
            </w:hyperlink>
          </w:p>
        </w:tc>
        <w:tc>
          <w:tcPr>
            <w:tcW w:w="2140" w:type="dxa"/>
            <w:vAlign w:val="bottom"/>
            <w:tcBorders>
              <w:top w:val="single" w:sz="8" w:color="0000EE"/>
            </w:tcBorders>
            <w:gridSpan w:val="5"/>
          </w:tcPr>
          <w:p>
            <w:pPr>
              <w:spacing w:after="0"/>
              <w:rPr>
                <w:sz w:val="18"/>
                <w:szCs w:val="18"/>
                <w:color w:val="auto"/>
              </w:rPr>
            </w:pPr>
          </w:p>
        </w:tc>
        <w:tc>
          <w:tcPr>
            <w:tcW w:w="55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160" w:type="dxa"/>
            <w:vAlign w:val="bottom"/>
          </w:tcPr>
          <w:p>
            <w:pPr>
              <w:spacing w:after="0"/>
              <w:rPr>
                <w:sz w:val="24"/>
                <w:szCs w:val="24"/>
                <w:color w:val="auto"/>
              </w:rPr>
            </w:pPr>
          </w:p>
        </w:tc>
        <w:tc>
          <w:tcPr>
            <w:tcW w:w="5460" w:type="dxa"/>
            <w:vAlign w:val="bottom"/>
            <w:gridSpan w:val="15"/>
          </w:tcPr>
          <w:p>
            <w:pPr>
              <w:ind w:left="450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These forward-looking statements may be identified by forward-looking words such as “may,” “could,” “should,” “would,” “will,” “plans,” “intend,” “expect,” “anticipate,” “predicts,” “potential,” “believe,” “continue” or similar words, although not all forward-looking statements contain these identifying words. Forward-looking statements include, but are not limited to, statements regarding the progress and timing of our product development programs and related trials; our future opportunities; our strategy, future operations, anticipated financial position, future revenues and projected costs; our management’s prospects, plans and objectives; and any other statements about management’s future expectations, beliefs, goals, plans or prospects constitute forward-looking statements.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Readers should not place undue reliance on these forward-looking statements. Our actual results may differ materially from such forward-looking statements as a result of numerous factors, some of which we may not be able to predict and may not be within our control. Factors that could cause such differences include, but are not limited to, the accuracy of our estimates regarding expense, future revenues, uses of cash, capital requirements and the need for additional financing; our ability to continue as a going concern; the initiation, cost, timing, progress and results of our development activities, preclinical studies and clinical trials; the timing of and our ability to obtain and maintain regulatory approval of our existing product candidates, any product candidates that we may develop, and any related restrictions, limitations, and/or warnings in the label of any approved product candidates; our plans to research, develop and commercialize our current and future product candidates; our ability to attract collaborators with development, regulatory and commercialization expertise; our ability to obtain and maintain intellectual property protection for our product candidates; our ability to successfully commercialize our product candidates; the size and growth of the markets for our product candidates and our ability to serve those markets; the success of competing drugs that are or become available; our ability to obtain additional financing; our ability to attract and retain key personnel, as well as those risks discussed elsewhere in this report, including under the heading “Risk Factors.” All forward-looking statements are made as of the date of this report and we do not undertake any obligation to update our forward-looking statements,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Aerpio is a biopharmaceutical company focused on advancing first-in-class treatments for ocular disease. Our lead product candidate, AKB-9778, a small molecule activator of the Tie2 pathway, is being developed for the treatment of diabetic retinopathy, or DR, a disease characterized by progressive compromise of blood vessels in the back of the eye. The Tie2 receptor is expressed almost exclusively in endothelial cells (cells that make up blood vessels) and is essential for regulating vascular stability and preventing blood vessel compromise associated with diabetes. We have completed a Phase 2a trial of AKB-9778 in 144 patients with diabetic eye disease. Based on the results from this trial, we believe AKB-9778 has the potential to stop, slow down or reverse the damage to blood vessels caused by diabetes. In contrast to marketed treatments for DR that are administered by a physician via intraocular injection, we intend to deliver AKB-9778 systemically by self-administered subcutaneous injection, similar to insulin. We believe that this delivery method provides an opportunity to treat diabetic eye disease at an earlier stage and reduces the likelihood of developing vision-threatening complications. In June 2017, we initiated a 48-week, double-masked, Phase 2b clinical trial, which we refer to as TIME-2b, in patients with DR who have not developed more serious complications such as diabetic macular edema, or DME or proliferative diabetic retinopathy, or PDR. We expect to report top line results of this trial in the second quarter of 2019.</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According to the World Health Organization’s Global Report of Diabetes, there are an estimated 422 million individuals living with diabetes worldwide. An estimated 34.6% of these individuals, or 146 million people, have DR, 6.81%, or 28 million, have DME and 6.96%, or 29.7 million, have PDR. The underlying problem in diabetic complications is damage to the blood vessels, commonly referred to as diabetic vasculopathy, which is caused by chronic hyperglycemia. This damage causes blood vessels to leak fluid and proteins into the surrounding tissue, leading to complications. In the eyes, this damage leads to DR which can progress to DME and/or PDR. In other parts of the body such as the kidney, the damage leads to diabetic nephropathy and in the lower extremities, the damage leads to non-healing foot ulcers, peripheral artery disease and critical limb ischemia. These diabetic complications lead to life- and sight-threatening conditions including kidney dialysis, amputations and blindness that are costly to treat. Diabetic patients with complications are estimated to cost the health care system 3.5 times more than patients without complications. For example, dialysis patients cost an average of $89,000 per year and the cost for the first year of DME therapy with Eylea® is $14,400 per eye based on published Medicare allowable charges per dose and the frequency of dosing as approved by the Food and Drug Administration, or FDA. If approved, we believe that systemic treatment with AKB-9778 could have the potential to change the treatment paradigm for diabetics in the future and potentially address a major societal problem by lowering the cost of care associated generally with diabetes.</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Diabetic eye disease is one of the most common and debilitating complications of diabetes. Over time, diabetes damages blood vessels in the back of the eye. When this happens, a patient is said to have DR. Eventually, these damaged blood vessels can leak blood proteins and fluid into the central portion of the retina, called the macula, which is responsible for high resolution central vision. The leakage of protein and fluid into the macula causes swelling, a condition called DME. The more progressive stages of DR, referred to as PDR, are characterized by the growth of abnormal new blood vessels. These new blood vessels can bleed into the eye and if left untreated can result in decreased visual acuity and eventual blindness. The likelihood of a person developing these sight-threatening complications increases as DR progresses.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According to the 2017 revenue reports for Regeneron and Roche, sales of the two leading approved therapies for DME, Eylea (aflibercept), which is marketed by Regeneron and Lucentis (ranibizumab), which is marketed by Genentech and Novartis, were estimated to be over $5.6 billion worldwide in 2017. Given that the number of patients with DR is roughly five times that for DME, we believe that a therapy that can reverse early ocular damage in patients with DR and slow or prevent the development of DME or PDR, without requiring repeated injections into the eye, could have substantial clinical and commercial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20"/>
        <w:spacing w:after="0" w:line="276" w:lineRule="auto"/>
        <w:rPr>
          <w:sz w:val="20"/>
          <w:szCs w:val="20"/>
          <w:color w:val="auto"/>
        </w:rPr>
      </w:pPr>
      <w:r>
        <w:rPr>
          <w:rFonts w:ascii="Arial" w:cs="Arial" w:eastAsia="Arial" w:hAnsi="Arial"/>
          <w:sz w:val="17"/>
          <w:szCs w:val="17"/>
          <w:color w:val="auto"/>
        </w:rPr>
        <w:t>AKB-9778 is a small molecule activator of the Tie2 pathway that we believe helps to stabilize blood vessel walls and prevent vascular compromise in the eye, and based on pre-clinical models, potentially elsewhere in the body. Such vascular compromise in the eye may eventually lead to DME or PDR and, in many cases, to loss of vision or even blindness. We believe AKB-9778’s mechanism of action reduces vascular damage and restores vascular integrity. In contrast to current therapies for diabetic eye disease, which are all administered by a physician via repeated injections into the eye, AKB-9778 is being developed as a self-administered subcutaneous injection that allows for treatment of both eyes.</w:t>
      </w:r>
    </w:p>
    <w:p>
      <w:pPr>
        <w:spacing w:after="0" w:line="6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addition to DR, the Tie2 pathway is also implicated in other diabetic complications. We believe systemic treatment with AKB-9778 may address diabetic nephropathy and peripheral vascular disease. If we are successful in developing and commercializing AKB-9778 for DR, we intend to conduct longer term clinical trials to evaluate AKB-9778’s potential to reduce or delay the need for kidney dialysis and reduce amputations.</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TIME-2b study is a double-masked, placebo-controlled multi-center trial that is currently ongoing and is now fully enrolled with 167 patients randomized evenly to receive either AKB-9778 15 mg subcutaneously once daily, AKB-9778 15 mg subcutaneously twice daily or placebo for a 48-week treatment period. The primary endpoint of the TIME-2b study is the percentage of patients who improve by 2 or more steps in DR Severity Score, or DRSS, in the study eye.</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is emerging scientific literature that supports the role of Tie 2 in the maintenance of conventional outflow, or CO, pathway in the front of the eye. Existing preclinical and clinical evidence suggest the potential of AKB-9778 for reducing intraocular pressure in primary open angle glaucoma, or POAG, and ocular hypertension. We plan to initiate a Phase 1b clinical trial in the first quarter of 2019 to evaluate AKB-9778 for POAG and, if we observe positive results, we expect to initiate a Phase 2 program for this indication.</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also developing AKB-4924, a selective stabilizer of hypoxia-inducible factor-1 alpha, or HIF-1 alpha, that is being developed for the treatment of inflammatory bowel disease. HIF-1 alpha is involved in mucosal wound healing and the reduction of inflammation in the gastrointestinal tract. We have completed a single ascending dose clinical trial in healthy volunteers for AKB-4924 and plan to initiate a multiple ascending dose, or MAD study in the second quarter of 2018. If we successfully complete the MAD study, we expect to initiate a Phase 1b clinical study of AKB-4924 in patients with ulcerative colitis in the second half of 2018.</w:t>
      </w:r>
    </w:p>
    <w:p>
      <w:pPr>
        <w:spacing w:after="0" w:line="8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ARP-1536, our humanized monoclonal antibody directed at the same target as AKB-9778, is in preclinical development. We are evaluating development options for ARP-1536, including once-monthly subcutaneous injection for the treatment of diabetic vascular complications and once-monthly intravitreal injection for the treatment of advanced diabetic eye disease such as DME or PDR.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objective is to become the leader in the development of Tie2-targeted therapeutics for the treatment of vascular disorders. We are taking the following critical steps to achieve this goal:</w:t>
      </w:r>
    </w:p>
    <w:p>
      <w:pPr>
        <w:spacing w:after="0" w:line="166" w:lineRule="exact"/>
        <w:rPr>
          <w:sz w:val="20"/>
          <w:szCs w:val="20"/>
          <w:color w:val="auto"/>
        </w:rPr>
      </w:pPr>
    </w:p>
    <w:p>
      <w:pPr>
        <w:ind w:left="1300" w:hanging="428"/>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Advance the development of AKB-9778 for diabetic retinopathy</w:t>
      </w:r>
    </w:p>
    <w:p>
      <w:pPr>
        <w:spacing w:after="0" w:line="13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June 2017, we initiated a 48-week, double-masked, Phase 2b clinical trial, TIME-2b, in patients with DR who have not developed more serious complications such as DME or PDR. We expect to report topline data in the second quarter of 2019.</w:t>
      </w:r>
    </w:p>
    <w:p>
      <w:pPr>
        <w:spacing w:after="0" w:line="166" w:lineRule="exact"/>
        <w:rPr>
          <w:sz w:val="20"/>
          <w:szCs w:val="20"/>
          <w:color w:val="auto"/>
        </w:rPr>
      </w:pPr>
    </w:p>
    <w:p>
      <w:pPr>
        <w:ind w:left="1300" w:hanging="428"/>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If approved for DR, establish collaborations to commercialize AKB-9778 globally</w:t>
      </w:r>
    </w:p>
    <w:p>
      <w:pPr>
        <w:spacing w:after="0" w:line="13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approved, we intend to independently pursue the approval and commercialization of AKB-9778 for DR in the U.S. We believe that many health care providers, including general ophthalmologists, endocrinologists, and primary care physicians have the potential to treat early diabetic eye disease with AKB-9778, and we plan on utilizing a multi-faceted strategy that will engage these various health care providers. Outside of the U.S., we intend to pursue the approval and commercialization of AKB-9778 for DR through strategic collaborations. We may develop and commercialize AKB-9778 for other indications independently or through collaborations with third parties.</w:t>
      </w:r>
    </w:p>
    <w:p>
      <w:pPr>
        <w:spacing w:after="0" w:line="184" w:lineRule="exact"/>
        <w:rPr>
          <w:sz w:val="20"/>
          <w:szCs w:val="20"/>
          <w:color w:val="auto"/>
        </w:rPr>
      </w:pPr>
    </w:p>
    <w:p>
      <w:pPr>
        <w:ind w:left="5660" w:right="4480" w:hanging="4788"/>
        <w:spacing w:after="0" w:line="673" w:lineRule="auto"/>
        <w:tabs>
          <w:tab w:leader="none" w:pos="129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Advance the development of AKB-9778 for primary open angle glaucoma </w:t>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8"/>
          <w:szCs w:val="18"/>
          <w:color w:val="auto"/>
        </w:rPr>
        <w:t>We plan to evaluate a topical formulation of AKB-9778 for POAG into a proof-of-concept Phase 1b study in the first quarter of 2019. If we observe positive results from this study, we expect to initiate a Phase 2 program to evaluate AKB-9778 for POAG.</w:t>
      </w:r>
    </w:p>
    <w:p>
      <w:pPr>
        <w:spacing w:after="0" w:line="166" w:lineRule="exact"/>
        <w:rPr>
          <w:sz w:val="20"/>
          <w:szCs w:val="20"/>
          <w:color w:val="auto"/>
        </w:rPr>
      </w:pPr>
    </w:p>
    <w:p>
      <w:pPr>
        <w:ind w:left="1300" w:hanging="428"/>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Investigate the potential of AKB-9778 in other indications</w:t>
      </w:r>
    </w:p>
    <w:p>
      <w:pPr>
        <w:spacing w:after="0" w:line="13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downregulation of Tie2 activity occurs in the vasculature of diabetics systemically, particularly in the kidney. While we are initially focused on the development of AKB-9778 for DR, our ongoing Phase 2b trial includes exploratory endpoints to study the effects of AKB-9778 on diabetic kidney disease. If we observe positive signals in these exploratory endpoints, we will consider clinical development of AKB-9778 in diabetic nephropathy.</w:t>
      </w:r>
    </w:p>
    <w:p>
      <w:pPr>
        <w:spacing w:after="0" w:line="162" w:lineRule="exact"/>
        <w:rPr>
          <w:sz w:val="20"/>
          <w:szCs w:val="20"/>
          <w:color w:val="auto"/>
        </w:rPr>
      </w:pPr>
    </w:p>
    <w:p>
      <w:pPr>
        <w:ind w:left="1300" w:hanging="428"/>
        <w:spacing w:after="0"/>
        <w:tabs>
          <w:tab w:leader="none" w:pos="1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Advance AKB-4924 in inflammatory bowel disease</w:t>
      </w:r>
    </w:p>
    <w:p>
      <w:pPr>
        <w:spacing w:after="0" w:line="13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plan to advance the development of AKB-4924 in inflammatory bowel disease. We plan to initiate a MAD study in healthy volunteers in the second quarter of 2018. If we successfully complete the MAD study, we plan to initiate a Phase 1b study in patients with ulcerative colitis in the second half of 2018.</w:t>
      </w:r>
    </w:p>
    <w:p>
      <w:pPr>
        <w:spacing w:after="0" w:line="120" w:lineRule="exact"/>
        <w:rPr>
          <w:sz w:val="20"/>
          <w:szCs w:val="20"/>
          <w:color w:val="auto"/>
        </w:rPr>
      </w:pPr>
    </w:p>
    <w:p>
      <w:pPr>
        <w:ind w:left="1300" w:hanging="428"/>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Advance the development of ARP-1536</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evaluating development options for ARP-1536, including once-monthly subcutaneous injection for the treatment of diabetic vascular complications and once-monthly intravitreal injection for advanced diabetic eye disease (DME/PDR).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AKB-9778 for diabetic retinopathy</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believe that AKB-9778, if approved, has the potential to be a market leader for the treatment of early stage diabetic eye disease, DR that has not yet developed vision-threatening complications. There are currently approximately 146 million individuals globally with DR, and this number is projected to continue to grow over the next 30 years. AKB-9778 is designed to eliminate intraocular injections, reduce physician visit burden, simultaneously treat both eyes, of which an estimated 65-70% of diabetic eye disease patients have bilateral disease, reduce or slow progression to development of vision-threatening events, such as DME and PDR, and protect other vascular beds affected by diabetes.</w:t>
      </w:r>
    </w:p>
    <w:p>
      <w:pPr>
        <w:spacing w:after="0" w:line="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completed a Phase 2a trial of AKB-9778 in 144 patients with diabetic retinopathy complicated by diabetic macular edema. We observed the following results in this trial:</w:t>
      </w:r>
    </w:p>
    <w:p>
      <w:pPr>
        <w:spacing w:after="0" w:line="170" w:lineRule="exact"/>
        <w:rPr>
          <w:sz w:val="20"/>
          <w:szCs w:val="20"/>
          <w:color w:val="auto"/>
        </w:rPr>
      </w:pPr>
    </w:p>
    <w:p>
      <w:pPr>
        <w:ind w:left="1300" w:hanging="42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observed promising signs of reduction in the severity of diabetic retinopathy when AKB-9778 was used as monotherapy.</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improvements in diabetic retinopathy severity were seen bilaterally, in the study and fellow eye.</w:t>
      </w:r>
    </w:p>
    <w:p>
      <w:pPr>
        <w:spacing w:after="0" w:line="9" w:lineRule="exact"/>
        <w:rPr>
          <w:rFonts w:ascii="Arial" w:cs="Arial" w:eastAsia="Arial" w:hAnsi="Arial"/>
          <w:sz w:val="18"/>
          <w:szCs w:val="18"/>
          <w:color w:val="auto"/>
        </w:rPr>
      </w:pPr>
    </w:p>
    <w:p>
      <w:pPr>
        <w:ind w:left="1300" w:right="120" w:hanging="428"/>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AKB-9778 monotherapy had fewer ocular and non-ocular adverse events than either Lucentis (ranibizumab) monotherapy or combination therapy.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Retinopathy and Diabetic Macular Edema Overview</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DR is a frequent complication of diabetes and is a leading cause of visual impairment and blindness among working-age individuals. Patients with DR have a progressive compromise of microvasculature which eventually manifests as leaky blood vessels that allow fluid and blood to leak into surrounding tissues. This leakage presents problems in areas of the body that are highly vascularized such as the retina and the kidney. Fluid leakage in the eye can distort vision directly and the loss of blood flow to other parts of the retina can result in local oxygen deprivation or hypoxia. This hypoxia then triggers the formation of new blood vessels; however, these new vessels are often not well-formed and leaky, leading to further deterioration of vision. In some cases, there is excessive accumulation of fluid or edema near the center of the retina or macula that has severe effects on vision. This accumulation is referred to as DME. This edema leads to thickening of the macula region of the retina and loss of visual acuity. The various features of DR vascular dysfunction are illustrated in the following graphic.</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303530</wp:posOffset>
            </wp:positionV>
            <wp:extent cx="5145405" cy="1629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Progression of diabetic eye disease is characterized by worsening vascular compromise.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severity of DR is evaluated using the Early Treatment Diabetic Retinopathy Study, or ETDRS, severity scale. This scale is divided into 11-discreet steps</w:t>
      </w:r>
    </w:p>
    <w:p>
      <w:pPr>
        <w:spacing w:after="0" w:line="46"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auto"/>
        </w:rPr>
        <w:t>with less severe disease having lower step scores and more advanced disease having higher step scores. The natural history of DR in most patients is a progressive worsening that can be captured in photographs of the retina, shown below. In its initial stages, DR is characterized by vascular changes in the retina that are detectable by color photography of the back of the eye, or fundus. In these early stages, visual function can remain intact even in the presence of profound vascular compromise. The progression of DR severity is associated with increased risk for vision loss due to the growth of abnormal blood vessels, typical in DME and PDR.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-6350</wp:posOffset>
            </wp:positionV>
            <wp:extent cx="5351145" cy="266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 Fundus photographs or a normal retina (left) and a retina with advanced DR (right)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1238250</wp:posOffset>
            </wp:positionH>
            <wp:positionV relativeFrom="page">
              <wp:posOffset>226060</wp:posOffset>
            </wp:positionV>
            <wp:extent cx="5093970" cy="1800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09397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280" w:right="380"/>
        <w:spacing w:after="0" w:line="261" w:lineRule="auto"/>
        <w:rPr>
          <w:sz w:val="20"/>
          <w:szCs w:val="20"/>
          <w:color w:val="auto"/>
        </w:rPr>
      </w:pPr>
      <w:r>
        <w:rPr>
          <w:rFonts w:ascii="Arial" w:cs="Arial" w:eastAsia="Arial" w:hAnsi="Arial"/>
          <w:sz w:val="18"/>
          <w:szCs w:val="18"/>
          <w:b w:val="1"/>
          <w:bCs w:val="1"/>
          <w:color w:val="auto"/>
        </w:rPr>
        <w:t>Figure 3: Early Treatment of Diabetic Retinopathy Study scale used to grade fundus images of the retina and measure the progression and regression of diabetic retinopathy.</w:t>
      </w:r>
    </w:p>
    <w:p>
      <w:pPr>
        <w:spacing w:after="0" w:line="254" w:lineRule="auto"/>
        <w:rPr>
          <w:sz w:val="20"/>
          <w:szCs w:val="20"/>
          <w:color w:val="auto"/>
        </w:rPr>
      </w:pPr>
      <w:r>
        <w:rPr>
          <w:rFonts w:ascii="Arial" w:cs="Arial" w:eastAsia="Arial" w:hAnsi="Arial"/>
          <w:sz w:val="18"/>
          <w:szCs w:val="18"/>
          <w:color w:val="auto"/>
        </w:rPr>
        <w:t>The majority of diabetic patients will eventually develop DR. By 20 years after disease diagnosis, nearly 100% of type 1 diabetics and 60% of type 2 diabetics will have developed DR. Among an estimated 19.8 million US adults forty years and older known to have diabetes (Types 1 and 2), prevalence rates for DR and DME were 23.7% (4.7 million) and 3.8% (746,000), respectively. We believe both DR and DME are likely to persist as public health problems due to both the aging of the global population and increasing prevalence of diabetes over time.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for DR</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Laser photocoagulation is sometimes used to treat DR prior to the development of vision-threatening events. This treatment entails using a high-energy laser to destroy diseased retinal tissue and cauterize leaking blood vessels. While this therapy prevents further vision loss, it does not address the pathology of constant and prolonged vascular damage that happens in the diabetic retina, and is therefore not considered a disease-modifying therapy. In addition to destroying retinal tissue, laser photocoagulation can be associated with several adverse events including transient decreases in central vision, black spots in the center or around the center of a patient’s vision, delayed or impaired adaption of vision in dark settings, visual field defects or proliferation of abnormal blood vessels leading to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62865</wp:posOffset>
            </wp:positionV>
            <wp:extent cx="4605020" cy="1534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502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4: Normal retina (left). Retina after panretinal laser photocoagulation (right).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Lucentis was recently approved for the treatment of diabetic retinopathy. This approval was based on the ability of monthly intraocular injections of Lucentis to improve underlying diabetic retinopathy by two or more steps on the ETDRS scale compared to placebo at the end of one year of treatment. However, Lucentis requires intraocular injections and monthly visits to the ophthalmologist which could create patient burden and discomfort. Furthermore, if the patient presents with bilateral disease (approximately 70% of DR patients have bilateral disease), the patient must undergo separate intraocular injections in each eye.</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are successful in developing and obtaining approval of AKB-9778 for the treatment of DR we believe that we can be market leaders in the space due to the potential advantages of AKB-9778, including the potential to eliminate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jc w:val="both"/>
        <w:ind w:right="260"/>
        <w:spacing w:after="0" w:line="264" w:lineRule="auto"/>
        <w:rPr>
          <w:sz w:val="20"/>
          <w:szCs w:val="20"/>
          <w:color w:val="auto"/>
        </w:rPr>
      </w:pPr>
      <w:r>
        <w:rPr>
          <w:rFonts w:ascii="Arial" w:cs="Arial" w:eastAsia="Arial" w:hAnsi="Arial"/>
          <w:sz w:val="18"/>
          <w:szCs w:val="18"/>
          <w:color w:val="auto"/>
        </w:rPr>
        <w:t>intraocular injections, reduce physician visit burden, simultaneously treat both eyes, of which approximately 65-70% of diabetic eye disease patients have bilateral disease, reduce or slow progression to development of vision-threatening events, such as DME and PDR, and possibly protect other vascular beds affected by diabetes.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Tie2 in Diabetic Disease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Tie2 is a receptor that is normally activated in healthy blood vessels. When active, Tie2 is a key regulator of vascular stability and function. In its active state, Tie2 maintains blood vessel stability by several mechanisms, including tightening the junctions between the cells that line blood vessels, maintaining support cell coverage of blood vessels, and resisting growth signaling from proliferative cytokines. In diabetic patients, an upregulation of vascular endothelial protein tyrosine phosphatase, or VE-PTP, an enzyme that inactivates Tie2, contributes to vascular destabilization.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49530</wp:posOffset>
            </wp:positionV>
            <wp:extent cx="3782060" cy="2212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8206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780" w:firstLine="1804"/>
        <w:spacing w:after="0" w:line="378" w:lineRule="auto"/>
        <w:rPr>
          <w:sz w:val="20"/>
          <w:szCs w:val="20"/>
          <w:color w:val="auto"/>
        </w:rPr>
      </w:pPr>
      <w:r>
        <w:rPr>
          <w:rFonts w:ascii="Arial" w:cs="Arial" w:eastAsia="Arial" w:hAnsi="Arial"/>
          <w:sz w:val="18"/>
          <w:szCs w:val="18"/>
          <w:b w:val="1"/>
          <w:bCs w:val="1"/>
          <w:color w:val="auto"/>
        </w:rPr>
        <w:t>Figure 5. VE-PTP is upregulated in diabetic vasculature and leads to deactivation of the Tie2 receptor Our Solution AKB-9778</w:t>
      </w:r>
    </w:p>
    <w:p>
      <w:pPr>
        <w:ind w:right="160"/>
        <w:spacing w:after="0" w:line="259" w:lineRule="auto"/>
        <w:rPr>
          <w:sz w:val="20"/>
          <w:szCs w:val="20"/>
          <w:color w:val="auto"/>
        </w:rPr>
      </w:pPr>
      <w:r>
        <w:rPr>
          <w:rFonts w:ascii="Arial" w:cs="Arial" w:eastAsia="Arial" w:hAnsi="Arial"/>
          <w:sz w:val="18"/>
          <w:szCs w:val="18"/>
          <w:color w:val="auto"/>
        </w:rPr>
        <w:t>AKB-9778 works by inhibiting VE-PTP, an enzyme that is upregulated in diabetic eye disease and that is responsible for inactivating Tie2. AKB-9778 was developed using modern drug discovery techniques such as structure-based drug design to selectively target and inhibit VE-PTP at sub-nanomolar concentrations and has a high degree of selectivity. The potency and selectivity of AKB-9778 minimize the potential for off-target side effects. Inhibition of the inhibitor, VE-PTP, by AKB-9778 leads to activation of Tie2.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127635</wp:posOffset>
            </wp:positionV>
            <wp:extent cx="4039235" cy="2221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3923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6. AKB-9778 binds to and inhibits the active site of VE-PTP, resulting in Tie2 activation.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right="60"/>
        <w:spacing w:after="0" w:line="257" w:lineRule="auto"/>
        <w:rPr>
          <w:sz w:val="20"/>
          <w:szCs w:val="20"/>
          <w:color w:val="auto"/>
        </w:rPr>
      </w:pPr>
      <w:r>
        <w:rPr>
          <w:rFonts w:ascii="Arial" w:cs="Arial" w:eastAsia="Arial" w:hAnsi="Arial"/>
          <w:sz w:val="18"/>
          <w:szCs w:val="18"/>
          <w:color w:val="auto"/>
        </w:rPr>
        <w:t>We believe that AKB-9778 may hold a competitive advantage versus other product candidates that are currently in development that target other aspects of the Tie2 pathway. We are aware that two other companies, Roche and Regeneron, are developing agents that inhibit Ang-2, a natural antagonist of Tie2. Ang-2 can bind to Tie2 and prevent Ang-1 dependent activation. However, simply reducing the levels of Ang-2 has no effect on the activity of VE-PTP, which inactivates Tie2 further downstream of Ang-2 binding. Direct inhibition of the inhibitor, VE-PTP, has a larger effect on Tie2 activation than elimination of Ang-2 (refer to 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60325</wp:posOffset>
            </wp:positionV>
            <wp:extent cx="5342890" cy="1569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289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Figure 7. Inhibiting VE-PTP with AKB-9778 robustly activates Tie2 in human endothelial cells in pre-clinical experiments (Shen et al. JCI 124:4564-76, 2014). Ang-2 inhibition, with REGN910 (nesvacumab), results in minimal Tie2 activation in human endothelial cells in pre-clinical experiments (Daly et al. Cancer Research 73:108-18,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in DME</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completed a double-masked Phase 2a trial in 144 patients with AKB-9778 in DME. In this trial 15 mg of AKB-9778 was administered by subcutaneous injection twice daily (BID) for three months either as monotherapy or in combination with intravitreal injections of Lucentis. Patients were randomized to receive subcutaneous AKB-9778 + sham intravitreal injections, subcutaneous AKB-9778 + Lucentis intravitreal injections, or subcutaneous placebo + Lucentis intravitreal injections. Only one eye, designated as the study eye, received the intravitreal injections. In addition to efficacy measures based on parameters related to DME, the efficacy of these agents on DR severity was also pre-defined.</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Efficacy in DME was evaluated by measuring the thickness of the macula using a standard criterion called central subfield thickness, or CST. As edema, or fluid leak from blood vessels increases, the macula layer becomes distended, and rather than having a normal thickness of less than 300 µm, the DME patients in this trial had an average CST of approximately 500 µm. The reduction in retinal thickness was measured using optical coherence tomography or OCT, an imaging technology providing high resolution images showing changes in retinal thickness.</w:t>
      </w:r>
    </w:p>
    <w:p>
      <w:pPr>
        <w:spacing w:after="0" w:line="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our completed Phase 2a study the cohort of patients treated with the combination of AKB-9778 and Lucentis showed a significantly greater reduction in macular edema (mean reduction = 164.4 µm) compared to that achieved by Lucentis monotherapy (mean reduction = 110.4 µm; with p=0.008, ANCOVA using baseline values as covariate). The mean CST at end of treatment was 340.0 µm with 29.2% of eyes achieving a CST less than 300 µm in the AKB-9778 combination group versus 392.1 µm with 17.0% of eyes achieving a CST less than 300 µm in the Lucentis monotherapy group. The improvement in CST when AKB-9778 was used in combination increased between the second and third months of treatment. Based on this pattern, we believe that longer treatments with the combination of AKB-9778 and Lucentis have the potential to further reduce CST. AKB-9778 monotherapy did not show efficacy in reducing macular edema. The long standing DME in the TIME-2 study, duration of DME roughly 5 years, is characterized by large vascular endothelial growth factor, or VEGF loads. Anti-VEGF therapy is required to reduce the VEGF load and the resultant permeability. In animal models, therapy with AKB-9778 activates the Tie2 receptor, which has been shown to reduce the endothelial response to VEGF and normalize vasculature, improve blood flow and oxygenation potentially leading to reduced VEGF production. These findings explain, in part, why combination therapy may produce greater clinical activity than anti-VEGF alone and provide a hypothesis as to why Tie2 therapy alone has minimal benefit as it relates to VEGF-driven vascular permeability. In earlier disease, where vascular compromise has not progressed far enough to stimulate a VEGF response, we believe AKB-</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9778 may be able to positively remodel vasculature and reverse early diabetic eye disease delaying or preventing the onset of DME and PDR.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4442460" cy="256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4246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Figure 8. Aggregate Data for Reduction in CST in Phase 2a trial in patients with DME.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in DR</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DR efficacy in the study eyes was assessed in 118 patients with study eyes having DRSS scores of less than seven, which represents mild to severe disease severity, a level of disease that we believe may be reversible. Because AKB-9778 was dosed systemically we were also able to assess the potential efficacy of AKB-9778 in both the study eye and fellow eyes with underlying DR. Of the 144 patients in this trial, 94 of them had DR in fellow eye, with a DRSS score of less than seven and had not received other treatments during the study treatment period. The severity of DR was assessed using the ETDRS grading of standard retinal photographs. Grading is based on an 11-point scale whose progression is measured through a series of discrete steps. These steps are referred to as the DRSS.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Improvement in diabetic retinopathy severity in study eyes was similar across groups at three months with approximately 10% of patients in each group achieving a two or more-step improvement in DRSS. Importantly, in the study eye, AKB-9778 was associated with approximately the same response rate as Lucentis, which was approved for the treatment of DR. A key difference between these two agents is that Lucentis was administered by an injection into the eye by a clinician while AKB-9778 was administered by subcutaneous injection by the patient, which we believe may result in greater patient compliance due to ease of administration.</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activity of AKB-9778 in the fellow eye was assessed using the same criteria. None of the fellow eyes received any intravitreal injections of Lucentis or sham. Out of the 94 patients with fellow eyes with previously untreated DR, 24 of them received subcutaneous placebo and 70 of them received subcutaneous AKB-9778. In the placebo group, 4.2% of fellow eyes showed 2 or more-step improvement in diabetic retinopathy severity score after three months of treatment, compared to 11.4% of fellow eyes in the AKB-9778 group. The systemic nature of this treatment approach allows AKB-9778 to reach the vasculature of both eyes, potentially treating both eyes with one treatment.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1666875</wp:posOffset>
            </wp:positionH>
            <wp:positionV relativeFrom="page">
              <wp:posOffset>226060</wp:posOffset>
            </wp:positionV>
            <wp:extent cx="4227830" cy="2435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22783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Figure 9. Percent of patients with a 2 or more-step improvement in diabetic retinopathy from baseline to three months in the Phase 2a, TIME-2 trial.</w:t>
      </w:r>
    </w:p>
    <w:p>
      <w:pPr>
        <w:spacing w:after="0" w:line="14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the likelihood of development of macular edema or proliferative diabetic retinopathy increases as DR severity increases, which is supported by other contemporaneous studies of diabetic eye disease, we believe improvement of underlying DR or prevention of its progression could reduce visual disability associated with diabetes.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There was a total of fifteen severe adverse events in the three-month treatment period of the Phase 2a trial with four considered to be treatment-related. Three of these treatment-related events occurred in a single patient who was enrolled in the Lucentis monotherapy arm and who experienced two severe headaches and one migraine event. A second patient in the AKB-9778 combination therapy group reported a severe treatment-related hypoglycemia event.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Phase 2b Clinical Trial in Diabetic Retinopathy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June 2017, we initiated a Phase 2b clinical trial called TIME-2b. TIME-2b is a double-masked, placebo-controlled multi-center trial that has enrolled 167 patients randomized evenly to receive either AKB-9778 15 mg subcutaneously once daily, AKB-9778 15 mg twice daily or placebo for 48-weeks. The primary endpoint of the TIME-2b study is the percentage of patients who improve by at least 2 steps in DRSS in the study eye. We expect to report topline data from this trial in the second quarter of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1169670</wp:posOffset>
            </wp:positionH>
            <wp:positionV relativeFrom="page">
              <wp:posOffset>226060</wp:posOffset>
            </wp:positionV>
            <wp:extent cx="5222875" cy="3284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222875"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Figure 10. Trial design for Phase 2b trial in DR with AKB-9778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Selecting Diabetic Retinopathy as Development Indication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chosen to focus our development of AKB-9778 in DR for several reasons:</w:t>
      </w:r>
    </w:p>
    <w:p>
      <w:pPr>
        <w:spacing w:after="0" w:line="225" w:lineRule="exact"/>
        <w:rPr>
          <w:sz w:val="20"/>
          <w:szCs w:val="20"/>
          <w:color w:val="auto"/>
        </w:rPr>
      </w:pPr>
    </w:p>
    <w:p>
      <w:pPr>
        <w:ind w:left="1300" w:hanging="42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Preliminary evidence of efficacy in Phase 2a setting that is similar to FDA-approved treatment (i.e. Lucentis)</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Consistent bilateral improvement in study and fellow eye</w:t>
      </w:r>
    </w:p>
    <w:p>
      <w:pPr>
        <w:spacing w:after="0" w:line="9" w:lineRule="exact"/>
        <w:rPr>
          <w:rFonts w:ascii="Arial" w:cs="Arial" w:eastAsia="Arial" w:hAnsi="Arial"/>
          <w:sz w:val="18"/>
          <w:szCs w:val="18"/>
          <w:color w:val="auto"/>
        </w:rPr>
      </w:pPr>
    </w:p>
    <w:p>
      <w:pPr>
        <w:ind w:left="1300" w:right="300" w:hanging="428"/>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improvement in placebo-treated eyes without active therapeutic is consistent with results from control arm of contemporaneous diabetic retinopathy studies</w:t>
      </w:r>
    </w:p>
    <w:p>
      <w:pPr>
        <w:ind w:left="1300" w:right="500" w:hanging="428"/>
        <w:spacing w:after="0" w:line="281"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Established regulatory path for the treatment of diabetic retinopathy by previous therapeutic approaches (i.e. Lucentis): proportion of patients achieving a two or more-step improvement in diabetic retinopathy severity score compared to placebo at one year</w:t>
      </w:r>
    </w:p>
    <w:p>
      <w:pPr>
        <w:spacing w:after="0" w:line="1" w:lineRule="exact"/>
        <w:rPr>
          <w:rFonts w:ascii="Arial" w:cs="Arial" w:eastAsia="Arial" w:hAnsi="Arial"/>
          <w:sz w:val="16"/>
          <w:szCs w:val="16"/>
          <w:color w:val="auto"/>
        </w:rPr>
      </w:pPr>
    </w:p>
    <w:p>
      <w:pPr>
        <w:ind w:left="1300" w:hanging="428"/>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compliance and convenience benefit of subcutaneous method of administration compared to intra-vitreal injection: reduction of visit and treatment burden</w:t>
      </w:r>
    </w:p>
    <w:p>
      <w:pPr>
        <w:ind w:left="1300" w:hanging="42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ability to benefit disease in both eyes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ability to benefit other vascular beds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Opportunity to treat diabetic eye disease at an earlier stage</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unmet medical need and market potential</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Treating patients earlier in the disease process, before the onset of vision-threatening pathology, represents a market opportunity with significant unmet need. Currently, no disease modifying therapy exists for earlier stage DR with the same convenience of AKB-9778. We believe systemic treatment with AKB-9778 has the potential to reverse or prevent vascular damage that is the hallmark of early diabetic eye disease potentially resulting in the delay or prevention of development of advanced complications such as DME and PDR. Lucentis, the only approved therapy for DR, is administered by repeat injections into the eye, and patients with bilateral disease require separate injections in each eye. Furthermore, treatment with Lucentis requires monthly visits to the ophthalmologist. Our internal market research indicates intraocular injections for DR are not favored by patients with early stage disease which is typically bilateral and minimally symptomatic.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 w:name="page14"/>
    <w:bookmarkEnd w:id="13"/>
    <w:p>
      <w:pPr>
        <w:ind w:right="40"/>
        <w:spacing w:after="0" w:line="272" w:lineRule="auto"/>
        <w:rPr>
          <w:sz w:val="20"/>
          <w:szCs w:val="20"/>
          <w:color w:val="auto"/>
        </w:rPr>
      </w:pPr>
      <w:r>
        <w:rPr>
          <w:rFonts w:ascii="Arial" w:cs="Arial" w:eastAsia="Arial" w:hAnsi="Arial"/>
          <w:sz w:val="17"/>
          <w:szCs w:val="17"/>
          <w:color w:val="auto"/>
        </w:rPr>
        <w:t>We believe AKB-9778 monotherapy provides a promising opportunity for the treatment of early stage DR. As a patient self-administered therapy, AKB-9778 could potentially reduce the burden of treatment and office visits associated with other treatments for diabetic eye disease. This is of importance given emerging evidence that even patients with more advanced disease whose vision is at risk from diabetic eye disease do not visit ophthalmologists and receive treatment on a regular basis. A treatment that does not require an office visit could potentially be a solution to this problem. A majority of patients with early DR will have bilateral disease with fairly well preserved visual acuity. We believe these patients are more likely to accept a therapy based on subcutaneous injections, a delivery method that is already familiar to most diabetics, than an injection into the eye. The systemic nature of this treatment approach allows AKB-9778 to reach the vasculature of both eyes, treating bilateral disease.</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approved by the FDA, AKB-9778 will, to our knowledge, be the only patient self-administered drug to treat non-proliferative diabetic retinopathy with subcutaneous injections, a delivery method that, according to market research we have conducted, is preferred by patients compared to injections into the eye. In addition, AKB-9778 has the potential to decrease the need for the anti-VEGF drugs if it delays or prevents disease progression to DME and/or PDR, an effect we intend to investigate in post marketing studies.</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Prevalence studies estimate that roughly one in every three diabetics has underlying diabetic retinopathy while one in every fifteen diabetics has underlying diabetic macular edema. This translates into the DR market being roughly five times larger than the DME market.</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recent approval of Lucentis for all forms of diabetic retinopathy and aflibercept for the treatment of DR in the setting of DME as well as the agreed upon special protocol assessment between Regeneron and the FDA on the Phase III PANORAMA study has established a regulatory path in DR. Our ongoing Phase 2b clinical trial of AKB-9778 is powered to show a statistically significant difference between AKB-9778 and placebo in the proportion of patients improving by 2 or more-steps on the ETDRS diabetic retinopathy severity scale.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Potential Systemic Indications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Systemic therapy with AKB-9778 could also provide therapeutic benefits in other areas of the body affected by diabetes, including in the kidneys and the lower extremities. Treatment that could affect vascular compromise in these tissues could potentially prevent or delay the need for more extreme interventions such as kidney dialysis or amputation. We have included exploratory endpoints in our on-going Phase 2b trial of AKB-9778 in early-stage DR to study the effects of AKB-9778 on parameters of diabetic kidney disease, including but not limited to urine albumin creatinine ratio. If approved for such indications, we believe that systemic treatment with AKB-9778 has the potential to change the treatment paradigm for diabetics and solve a major societal problem by lowering the cost of care associated with diabetic complications. This societal cost is significant as diabetic complications are estimated to cost the health care system 3.5 times more than patients without complications. For example, dialysis patients cost an average of $89,000 per year and the cost for the first year of DME therapy with Eylea</w:t>
      </w:r>
      <w:r>
        <w:rPr>
          <w:rFonts w:ascii="Arial" w:cs="Arial" w:eastAsia="Arial" w:hAnsi="Arial"/>
          <w:sz w:val="13"/>
          <w:szCs w:val="13"/>
          <w:color w:val="auto"/>
        </w:rPr>
        <w:t>®</w:t>
      </w:r>
      <w:r>
        <w:rPr>
          <w:rFonts w:ascii="Arial" w:cs="Arial" w:eastAsia="Arial" w:hAnsi="Arial"/>
          <w:sz w:val="16"/>
          <w:szCs w:val="16"/>
          <w:color w:val="auto"/>
        </w:rPr>
        <w:t xml:space="preserve"> is $14,400 per eye based on published Medicare allowable charges per dose and the frequency of dosing as approved by the FDA.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AKB-9778 in Primary Open Angle Glaucoma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Unmet medical need: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POAG is a leading cause of blindness affecting approximately 64.3 million people worldwide in 2013 with an expected increase to 76.0 million in 2020 and 118.0 million by 2040. POAG is characterized by optic nerve and neuroretina anomalies and progressive visual field defects. Elevated intraocular pressure, or IOP, is the primary modifiable risk factor and reducing IOP is the only clinical approach shown to slow or prevent vision loss. Despite the availability of effective IOP lowering drugs, many patients require multiple agents to control IOP that together often fail to achieve target IOP. The conventional outflow pathway, consisting of the trabecular meshwork and a specialized vessel called Schlemm’s canal, controls IOP and has been identified as the site of increased resistance to aqueous humor outflow in POAG. Importantly, most current POAG therapies do not target conventional outflow, and reduce IOP by either decreasing the formation of aqueous humor or facilitating non-conventional outflow pathways. The failure of most current therapies to modify conventional outflow has been hypothesized to contribute to continued deterioration of conventional outflow and progressive increases in IOP over time. We believe that developing agents that target conventional outflow pathology directly will likely have improved therapeutic potential alone or in combination with approved glaucoma agents and may prevent progression of POAG that often occurs despite current therapy.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Emerging role of the Tie2 Pathway in the maintenance of conventional outflow:</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Recently, two independent groups have shown that Tie2 is expressed and activated in Schlemm’s canal endothelial cells during development and in the mature vessel. Disruption of the Tie2 pathway in mice by conditional knockout early in postnatal development results in failure of the formation of Schlemm’s canal, associated with increased IOP and with retinal and optic nerve pathology resembling human congenital glaucoma. Tie2 pathway disruption later in postnatal development results in degeneration of Schlemm’s canal with development of increased IOP and retinal and optic pathology reminiscent of POAG</w:t>
      </w:r>
      <w:r>
        <w:rPr>
          <w:rFonts w:ascii="Arial" w:cs="Arial" w:eastAsia="Arial" w:hAnsi="Arial"/>
          <w:sz w:val="13"/>
          <w:szCs w:val="13"/>
          <w:color w:val="auto"/>
        </w:rPr>
        <w:t>23</w:t>
      </w:r>
      <w:r>
        <w:rPr>
          <w:rFonts w:ascii="Arial" w:cs="Arial" w:eastAsia="Arial" w:hAnsi="Arial"/>
          <w:sz w:val="16"/>
          <w:szCs w:val="16"/>
          <w:color w:val="auto"/>
        </w:rPr>
        <w:t>. Tie2 is most highly expressed in mature Schlemm’s canal inner wall endothelium and disruption of the Tie2 pathway results in increased cell death, or apoptosis, and reduced formation of giant vacuoles consistent with compromised conventional outflow. Supporting these preclinical findings, Tie2 loss of function variants were identified in 10 of 189 unrelated primary congenital glaucoma families, and SNPs in the Ang-1 promoter region were significantly associated with the risk of POAG</w:t>
      </w:r>
      <w:r>
        <w:rPr>
          <w:rFonts w:ascii="Arial" w:cs="Arial" w:eastAsia="Arial" w:hAnsi="Arial"/>
          <w:sz w:val="13"/>
          <w:szCs w:val="13"/>
          <w:color w:val="auto"/>
        </w:rPr>
        <w:t>25-28</w:t>
      </w:r>
      <w:r>
        <w:rPr>
          <w:rFonts w:ascii="Arial" w:cs="Arial" w:eastAsia="Arial" w:hAnsi="Arial"/>
          <w:sz w:val="16"/>
          <w:szCs w:val="16"/>
          <w:color w:val="auto"/>
        </w:rPr>
        <w:t>. We believe that these preclinical findings along with human genetic evidence provides a sound scientific premise that activation of the Tie2 pathway in Schlemm’s canal could provide a novel conventional outflow-targeted POAG therapy.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VE-PTP in Signaling Pathways and Relevance to Glaucoma</w:t>
      </w:r>
    </w:p>
    <w:p>
      <w:pPr>
        <w:spacing w:after="0" w:line="1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Aerpio has developed first-in-class, potent and selective small molecule inhibitors of the catalytic domain of VE-PTP. In vascular endothelial cells, AKB-9778, Aerpio’s lead VE-PTP inhibitor, activates Tie2 and triggers signaling pathways downstream of Tie2 that have been implicated in modulation of conventional outflow facility. These include endothelial nitric oxide synthase, or eNOS, activation and Rho pathway inhibition via Rac1.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33655</wp:posOffset>
            </wp:positionV>
            <wp:extent cx="2675890" cy="1946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7589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Figure 11. VE-PTP inhibition as a novel conventional outflow targeted approach for glaucoma treatment</w:t>
      </w:r>
      <w:r>
        <w:rPr>
          <w:rFonts w:ascii="Arial" w:cs="Arial" w:eastAsia="Arial" w:hAnsi="Arial"/>
          <w:sz w:val="18"/>
          <w:szCs w:val="18"/>
          <w:color w:val="auto"/>
        </w:rPr>
        <w: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Activation of Tie2, with AKB-9778, affects pathways commonly associated with reduction of intraocular pressure. Rhopressa and Vyzulta are recently approved glaucoma drugs which block the Rho pathway and stimulate the eNOS pathway, respectively. Inhibition of VE-PTP should provide both benefits, blocking Rho and stimulating eNOS.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Evidence Supporting Tie2 Activation as a Conventional Outflow Glaucoma Target:</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 completed Phase 2a clinical trial, patients receiving subcutaneous AKB-9778 demonstrated a statistically significant reduction from baseline in IOP compared to those receiving subcutaneous placebo injections. These IOP reductions were detected in individuals with normal ocular pressure in a study not designed to measure IOP changes and were of the same magnitude as reductions seen in individuals with normal ocular pressure on oral β-blocker therapy. Moreover, patients with baseline IOP greater than or equal to 16 mmHg had larger reductions in IOP than those with baseline IOP less than 16 mmHg, consistent with effects on pressure dependent conventional outflow.</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1992630</wp:posOffset>
            </wp:positionH>
            <wp:positionV relativeFrom="page">
              <wp:posOffset>226060</wp:posOffset>
            </wp:positionV>
            <wp:extent cx="3584575" cy="1543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58457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Figure 12. Subcutaneous administration of AKB-9778 significantly reduces IOP in patients with normal ocular pressure.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 Supporting Topical Ocular Delivery of AKB-9778: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Based on preliminary clinical proof-of-concept by subcutaneous administration of AKB-9778, Aerpio is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advancing a topical ocular program for AKB-9778 as a conventional outflow-targeted approach to the treatment of patients with POAG or ocular hypertension. AKB-9778 is soluble in aqueous solution and preliminary topical ocular studies in rabbits have demonstrated good tolerability, superior aqueous humor exposure and IOP lowering compared to subcutaneous administration. The AKB-9778 topical formulation was well tolerated and exposure was demonstrated in the aqueous humor following two days of three times a day 30 μL topical ocular administration to both eyes of New Zealand White rabbits. These data suggest that a topical ocular formulation of AKB-9778 may be sufficient to deliver AKB-9778 to target ocular tissues with acceptable tolerability.</w:t>
      </w:r>
    </w:p>
    <w:p>
      <w:pPr>
        <w:spacing w:after="0" w:line="10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AKB-9778 topical ocular formulation was also well tolerated following seven days of once daily, or QD, and twice daily, or BID, 30 μL topical ocular administration to both eyes in New Zealand White Rabbits with normal ocular pressure, and demonstrated a dose-dependent and statistically significant reduction in IOP of both QD and BID topical ocular dosing at the highest dose level, as shown in the figure below. Reduction in IOP persisted for at least 24 hours following the last dosing period and the treatment was well-tolerated with no visible irritation or hyperemia seen.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118110</wp:posOffset>
            </wp:positionV>
            <wp:extent cx="3361690" cy="23755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169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80"/>
        <w:spacing w:after="0" w:line="266" w:lineRule="auto"/>
        <w:rPr>
          <w:sz w:val="20"/>
          <w:szCs w:val="20"/>
          <w:color w:val="auto"/>
        </w:rPr>
      </w:pPr>
      <w:r>
        <w:rPr>
          <w:rFonts w:ascii="Arial" w:cs="Arial" w:eastAsia="Arial" w:hAnsi="Arial"/>
          <w:sz w:val="18"/>
          <w:szCs w:val="18"/>
          <w:b w:val="1"/>
          <w:bCs w:val="1"/>
          <w:color w:val="auto"/>
        </w:rPr>
        <w:t>Figure 13. IOP effects of topical ocular compared to subcutaneous AKB-9778 in male rabbits. High dose topical ocular (40 mg/ml) AKB-9778 administered either QD or BID reduced IOP more than low dose topical (15 mg/ml) or subcutaneous (10 mg/kg) administration BID (Day 7). IOP effects persisted 24 hours post dose (Day 8).</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6" w:name="page17"/>
    <w:bookmarkEnd w:id="16"/>
    <w:p>
      <w:pPr>
        <w:ind w:right="180"/>
        <w:spacing w:after="0" w:line="277" w:lineRule="auto"/>
        <w:rPr>
          <w:sz w:val="20"/>
          <w:szCs w:val="20"/>
          <w:color w:val="auto"/>
        </w:rPr>
      </w:pPr>
      <w:r>
        <w:rPr>
          <w:rFonts w:ascii="Arial" w:cs="Arial" w:eastAsia="Arial" w:hAnsi="Arial"/>
          <w:sz w:val="18"/>
          <w:szCs w:val="18"/>
          <w:color w:val="auto"/>
        </w:rPr>
        <w:t>We plan to initiate a Phase 1b study to evaluate the potential of topical AKB-9778 to lower IOP in the first half of 2019, with top-line results expected to be available by the third quarter of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AKB-4924 for Inflammatory Bowel Disease</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AKB-4924 works by inhibiting HIF prolyl-hydroxylase enzymes. Unlike other compounds currently in development that act broadly against all forms of HIF, AKB-4924 selectively stabilizes a specific form of HIF, HIF-1 alpha. HIF-1 alpha has a profound effect on innate immunity and epithelial barrier function. However, HIF-1alpha differs from HIF-2, in that it does not stimulate the formation of new red blood cells. That characteristic of greater selectivity could, we believe, make AKB-4924 a more attractive means to target HIF in IBD. We have tested AKB-4924 in multiple preclinical models of IBD and it has shown promising activity in these models. We recently completed a Phase 1a single-ascending dose trial in healthy volunteers with orally administered AKB-4924. We observed a consistent dose/exposure relationship with no notable adverse events at any dose level. Importantly, we observed no stimulation of erythropoietin expression, an effect which could lead to a dose-limiting safety effect. Based on preclinical data, we believe that AKB-4924 has therapeutic potential for the treatment of IBD via a once-daily, oral route of administration. We believe that the potency, selectivity, activity in animal models, and the ability to dose AKB-4924 orally distinguish it from other agents targeting this pathway.</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plan on developing AKB-4924 as a once-daily oral pill for the treatment of inflammatory bowel disease, or IBD. IBD is a group of inflammatory and autoimmune conditions that affect the gastrointestinal tract, typically resulting in severe abdominal pain, weight loss, fatigue, rectal bleeding/bloody stools and diarrhea. The most common forms of IBD include ulcerative colitis and Crohn’s disease, which are estimated to affect approximately 3 million people in the United States. Chronic IBD can be a debilitating condition, and advanced cases may require surgery to remove the affected region of the bowel. Based on the data observed in preclinical and clinical studies to date, we believe that AKB-4924 may have advantages over other products that are either currently approved or in late stage development for IBD.</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Current therapies are primarily focused on broad spectrum immunosuppressants which only indirectly promote healing of damaged tissue. In contrast, HIF-1 alpha stabilization has been shown to selectively reduce inflammation as well as directly stimulate restoration of the intestinal barrier in animal models and thus we believe represents an attractive novel target.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IBD Treatments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Current therapies are primarily focused on broad spectrum anti-inflammatory molecules or immunosuppressants which only indirectly promote healing of damaged tissue. These therapies include aminosalicylate derivatives such as mesalazine, corticosteroids such as prednisone, and immunomodulatory biologics such as infliximab. Each of these therapies is associated with their own side effects ranging from hypersensitivity to increasing the risks of developing malignancies or reactivation of latent viral infections.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While reducing inflammation and modulating the immune response address key pathological processes in IBD, these approaches do not directly target some of the underlying causes of the disease. Those causes include defects in the cell-to-cell junctions of the intestinal cell wall that can lead to the triggering of the immune system. HIF-1 alpha stabilization has been shown to selectively reduce inflammation as well as directly stimulate restoration of this intestinal barrier in animal models, and, thus, represents an attractive novel approach to treating this disease.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AKB-4924</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believe that, if approved, AKB-4924 provides a solution to all the major unmet needs in IBD. We have tested AKB-4924 in multiple models including chemical and immune-mediated disease. We have observed consistent and promising activity across these models. Based on our pre-clinical toxicology program to date, we have observed no signs of secondary malignancies, immunosuppression, risk of opportunistic infection or immunogenicity, adverse events that have all been seen in clinical studies of agents that are currently approved for treatment of or being studied in the treatment of IBD. We plan to develop AKB-4924 as a once a day, oral tablet, which we believe is a preferred route of administration compared to the biologics commonly used as first line therapy, which require parenteral administration. Taken together, we believe that AKB-4924, if approved, has the potential to be the preferred first-line treatment for patients with moderate-severe inflammatory bowel disease.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1701165</wp:posOffset>
            </wp:positionH>
            <wp:positionV relativeFrom="page">
              <wp:posOffset>226060</wp:posOffset>
            </wp:positionV>
            <wp:extent cx="4159250" cy="2118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15925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Figure 14. Potential for AKB-4924 in the treatment of inflammatory bowel disease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Data for AKB-4924</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preclinical models of inflammatory bowel disease, AKB-4924 significantly improved disease in both the maintenance and induction treatment modes, including reducing key inflammatory cytokines and increasing the expression of mucosal wound healing factors. In a mouse model of colitis 2,4,6-trinitrobenzenesulfonic acid, or TNBS, is used to induce severe inflammation in the colon resulting in multiple symptoms that mimic human disease including easy to measure signs such as weight loss. Oral dosing of 5 mg/kg AKB-4924 showed significant levels of recovery from this weight loss within four days. In addition, levels of inflammatory cytokines including interleukin 1 beta, TNFalpha, interleukin 12 p70, and interleukin 6 were significantly reduced in animals receiving AKB-4924 (p &lt; 0.05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71755</wp:posOffset>
            </wp:positionV>
            <wp:extent cx="3884930" cy="3027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8493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15. Orally dosed AKB-4924 (5 mg/kg) reverses weight loss induced by trinitrobezenesulfonic acid (TNBS) colitis.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312" w:lineRule="auto"/>
        <w:rPr>
          <w:sz w:val="20"/>
          <w:szCs w:val="20"/>
          <w:color w:val="auto"/>
        </w:rPr>
      </w:pPr>
      <w:r>
        <w:rPr>
          <w:rFonts w:ascii="Arial" w:cs="Arial" w:eastAsia="Arial" w:hAnsi="Arial"/>
          <w:sz w:val="16"/>
          <w:szCs w:val="16"/>
          <w:color w:val="auto"/>
        </w:rPr>
        <w:t>AKB-4924 was also tested in an alternate model of IBD induced by overexpression of tumor necrosis factor-alpha (TNF-alpha) in a model of Crohn’s Disease known as the ∆ARE model. In this model, the induced high levels of TNF-alpha lead to the development of Crohn’s-like disease due to inflammation of intestinal tissues or ileitis. AKB-4924 administered at 5 mg/kg improved ileitis and led to significantly reduced overall inflammation in the intestine.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33655</wp:posOffset>
            </wp:positionV>
            <wp:extent cx="4973955" cy="382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73955" cy="382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280" w:right="240"/>
        <w:spacing w:after="0" w:line="282" w:lineRule="auto"/>
        <w:rPr>
          <w:sz w:val="20"/>
          <w:szCs w:val="20"/>
          <w:color w:val="auto"/>
        </w:rPr>
      </w:pPr>
      <w:r>
        <w:rPr>
          <w:rFonts w:ascii="Arial" w:cs="Arial" w:eastAsia="Arial" w:hAnsi="Arial"/>
          <w:sz w:val="18"/>
          <w:szCs w:val="18"/>
          <w:b w:val="1"/>
          <w:bCs w:val="1"/>
          <w:color w:val="auto"/>
        </w:rPr>
        <w:t>Figure 16. Terminal ileitis in control animals (a-top panel), terminal ileitis was completely reversed via administration of AKB-4924 (a-bottom panel). AKB-4924 administration resulted in a decrease of all inflammatory scores.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Data for AKB-4924</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To date, AKB-4924 has completed a single-ascending dose trial in healthy male volunteers. Healthy volunteers were given a single oral dose of AKB-4924 of 20mg, 60mg, 120 mg, or 240 mg. Findings from this trial support the safety, local activity, selective HIF-1alpha stabilization, and dose dependent exposure of oral AKB-4924. Consistent with the selectivity of AKB-4924 for HIF-1alpha, there were no significant changes in levels of circulating erythropoietin (EPO) in this trial. Other studies have shown that regulation of EPO is primarily dependent on the activity of HIF-2.</w:t>
      </w:r>
    </w:p>
    <w:p>
      <w:pPr>
        <w:spacing w:after="0" w:line="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that the data observed in nonclinical and clinical studies with orally administered AKB-4924 provide a compelling rationale to advance its development for the treatment of inflammatory bowel disease.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ARP-1536</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ARP-1536 is a humanized monoclonal antibody currently in preclinical development that is directed at the same target as AKB-9778. ARP-1536 binds the extracellular domain of VE-PTP inhibiting its ability to interact with Tie2. Our preclinical development program has shown that inhibiting VE-PTP with an antibody results in an activity profile similar to AKB-9778 in a number of different models of retinopathy. We are evaluating development options for ARP-1536, including once-monthly subcutaneous injection for the treatment of diabetic vascular complications and once-monthly intravitreal injection for advanced diabetic eye disease, such as DME and PDR.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December 31, 2017, we owned at least 33 U.S. patents, at least 15 pending U.S. provisional or non-provisional patent applications, at least 324 foreign patents, and at least 118 pending foreign applications, and a had a non-exclusive license to one U.S. patent, with claims directed toward various aspects of our product candidates and research programs. Specifically, the claims of these patents and patent applications include compositions of matter, methods of use, drug product formulations, and methods of manufacture. Such patents and patent applications, if issued, are expected to expire on various dates from 2027 to 2037, without taking into account any possible patent term adjustments or extensions. Within the foregoing patent portfolio, as of December 31, 2017, we owned at least 3 U.S. patents, at least 5 pending U.S. provisional or non-provisional patent applications, at least 36 foreign patents, and at least 21 pending foreign applications that are directed toward ARP-1536, and formulations or uses thereof. As of December 31, 2017, within the foregoing patent portfolio, we owned at least 21 U.S. patents, at least 9 pending U.S. provisional or non-provisional patent applications, at least 171 foreign patents, and at least 75 pending foreign applications that are directed toward AKB-9778, and formulations, medicinal chemistry variants, or uses thereof. As of December 31, 2017, within the foregoing patent portfolio, we owned at least 9 U.S. patents, at least 1 pending U.S. provisional or non-provisional patent application, at least 117 foreign patents, and at least 22 pending foreign applications, and had 1 non-exclusively in-licensed U.S. patent that are directed toward AKB-4924, and formulations, manufacturing processes, medicinal chemistry variants, or uses thereof. Such patents claiming compositions of matter directed toward ARP-1536 are set to expire in 2027, without taking into account any possible patent term adjustments or extensions. Such patents claiming compositions of matter directed toward AKB-9778 are set to expire in 2027, without taking into account any possible patent term adjustments or extensions. Such patents claiming compositions of matter directed toward AKB-4924 are set to expire in 2030, without taking into account any possible patent term adjustments or extensions.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are a number of currently marketed products and product candidates in preclinical research and clinical development by third parties to treat the various diseases that we are targeting. If AKB-9778 and our other product candidates are approved for the indications that we are targeting, they will compete with the products and product candidates discussed below.</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DR—Lucentis was recently approved to treat patients with DR. In addition, laser photocoagulation is sometimes used to treat DR prior to the onset of DME and temporarily prevent further vision loss. The anti-VEGF agent, Eylea (aflibercept), which is injected into the eye, is in a Phase 3 study for DR without DME, entitled PANORAMA. In addition, we are aware that there are a number of other companies that are actively developing product candidates for the treatment of DR without DME.</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DME—The principal competitors for our program in DME are the anti-Ang-2 antibodies REGN-910 (nesvacumab) and RG7716 (bi-specific antibody which targets VEGF-A and Ang-2). Both of these compounds are in Phase 2 studies in DME, RUBY and BOULEVARD, respectively.</w:t>
      </w:r>
    </w:p>
    <w:p>
      <w:pPr>
        <w:spacing w:after="0" w:line="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IBD—Current therapies for IBD include anti-inflammatory molecules, or immunosuppressants such as aminosalicylate derivatives, corticosteroids, and immunomodulatory biologics. In addition, we are aware that there are a number of other companies that are actively developing product candidates for the treatment of IBD, including: filgotinib; ozanimod; mongresen; ABT-494; ADP-334; MT-1303; PTG-100; TD-1473; amongst others.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hold worldwide commercialization rights to all of our product candidates. Subject to receiving marketing approval, we intend to independently pursue the commercialization of AKB-9778 in the United States for DR by building a focused sales and marketing organization in these geographies. We believe that such an organization will be able to address the community of physicians who are key specialists in treating the patient populations for which our product candidates are being developed.</w:t>
      </w:r>
    </w:p>
    <w:p>
      <w:pPr>
        <w:spacing w:after="0" w:line="7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Outside of the United States, we intend to pursue the approval and commercialization of AKB-9778 for DR through strategic collaborations. We may develop and commercialize AKB-9778 for other indications either independently or through collaborations with third parties. We may develop and commercialize AKB-4924, subject to receiving additional funding, which we may seek to obtain in connection with a collaboration with a strategic and commercial partner. We may also develop and commercialize ARP-1536, subject to receiving additional funding, which may be from a collaboration with a strategic or commercial partner.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currently own or operate manufacturing facilities for the production of clinical or commercial quantities of our product candidates. We have relied on and intend to continue to rely on qualified third-party contract manufacturers to produce our product candidates, including clinical supplies to support our clinical trials. We expect that commercial quantities of any compound and materials for our product candidates, if approved, will be manufactured in facilities and by processes that comply with FDA and other regulations. At the appropriate time in the product development process, we will determine whether to establish manufacturing facilities or continue to rely on third parties to manufacture commercial quantities of any products that we may successfully develop.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and biologics under the FDCA and the Public Health Service Act, or PHSA, and its implementing regulations. FDA approval is required before any new unapproved drug or biologic or dosage form, including a new use of a previously approved drug, can be marketed in the United States. Drugs and biologics are also subject to other federal, state, and local statutes and regulations. If we fail to comply with applicable FDA or other requirements at any time during the product development process, clinical testing, the approval process or after approval, we may become subject to administrative or judicial sanctions. These sanctions could include the FDA’s refusal to approve pending applications, license suspension or revocation, withdrawal of an approval,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225" w:lineRule="exact"/>
        <w:rPr>
          <w:sz w:val="20"/>
          <w:szCs w:val="20"/>
          <w:color w:val="auto"/>
        </w:rPr>
      </w:pPr>
    </w:p>
    <w:p>
      <w:pPr>
        <w:ind w:left="1300" w:right="100" w:hanging="428"/>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and nonclinical animal studies, all performed in accordance with the Good Laboratory Practices, or GLP, regulations;</w:t>
      </w:r>
    </w:p>
    <w:p>
      <w:pPr>
        <w:spacing w:after="0" w:line="1" w:lineRule="exact"/>
        <w:rPr>
          <w:rFonts w:ascii="Arial" w:cs="Arial" w:eastAsia="Arial" w:hAnsi="Arial"/>
          <w:sz w:val="18"/>
          <w:szCs w:val="18"/>
          <w:color w:val="auto"/>
        </w:rPr>
      </w:pPr>
    </w:p>
    <w:p>
      <w:pPr>
        <w:ind w:left="1300" w:right="160" w:hanging="428"/>
        <w:spacing w:after="0" w:line="261"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 and must be updated annually;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1" w:name="page22"/>
    <w:bookmarkEnd w:id="21"/>
    <w:p>
      <w:pPr>
        <w:ind w:left="1300" w:right="160" w:hanging="428"/>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representing each clinical site before each clinical trial may be initiated;</w:t>
      </w:r>
    </w:p>
    <w:p>
      <w:pPr>
        <w:spacing w:after="0" w:line="1" w:lineRule="exact"/>
        <w:rPr>
          <w:rFonts w:ascii="Arial" w:cs="Arial" w:eastAsia="Arial" w:hAnsi="Arial"/>
          <w:sz w:val="18"/>
          <w:szCs w:val="18"/>
          <w:color w:val="auto"/>
        </w:rPr>
      </w:pPr>
    </w:p>
    <w:p>
      <w:pPr>
        <w:ind w:left="1300" w:right="420" w:hanging="428"/>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w:t>
      </w:r>
    </w:p>
    <w:p>
      <w:pPr>
        <w:ind w:left="1300" w:right="140" w:hanging="428"/>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or a new drug application, or NDA, after completion of all pivotal clinical trials;</w:t>
      </w:r>
    </w:p>
    <w:p>
      <w:pPr>
        <w:ind w:left="1300" w:hanging="428"/>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the product application by an FDA advisory committee, where appropriate and if applicable;</w:t>
      </w:r>
    </w:p>
    <w:p>
      <w:pPr>
        <w:spacing w:after="0" w:line="9" w:lineRule="exact"/>
        <w:rPr>
          <w:rFonts w:ascii="Arial" w:cs="Arial" w:eastAsia="Arial" w:hAnsi="Arial"/>
          <w:sz w:val="18"/>
          <w:szCs w:val="18"/>
          <w:color w:val="auto"/>
        </w:rPr>
      </w:pPr>
    </w:p>
    <w:p>
      <w:pPr>
        <w:ind w:left="1300" w:right="40" w:hanging="428"/>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current Good Manufacturing Practices, or cGMP;</w:t>
      </w:r>
    </w:p>
    <w:p>
      <w:pPr>
        <w:ind w:left="1300" w:right="260" w:hanging="428"/>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BLA or NDA; and</w:t>
      </w:r>
    </w:p>
    <w:p>
      <w:pPr>
        <w:ind w:left="1300" w:right="180" w:hanging="428"/>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a BLA for a biologic drug candidate that is safe, pure, and potent or an NDA for a drug candidate that is safe and effective prior to any commercial marketing or sale of the product in the United States.</w:t>
      </w:r>
    </w:p>
    <w:p>
      <w:pPr>
        <w:spacing w:after="0" w:line="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 IND is a request for authorization from the FDA to administer an investigational new drug or biological product to humans in clinical trials. The central focus of an IND submission is on the general investigational plan, the protocol(s) for human trials, and the safety of study participants.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Clinical trials involve the administration of the investigational new drug or biological product to human subjects under the supervision of qualified investigators in accordance with Good Clinical Practices, or GCPs, which include the requirement that all research subjects provide their informed consent for their participation in any clinical trial. Clinical trials are conducted under protocols detailing, among other things, the objectives of the study, the inclusion and exclusion criteria,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institutional review board, or IRB, before the trials may be initiated, and the IRB must monitor the trial until completed. There are also requirements governing the reporting of ongoing clinical trials and clinical trial results to public registries.</w:t>
      </w:r>
    </w:p>
    <w:p>
      <w:pPr>
        <w:spacing w:after="0" w:line="17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clinical investigation of a drug or biological product is generally divided into three or four phases. Although the phases are usually conducted sequentially, they may overlap or be combined.</w:t>
      </w:r>
    </w:p>
    <w:p>
      <w:pPr>
        <w:spacing w:after="0" w:line="387" w:lineRule="exact"/>
        <w:rPr>
          <w:sz w:val="20"/>
          <w:szCs w:val="20"/>
          <w:color w:val="auto"/>
        </w:rPr>
      </w:pPr>
    </w:p>
    <w:p>
      <w:pPr>
        <w:ind w:left="1300" w:right="100" w:hanging="428"/>
        <w:spacing w:after="0" w:line="288"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The drug or biological product is initially introduced into healthy human subjects or patients with the target disease or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These studies are designed to evaluate the safety, dosage tolerance, metabolism and pharmacologic actions of the investigational product in humans, the side effects associated with increasing doses, and if possible, to gain early evidence on effectiveness.</w:t>
      </w:r>
    </w:p>
    <w:p>
      <w:pPr>
        <w:ind w:left="1300" w:right="540" w:hanging="428"/>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investigational product is administered to a limited patient population to evaluate dosage tolerance and optimal dosage,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possible adverse side effects and safety risks, and preliminarily evaluate efficacy.</w:t>
      </w:r>
    </w:p>
    <w:p>
      <w:pPr>
        <w:jc w:val="both"/>
        <w:ind w:left="1300" w:right="160" w:hanging="428"/>
        <w:spacing w:after="0" w:line="25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investigational product is administered to an expanded patient population, generally at geographically dispersed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sites to generate enough data to statistically evaluate dosage, clinical effectiveness and safety (or safety, purity, and potency for biological products), to evaluate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1300"/>
        <w:spacing w:after="0"/>
        <w:rPr>
          <w:sz w:val="20"/>
          <w:szCs w:val="20"/>
          <w:color w:val="auto"/>
        </w:rPr>
      </w:pPr>
      <w:r>
        <w:rPr>
          <w:rFonts w:ascii="Arial" w:cs="Arial" w:eastAsia="Arial" w:hAnsi="Arial"/>
          <w:sz w:val="18"/>
          <w:szCs w:val="18"/>
          <w:color w:val="auto"/>
        </w:rPr>
        <w:t>overall benefit-risk profile of the investigational product, and to provide an adequate basis for physician labeling.</w:t>
      </w:r>
    </w:p>
    <w:p>
      <w:pPr>
        <w:spacing w:after="0" w:line="23" w:lineRule="exact"/>
        <w:rPr>
          <w:sz w:val="20"/>
          <w:szCs w:val="20"/>
          <w:color w:val="auto"/>
        </w:rPr>
      </w:pPr>
    </w:p>
    <w:p>
      <w:pPr>
        <w:ind w:left="1300" w:right="80" w:hanging="428"/>
        <w:spacing w:after="0" w:line="30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Phase 4. </w:t>
      </w:r>
      <w:r>
        <w:rPr>
          <w:rFonts w:ascii="Arial" w:cs="Arial" w:eastAsia="Arial" w:hAnsi="Arial"/>
          <w:sz w:val="16"/>
          <w:szCs w:val="16"/>
          <w:color w:val="auto"/>
        </w:rPr>
        <w:t>In some cases, the FDA may condition approval of a BLA or NDA for a product candidate on the sponsor’s agreement to conduct</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clinical trials after approval. In other cases, a sponsor may voluntarily conduct additional clinical trials after approval to gain more information about the drug or biological product. Such post-approval studies are typically referred to as Phase 4 clinical trials.</w:t>
      </w:r>
    </w:p>
    <w:p>
      <w:pPr>
        <w:spacing w:after="0" w:line="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 BLA or NDA to the FDA</w:t>
      </w:r>
    </w:p>
    <w:p>
      <w:pPr>
        <w:spacing w:after="0" w:line="117"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detailed investigational new drug product information is submitted to the FDA in the form of a BLA or NDA requesting approval to market the product for one or more indications. Under federal law, the submission of most BLAs and NDAs is subject to an application user fee. For fiscal year 2018, the application user fee is $2,421,495, and the sponsor of an approved BLA or NDA is also subject to an annual program fee of $304,162 for each approved prescription drug or biological product on the market.</w:t>
      </w:r>
    </w:p>
    <w:p>
      <w:pPr>
        <w:spacing w:after="0" w:line="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These fees are typically increased annually. Applications for orphan drug products are exempted from the BLA and NDA user fees and may be exempted from program fees, unless the application includes an indication for other than a rare disease or condition.</w:t>
      </w:r>
    </w:p>
    <w:p>
      <w:pPr>
        <w:spacing w:after="0" w:line="7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 BLA or NDA must include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trials initiated by investigators. To support marketing approval, the data submitted must be sufficient in quality and quantity to establish the safety and effectiveness of the investigational new drug product to the satisfaction of the FDA.</w:t>
      </w:r>
    </w:p>
    <w:p>
      <w:pPr>
        <w:spacing w:after="0" w:line="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Once a BLA or NDA has been accepted for filing, the FDA’s goal for novel drug and biological products generally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the FDA’s requests for additional information or clarification.</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Before approving a BLA or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compliance with GCP.</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 is required to refer an application for a novel drug or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FDA’s Decision on a BLA or NDA</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After the FDA evaluates the BLA or NDA and conducts relevant inspections,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will identify the deficiencies that prevent the FDA from approving the application and may require additional clinical data or an additional Phase 3 clinical trial(s), or other significant, expensive and time-consuming requirements related to clinical trials, nonclinical studies or manufacturing. Even if such additional information is submitted, the FDA may ultimately decide that the BLA or NDA does not satisfy the criteria for approval and issue a denial.</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FDA could also approve the BLA or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w:t>
      </w:r>
    </w:p>
    <w:p>
      <w:pPr>
        <w:spacing w:after="0" w:line="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New government requirements, including those resulting from new legislation, may be established, or the FDA’s policies may change, which could delay or prevent regulatory approval of our products under development.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and Accelerated Approval Programs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BLAs and NDAs. For example, Fast Track Designation may be granted to a drug intended for treatment of a serious or life-threatening disease or condition that has potential to address unmet medical needs. The key benefits of fast track designation are more frequent interactions with the FDA during development and testing, the eligibility for priority review, and rolling review, which is submission of portions of an application before the complete marketing application is submitted.</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Based on results of the Phase 3 clinical trial(s) submitted in a BLA or NDA, the FDA may grant the BLA or NDA a priority review designation, which sets the target date for FDA action on the application for a novel product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8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Under the accelerated approval program, the FDA may approve a BLA or 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after marketing approval are generally required to verify the drug’s clinical benefit in relationship to the surrogate endpoint or ultimate outcome in relationship to the clinical benefit.</w:t>
      </w:r>
    </w:p>
    <w:p>
      <w:pPr>
        <w:spacing w:after="0" w:line="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line="276" w:lineRule="auto"/>
        <w:rPr>
          <w:sz w:val="20"/>
          <w:szCs w:val="20"/>
          <w:color w:val="auto"/>
        </w:rPr>
      </w:pPr>
      <w:r>
        <w:rPr>
          <w:rFonts w:ascii="Arial" w:cs="Arial" w:eastAsia="Arial" w:hAnsi="Arial"/>
          <w:sz w:val="17"/>
          <w:szCs w:val="17"/>
          <w:color w:val="auto"/>
        </w:rPr>
        <w:t>Drug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96" w:lineRule="exact"/>
        <w:rPr>
          <w:sz w:val="20"/>
          <w:szCs w:val="20"/>
          <w:color w:val="auto"/>
        </w:rPr>
      </w:pPr>
    </w:p>
    <w:p>
      <w:pPr>
        <w:ind w:left="1300" w:hanging="428"/>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34" w:lineRule="exact"/>
        <w:rPr>
          <w:rFonts w:ascii="Arial" w:cs="Arial" w:eastAsia="Arial" w:hAnsi="Arial"/>
          <w:sz w:val="17"/>
          <w:szCs w:val="17"/>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9" w:lineRule="exact"/>
        <w:rPr>
          <w:rFonts w:ascii="Arial" w:cs="Arial" w:eastAsia="Arial" w:hAnsi="Arial"/>
          <w:sz w:val="18"/>
          <w:szCs w:val="18"/>
          <w:color w:val="auto"/>
        </w:rPr>
      </w:pPr>
    </w:p>
    <w:p>
      <w:pPr>
        <w:ind w:left="1300" w:hanging="428"/>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approve pending BLAs or NDAs or supplements to approved BLAs or NDAs, or suspension or revocation of product license approvals;</w:t>
      </w: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 and Exclusivity</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Development program candidates designated as orphan drugs are exempt from the above requirements. FDA and the sponsor must reach agreement on the PSP. A sponsor can submit amendments to an agreed upon initial PSP at any time if changes to the pediatric plan need to be considered based on data collected from nonclinical studies, early phase clinical trials, and/or other clinical development programs.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5" w:name="page26"/>
    <w:bookmarkEnd w:id="25"/>
    <w:p>
      <w:pPr>
        <w:ind w:right="140"/>
        <w:spacing w:after="0" w:line="254"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 BLA or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or NDA sponsor’s data.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or NDA, plus the time between the submission date and the approval of that application.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 or NDA.</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Patient Protection and Affordable Care Act, or Affordable Care Act, signed into law on March 23, 2010, includes a subtitle called the Biologics Price Competition and Innovation Act of 2009, or BPCI Act, which created an abbreviated approval pathway for biological products shown to be similar to, or interchangeable with, an FDA-licensed reference biological product. This amendment to the PHSA attempts to minimize duplicative testing. Biosimilarity, which requires that there be no clinically meaningful differences between the proposed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A reference biologic is granted twelve years of exclusivity from the time of first licensure of the reference product.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New Drug Applications, or ANDA for Generic Drugs</w:t>
      </w:r>
    </w:p>
    <w:p>
      <w:pPr>
        <w:spacing w:after="0" w:line="117"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In 1984, with passage of the Hatch-Waxman Amendments,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nonclinical and clinical testing previously conducted for a drug product previously approved under an NDA, known as the reference listed drug, or RLD.</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Specifically, in order for an ANDA to be approved, the FDA must find that the generic version is the same as the RLD with respect to the active ingredient(s), the route of administration, the dosage form, the strength of the drug and the labeling (with certain exceptions). At the same time, the FDA must also determine that the generic drug is “bioequivalent” to the innovator drug. Under the statute, a generic drug is bioequivalent to an RLD if “the rate and extent of absorption of the [generic] drug do not show a significant difference from the rate and extent of absorption of the listed drug.”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20"/>
        <w:spacing w:after="0" w:line="302" w:lineRule="auto"/>
        <w:rPr>
          <w:sz w:val="20"/>
          <w:szCs w:val="20"/>
          <w:color w:val="auto"/>
        </w:rPr>
      </w:pPr>
      <w:r>
        <w:rPr>
          <w:rFonts w:ascii="Arial" w:cs="Arial" w:eastAsia="Arial" w:hAnsi="Arial"/>
          <w:sz w:val="16"/>
          <w:szCs w:val="16"/>
          <w:color w:val="auto"/>
        </w:rPr>
        <w:t>Upon approval of an ANDA, the FDA assigns a therapeutic equivalence rating to the approved generic drug in its publication “Approved Drug Products with Therapeutic Equivalence Evaluations,” also referred to as the “Orange Book.” Physicians and pharmacists consider an “A” therapeutic equivalence rating to mean that a generic drug is fully substitutable for the RLD. In addition, by operation of certain state laws and numerous health insurance programs, the FDA’s designation of an “A” rating often results in substitution of the generic drug without the knowledge or consent of either the prescribing physician or patient.</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FDCA provides a period of five years of non-patent exclusivity for a new drug containing a new chemical entity. In cases where such exclusivity has been granted, an ANDA (or a 505(b)(2) NDA, which is a marketing application in which sponsors may rely on investigations that were not conducted by or for the applicant and for which the applicant has not obtained a right of reference or use from the person by or for whom the investigations were conducted) may not be filed with the FDA until the expiration of five years unless the submission is accompanied by a Paragraph IV certification, discussed below,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or 505(b)(2) applicant files its application with the FDA, the applicant is required to certify to the FDA concerning any patents listed for the reference product in the Orange Book, except for patents covering methods of use for which the ANDA or 505(b)(2) applicant is not seeking approval.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225" w:lineRule="exact"/>
        <w:rPr>
          <w:sz w:val="20"/>
          <w:szCs w:val="20"/>
          <w:color w:val="auto"/>
        </w:rPr>
      </w:pPr>
    </w:p>
    <w:p>
      <w:pPr>
        <w:ind w:left="1300" w:hanging="428"/>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a listed patent, the ANDA or 505(b)(2) application will not be approved until the listed patent expires (unless the patent claims only a method-of-using the referenced product and the ANDA or 505(b)(2) applicant indicates that it is not seeking approval of the claimed method of use).</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the applicant has provided a Paragraph IV certification to the FDA, the applicant must also send notice of the Paragraph IV certification to the NDA and patent holders once the ANDA or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expiration of the patent, a decision in the infringement case that is favorable to the ANDA or 505(b)(2) applicant, or 30 months after the receipt of the Paragraph IV notice (which can be extended if the reference product has 5-year exclusivity and the ANDA or 505(b)(2) application is submitted between 4 and 5 years after approval of the reference product).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Union/Rest of World Government Regulation</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ind w:right="100"/>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or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6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To obtain regulatory approval of an investigational medicinal product under European Union regulatory systems, we must submit a marketing authorization application. The content of the BLA or NDA filed in the United States is similar to that required in the European Union, with the exception of, among other things, country-specific document requirements.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product licensing, pricing, and reimbursement vary from country to country.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Countries that are part of the European Union, as well as countries outside of the European Union, have their own governing bodies, requirements, and processes with respect to the approval of pharmaceutical and biologic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Procedures in the European Union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Medicines can be authorized in the European Union by using either the centralized authorization procedure or national authorization procedures.</w:t>
      </w:r>
    </w:p>
    <w:p>
      <w:pPr>
        <w:spacing w:after="0" w:line="237" w:lineRule="exact"/>
        <w:rPr>
          <w:sz w:val="20"/>
          <w:szCs w:val="20"/>
          <w:color w:val="auto"/>
        </w:rPr>
      </w:pPr>
    </w:p>
    <w:p>
      <w:pPr>
        <w:ind w:left="1300" w:hanging="428"/>
        <w:spacing w:after="0" w:line="284"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The EMA implemented the centralized procedure for the approval of human medicines to facilitate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that are valid throughout the European Economic Area, or EEA, which is comprised of the 28 member states of the European Union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4" w:lineRule="exact"/>
        <w:rPr>
          <w:rFonts w:ascii="Arial" w:cs="Arial" w:eastAsia="Arial" w:hAnsi="Arial"/>
          <w:sz w:val="16"/>
          <w:szCs w:val="16"/>
          <w:color w:val="auto"/>
        </w:rPr>
      </w:pPr>
    </w:p>
    <w:p>
      <w:pPr>
        <w:jc w:val="both"/>
        <w:ind w:left="1300" w:right="200" w:hanging="428"/>
        <w:spacing w:after="0" w:line="265"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ind w:left="1300" w:right="360" w:hanging="428"/>
        <w:spacing w:after="0" w:line="265"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National authorization procedures. </w:t>
      </w:r>
      <w:r>
        <w:rPr>
          <w:rFonts w:ascii="Arial" w:cs="Arial" w:eastAsia="Arial" w:hAnsi="Arial"/>
          <w:sz w:val="17"/>
          <w:szCs w:val="17"/>
          <w:color w:val="auto"/>
        </w:rPr>
        <w:t>There are also two other possible routes to authorize medicinal products in several European Union</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which are available for investigational medicinal products that fall outside the scope of the centralized procedure:</w:t>
      </w:r>
    </w:p>
    <w:p>
      <w:pPr>
        <w:ind w:left="1300" w:right="40" w:hanging="428"/>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Using the decentralized procedure, an applicant may apply for simultaneous authorization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country of medicinal products that have not yet been authorized in any European Union country and that do not fall within the mandatory scope of the centralized procedure.</w:t>
      </w:r>
    </w:p>
    <w:p>
      <w:pPr>
        <w:spacing w:after="0" w:line="1" w:lineRule="exact"/>
        <w:rPr>
          <w:rFonts w:ascii="Arial" w:cs="Arial" w:eastAsia="Arial" w:hAnsi="Arial"/>
          <w:sz w:val="18"/>
          <w:szCs w:val="18"/>
          <w:color w:val="auto"/>
        </w:rPr>
      </w:pPr>
    </w:p>
    <w:p>
      <w:pPr>
        <w:ind w:left="1300" w:right="60" w:hanging="428"/>
        <w:spacing w:after="0" w:line="25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Mutual recognition procedure. </w:t>
      </w:r>
      <w:r>
        <w:rPr>
          <w:rFonts w:ascii="Arial" w:cs="Arial" w:eastAsia="Arial" w:hAnsi="Arial"/>
          <w:sz w:val="18"/>
          <w:szCs w:val="18"/>
          <w:color w:val="auto"/>
        </w:rPr>
        <w:t>In the mutual recognition procedure, a medicine is first authorized in one European Union Member State,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880"/>
        <w:spacing w:after="0" w:line="342" w:lineRule="auto"/>
        <w:rPr>
          <w:sz w:val="20"/>
          <w:szCs w:val="20"/>
          <w:color w:val="auto"/>
        </w:rPr>
      </w:pPr>
      <w:r>
        <w:rPr>
          <w:rFonts w:ascii="Arial" w:cs="Arial" w:eastAsia="Arial" w:hAnsi="Arial"/>
          <w:sz w:val="16"/>
          <w:szCs w:val="16"/>
          <w:color w:val="auto"/>
        </w:rPr>
        <w:t>In some cases, a Pediatric Investigation Plan, or PIP, or a request for waiver or deferral, is required for submission prior to submitting a marketing authorization application. A PIP describes, among other things, proposed pediatric trials and their timing relative to clinical trials in adults.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Chemical Entity Exclusivity</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Review</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or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w:t>
      </w:r>
    </w:p>
    <w:p>
      <w:pPr>
        <w:spacing w:after="0" w:line="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collectively, the Affordable Care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Some of the provisions of the Affordable Care Act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spacing w:after="0" w:line="293" w:lineRule="auto"/>
        <w:rPr>
          <w:sz w:val="20"/>
          <w:szCs w:val="20"/>
          <w:color w:val="auto"/>
        </w:rPr>
      </w:pPr>
      <w:r>
        <w:rPr>
          <w:rFonts w:ascii="Arial" w:cs="Arial" w:eastAsia="Arial" w:hAnsi="Arial"/>
          <w:sz w:val="16"/>
          <w:szCs w:val="16"/>
          <w:color w:val="auto"/>
        </w:rPr>
        <w:t>of the Affordable Care Act.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Thus, the full impact of the Affordable Care Act, or any law replacing elements of it, on our business remains unclear. Adoption of government controls and measures, and tightening of restrictive policies in jurisdictions with existing controls and measures, could limit payments for pharmaceuticals.</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87" w:lineRule="exact"/>
        <w:rPr>
          <w:sz w:val="20"/>
          <w:szCs w:val="20"/>
          <w:color w:val="auto"/>
        </w:rPr>
      </w:pPr>
    </w:p>
    <w:p>
      <w:pPr>
        <w:jc w:val="both"/>
        <w:ind w:left="1300" w:hanging="428"/>
        <w:spacing w:after="0" w:line="25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jc w:val="both"/>
        <w:ind w:left="1300" w:hanging="428"/>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 w:lineRule="exact"/>
        <w:rPr>
          <w:rFonts w:ascii="Arial" w:cs="Arial" w:eastAsia="Arial" w:hAnsi="Arial"/>
          <w:sz w:val="18"/>
          <w:szCs w:val="18"/>
          <w:color w:val="auto"/>
        </w:rPr>
      </w:pPr>
    </w:p>
    <w:p>
      <w:pPr>
        <w:ind w:left="1300" w:right="580" w:hanging="428"/>
        <w:spacing w:after="0" w:line="28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 w:lineRule="exact"/>
        <w:rPr>
          <w:rFonts w:ascii="Arial" w:cs="Arial" w:eastAsia="Arial" w:hAnsi="Arial"/>
          <w:sz w:val="16"/>
          <w:szCs w:val="16"/>
          <w:color w:val="auto"/>
        </w:rPr>
      </w:pPr>
    </w:p>
    <w:p>
      <w:pPr>
        <w:ind w:left="1300" w:right="340" w:hanging="428"/>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Payment Sunshine Act, that requires drug and biologics manufacturers to disclose payments and other transfers of value provided to physicians and teaching hospitals;</w:t>
      </w:r>
    </w:p>
    <w:p>
      <w:pPr>
        <w:ind w:left="1300" w:right="140" w:hanging="428"/>
        <w:spacing w:after="0" w:line="28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and Clinical Health Act, or HITECH, and its implementing regulations, which imposes certain requirements relating to the privacy, security and transmission of individually identifiable health information; and</w:t>
      </w:r>
    </w:p>
    <w:p>
      <w:pPr>
        <w:spacing w:after="0" w:line="1" w:lineRule="exact"/>
        <w:rPr>
          <w:rFonts w:ascii="Arial" w:cs="Arial" w:eastAsia="Arial" w:hAnsi="Arial"/>
          <w:sz w:val="16"/>
          <w:szCs w:val="16"/>
          <w:color w:val="auto"/>
        </w:rPr>
      </w:pPr>
    </w:p>
    <w:p>
      <w:pPr>
        <w:ind w:left="1300" w:hanging="428"/>
        <w:spacing w:after="0" w:line="25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also subject to the U.S. Foreign Corrupt Practices Act, or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including environmental, health and safety laws and regulations,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As of December 31, 2017, we had 25 full-time or part-time employees, including 13 employees with doctorate level degrees. Of these employees, 17 employees are engaged in research and development activities and 8 employees are engaged in general and administrative activities. None of our employees are represented by labor unions or covered by collective bargaining agreements. We consider the relationship with our employees to be good.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occupy approximately 7,580 rentable square feet of office and laboratory space in Ohio under a lease that expires on June 30, 2018. We have an option to extend the lease term until June 30, 2021. We believe that this office and laboratory space is sufficient to meet our current needs and that suitable additional space will be available as and when needed.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2 of this Annual Report on Form 10-K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incurred net losses each year since our inception, including net losses of $21.4 million and $17.0 million for the years ended December 31, 2017 and 2016, respectively. As of December 31, 2017, we had an accumulated deficit of $108.6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Our lead product candidate, AKB-9778, completed a proof of concept Phase 2 clinical trial in April 2015, and we initiated a Phase 2b clinical trial in June 2017. Our product candidate AKB-4924 in our HIF-1-a stabilization program recently completed a Phase 1a trial and we expect to initiate a multiple ascending dose study in the second quarter of 2018. Our other product candidates are in preclinical development. As a result, we expect that it will be several years, if ever, before we have a product candidate ready for commercialization. Even if we obtain regulatory approval to market AKB-9778 or any of our other product candidates, our future revenues will depend upon the size of any markets in which AKB-9778 or any of our other product candidates has received approval, our ability to achieve sufficient market acceptance, reimbursement from third-party payors and other factors.</w:t>
      </w:r>
    </w:p>
    <w:p>
      <w:pPr>
        <w:spacing w:after="0" w:line="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likely increase significantly if and as we:</w:t>
      </w:r>
    </w:p>
    <w:p>
      <w:pPr>
        <w:spacing w:after="0" w:line="170" w:lineRule="exact"/>
        <w:rPr>
          <w:sz w:val="20"/>
          <w:szCs w:val="20"/>
          <w:color w:val="auto"/>
        </w:rPr>
      </w:pPr>
    </w:p>
    <w:p>
      <w:pPr>
        <w:ind w:left="1300" w:right="860" w:hanging="428"/>
        <w:spacing w:after="0" w:line="258"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our Phase 2 program and prepare for a future Phase 3 development program of AKB-9778 for the treatment of diabetic retinopathy, or DR, including as we continue our ongoing TIME-2b clinical trial.</w:t>
      </w:r>
    </w:p>
    <w:p>
      <w:pPr>
        <w:spacing w:after="0" w:line="1"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20" w:lineRule="exact"/>
        <w:rPr>
          <w:rFonts w:ascii="Arial" w:cs="Arial" w:eastAsia="Arial" w:hAnsi="Arial"/>
          <w:sz w:val="17"/>
          <w:szCs w:val="17"/>
          <w:color w:val="auto"/>
        </w:rPr>
      </w:pPr>
    </w:p>
    <w:p>
      <w:pPr>
        <w:ind w:left="1300" w:right="360" w:hanging="428"/>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AKB-9778, AKB-4924, ARP-1536 and other product candidates that we may develop or acquire;</w:t>
      </w: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December 31, 2017, our cash and cash equivalents were $20.3 million. We believe that we will continue to expend substantial resources for the foreseeable future developing AKB-9778 for diabetic retinopathy and any other indications that we may pursue, such as primary open angle glaucoma. Additionally, we expect to expend substantial resources to further develop AKB-4924, particularly as we prepare to initiate our planned multiple ascending dose study in the second quarter of 2018, as well as ARP-1536, for which we are evaluating development options.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1300" w:right="20" w:hanging="428"/>
        <w:spacing w:after="0" w:line="291"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rate of progress, results and cost of completing our Phase 2 program of AKB-9778 and our operating costs incurred as we conduct these trials and through our end of Phase 2 meeting with the FDA, and equivalent meetings with the EMA and other regulatory authorities;</w:t>
      </w:r>
    </w:p>
    <w:p>
      <w:pPr>
        <w:ind w:left="1300" w:right="140" w:hanging="428"/>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assuming AKB-9778 advances to Phase 3 clinical trials, the scope, size, rate of progress, results and costs of initiating and completing our Phase 3 development program of AKB-9778;</w:t>
      </w:r>
    </w:p>
    <w:p>
      <w:pPr>
        <w:ind w:left="1300" w:right="200" w:hanging="428"/>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1" w:lineRule="exact"/>
        <w:rPr>
          <w:rFonts w:ascii="Arial" w:cs="Arial" w:eastAsia="Arial" w:hAnsi="Arial"/>
          <w:sz w:val="18"/>
          <w:szCs w:val="18"/>
          <w:color w:val="auto"/>
        </w:rPr>
      </w:pPr>
    </w:p>
    <w:p>
      <w:pPr>
        <w:ind w:left="1300" w:hanging="428"/>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AKB-4924, ARP-1536 and any other product candidates that we may develop or acquire;</w:t>
      </w:r>
    </w:p>
    <w:p>
      <w:pPr>
        <w:ind w:left="1300" w:right="400" w:hanging="428"/>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AKB-4924 and ARP-1536 if clinical trials of these product candidates are successful;</w:t>
      </w:r>
    </w:p>
    <w:p>
      <w:pPr>
        <w:ind w:left="1300" w:right="300" w:hanging="428"/>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ind w:left="1300" w:hanging="428"/>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9" w:lineRule="exact"/>
        <w:rPr>
          <w:rFonts w:ascii="Arial" w:cs="Arial" w:eastAsia="Arial" w:hAnsi="Arial"/>
          <w:sz w:val="18"/>
          <w:szCs w:val="18"/>
          <w:color w:val="auto"/>
        </w:rPr>
      </w:pPr>
    </w:p>
    <w:p>
      <w:pPr>
        <w:ind w:left="1300" w:right="460" w:hanging="428"/>
        <w:spacing w:after="0" w:line="26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 w:name="page34"/>
    <w:bookmarkEnd w:id="33"/>
    <w:p>
      <w:pPr>
        <w:ind w:left="1300" w:right="280" w:hanging="428"/>
        <w:spacing w:after="0" w:line="258"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such agreements; and</w:t>
      </w:r>
    </w:p>
    <w:p>
      <w:pPr>
        <w:spacing w:after="0" w:line="1" w:lineRule="exact"/>
        <w:rPr>
          <w:rFonts w:ascii="Arial" w:cs="Arial" w:eastAsia="Arial" w:hAnsi="Arial"/>
          <w:sz w:val="18"/>
          <w:szCs w:val="18"/>
          <w:color w:val="auto"/>
        </w:rPr>
      </w:pPr>
    </w:p>
    <w:p>
      <w:pPr>
        <w:ind w:left="1300" w:hanging="428"/>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Based on our current operating plan, and absent any future financings or strategic partnerships, we believe that our existing cash and cash equivalents and investments will be sufficient to fund our projected operating expenses and capital expenditure requirements into the fourth quarter of fiscal year 2018.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AKB-4924, ARP-1536 or any other product candidates that we develop or acquire, or delay, limit, reduce or terminate our establishment of sales and marketing capabilities or other activities that may be necessary to commercialize our product candidates.</w:t>
      </w:r>
    </w:p>
    <w:p>
      <w:pPr>
        <w:spacing w:after="0" w:line="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auditors’ report on our December 31, 2017 financial statements included an explanatory paragraph regarding there being substantial doubt about our ability to continue as a going concern.</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 history of losses since inception and expect to continue to incur operating and net losses for the foreseeable future as we continue our research and development efforts and establish the necessary administrative functions to support our growing operations and being a public company, and such losses may increase in the future. Therefore, there is substantial doubt about our ability to continue operations in the future as a going concern, as highlighted by our auditors with respect to the financial statements for the year ended December 31, 2017. Although our financial statements raise substantial doubt about our ability to continue as a going concern, they do not reflect any adjustments that might result if we are unable to continue our business. If we cannot continue as a viable entity, our stockholders may lose some or all of their investment in our company.</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If we are unable to raise additional funds through equity or debt financing when needed, we may be required to delay, limit, reduce or terminate our product development or commercialization efforts for AKB-9778, AKB-4924, ARP-1536 or any other product candidates that we develop or acquire, or grant rights to develop and market product candidates that we would otherwise prefer to develop and market ourselves.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three product candidates,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20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We depend heavily on the success of our lead product candidate, AKB-9778, which is currently in Phase 2 clinical development. Even if we obtain favorable clinical results, we may not be able to obtain regulatory approval for, or successfully commercialize, AKB-9778.</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rely on our lead product candidate, AKB-9778, which is currently in Phase 2 clinical development, and our business depends almost entirely on the successful clinical development, regulatory approval and commercialization of that product candidate, which may never occur. We currently have no products for sale, generate no revenues from sales of any drugs, and may never be able to develop marketable products. AKB-9778, which completed a proof of concept Phase 2 clinical trial in April 2015, will require substantial additional clinical development, testing, manufacturing process development, and regulatory approval before we are permitted to commence its commercialization. In June 2017, we announced the initiation of patient dosing in our ongoing Phase 2b clinical trial of AKB-9778 in patients with DR. Additionally, in July 2017 we announced the completion of a single-center study of the safety and efficacy of treatment with concomitant anti-VEGF therapy. Our other product candidate, AKB-4924, recently completed a Phase 1a trial, and which we plan to initiate a multiple ascending dose study in the second quarter of 2018. In addition, we are currently evaluating development options for ARP-1536. None of our product candidates has advanced into a pivotal trial, and it may be years before such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regarding its ability to treat patients with DR, we must complete our ongoing clinical trials, Phase 3 trials, and any additional non-clinical studies or clinical trials required by the FDA. To date, we have only completed a Phase 2 clinical trial for AKB-9778 and five other early stage trials.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AKB-9778 will never obtain regulatory approval. The FDA may delay, limit or deny approval of AKB-9778 for many reasons, including, among others:</w:t>
      </w:r>
    </w:p>
    <w:p>
      <w:pPr>
        <w:spacing w:after="0" w:line="178" w:lineRule="exact"/>
        <w:rPr>
          <w:sz w:val="20"/>
          <w:szCs w:val="20"/>
          <w:color w:val="auto"/>
        </w:rPr>
      </w:pPr>
    </w:p>
    <w:p>
      <w:pPr>
        <w:ind w:left="1300" w:hanging="428"/>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demonstrate that AKB-9778 is safe and effective in treating patients with DR to the satisfaction of the FDA;</w:t>
      </w:r>
    </w:p>
    <w:p>
      <w:pPr>
        <w:spacing w:after="0" w:line="34" w:lineRule="exact"/>
        <w:rPr>
          <w:rFonts w:ascii="Arial" w:cs="Arial" w:eastAsia="Arial" w:hAnsi="Arial"/>
          <w:sz w:val="17"/>
          <w:szCs w:val="17"/>
          <w:color w:val="auto"/>
        </w:rPr>
      </w:pPr>
    </w:p>
    <w:p>
      <w:pPr>
        <w:ind w:left="1300" w:hanging="428"/>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20" w:lineRule="exact"/>
        <w:rPr>
          <w:rFonts w:ascii="Arial" w:cs="Arial" w:eastAsia="Arial" w:hAnsi="Arial"/>
          <w:sz w:val="17"/>
          <w:szCs w:val="17"/>
          <w:color w:val="auto"/>
        </w:rPr>
      </w:pPr>
    </w:p>
    <w:p>
      <w:pPr>
        <w:ind w:left="1300" w:hanging="428"/>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AKB-9778;</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9" w:lineRule="exact"/>
        <w:rPr>
          <w:rFonts w:ascii="Arial" w:cs="Arial" w:eastAsia="Arial" w:hAnsi="Arial"/>
          <w:sz w:val="18"/>
          <w:szCs w:val="18"/>
          <w:color w:val="auto"/>
        </w:rPr>
      </w:pPr>
    </w:p>
    <w:p>
      <w:pPr>
        <w:ind w:left="1300" w:right="580" w:hanging="428"/>
        <w:spacing w:after="0" w:line="26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fail to perform in accordance with the FDA’s good clinical practice, or GCP, requirements;</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20" w:lineRule="exact"/>
        <w:rPr>
          <w:rFonts w:ascii="Arial" w:cs="Arial" w:eastAsia="Arial" w:hAnsi="Arial"/>
          <w:sz w:val="17"/>
          <w:szCs w:val="17"/>
          <w:color w:val="auto"/>
        </w:rPr>
      </w:pPr>
    </w:p>
    <w:p>
      <w:pPr>
        <w:ind w:left="1300" w:right="500" w:hanging="428"/>
        <w:spacing w:after="0" w:line="26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requiring that we amend or submit new clinical protocols.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In addition, similar reasons may cause the EMA or other regulatory authorities to delay, limit or deny approval of AKB-9778 outside the United States.</w:t>
      </w:r>
    </w:p>
    <w:p>
      <w:pPr>
        <w:spacing w:after="0" w:line="1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AKB-9778. Because our business is substantially dependent upon AKB-9778, any such setback in our pursuit of regulatory approval would have a material adverse effect on our business and prospects.</w:t>
      </w:r>
    </w:p>
    <w:p>
      <w:pPr>
        <w:spacing w:after="0" w:line="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obtained agreement with the FDA, EMA or other regulatory authorities on the design of our Phase 3 development program.</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not obtained agreement with the FDA on the design of our Phase 3 development program. We plan to hold an end of Phase 2 meeting with the FDA upon successful completion of our Phase 2 clinical program. If the FDA determines that the Phase 2 trial results do not support moving into a pivotal program, we would be required to conduct additional Phase 2 studies. Alternatively, the FDA could disagree with our proposed design of our Phase 3 development program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the Phase 3 trials meet their primary endpoints. The FDA also may require that we conduct additional clinical, nonclinical or manufacturing validation studies and submit that data before it will consider an NDA application.</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While we intend to follow the regulatory pathway that ranibizumab and aflibercept undertook when they were approved for DR in the presence of DME, we have not yet sought guidance for the regulatory path for AKB-9778 with the EMA or other regulatory authorities. We cannot predict what additional requirements may be imposed by these regulatory authorities or how such requirements might delay or increase costs for our planned Phase 3 development program. For example, ranibizumab and aflibercept are anti-vascular endothelial growth factor, or anti-VEGF therapies, which block vascular endothelial growth factor, used in the treatment of DR, DME, age-related macular degeneration and retinal vein occlusion, while AKB-9778 is a small molecule activator of the Tie-2 pathway, and such differences may result in a different regulatory pathway for AKB-9778, including one that may be longer, more complex or expensive than that of ranibizumab or aflibercept. Because our business is almost entirely dependent upon the successful development, regulatory approval, and commercialization of AKB-9778, any such delay or increase costs would have an adverse effect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competitors may have ongoing clinical trials for product candidates that could be competitive with our product candidates, and patients who would otherwise be eligible for our clinical trials may instead enroll in clinical trials of our competitors’ product candidates. For example, while we have initiated patient dosing in our TIME-2b clinical trial, there is no guarantee that we can successfully enroll patients in a timely manner.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6" w:name="page37"/>
    <w:bookmarkEnd w:id="36"/>
    <w:p>
      <w:pPr>
        <w:ind w:right="34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170" w:lineRule="exact"/>
        <w:rPr>
          <w:sz w:val="20"/>
          <w:szCs w:val="20"/>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9" w:lineRule="exact"/>
        <w:rPr>
          <w:rFonts w:ascii="Arial" w:cs="Arial" w:eastAsia="Arial" w:hAnsi="Arial"/>
          <w:sz w:val="18"/>
          <w:szCs w:val="18"/>
          <w:color w:val="auto"/>
        </w:rPr>
      </w:pPr>
    </w:p>
    <w:p>
      <w:pPr>
        <w:ind w:left="1300" w:right="160" w:hanging="428"/>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AKB-9778 in relation to available therapies or other products under development;</w:t>
      </w: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AKB-9778 is successful in Phase 2 development, we currently expect to conduct our Phase 3 clinical trial of AKB-9778 that may include trial sites outside of the United States, including Japan and the European Union, and seek regulatory approval for AKB-9778 for the treatment of patients with DR in major markets in addition to the United States, including the European Union. Our ability to successfully initiate, enroll and complete a clinical trial in any foreign country, should we attempt to do so, is subject to numerous risks unique to conducting business in international markets, including:</w:t>
      </w:r>
    </w:p>
    <w:p>
      <w:pPr>
        <w:spacing w:after="0" w:line="171" w:lineRule="exact"/>
        <w:rPr>
          <w:sz w:val="20"/>
          <w:szCs w:val="20"/>
          <w:color w:val="auto"/>
        </w:rPr>
      </w:pPr>
    </w:p>
    <w:p>
      <w:pPr>
        <w:ind w:left="1300" w:hanging="42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9" w:lineRule="exact"/>
        <w:rPr>
          <w:rFonts w:ascii="Arial" w:cs="Arial" w:eastAsia="Arial" w:hAnsi="Arial"/>
          <w:sz w:val="18"/>
          <w:szCs w:val="18"/>
          <w:color w:val="auto"/>
        </w:rPr>
      </w:pPr>
    </w:p>
    <w:p>
      <w:pPr>
        <w:ind w:left="1300" w:right="20" w:hanging="428"/>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ind w:left="1300" w:hanging="42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AKB-9778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Phase 1 and Phase 2 clinical trials of AKB-9778 are not necessarily predictive of the results of our completed and any future clinical trials of AKB-9778. If we cannot replicate the positive results from our Phase 1 and Phase 2 clinical trials of AKB-9778 in our ongoing and subsequent clinical trials, we may be unable to successfully develop, obtain regulatory approval for and commercialize AKB-9778.</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our early encouraging preclinical and clinical results for AKB-9778 do not ensure that the results of our ongoing clinical trials, including TIME-2b, or any future clinical trials will demonstrate similar results. Our planned Phase 2 and Phase 3 development program will enroll a larger number of subjects and will treat subjects for longer periods than our prior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5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experience delays in our planned Phase 2 clinical trial for AKB-9778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225" w:lineRule="exact"/>
        <w:rPr>
          <w:sz w:val="20"/>
          <w:szCs w:val="20"/>
          <w:color w:val="auto"/>
        </w:rPr>
      </w:pPr>
    </w:p>
    <w:p>
      <w:pPr>
        <w:ind w:left="1300" w:hanging="42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23" w:lineRule="exact"/>
        <w:rPr>
          <w:rFonts w:ascii="Arial" w:cs="Arial" w:eastAsia="Arial" w:hAnsi="Arial"/>
          <w:sz w:val="18"/>
          <w:szCs w:val="18"/>
          <w:color w:val="auto"/>
        </w:rPr>
      </w:pPr>
    </w:p>
    <w:p>
      <w:pPr>
        <w:ind w:left="1300" w:right="720" w:hanging="428"/>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ind w:left="1300" w:hanging="42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59"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jc w:val="both"/>
        <w:ind w:right="80"/>
        <w:spacing w:after="0" w:line="264" w:lineRule="auto"/>
        <w:rPr>
          <w:sz w:val="20"/>
          <w:szCs w:val="20"/>
          <w:color w:val="auto"/>
        </w:rPr>
      </w:pPr>
      <w:r>
        <w:rPr>
          <w:rFonts w:ascii="Arial" w:cs="Arial" w:eastAsia="Arial" w:hAnsi="Arial"/>
          <w:sz w:val="18"/>
          <w:szCs w:val="18"/>
          <w:color w:val="auto"/>
        </w:rPr>
        <w:t>recordkeeping for the product will be subject to extensive and ongoing regulatory requirements. These requirements include submissions of safety and other post-marketing information and reports, registration, as well as continued compliance with current Good Manufacturing Practice, or cGMP, requirements and GCP requirements for any clinical trials that we conduct post-approval.</w:t>
      </w:r>
    </w:p>
    <w:p>
      <w:pPr>
        <w:spacing w:after="0" w:line="7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24" w:lineRule="exact"/>
        <w:rPr>
          <w:sz w:val="20"/>
          <w:szCs w:val="20"/>
          <w:color w:val="auto"/>
        </w:rPr>
      </w:pPr>
    </w:p>
    <w:p>
      <w:pPr>
        <w:ind w:left="1300" w:hanging="42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9" w:lineRule="exact"/>
        <w:rPr>
          <w:rFonts w:ascii="Arial" w:cs="Arial" w:eastAsia="Arial" w:hAnsi="Arial"/>
          <w:sz w:val="18"/>
          <w:szCs w:val="18"/>
          <w:color w:val="auto"/>
        </w:rPr>
      </w:pPr>
    </w:p>
    <w:p>
      <w:pPr>
        <w:ind w:left="1300" w:right="160" w:hanging="428"/>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ind w:left="1300" w:hanging="42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ongoing trials of AKB-9778. We expect to continue to rely on third parties, such as CROs, clinical data management organizations, medical institutions and clinical investigators to conduct our clinical trials in the future, including our Phase 3 development program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6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320"/>
        <w:spacing w:after="0" w:line="277" w:lineRule="auto"/>
        <w:rPr>
          <w:sz w:val="20"/>
          <w:szCs w:val="20"/>
          <w:color w:val="auto"/>
        </w:rPr>
      </w:pPr>
      <w:r>
        <w:rPr>
          <w:rFonts w:ascii="Arial" w:cs="Arial" w:eastAsia="Arial" w:hAnsi="Arial"/>
          <w:sz w:val="18"/>
          <w:szCs w:val="18"/>
          <w:color w:val="auto"/>
        </w:rPr>
        <w:t>extended, delayed, suspended or terminated. If any of these events occur, we may not be able to obtain regulatory approval of our product candidates on a timely basis or at all.</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on third parties to conduct some or all aspects of our product manufacturing, and these third parties may not perform satisfactorily.</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of these third parties may terminate their engagement with us at any time. We believe we have sufficient drug product to complete our ongoing trials of AKB-9778. We have entered into an agreement for the manufacturing of the drug substance for the Phase 2 development program of AKB-9778. However, if this manufacturer cannot perform as agreed, we may be required to find replacement manufacturers. We do not currently have arrangements in place for the manufacturing of drug product for the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237" w:lineRule="exact"/>
        <w:rPr>
          <w:sz w:val="20"/>
          <w:szCs w:val="20"/>
          <w:color w:val="auto"/>
        </w:rPr>
      </w:pPr>
    </w:p>
    <w:p>
      <w:pPr>
        <w:ind w:left="1300" w:hanging="428"/>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23" w:lineRule="exact"/>
        <w:rPr>
          <w:rFonts w:ascii="Arial" w:cs="Arial" w:eastAsia="Arial" w:hAnsi="Arial"/>
          <w:sz w:val="18"/>
          <w:szCs w:val="18"/>
          <w:color w:val="auto"/>
        </w:rPr>
      </w:pPr>
    </w:p>
    <w:p>
      <w:pPr>
        <w:ind w:left="1300" w:right="240" w:hanging="428"/>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ind w:left="1300" w:hanging="428"/>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20" w:lineRule="exact"/>
        <w:rPr>
          <w:rFonts w:ascii="Arial" w:cs="Arial" w:eastAsia="Arial" w:hAnsi="Arial"/>
          <w:sz w:val="17"/>
          <w:szCs w:val="17"/>
          <w:color w:val="auto"/>
        </w:rPr>
      </w:pPr>
    </w:p>
    <w:p>
      <w:pPr>
        <w:ind w:left="1300" w:hanging="428"/>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1300" w:right="180" w:hanging="428"/>
        <w:spacing w:after="0" w:line="261"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8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right="140"/>
        <w:spacing w:after="0" w:line="271" w:lineRule="auto"/>
        <w:rPr>
          <w:sz w:val="20"/>
          <w:szCs w:val="20"/>
          <w:color w:val="auto"/>
        </w:rPr>
      </w:pPr>
      <w:r>
        <w:rPr>
          <w:rFonts w:ascii="Arial" w:cs="Arial" w:eastAsia="Arial" w:hAnsi="Arial"/>
          <w:sz w:val="17"/>
          <w:szCs w:val="17"/>
          <w:color w:val="auto"/>
        </w:rPr>
        <w:t>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 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6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171" w:lineRule="exact"/>
        <w:rPr>
          <w:sz w:val="20"/>
          <w:szCs w:val="20"/>
          <w:color w:val="auto"/>
        </w:rPr>
      </w:pPr>
    </w:p>
    <w:p>
      <w:pPr>
        <w:ind w:left="1300" w:hanging="428"/>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a product might be sold; and</w:t>
      </w:r>
    </w:p>
    <w:p>
      <w:pPr>
        <w:spacing w:after="0" w:line="20" w:lineRule="exact"/>
        <w:rPr>
          <w:rFonts w:ascii="Arial" w:cs="Arial" w:eastAsia="Arial" w:hAnsi="Arial"/>
          <w:sz w:val="17"/>
          <w:szCs w:val="17"/>
          <w:color w:val="auto"/>
        </w:rPr>
      </w:pPr>
    </w:p>
    <w:p>
      <w:pPr>
        <w:ind w:left="1300" w:hanging="428"/>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approved, we plan to commercialize AKB-9778 ourselves in the United States and intend to seek one or more strategic collaborators to commercialize AKB-9778 in additional markets. In addition, we intend to develop AKB-4924 and plan to initiate a multiple ascending dose study in the second quarter of 2018.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7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5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This will require us to be cognizant of the time from invention to filing of a patent application.</w:t>
      </w:r>
    </w:p>
    <w:p>
      <w:pPr>
        <w:spacing w:after="0" w:line="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right="40"/>
        <w:spacing w:after="0" w:line="270" w:lineRule="auto"/>
        <w:rPr>
          <w:sz w:val="20"/>
          <w:szCs w:val="20"/>
          <w:color w:val="auto"/>
        </w:rPr>
      </w:pPr>
      <w:r>
        <w:rPr>
          <w:rFonts w:ascii="Arial" w:cs="Arial" w:eastAsia="Arial" w:hAnsi="Arial"/>
          <w:sz w:val="17"/>
          <w:szCs w:val="17"/>
          <w:color w:val="auto"/>
        </w:rPr>
        <w:t>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currently have a non-exclusive license to one U.S. patent.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40"/>
        <w:spacing w:after="0" w:line="279" w:lineRule="auto"/>
        <w:rPr>
          <w:sz w:val="20"/>
          <w:szCs w:val="20"/>
          <w:color w:val="auto"/>
        </w:rPr>
      </w:pPr>
      <w:r>
        <w:rPr>
          <w:rFonts w:ascii="Arial" w:cs="Arial" w:eastAsia="Arial" w:hAnsi="Arial"/>
          <w:sz w:val="17"/>
          <w:szCs w:val="17"/>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AKB-9778 or AKB-4924 or other product candidates.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 candidates. Should a license to a third-party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which could in turn significantly harm our business.</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0"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320"/>
        <w:spacing w:after="0" w:line="264" w:lineRule="auto"/>
        <w:rPr>
          <w:sz w:val="20"/>
          <w:szCs w:val="20"/>
          <w:color w:val="auto"/>
        </w:rPr>
      </w:pPr>
      <w:r>
        <w:rPr>
          <w:rFonts w:ascii="Arial" w:cs="Arial" w:eastAsia="Arial" w:hAnsi="Arial"/>
          <w:sz w:val="18"/>
          <w:szCs w:val="18"/>
          <w:color w:val="auto"/>
        </w:rPr>
        <w:t>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Even if we obtain marketing approval for AKB-9778, AKB-4924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181" w:lineRule="exact"/>
        <w:rPr>
          <w:sz w:val="20"/>
          <w:szCs w:val="20"/>
          <w:color w:val="auto"/>
        </w:rPr>
      </w:pPr>
    </w:p>
    <w:p>
      <w:pPr>
        <w:ind w:left="1300" w:hanging="428"/>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23" w:lineRule="exact"/>
        <w:rPr>
          <w:rFonts w:ascii="Arial" w:cs="Arial" w:eastAsia="Arial" w:hAnsi="Arial"/>
          <w:sz w:val="18"/>
          <w:szCs w:val="18"/>
          <w:color w:val="auto"/>
        </w:rPr>
      </w:pPr>
    </w:p>
    <w:p>
      <w:pPr>
        <w:ind w:left="1300" w:right="680" w:hanging="428"/>
        <w:spacing w:after="0" w:line="261"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left="1300" w:right="40" w:hanging="428"/>
        <w:spacing w:after="0" w:line="258"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1" w:lineRule="exact"/>
        <w:rPr>
          <w:rFonts w:ascii="Arial" w:cs="Arial" w:eastAsia="Arial" w:hAnsi="Arial"/>
          <w:sz w:val="18"/>
          <w:szCs w:val="18"/>
          <w:color w:val="auto"/>
        </w:rPr>
      </w:pPr>
    </w:p>
    <w:p>
      <w:pPr>
        <w:ind w:left="1300" w:hanging="42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6"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example, the current established treatments for DME are anti-VEGF medications, including bevacizumab and ranibizumab, and the current established treatments for DR in the absence of DME include laser photocoagulation. We believe that that prescribers may be resistant to prescribing AKB-9778 with or instead of anti-VEGF medications, or instead of laser photocoagulation, which is currently the standard of care for DME and DR, respectively.</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7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25" w:lineRule="exact"/>
        <w:rPr>
          <w:sz w:val="20"/>
          <w:szCs w:val="20"/>
          <w:color w:val="auto"/>
        </w:rPr>
      </w:pP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32" w:lineRule="exact"/>
        <w:rPr>
          <w:rFonts w:ascii="Arial" w:cs="Arial" w:eastAsia="Arial" w:hAnsi="Arial"/>
          <w:sz w:val="16"/>
          <w:szCs w:val="16"/>
          <w:color w:val="auto"/>
        </w:rPr>
      </w:pP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w:t>
      </w:r>
    </w:p>
    <w:p>
      <w:pPr>
        <w:spacing w:after="0" w:line="9" w:lineRule="exact"/>
        <w:rPr>
          <w:rFonts w:ascii="Arial" w:cs="Arial" w:eastAsia="Arial" w:hAnsi="Arial"/>
          <w:sz w:val="18"/>
          <w:szCs w:val="18"/>
          <w:color w:val="auto"/>
        </w:rPr>
      </w:pPr>
    </w:p>
    <w:p>
      <w:pPr>
        <w:ind w:left="1300" w:right="20" w:hanging="428"/>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7" w:name="page48"/>
    <w:bookmarkEnd w:id="47"/>
    <w:p>
      <w:pPr>
        <w:ind w:right="4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3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right="60"/>
        <w:spacing w:after="0" w:line="277" w:lineRule="auto"/>
        <w:rPr>
          <w:sz w:val="20"/>
          <w:szCs w:val="20"/>
          <w:color w:val="auto"/>
        </w:rPr>
      </w:pPr>
      <w:r>
        <w:rPr>
          <w:rFonts w:ascii="Arial" w:cs="Arial" w:eastAsia="Arial" w:hAnsi="Arial"/>
          <w:sz w:val="18"/>
          <w:szCs w:val="18"/>
          <w:color w:val="auto"/>
        </w:rPr>
        <w:t>may cause a similar reduction in payments from private payors. Similar regulations or reimbursement policies may be enacted in international markets which could similarly impact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6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ACA.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without companion legislation to replace it, and a “skinny” version of the Better Care Reconciliation Act of 2017. Each of these measures was rejected by the full U.S. Senate. Congress also could consider subsequent legislation to replace elements of the ACA Act that are repealed.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169" w:lineRule="exact"/>
        <w:rPr>
          <w:sz w:val="20"/>
          <w:szCs w:val="20"/>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AKB-9778 is approved and launched commercially, competing drugs may include current anti-VEGF drugs, including Lucentis, Eylea and Avastin in the treatment of DME, and current therapies including laser photocoagulation in the treatment of DR. We may face competition from potential DME and DR treatments.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t>pharmaceutical products. Large and established companies such as Roche and Regeneron, among others, compete in the market for products to treat DR and DME.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products may cause undesirable side effects or have other properties that delay or prevent their regulatory approval or limit their commercial potential.</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Undesirable side effects caused by our products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AKB-9778 is currently in Phase 2 clinical development.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170" w:lineRule="exact"/>
        <w:rPr>
          <w:sz w:val="20"/>
          <w:szCs w:val="20"/>
          <w:color w:val="auto"/>
        </w:rPr>
      </w:pP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9" w:lineRule="exact"/>
        <w:rPr>
          <w:rFonts w:ascii="Arial" w:cs="Arial" w:eastAsia="Arial" w:hAnsi="Arial"/>
          <w:sz w:val="18"/>
          <w:szCs w:val="18"/>
          <w:color w:val="auto"/>
        </w:rPr>
      </w:pPr>
    </w:p>
    <w:p>
      <w:pPr>
        <w:ind w:left="1300" w:right="280" w:hanging="428"/>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products, conduct our clinical trials and commercialize our product candidates.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highly dependent on members of our senior management, including Stephen Hoffman, our Chief Executive Officer, Michael Rogers, our Chief Financial Officer, Joseph Gardner, our President and Founder and former Chief Executive Officer, Kevin G. Peters, our Chief Scientific Officer and Stephen Pakola, our Chief Medical Officer. The loss of the services of any of these persons could impede the achievement of our research, development and commercialization objectives.</w:t>
      </w:r>
    </w:p>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8"/>
          <w:szCs w:val="18"/>
          <w:color w:val="auto"/>
        </w:rPr>
        <w:t>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8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contract research organizations or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140"/>
        <w:spacing w:after="0" w:line="277" w:lineRule="auto"/>
        <w:rPr>
          <w:sz w:val="20"/>
          <w:szCs w:val="20"/>
          <w:color w:val="auto"/>
        </w:rPr>
      </w:pPr>
      <w:r>
        <w:rPr>
          <w:rFonts w:ascii="Arial" w:cs="Arial" w:eastAsia="Arial" w:hAnsi="Arial"/>
          <w:sz w:val="18"/>
          <w:szCs w:val="18"/>
          <w:color w:val="auto"/>
        </w:rPr>
        <w:t>candidates. Even a successful defense would require significant financial and management resources. Regardless of the merits or eventual outcome, liability claims may result in:</w:t>
      </w:r>
    </w:p>
    <w:p>
      <w:pPr>
        <w:spacing w:after="0" w:line="170" w:lineRule="exact"/>
        <w:rPr>
          <w:sz w:val="20"/>
          <w:szCs w:val="20"/>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left="1300" w:hanging="428"/>
        <w:spacing w:after="0" w:line="291"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ind w:left="1300" w:hanging="428"/>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20" w:lineRule="exact"/>
        <w:rPr>
          <w:rFonts w:ascii="Arial" w:cs="Arial" w:eastAsia="Arial" w:hAnsi="Arial"/>
          <w:sz w:val="17"/>
          <w:szCs w:val="17"/>
          <w:color w:val="auto"/>
        </w:rPr>
      </w:pPr>
    </w:p>
    <w:p>
      <w:pPr>
        <w:ind w:left="1300" w:hanging="428"/>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9" w:lineRule="exact"/>
        <w:rPr>
          <w:rFonts w:ascii="Arial" w:cs="Arial" w:eastAsia="Arial" w:hAnsi="Arial"/>
          <w:sz w:val="18"/>
          <w:szCs w:val="18"/>
          <w:color w:val="auto"/>
        </w:rPr>
      </w:pPr>
    </w:p>
    <w:p>
      <w:pPr>
        <w:ind w:left="1300" w:right="480" w:hanging="428"/>
        <w:spacing w:after="0" w:line="261"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taken advantage of these reduced reporting burdens. In particular, we have provided only two years of audited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$75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Because we are quoted on the OTCQB instead of a national exchange or quotation system, our investors may experience significant volatility in the market price of our stock and have difficulty selling their shares.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common stock is currently quoted on the OTC Market Group’s OTCQB Market quotation system under the ticker symbol “ARPO.” The OTCQB are regulated quotation services that display real-time quotes, last sale prices and volume limitations in over-the-counter securities. Trading in shares quoted on the OTCQB is often thin and characterized by volatility in trading prices. This volatility may be caused by a variety of factors, including the lack of readily available price quotations, the absence of consistent administrative supervision of bid and ask quotations, lower trading volume and market conditions. As a result, there may be wide fluctuations in the market price of the shares of our common stock for reasons unrelated to operating performance, and this volatility, when it occurs, may have a negative effect on the market price for our securities. Moreover, the OTCQB is not a stock exchange, and trading of securities on them is often more sporadic than the trading of securities listed on a national quotation system or stock exchange. Accordingly, our stockholders may not be able to realize a fair price from their shares when they determine to sell them or may have to hold them for a substantial period of time until the market for our common stock improves.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designation of our common stock as a “penny stock” would limit the liquidity of our common stock.</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stocks in start-up companies are among the riskiest equity investments. Broker-dealers who sell penny stocks must provide purchasers of these stocks with a standardized risk-disclosure document prepared by the SEC. The document provides information about penny stocks and the nature and level of risks involved in investing in the penny stock market. A broker must also provide purchasers with bid and offer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60"/>
        <w:spacing w:after="0" w:line="259" w:lineRule="auto"/>
        <w:rPr>
          <w:sz w:val="20"/>
          <w:szCs w:val="20"/>
          <w:color w:val="auto"/>
        </w:rPr>
      </w:pPr>
      <w:r>
        <w:rPr>
          <w:rFonts w:ascii="Arial" w:cs="Arial" w:eastAsia="Arial" w:hAnsi="Arial"/>
          <w:sz w:val="18"/>
          <w:szCs w:val="18"/>
          <w:color w:val="auto"/>
        </w:rPr>
        <w:t>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Because of the penny stock rules, there may be less trading activity in penny stocks in any market that develops for our common stock in the future and stockholders are likely to have difficulty selling their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market for our common stock develops, its market price could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could be subject to wide fluctuations in response to many risk factors listed in this section, and others beyond our control, including:</w:t>
      </w:r>
    </w:p>
    <w:p>
      <w:pPr>
        <w:spacing w:after="0" w:line="189" w:lineRule="exact"/>
        <w:rPr>
          <w:sz w:val="20"/>
          <w:szCs w:val="20"/>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23"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20" w:lineRule="exact"/>
        <w:rPr>
          <w:rFonts w:ascii="Arial" w:cs="Arial" w:eastAsia="Arial" w:hAnsi="Arial"/>
          <w:sz w:val="17"/>
          <w:szCs w:val="17"/>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9" w:lineRule="exact"/>
        <w:rPr>
          <w:rFonts w:ascii="Arial" w:cs="Arial" w:eastAsia="Arial" w:hAnsi="Arial"/>
          <w:sz w:val="18"/>
          <w:szCs w:val="18"/>
          <w:color w:val="auto"/>
        </w:rPr>
      </w:pPr>
    </w:p>
    <w:p>
      <w:pPr>
        <w:ind w:left="1300" w:right="140" w:hanging="428"/>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9" w:lineRule="exact"/>
        <w:rPr>
          <w:rFonts w:ascii="Arial" w:cs="Arial" w:eastAsia="Arial" w:hAnsi="Arial"/>
          <w:sz w:val="18"/>
          <w:szCs w:val="18"/>
          <w:color w:val="auto"/>
        </w:rPr>
      </w:pPr>
    </w:p>
    <w:p>
      <w:pPr>
        <w:ind w:left="1300" w:hanging="428"/>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the stock market has recently experienced significant volatility, particularly with respect to pharmaceutical, biotechnology and other life sciences company stocks. The volatility of pharmaceutical,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line="257" w:lineRule="auto"/>
        <w:rPr>
          <w:sz w:val="20"/>
          <w:szCs w:val="20"/>
          <w:color w:val="auto"/>
        </w:rPr>
      </w:pPr>
      <w:r>
        <w:rPr>
          <w:rFonts w:ascii="Arial" w:cs="Arial" w:eastAsia="Arial" w:hAnsi="Arial"/>
          <w:sz w:val="18"/>
          <w:szCs w:val="18"/>
          <w:color w:val="auto"/>
        </w:rPr>
        <w:t>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December 31, 2017, our executive officers, directors and principal stockholders, together with their respective affiliates, owned approximately 65.6%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Because we did not become a reporting company by conducting an underwritten initial public offering of our common stock, and because we will not be listed on a national securities exchange, security analysts of brokerage firms may not provide coverage of our company. In addition, investment banks may be less likely to agree to underwrite secondary offerings on our behalf or recommend the purchase of our common stock than they might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will have an adverse effect on our ability to develop a liquid market for our common stock.</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currently intend to use our cash resources for continuing clinical development of AKB-9778 in patients with diabetic retinopathy, including the continuation of our ongoing trials and the preparation for and initiation of the Phase 3 trials and for working capital and other general corporate purposes. Although we currently intend to use our cash resources in such a manner, we will have broad discretion in the application of such cash resources. Our failure to apply these funds effectively could affect our ability to continue to develop and commercialize our product candidates. Pending their use, we may invest our cash resources in a manner that does not produce income or loses value.</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As a result of recently becoming a public company, we are incurring increased costs and our management devotes substantial time to public company compliance programs.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obtain listing on a national securities exchange.</w:t>
      </w:r>
    </w:p>
    <w:p>
      <w:pPr>
        <w:spacing w:after="0" w:line="6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right="160"/>
        <w:spacing w:after="0" w:line="342" w:lineRule="auto"/>
        <w:rPr>
          <w:sz w:val="20"/>
          <w:szCs w:val="20"/>
          <w:color w:val="auto"/>
        </w:rPr>
      </w:pPr>
      <w:r>
        <w:rPr>
          <w:rFonts w:ascii="Arial" w:cs="Arial" w:eastAsia="Arial" w:hAnsi="Arial"/>
          <w:sz w:val="16"/>
          <w:szCs w:val="16"/>
          <w:color w:val="auto"/>
        </w:rPr>
        <w:t>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79"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58" w:lineRule="exact"/>
        <w:rPr>
          <w:sz w:val="20"/>
          <w:szCs w:val="20"/>
          <w:color w:val="auto"/>
        </w:rPr>
      </w:pPr>
    </w:p>
    <w:p>
      <w:pPr>
        <w:ind w:left="1300" w:right="320" w:hanging="428"/>
        <w:spacing w:after="0" w:line="258"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 w:lineRule="exact"/>
        <w:rPr>
          <w:rFonts w:ascii="Arial" w:cs="Arial" w:eastAsia="Arial" w:hAnsi="Arial"/>
          <w:sz w:val="18"/>
          <w:szCs w:val="18"/>
          <w:color w:val="auto"/>
        </w:rPr>
      </w:pPr>
    </w:p>
    <w:p>
      <w:pPr>
        <w:ind w:left="1300" w:hanging="428"/>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9" w:lineRule="exact"/>
        <w:rPr>
          <w:rFonts w:ascii="Arial" w:cs="Arial" w:eastAsia="Arial" w:hAnsi="Arial"/>
          <w:sz w:val="18"/>
          <w:szCs w:val="18"/>
          <w:color w:val="auto"/>
        </w:rPr>
      </w:pPr>
    </w:p>
    <w:p>
      <w:pPr>
        <w:ind w:left="1300" w:right="40" w:hanging="428"/>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ind w:left="1300" w:hanging="428"/>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 w:lineRule="exact"/>
        <w:rPr>
          <w:rFonts w:ascii="Arial" w:cs="Arial" w:eastAsia="Arial" w:hAnsi="Arial"/>
          <w:sz w:val="18"/>
          <w:szCs w:val="18"/>
          <w:color w:val="auto"/>
        </w:rPr>
      </w:pPr>
    </w:p>
    <w:p>
      <w:pPr>
        <w:ind w:left="1300" w:right="400" w:hanging="428"/>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ind w:left="1300" w:right="140" w:hanging="428"/>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ind w:left="1300" w:right="440" w:hanging="428"/>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ind w:left="1300" w:right="380" w:hanging="428"/>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ind w:left="1300" w:hanging="428"/>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20" w:lineRule="exact"/>
        <w:rPr>
          <w:rFonts w:ascii="Arial" w:cs="Arial" w:eastAsia="Arial" w:hAnsi="Arial"/>
          <w:sz w:val="17"/>
          <w:szCs w:val="17"/>
          <w:color w:val="auto"/>
        </w:rPr>
      </w:pPr>
    </w:p>
    <w:p>
      <w:pPr>
        <w:ind w:left="1300" w:right="280" w:hanging="428"/>
        <w:spacing w:after="0" w:line="25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ind w:left="1300" w:hanging="428"/>
        <w:spacing w:after="0" w:line="265"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jc w:val="both"/>
        <w:ind w:left="1300" w:right="20" w:hanging="428"/>
        <w:spacing w:after="0" w:line="25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person acquired in excess of 15% of our outstanding voting stock, unless the merger or combination is approved in a prescribed manner.</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under Section 382 of the Code. Future analysis will still be required on any historical NOLs.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7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On December 22, 2017, The Tax Cuts and Jobs Act (the “2017 Tax Act”) was enacted and could have a material impact on our current and future income tax provision and disclosures.</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effective tax rates could be affected by numerous factors, such as intercompany transactions, entry into new businesses and geographies, changes to our existing businesses and operations, acquisitions and investments and how they are financed, potential changes in our stock price, changes in our deferred tax assets and liabilities and their valuation, and changes in the relevant tax, accounting, and other laws, regulations, administrative practices, principles, and interpretations. Finally, U.S. State governments may enact tax laws in response to the 2017 Tax Act that could result in further changes to taxation and materially affect our financial position and results of operations.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2017 Tax Act significantly changes how the U.S. taxes corporations. The 2017 Tax Act requires complex computations to be performed that were not previously required in U.S. tax law, significant judgments to be made in interpretation of the provisions of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any additional guidance, we may make adjustments to amounts that we have provisionally recorded in the period in which the adjustments are made.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corporate headquarters are located in Cincinnati, Ohio. We currently lease approximately 7,560 square feet of office space in Cincinnati under a lease that expires on June 30, 2018. We believe that our existing facilities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ind w:right="120"/>
        <w:spacing w:after="0" w:line="277" w:lineRule="auto"/>
        <w:rPr>
          <w:sz w:val="20"/>
          <w:szCs w:val="20"/>
          <w:color w:val="auto"/>
        </w:rPr>
      </w:pPr>
      <w:r>
        <w:rPr>
          <w:rFonts w:ascii="Arial" w:cs="Arial" w:eastAsia="Arial" w:hAnsi="Arial"/>
          <w:sz w:val="18"/>
          <w:szCs w:val="18"/>
          <w:color w:val="auto"/>
        </w:rPr>
        <w:t>adequate to meet our current needs, and that suitable additional alternative spaces will be available in the future on commercially reasonable terms for our future growth.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date of this Annual Report on Form 10-K,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449" w:right="4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2080"/>
        <w:spacing w:after="0" w:line="38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Shares of our common stock were approved for trading and began trading on August 8, 2017 on the OTC Markets – OTCQB Tier under the symbol “ARPO.” The following table sets forth the high and low closing bid information for our common stock for each quarterly period in the most recent fiscal year, as reported by OTCQB, since our common stock commenced public trading:</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9"/>
              </w:rPr>
              <w:t>Common Stock</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2017:</w:t>
            </w: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ind w:left="640"/>
              <w:spacing w:after="0"/>
              <w:rPr>
                <w:sz w:val="20"/>
                <w:szCs w:val="20"/>
                <w:color w:val="auto"/>
              </w:rPr>
            </w:pPr>
            <w:r>
              <w:rPr>
                <w:rFonts w:ascii="Arial" w:cs="Arial" w:eastAsia="Arial" w:hAnsi="Arial"/>
                <w:sz w:val="18"/>
                <w:szCs w:val="18"/>
                <w:color w:val="auto"/>
                <w:w w:val="91"/>
              </w:rPr>
              <w:t>6.75</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Fourth Quarter</w:t>
            </w: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1"/>
              </w:rPr>
              <w:t>6.60</w:t>
            </w:r>
          </w:p>
        </w:tc>
        <w:tc>
          <w:tcPr>
            <w:tcW w:w="7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March 15, 2018, there were 266 stockholders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following discussion of the financial condition and results of operations of Aerpio Pharmaceuticals, Inc. should be read in conjunction with the financial statements and the notes to those statements included in this Annual Report on Form 10-K for the period ended December 31, 2017. Some of the information contained in this discussion and analysis including information with respect to our plans and strategy for our business, includes forward-looking statements that involve risk, uncertainties and assumptions.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a biopharmaceutical company focused on advancing first-in-class treatments for ocular disease. Our lead product candidate, AKB-9778, a small molecule activator of the Tie2 pathway, is being developed for the treatment of diabetic retinopathy, or DR, a disease characterized by progressive compromise of blood vessels in the back of the eye. The Tie2 receptor is expressed almost exclusively in endothelial cells (cells that make up blood vessels) and is essential for regulating vascular stability and preventing blood vessel compromise associated with diabetes. We have completed a Phase 2a trial of AKB-9778 in 144 patients with diabetic eye disease. Based on the results from this trial, we believe AKB-9778 has the potential to stop, slow down or reverse the damage to blood vessels caused by diabetes. In contrast to marketed treatments for DR that are administered by a physician via intraocular injection, we intend to deliver AKB-9778 systemically by self-administered subcutaneous injection, similar to insulin. We believe that this delivery method provides an opportunity to treat diabetic eye disease at an earlier stage and reduces the likelihood of developing vision-threatening complications.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2017, we initiated a 48-week, double-masked, Phase 2b clinical trial, which we refer to as TIME-2b, in patients with DR who have not developed more serious complications such as diabetic macular edema, or DME or proliferative diabetic retinopathy, or PDR. We expect to report top line results in the second quarter of 2019. The TIME-2b study is a double-masked, placebo-controlled multi-center trial that is currently on-going and has enrolled 167 patients randomized evenly to receive either AKB-9778 15 mg subcutaneously once daily, AKB-9778 15 mg subcutaneously twice daily or placebo for a 48-week treatment period. The primary endpoint of the TIME-2b study is the percentage of patients who improve by at least 2 steps or more in DR Severity Score, or DRSS in the study eye.</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Existing preclinical and clinical evidence suggest the potential of AKB-9778 for reducing intraocular pressure in primary open angle glaucoma, or POAG, and ocular hypertension. We plan to initiate a Phase 1b clinical trial in the first quarter of 2019 to evaluate AKB-9778 for POAG and, if we observe positive results, we expect to initiate a Phase 2 program for this indication.</w:t>
      </w:r>
    </w:p>
    <w:p>
      <w:pPr>
        <w:spacing w:after="0" w:line="181"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In addition to DR and POAG, the Tie2 pathway is also implicated in other diabetic complications. We believe systemic treatment with AKB-9778 may address diabetic nephropathy and peripheral vascular disease. If we are successful in developing and commercializing AKB-9778 for DR, we intend to conduct longer term clinical trials to evaluate AKB-9778’s potential to reduce or delay the need for kidney dialysis and reduce amputations.</w:t>
      </w:r>
    </w:p>
    <w:p>
      <w:pPr>
        <w:spacing w:after="0" w:line="25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also developing AKB-4924, a selective stabilizer of hypoxia-inducible factor-1 alpha, or HIF-1 alpha, that is being developed for the treatment of inflammatory bowel disease. HIF-1 alpha is involved in mucosal wound healing and the reduction of inflammation in the gastrointestinal tract. We have completed a single ascending dose clinical trial in healthy volunteers for AKB-4924 and plan to initiate a multiple ascending dose, or MAD study in the second quarter of 2018. If we successfully complete the MAD study, we expect to initiate a Phase 1b clinical study of AKB-4924 in patients with ulcerative colitis in the second half of 2018.</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ARP-1536, our humanized monoclonal antibody directed at the same target as AKB-9778, is in preclinical development. We are evaluating development options for ARP-1536, including once-monthly subcutaneous injection for the treatment of diabetic vascular complications and once-monthly intravitreal injection for the treatment of advanced diabetic eye disease such as DME or PDR.</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acquiring and developing our technology, identifying potential product candidates, and undertaking preclinical and clinical studies. We have not generated any revenues to date, nor is there any assurance of future revenues. Our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1" w:name="page62"/>
    <w:bookmarkEnd w:id="61"/>
    <w:p>
      <w:pPr>
        <w:jc w:val="both"/>
        <w:ind w:right="40"/>
        <w:spacing w:after="0" w:line="264" w:lineRule="auto"/>
        <w:rPr>
          <w:sz w:val="20"/>
          <w:szCs w:val="20"/>
          <w:color w:val="auto"/>
        </w:rPr>
      </w:pPr>
      <w:r>
        <w:rPr>
          <w:rFonts w:ascii="Arial" w:cs="Arial" w:eastAsia="Arial" w:hAnsi="Arial"/>
          <w:sz w:val="18"/>
          <w:szCs w:val="18"/>
          <w:color w:val="auto"/>
        </w:rPr>
        <w:t>product candidates are subject to long development cycles, and there is no assurance we will be able to successfully develop, obtain regulatory approval for, or market our product candidates. As of December 31, 2017, we had an accumulated deficit of $108.6 million and anticipate incurring additional losses for the next several years.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primary source of liquidity to date has been through the private placement offering of our common stock (the “Offering”) in March 2017 and the historical sales of redeemable convertible preferred stock, common stock and proceeds from convertible debt. The aggregate net proceeds from the Offering in March 2017 was $37.2 million. In 2017, we raised a total of $0.3 million through the issuance of secured convertible notes. In 2016, we raised a total of $12.5 million through the issuance of secured convertible notes. In 2014, we raised a total of $22.0 million ($21.8 million net of offering costs) through the issuance of redeemable convertible preferred stock.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expect our expenses will likely increase substantially in connection with our ongoing activities, as we:</w:t>
      </w:r>
    </w:p>
    <w:p>
      <w:pPr>
        <w:spacing w:after="0" w:line="62"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our research and development efforts, primarily in connection with our ongoing TIME-2b clinical trial;</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 personnel to support our clinical development program; and</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 The consolidated financial statements do not include any adjustments relating to the recoverability and classification of recorded asset amounts or amounts of liabilities that might be necessary should the Company be unable to continue as a going concern. 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$20.3 million and current financial condition as of the date of the Annual Report on Form 10-K, there is substantial doubt about the Company’s ability to continue as a going concern.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consolidated financial statements of the Company for the years ended December 31, 2017 and 2016, contained herein, include a summary of our significant accounting policies and should be read in conjunction with the discussion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OTCQB Market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were approved for trading and began trading on August 8, 2017 on the OTCQB marketplace under the symbol “ARPO.”</w:t>
      </w: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March 15, 2017, our wholly-owned subsidiary, Aerpio Acquisition Corp., a corporation formed in the State of Delaware, or the Acquisition Sub, merged with and into Aerpio Therapeutics, Inc., (“Aerpio”) a corporation incorporated on November 17, 2011, under the laws of the State of Delaware. Pursuant to this transaction, or the Merger, Aerpio was the surviving corporation and became our wholly-owned subsidiary. We changed our name from Zeta Acquisition Corp II to Aerpio Pharmaceuticals, Inc. All the outstanding stock of Aerpio was converted into shares of our common stock.</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effective time of the Merger, the legal existence of Acquisition Sub ceased and each 2.3336572 shares of Aerpio common and preferred stock that was issued and outstanding immediately prior to the effective time of the Merger, including share based awards, whether vested or unvested issued under the Aerpio Therapeutics, Inc. 2011 Equity Incentive Plan (the “2011 Plan”), was automatically exchanged for one share of our common stock. In addition, immediately prior to the Merger, the outstanding amounts under certain senior secured convertible notes issued by Aerpio to its pre-Merger noteholders were converted into Aerpio common stock, which were converted in the Merger into shares of our common stock at the same ratio. We issued an aggregate of 18,000,000 shares of our common stock upon such exchange of the outstanding shares of Aerpio common stock. In addition, at the effective time of the Merger, we assumed Aerpio’s 2011 Equity Incentive Plan. At the effective time of the Merger, we assumed the outstanding options under the 2011 Plan and converted them into options to purchase 927,592 shares of our common stock. As a result of the Merger, we acquired the business of Aerpio and will continue the existing business operations of Aerpio as a public reporting company under the name Aerpio Pharmaceuticals, Inc. Immediately after the Merger, Aerpio was converted into a Delaware limited liability company (the “Conversion”).</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Merger was treated as a recapitalization and reverse acquisition for financial reporting purposes. We are the legal acquirer of Aerpio in the 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the “reverse merger” or “reverse acquisition” accounting treatment, the consolidated financial statements for the period ended December 31, 2017 include the accounts of the Company and its wholly owned subsidiary, Aerpio Therapeutics, LLC. The comparative historical financial statements for periods ended prior to the date of the Merger are the historical financial statements of Aerpio.</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discussion highlights Aerpio’s results of operations and the principal factors that have affected our financial condition as well as our liquidity and capital resources for the periods described, and provides information that management believes is relevant for an assessment and understanding of the consolidated balance sheets and the consolidated statements of operation and comprehensive loss presented herein. The following discussion and analysis are based on the Company’s consolidated financial statements contained in this Form 10-K, which we have prepared in accordance with United States generally accepted accounting principles. You should read the discussion and analysis together with such consolidated financial statements and the related notes thereto.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Cancellation</w:t>
      </w:r>
    </w:p>
    <w:p>
      <w:pPr>
        <w:spacing w:after="0" w:line="11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Following the Merger and Conversion, and immediately prior to the closing of the Offering, an aggregate of 4,000,000 of the 5,000,000 shares of our common stock that were held by the pre-Merger stockholders of Zeta Acquisition Corp. II were surrendered for cancellation (the “Share Cancellation”).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the Merger, the Conversion and the Share Cancellation, we sold to accredited investors $40.2 million of our shares of common stock, or 8,049,555 shares, at a price of $5.00 per share, (net proceeds of $37.2 million after deducting placement agent fees and expenses of the offering). In connection with the Offering, we issued warrants to purchase 317,562 shares of our common stock at $5.00 per share to the placement agents for the Offering. The warrants are exercisable for three years. The Offering closed on March 15,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3" w:name="page64"/>
    <w:bookmarkEnd w:id="63"/>
    <w:p>
      <w:pPr>
        <w:ind w:right="5180"/>
        <w:spacing w:after="0" w:line="378" w:lineRule="auto"/>
        <w:rPr>
          <w:sz w:val="20"/>
          <w:szCs w:val="20"/>
          <w:color w:val="auto"/>
        </w:rPr>
      </w:pPr>
      <w:r>
        <w:rPr>
          <w:rFonts w:ascii="Arial" w:cs="Arial" w:eastAsia="Arial" w:hAnsi="Arial"/>
          <w:sz w:val="18"/>
          <w:szCs w:val="18"/>
          <w:b w:val="1"/>
          <w:bCs w:val="1"/>
          <w:color w:val="auto"/>
        </w:rPr>
        <w:t xml:space="preserve">Components of Consolidated Statements of Operations and Comprehensive Loss </w:t>
      </w:r>
      <w:r>
        <w:rPr>
          <w:rFonts w:ascii="Arial" w:cs="Arial" w:eastAsia="Arial" w:hAnsi="Arial"/>
          <w:sz w:val="18"/>
          <w:szCs w:val="18"/>
          <w:b w:val="1"/>
          <w:bCs w:val="1"/>
          <w:i w:val="1"/>
          <w:iCs w:val="1"/>
          <w:color w:val="auto"/>
        </w:rPr>
        <w:t>Operating Expenses</w:t>
      </w: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expenses consist primarily of compensation and related costs for personnel, including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and travel. These costs also consist of third-party service providers for our potential product development activities, third-party consulting services, laboratory supplies, research materials, medical equipment, computer equipment, and related depreciation and amortization. We expense research and development expenses as incurred. As we continue to invest in basic research and clinical development of our product candidates, we expect research and development expenses to increase in absolute dollars.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Our general and administrative expenses consist primarily of compensation and related costs for personnel, including stock-based compensation, employee benefits and travel, for our finance, human resources and other administrative personnel. In addition, general and administrative expenses include third-party consulting, legal, patent, audit, accounting services, and facilities costs. General and administrative expenses have increased following the Merger due to additional legal, accounting, insurance, investor relations and other costs associated with being a public company, as well as other costs associated with growing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Interest income consists primarily of interest income received on our cash and cash equivalents. Interest expense consists primarily of interest and amortization of debt issuance costs related to our secured convertible promissory notes issued in 2016 and 2017. The secured convertible notes have converted into shares of our common stock in connection with the Merger and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Consolidated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2017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7"/>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12,147,132</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11,367,590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   779,542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9,241,411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5,265,995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3,975,416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21,388,543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16,633,585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4,754,958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(21,388,543)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(16,633,585)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(4,754,958)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93,719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(37,562)</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(105,782)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(482,204)</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376,422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Net and comprehensive loss</w:t>
            </w:r>
          </w:p>
        </w:tc>
        <w:tc>
          <w:tcPr>
            <w:tcW w:w="18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(21,400,606</w:t>
            </w:r>
          </w:p>
        </w:tc>
        <w:tc>
          <w:tcPr>
            <w:tcW w:w="140" w:type="dxa"/>
            <w:vAlign w:val="bottom"/>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(16,983,511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(4,417,095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for the year ended December 31, 2017, increased approximately $0.8 million, or 7%, compared to the year ended December 31, 2016. This increase was the result of increased spending on our lead program AKB-9778, currently in Phase 2b development, partially offset by a decrease in spending on our pipeline programs AKB 4924 and ARP 1536.</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64" w:name="page65"/>
    <w:bookmarkEnd w:id="64"/>
    <w:p>
      <w:pPr>
        <w:jc w:val="both"/>
        <w:ind w:right="20"/>
        <w:spacing w:after="0" w:line="264" w:lineRule="auto"/>
        <w:rPr>
          <w:sz w:val="20"/>
          <w:szCs w:val="20"/>
          <w:color w:val="auto"/>
        </w:rPr>
      </w:pPr>
      <w:r>
        <w:rPr>
          <w:rFonts w:ascii="Arial" w:cs="Arial" w:eastAsia="Arial" w:hAnsi="Arial"/>
          <w:sz w:val="18"/>
          <w:szCs w:val="18"/>
          <w:color w:val="auto"/>
        </w:rPr>
        <w:t>The approximate $3.5 million increase in spending on our lead program, AKB-9778, for the year ended December 31, 2017, from the corresponding period in 2016 is primarily attributed to the cost of drug product and clinical trial cost for our double-blind Phase 2 DR clinical trial initiated during the second quarter of 2017, partially offset by a decrease in pre-clinical and Phase 1 clinical trial expenses.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approximate $2.7 million decrease in spending on our pipeline programs, for the year ended December 31, 2017, from the corresponding period in 2016 is primarily due to our decision to focus on the lead program while pursuing alternative strategies to fund further development activities for one or both of the pipeline programs. During the twelve months ended December 31, 2016, healthy volunteers were enrolled in the AKB-4924 Phase 1a clinical trial and cell line development expenses were incurred on ARP-1536, which were completed prior to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in the twelve months ended December 31, 2017, increased approximately $4.0 million, or 75%, compared to the year ended December 31, 2016. This increase was primarily attributable to personnel and related expenses, including costs to recruit additional resources as well as professional services, including legal, accounting, insurance and other professional service expenses associated with the Merger, related transactions and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 Grant income decreased in year ended December 31, 2017 compared to year ended December 31, 2016 primarily due to the expiration of various contracts during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Interest income in the year ended December 31, 2017 reflects interest earned during the period on cash balances invested in short term money market instruments. The net proceeds received in the Offering on March 15, 2017, less cash used in operations, were available for investment. The interest expense in the corresponding twelve-month period in 2016, was primarily related to the senior secured convertible notes issued in 2016, offset in part by a small amount of interest income earned on invested cash balances. We completed three note financings in 2016 totaling an aggregate principal amount of approximately $12.5 million and one note financing in the first quarter of 2017, totaling an aggregate principal amount of approximately $0.3 million. The financings were funded in four tranches, beginning in April 2016 for $4.5 million, in July 2016 for $4.5 million, in October 2016 for $3.5 million and in January 2017 for $0.3 million. The notes accrued interest at the rate of eight percent (8%) per annum, compounded annually. The principal and accrued interest on the secured convertible notes was converted into common stock on March 15, 2017, in connection with the Merger.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income represents amounts received from Akebia Therapeutics, Inc. for services rendered under shared services agreements. The shared services agreements expired in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Since inception, we have incurred significant net losses. For the years ended December 31, 2017 and 2016, we had net losses of approximately $21.4 million and $17.0 million, respectively. Cash used in operating activities was $18.9 million and $15.7 million for the years 2017 and 2016, respectively, and investing activities used another $.1 million in 2016. Cash provided by financing activities was $37.5 million and $12.3 million for the years 2017 and 2016, respectively. At December 31, 2017 and 2016, we had an accumulated deficit of $108.6 million and $86.2 million,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120"/>
        <w:spacing w:after="0" w:line="312" w:lineRule="auto"/>
        <w:rPr>
          <w:sz w:val="20"/>
          <w:szCs w:val="20"/>
          <w:color w:val="auto"/>
        </w:rPr>
      </w:pPr>
      <w:r>
        <w:rPr>
          <w:rFonts w:ascii="Arial" w:cs="Arial" w:eastAsia="Arial" w:hAnsi="Arial"/>
          <w:sz w:val="16"/>
          <w:szCs w:val="16"/>
          <w:color w:val="auto"/>
        </w:rPr>
        <w:t>At December 31, 2017, we had cash and cash equivalents of approximately $20.3 million. To date, we have financed our operations principally through the Offering, private placements of our redeemable convertible preferred stock, common stock and issuances of secured convertible promissory notes. Based on our current plans</w:t>
      </w:r>
      <w:r>
        <w:rPr>
          <w:rFonts w:ascii="Arial" w:cs="Arial" w:eastAsia="Arial" w:hAnsi="Arial"/>
          <w:sz w:val="16"/>
          <w:szCs w:val="16"/>
          <w:b w:val="1"/>
          <w:bCs w:val="1"/>
          <w:color w:val="auto"/>
        </w:rPr>
        <w:t>,</w:t>
      </w:r>
      <w:r>
        <w:rPr>
          <w:rFonts w:ascii="Arial" w:cs="Arial" w:eastAsia="Arial" w:hAnsi="Arial"/>
          <w:sz w:val="16"/>
          <w:szCs w:val="16"/>
          <w:color w:val="auto"/>
        </w:rPr>
        <w:t xml:space="preserve"> we expect that our existing cash and cash equivalents will enable us to conduct our planned operations into the fourth quarter of 2018.</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 Our future capital requirements and the adequacy of available funds will depend on many factors, including those set forth in the section titled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8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shd w:val="clear" w:color="auto" w:fill="CFF0FC"/>
          </w:tcPr>
          <w:p>
            <w:pPr>
              <w:jc w:val="right"/>
              <w:ind w:right="996"/>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(18,883,536</w:t>
            </w:r>
          </w:p>
        </w:tc>
        <w:tc>
          <w:tcPr>
            <w:tcW w:w="360" w:type="dxa"/>
            <w:vAlign w:val="bottom"/>
            <w:shd w:val="clear" w:color="auto" w:fill="CFF0FC"/>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(15,718,144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41,104</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(113,297)</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37,496,847</w:t>
            </w:r>
          </w:p>
        </w:tc>
        <w:tc>
          <w:tcPr>
            <w:tcW w:w="3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12,296,924</w:t>
            </w:r>
          </w:p>
        </w:tc>
        <w:tc>
          <w:tcPr>
            <w:tcW w:w="10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18,654,415</w:t>
            </w:r>
          </w:p>
        </w:tc>
        <w:tc>
          <w:tcPr>
            <w:tcW w:w="360" w:type="dxa"/>
            <w:vAlign w:val="bottom"/>
          </w:tcPr>
          <w:p>
            <w:pPr>
              <w:spacing w:after="0"/>
              <w:rPr>
                <w:sz w:val="19"/>
                <w:szCs w:val="19"/>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(3,534,517)</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historically experienced negative cash outflows as we developed AKB-9778, ARP-1536 and AKB-4924. Our net cash used in operating activities primarily results from our net loss adjusted for non-cash expenses and changes in working capital components. Our primary uses of cash from operating activities are amounts due to contract research organizations for the conduct of our clinical programs and employee-related expenditures for research and development, and general and administrative activities. Our cash flows from operating activities will continue to be affected principally by increased spending to advance of our product candidates in the clinic, personnel to support those activities and other operating and general administrative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For the twelve months ended December 31, 2017, operating activities used approximately $18.9 million in cash, primarily as a result of our net loss of</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$21.4 million, offset by approximately $1.0 million in non-cash charges that consisted primarily of stock compensation expense, non-cash interest expense, amortization of debt issuance costs and depreciation expense and approximately $1.5 million from changes in working capital. For the twelve months ended December 31, 2016, operating activities used approximately $15.7 million in cash, primarily as a result of our net loss of $17.0 million, offset by approximately $0.8 million of non-cash charges of stock compensation expense, non-cash interest expense, amortization of debt issuance costs and depreciation expense and approximately $0.5 million from changes in working capital.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Net cash provided by investing activities for the twelve months ended December 31, 2017 was due the sale of short-term investments, partially offset by capital expenditures to support our operations. Cash used in investing activities during the twelve months ended December 31, 2016 was due to the acquisition of approximately $0.1 million of laboratory equipment to support internal drug development capabilities.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the twelve months ended December 31, 2017, we received net proceeds of $37.2 million from the sale of common stock at $5.00 per share, issued in the Offering and $0.3 million in January from an extension to the Aerpio senior secured convertible notes. During the twelve months ended December 31, 2016, we received $12.3 million from the issuance of and an extension to the Aerpio senior secured convertible notes.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31, 2016, Aerpio entered into a senior secured convertible note financing with certain preferred stock investors of Aerpio. The secured convertible notes accrued interest at 8% per annum, compounded annually. Each of the secured convertible notes were also subject to mandatory prepayment and were convertible into preferred stock of Aerpio upon the occurrence of certain events, as described in the Note Agreements.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received proceeds from the first tranche in April 2016 and subsequent tranches in July 2016, October 2016 and January 2017. The outstanding principal and accrued interest under the secured convertible notes was converted into shares of Aerpio common stock immediately prior to the effective time of the Merger, and exchanged for shares of our common stock pursuant to the Merger.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the secured convertible notes see Note 6 to our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is a party to a lease covering 7,580 square feet of space in Cincinnati, Ohio that expires in June 2018. In November 2017, the Company renewed a lease covering 687 square feet of space in Dexter, MI that expires October 2019. Total rent expense for all operating leases was $208,478 and $214,595 for the years ended December 31, 2017 and 2016, respectively. The Cincinnati, Ohio space lease agreement contains free rent, escalating rent payments and reimbursement for tenant improvements that amounted to $46,390 in the year ended December 31, 2016. No such lease incentives were recognized in 2017. Rent expense for the Cincinnati, Ohio space is recorded on the straight-line basis over the initial term with the differences between rent expense and rent payments recorded as deferred rent. As of December 31, 2017, the Company had total deferred rent of $42,660 for the Cincinnati, Ohio space, which is included in accrued expenses in the accompanying consolidated balance sheet. As of December 31, 2017, non-cancelable future minimum lease payments under the existing operating leases were $76,650. We are contractually obligated to pay $65,890 of this in 2018 and the remainder, $10,760, in 2019.</w:t>
      </w:r>
    </w:p>
    <w:p>
      <w:pPr>
        <w:spacing w:after="0" w:line="19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2E2E2E"/>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only be liable for the cost and expenses incurred to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we did not have any off-balance sheet arrangements as defined by applicable SEC regulations.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Reform</w:t>
      </w:r>
    </w:p>
    <w:p>
      <w:pPr>
        <w:spacing w:after="0" w:line="13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December 22, 2017, The Tax Cuts and Jobs Act (the “2017 Tax Act”) was enacted, which is generally effective January 1, 2018. The Act includes a number of provisions, including lowering the U.S. corporate federal income tax rate from a maximum of 35% to 21% and changing or limiting certain tax deductions. In addition, the 2017 Tax Act alters the landscape of taxation and provides immediate deductions for certain new investments, among other provisions.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significant impact as a result of adopting the 2017 Tax Act, was increased deferred tax expense due to the remeasurement of net deferred tax assets at the lower enacted U.S. federal corporate tax rate, which resulted in a net $11.3 million increase in deferred income tax expense, and had a corresponding $11.3 million offset to the valuation allowance.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7" w:name="page68"/>
    <w:bookmarkEnd w:id="67"/>
    <w:p>
      <w:pPr>
        <w:ind w:right="20"/>
        <w:spacing w:after="0" w:line="264" w:lineRule="auto"/>
        <w:rPr>
          <w:sz w:val="20"/>
          <w:szCs w:val="20"/>
          <w:color w:val="auto"/>
        </w:rPr>
      </w:pPr>
      <w:r>
        <w:rPr>
          <w:rFonts w:ascii="Arial" w:cs="Arial" w:eastAsia="Arial" w:hAnsi="Arial"/>
          <w:sz w:val="18"/>
          <w:szCs w:val="18"/>
          <w:color w:val="auto"/>
        </w:rPr>
        <w:t>The Company expects its effective income tax rate to remain at 0% for the foreseeable future as a result of the full recognition of a valuation allowance. Such estimates are based on management’s current assumptions with respect to, among other things, the Company’s earnings, state income tax levels and tax deductions.</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estimated impacts of the 2017 Tax Act recorded during 2017 as well as the forward-looking estimates are provisional in nature, and the Company will continue to assess the impact of the Act and provide additional information and record adjustments through the income tax provision in the relevant period as amounts are known and reasonably estimable during the measurement period. Accordingly, the impact of the 2017 Tax Act may differ from the Company's provisional estimates due to and among other factors, information currently not available, changes in interpretations and the issuance of additional guidance, as well as changes in assumptions the Company /has currently made, including actions the Company may take in future periods as a result of the 2017 Tax Act.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management’s discussion and analysis of financial position and results of consolidated operations are based on consolidated financial statements prepared in accordance with U.S. generally accepted accounting principles or GAAP. The preparation of these consolidated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believe that the assumptions and estimates have the greatest potential impact on our consolidated financial statements. Therefore, we consider these to be our critical accounting policies and estimates. For further information on all our significant accounting policies, see the notes to our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and Accrued Research and Development Expenses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prepaid and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We make estimates of our prepaid and accrued research and development expenses as of each consolidated balance sheet date in our consolidated financial statements based on facts and circumstances known to us at the time. We confirm the accuracy of estimates with the service providers and make adjustments if necessary. Examples of estimated prepaid and accrued research and development expenses include expenses for:</w:t>
      </w:r>
    </w:p>
    <w:p>
      <w:pPr>
        <w:spacing w:after="0" w:line="56"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Research Organizations (CROs) in connection with clinical studies;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materials.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 scope of services under these contracts can be modified and some of the agreements may be cancelled by either party upon written notice.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8" w:name="page69"/>
    <w:bookmarkEnd w:id="68"/>
    <w:p>
      <w:pPr>
        <w:ind w:right="20"/>
        <w:spacing w:after="0" w:line="264"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between our estimates and the amount actually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issue stock-based awards generally in the form of stock options and restricted stock. We account for our stock-based compensation awards in accordance with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or ASC 718. ASC 718 requires all stock-based payments to employees, including grants of employee stock options and restricted stock and modifications to existing stock awards to be recognized in the consolidated statements of operations and comprehensive loss based on their fair values. Described below is the methodology we have utilized in measuring stock-based compensation expense.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estimate the fair value of our options to purchase shares of common stock to employees using the Black-Scholes option pricing model, which requires the input of highly subjective assumptions, including (a) the expected stock price volatility, (b) the calculation of the expected term of the award, (c) the risk-free interest rate and (d) expected dividends. Due to the lack of a public market for the trading of our common stock and a lack of company-specific historical and implied volatility data, we have based our estimate of expected volatility on the historical volatility of a group of similar companies that are publicly traded.</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historical volatility is calculated based on a period of time commensurate with the expected term assumption. The computation of expected volatility is based on the historical volatility of a representative group of companies with similar characteristics to our company, including stage of product development and life science industry focus. We are a development stage company in an early stage of product development with no revenues and the representative group of companies has certain similar characteristics. We believe the group selected has sufficient similar economic and industry characteristics, and includes companies that are most representative of our company. We use the simplified method as prescribed by the SEC Staff Accounting Bulletin No. 107, Share-Based Payment, to calculate the expected term for options granted to employees and non-employees as we do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similar to our peer group. The grant date fair value of restricted stock award grants is based on the estimated value of our common stock at the date of grant.</w:t>
      </w:r>
    </w:p>
    <w:p>
      <w:pPr>
        <w:spacing w:after="0" w:line="16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stock-based awards are subject to service-based vesting conditions. Compensation expense related to awards to employees with service-based vesting conditions is recognized on a straight-line basis based on the grant date fair value over the associated service period of the award, which is generally the vesting term. Awards to non-employees are adjusted through share-based compensation expense as the award vests to reflect the current fair value of such awards and are expensed using an accelerated attribution model.</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years ended December 31, 2017 and 2016, stock-based compensation expense was approximately $0.6 million and $0.5 million, respectively. As of December 31, 2017, we had $3.7 million of total unrecognized stock-based compensation costs for stock options, which we expect to recognize over a weighted-average period of 3.19 years.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fair value of the common stock was determined by our Board of Directors, which intended all stock options granted to be exercisable at a price per share not less than the per share fair value of our common stock underlying those options on the date of grant. In 2016, as a privately held company and prior to the merger, the valuations of our common stock were determined in accordance with the guidelines outlined in the American Institute of Certified Public Accountants Practice Aid, </w:t>
      </w:r>
      <w:r>
        <w:rPr>
          <w:rFonts w:ascii="Arial" w:cs="Arial" w:eastAsia="Arial" w:hAnsi="Arial"/>
          <w:sz w:val="17"/>
          <w:szCs w:val="17"/>
          <w:i w:val="1"/>
          <w:iCs w:val="1"/>
          <w:color w:val="auto"/>
        </w:rPr>
        <w:t>Valuation</w:t>
      </w:r>
      <w:r>
        <w:rPr>
          <w:rFonts w:ascii="Arial" w:cs="Arial" w:eastAsia="Arial" w:hAnsi="Arial"/>
          <w:sz w:val="17"/>
          <w:szCs w:val="17"/>
          <w:color w:val="auto"/>
        </w:rPr>
        <w:t xml:space="preserve"> of </w:t>
      </w:r>
      <w:r>
        <w:rPr>
          <w:rFonts w:ascii="Arial" w:cs="Arial" w:eastAsia="Arial" w:hAnsi="Arial"/>
          <w:sz w:val="17"/>
          <w:szCs w:val="17"/>
          <w:i w:val="1"/>
          <w:iCs w:val="1"/>
          <w:color w:val="auto"/>
        </w:rPr>
        <w:t>Privately-Held-Company Equity Securities Issued as Compensation</w:t>
      </w:r>
      <w:r>
        <w:rPr>
          <w:rFonts w:ascii="Arial" w:cs="Arial" w:eastAsia="Arial" w:hAnsi="Arial"/>
          <w:sz w:val="17"/>
          <w:szCs w:val="17"/>
          <w:color w:val="auto"/>
        </w:rPr>
        <w:t>, or AICPA Practice Aid</w:t>
      </w:r>
      <w:r>
        <w:rPr>
          <w:rFonts w:ascii="Arial" w:cs="Arial" w:eastAsia="Arial" w:hAnsi="Arial"/>
          <w:sz w:val="17"/>
          <w:szCs w:val="17"/>
          <w:i w:val="1"/>
          <w:iCs w:val="1"/>
          <w:color w:val="auto"/>
        </w:rPr>
        <w:t>.</w:t>
      </w:r>
      <w:r>
        <w:rPr>
          <w:rFonts w:ascii="Arial" w:cs="Arial" w:eastAsia="Arial" w:hAnsi="Arial"/>
          <w:sz w:val="17"/>
          <w:szCs w:val="17"/>
          <w:color w:val="auto"/>
        </w:rPr>
        <w:t xml:space="preserve"> The assumptions we used in the valuation model were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w:t>
      </w:r>
    </w:p>
    <w:p>
      <w:pPr>
        <w:spacing w:after="0" w:line="70"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valuations performed by unrelated third-party specialists;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prices of Aerpio’s former convertible preferred stock sold to outside investors in arm’s-length transactions;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hiring of key personnel and the experience of our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68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public offering or a merger or acquisition of our business given prevailing market conditions;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illiquidity of stock-based awards involving securities in a private company;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For the valuation of our common stock at December 31, 2016, we used the hybrid method. As described in the AICPA’s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the hybrid method is a hybrid between the probability-weighted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method (PWERM) and the option-pricing method (OPM). We considered a “go-public scenario”, in which our preferred shares convert to common stock, and a second scenario, in which equity value is allocated using the OPM. We used the guideline public company method under the market approach to value our equity. We estimated our equity value based on a multiple of paid-in capital as indicated by a group of guideline public companies. The group consisted of clinical-stage drug development companies which completed initial public offerings in the six months preceding our appraisal date. In addition, for each of the guideline companies, we considered the increase, or step-up, in per share value from the preferred financing preceding the public offering to the common stock value in the public offering. We also considered the equity value of each guideline company, not including the proceeds of the public offering.</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liquidation preference at the time of a liquidity event, such as a strategic sale, merger or initial public offering. For each Black-Scholes calculation in the OPM, the option “strike price” is determined by the Company’s capital structure. Additional inputs to the OPM include the estimated time to liquidity and estimated equity volatility.</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70" w:name="page71"/>
    <w:bookmarkEnd w:id="70"/>
    <w:p>
      <w:pPr>
        <w:ind w:right="620"/>
        <w:spacing w:after="0" w:line="277" w:lineRule="auto"/>
        <w:rPr>
          <w:sz w:val="20"/>
          <w:szCs w:val="20"/>
          <w:color w:val="auto"/>
        </w:rPr>
      </w:pPr>
      <w:r>
        <w:rPr>
          <w:rFonts w:ascii="Arial" w:cs="Arial" w:eastAsia="Arial" w:hAnsi="Arial"/>
          <w:sz w:val="18"/>
          <w:szCs w:val="18"/>
          <w:color w:val="auto"/>
        </w:rPr>
        <w:t>We applied a discount for lack of marketability to the values indicated for the common stock in the go-public and OPM scenarios. Our estimate of the appropriate discount for lack of marketability relied on an Asian put option calculation.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significant assumptions used in the hybrid method to determine the fair value of our common stock as of December 31, 2016:</w:t>
      </w:r>
    </w:p>
    <w:p>
      <w:pPr>
        <w:spacing w:after="0" w:line="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Go-Public</w:t>
            </w: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OPM</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Scenario</w:t>
            </w:r>
          </w:p>
        </w:tc>
        <w:tc>
          <w:tcPr>
            <w:tcW w:w="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Probability weighting</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Years to liquidity</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cost of equity</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Annual volatility</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Discount for lack of marketability (DLOM)</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Based on these assumptions, we estimated the fair value of our common stock on a pre-Merger basis to be $1.20 as of December 31, 2016 ($2.80 as of December 31, 2016 on an as-converted basis to reflect the effect of the Merger).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significant judgments and estimates inherent in the determination of these valuations. These judgments and estimates include assumptions regarding our future performance, including the successful enrollment and completion of our clinical studies as well as the determination of the appropriate valuation methods. If we had made different assumptions, our stock-based compensation expense could have been different. The foregoing valuation methodologies are not the only methodologies available and they will not be used to value our common stock once this offering is complete. We cannot make assurances as to any particular valuation for our common stock. Accordingly, we caution you not to place undue reliance on the foregoing valuation methodologies as an indicator of future stock prices.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valuation of our common stock at March 31, 2017 and June 30, 2017, we used $5.00 per share, which is the share price paid by outside investors in our private placement closed on March 15, 2017, at September 30, 2017, we used $6.00 per share and at December 31, 2017, we used $4.75 the closing share price on the OTCQB marketplace respectively on those dates. There were 1,014,014 and 50,228 stock option awards granted or issued in the years ended December 31, 2017 and 2016,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are an “emerging growth company” within the meaning of the JOBS Act. Section 107 of the JOBS Act provides that an emerging growth company can take advantage of the extended transition period provided in Section 7(a)(2)(B) of the Securities Act of 1933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cash and cash equivalents balance as of December 31, 2017 consisted primarily of cash held in an operating account that earns nominal interest income. Therefore, there was minimal or no interest rate risk.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on page 74 are the consolidated financial statements with applicable notes and the related Report of Independent Registered Public Accounting Firm.</w:t>
      </w: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445" w:right="5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Aerpio Pharmaceuticals,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Aerpio Pharmaceuticals, Inc. (the Company) as of December 31, 2017 and 2016, and the related consolidated statements of operations and comprehensive loss, stockholders’ equity (deficit) and cash flows for each of the two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two years in the period ended December 31, 2017, in conformity with U.S. generally accepted accounting principles.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recurring losses and negative cash flows from operations, and has stated that substantial doubt exists about the Company’s ability to continue as a going concern. Management’s evaluation of these events and conditions and management’s plans regarding these matters are also described in Note 1. The consolidated financial statements do not include any adjustments that might result from the outcome of this uncertainty.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ind w:left="36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3"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Report of Independent Registered Public Accounting Firm</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Balance Sheets as of December 31, 2017 and 2016</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Operations and Comprehensive Loss for the Years ended December 31, 2017 and 2016</w:t>
        </w:r>
      </w:hyperlink>
    </w:p>
    <w:p>
      <w:pPr>
        <w:spacing w:after="0" w:line="158" w:lineRule="exact"/>
        <w:rPr>
          <w:sz w:val="20"/>
          <w:szCs w:val="20"/>
          <w:color w:val="auto"/>
        </w:rPr>
      </w:pPr>
    </w:p>
    <w:p>
      <w:pPr>
        <w:ind w:right="80"/>
        <w:spacing w:after="0" w:line="277" w:lineRule="auto"/>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Redeemable Convertible Preferred Stock and Stockholders’ Equity (Deficit) for the Years ended December 31, 2017</w:t>
        </w:r>
      </w:hyperlink>
      <w:r>
        <w:rPr>
          <w:rFonts w:ascii="Arial" w:cs="Arial" w:eastAsia="Arial" w:hAnsi="Arial"/>
          <w:sz w:val="18"/>
          <w:szCs w:val="18"/>
          <w:u w:val="single" w:color="auto"/>
          <w:color w:val="0000EE"/>
        </w:rPr>
        <w:t xml:space="preserve"> </w:t>
      </w:r>
      <w:hyperlink w:anchor="page77">
        <w:r>
          <w:rPr>
            <w:rFonts w:ascii="Arial" w:cs="Arial" w:eastAsia="Arial" w:hAnsi="Arial"/>
            <w:sz w:val="18"/>
            <w:szCs w:val="18"/>
            <w:u w:val="single" w:color="auto"/>
            <w:color w:val="0000EE"/>
          </w:rPr>
          <w:t>and 2016</w:t>
        </w:r>
      </w:hyperlink>
    </w:p>
    <w:p>
      <w:pPr>
        <w:spacing w:after="0" w:line="103" w:lineRule="exact"/>
        <w:rPr>
          <w:sz w:val="20"/>
          <w:szCs w:val="20"/>
          <w:color w:val="auto"/>
        </w:rPr>
      </w:pPr>
    </w:p>
    <w:p>
      <w:pPr>
        <w:ind w:right="4020"/>
        <w:spacing w:after="0" w:line="449" w:lineRule="auto"/>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Consolidated Statements of Cash Flows for the Years ended December 31, 2017 and 2016</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9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ectPr>
          <w:pgSz w:w="11900" w:h="16838" w:orient="portrait"/>
          <w:cols w:equalWidth="0" w:num="2">
            <w:col w:w="10500" w:space="720"/>
            <w:col w:w="180"/>
          </w:cols>
          <w:pgMar w:left="240" w:top="553"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20,264,109</w:t>
            </w:r>
          </w:p>
        </w:tc>
        <w:tc>
          <w:tcPr>
            <w:tcW w:w="3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313,140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20,899,470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2,226,323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 net</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21,027,653</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2,396,878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120"/>
              <w:spacing w:after="0"/>
              <w:rPr>
                <w:sz w:val="20"/>
                <w:szCs w:val="20"/>
                <w:color w:val="auto"/>
              </w:rPr>
            </w:pPr>
            <w:r>
              <w:rPr>
                <w:rFonts w:ascii="Arial" w:cs="Arial" w:eastAsia="Arial" w:hAnsi="Arial"/>
                <w:sz w:val="18"/>
                <w:szCs w:val="18"/>
                <w:b w:val="1"/>
                <w:bCs w:val="1"/>
                <w:color w:val="auto"/>
              </w:rPr>
              <w:t>stockholders’ equity (deficit)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3,592,164</w:t>
            </w:r>
          </w:p>
        </w:tc>
        <w:tc>
          <w:tcPr>
            <w:tcW w:w="30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2,470,970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notes</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12,386,647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3,592,164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14,857,617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Redeemable convertible preferred stock (all classes)</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73,757,890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 (deficit):</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tcPr>
          <w:p>
            <w:pPr>
              <w:ind w:left="240"/>
              <w:spacing w:after="0"/>
              <w:rPr>
                <w:sz w:val="20"/>
                <w:szCs w:val="20"/>
                <w:color w:val="auto"/>
              </w:rPr>
            </w:pPr>
            <w:r>
              <w:rPr>
                <w:rFonts w:ascii="Arial" w:cs="Arial" w:eastAsia="Arial" w:hAnsi="Arial"/>
                <w:sz w:val="18"/>
                <w:szCs w:val="18"/>
                <w:color w:val="auto"/>
              </w:rPr>
              <w:t>Common stock, $0.0001 par value per share; 300,000,000 and 17,440,436</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shares authorized and 27,070,038 and 1,240,925 shares issued and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outstanding at December 31, 2017 and 2016,</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125,995,438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(108,562,656)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(86,218,753)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17,435,489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(86,218,629)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8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liabilities, redeemable convertible preferred stock, and</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120"/>
              <w:spacing w:after="0"/>
              <w:rPr>
                <w:sz w:val="20"/>
                <w:szCs w:val="20"/>
                <w:color w:val="auto"/>
              </w:rPr>
            </w:pPr>
            <w:r>
              <w:rPr>
                <w:rFonts w:ascii="Arial" w:cs="Arial" w:eastAsia="Arial" w:hAnsi="Arial"/>
                <w:sz w:val="18"/>
                <w:szCs w:val="18"/>
                <w:b w:val="1"/>
                <w:bCs w:val="1"/>
                <w:color w:val="auto"/>
              </w:rPr>
              <w:t>stockholders’ equity (deficit)</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21,027,653</w:t>
            </w:r>
          </w:p>
        </w:tc>
        <w:tc>
          <w:tcPr>
            <w:tcW w:w="300" w:type="dxa"/>
            <w:vAlign w:val="bottom"/>
          </w:tcPr>
          <w:p>
            <w:pPr>
              <w:spacing w:after="0"/>
              <w:rPr>
                <w:sz w:val="20"/>
                <w:szCs w:val="20"/>
                <w:color w:val="auto"/>
              </w:rPr>
            </w:pPr>
          </w:p>
        </w:tc>
        <w:tc>
          <w:tcPr>
            <w:tcW w:w="3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9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12,147,132</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11,367,590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9,241,411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5,265,995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21,388,543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16,633,585</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(21,388,543)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(16,633,585)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131,281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(105,782)</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(482,204)</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Other income, net</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18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(349,926)</w:t>
            </w: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and comprehensive loss</w:t>
            </w:r>
          </w:p>
        </w:tc>
        <w:tc>
          <w:tcPr>
            <w:tcW w:w="18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(21,400,606)</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(16,983,511)</w:t>
            </w:r>
          </w:p>
        </w:tc>
        <w:tc>
          <w:tcPr>
            <w:tcW w:w="3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Reconciliation of net loss attributable to common</w:t>
            </w:r>
          </w:p>
        </w:tc>
        <w:tc>
          <w:tcPr>
            <w:tcW w:w="1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1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21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(21,400,606)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(16,983,511)</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Extinguishment of preferred stock</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224,224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60"/>
              <w:spacing w:after="0"/>
              <w:rPr>
                <w:sz w:val="20"/>
                <w:szCs w:val="20"/>
                <w:color w:val="auto"/>
              </w:rPr>
            </w:pPr>
            <w:r>
              <w:rPr>
                <w:rFonts w:ascii="Arial" w:cs="Arial" w:eastAsia="Arial" w:hAnsi="Arial"/>
                <w:sz w:val="18"/>
                <w:szCs w:val="18"/>
                <w:color w:val="auto"/>
              </w:rPr>
              <w:t>Adjustment of redeemable convertible preferred stock</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to redemption value</w:t>
            </w: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(943,297)</w:t>
            </w:r>
          </w:p>
        </w:tc>
        <w:tc>
          <w:tcPr>
            <w:tcW w:w="36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(4,152,801)</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(22,343,903)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(20,912,088)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1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196"/>
        </w:trPr>
        <w:tc>
          <w:tcPr>
            <w:tcW w:w="59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number of common shares used in</w:t>
            </w:r>
          </w:p>
        </w:tc>
        <w:tc>
          <w:tcPr>
            <w:tcW w:w="18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computing net loss per share attributable to common</w:t>
            </w:r>
          </w:p>
        </w:tc>
        <w:tc>
          <w:tcPr>
            <w:tcW w:w="1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18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21,673,349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852,665</w:t>
            </w:r>
          </w:p>
        </w:tc>
        <w:tc>
          <w:tcPr>
            <w:tcW w:w="3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Stockholders’ Equity (Deficit)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020" w:type="dxa"/>
            <w:vAlign w:val="bottom"/>
          </w:tcPr>
          <w:p>
            <w:pPr>
              <w:spacing w:after="0"/>
              <w:rPr>
                <w:sz w:val="12"/>
                <w:szCs w:val="12"/>
                <w:color w:val="auto"/>
              </w:rPr>
            </w:pPr>
          </w:p>
        </w:tc>
        <w:tc>
          <w:tcPr>
            <w:tcW w:w="2160" w:type="dxa"/>
            <w:vAlign w:val="bottom"/>
            <w:gridSpan w:val="5"/>
          </w:tcPr>
          <w:p>
            <w:pPr>
              <w:jc w:val="right"/>
              <w:ind w:right="480"/>
              <w:spacing w:after="0" w:line="143" w:lineRule="exact"/>
              <w:rPr>
                <w:sz w:val="20"/>
                <w:szCs w:val="20"/>
                <w:color w:val="auto"/>
              </w:rPr>
            </w:pPr>
            <w:r>
              <w:rPr>
                <w:rFonts w:ascii="Arial" w:cs="Arial" w:eastAsia="Arial" w:hAnsi="Arial"/>
                <w:sz w:val="14"/>
                <w:szCs w:val="14"/>
                <w:b w:val="1"/>
                <w:bCs w:val="1"/>
                <w:color w:val="auto"/>
              </w:rPr>
              <w:t>Redeemable Convertible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3"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65"/>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
              <w:spacing w:after="0" w:line="155" w:lineRule="exact"/>
              <w:rPr>
                <w:sz w:val="20"/>
                <w:szCs w:val="20"/>
                <w:color w:val="auto"/>
              </w:rPr>
            </w:pPr>
            <w:r>
              <w:rPr>
                <w:rFonts w:ascii="Arial" w:cs="Arial" w:eastAsia="Arial" w:hAnsi="Arial"/>
                <w:sz w:val="14"/>
                <w:szCs w:val="14"/>
                <w:b w:val="1"/>
                <w:bCs w:val="1"/>
                <w:color w:val="auto"/>
                <w:w w:val="87"/>
              </w:rPr>
              <w:t>Par Value</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5"/>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December 31, 2015</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14,183,535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8"/>
              </w:rPr>
              <w:t>70,487,415</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1,157,251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(66,554,870)</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w w:val="94"/>
              </w:rPr>
              <w:t>(66,554,755)</w:t>
            </w: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line="162" w:lineRule="exact"/>
              <w:rPr>
                <w:sz w:val="20"/>
                <w:szCs w:val="20"/>
                <w:color w:val="auto"/>
              </w:rPr>
            </w:pPr>
            <w:r>
              <w:rPr>
                <w:rFonts w:ascii="Arial" w:cs="Arial" w:eastAsia="Arial" w:hAnsi="Arial"/>
                <w:sz w:val="15"/>
                <w:szCs w:val="15"/>
                <w:color w:val="auto"/>
              </w:rPr>
              <w:t>Adjustment of redeemable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360"/>
              <w:spacing w:after="0" w:line="162" w:lineRule="exact"/>
              <w:rPr>
                <w:sz w:val="20"/>
                <w:szCs w:val="20"/>
                <w:color w:val="auto"/>
              </w:rPr>
            </w:pPr>
            <w:r>
              <w:rPr>
                <w:rFonts w:ascii="Arial" w:cs="Arial" w:eastAsia="Arial" w:hAnsi="Arial"/>
                <w:sz w:val="15"/>
                <w:szCs w:val="15"/>
                <w:color w:val="auto"/>
              </w:rPr>
              <w:t>convertible preferred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Arial" w:cs="Arial" w:eastAsia="Arial" w:hAnsi="Arial"/>
                <w:sz w:val="15"/>
                <w:szCs w:val="15"/>
                <w:color w:val="auto"/>
              </w:rPr>
              <w:t>stock to redemption value</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4,152,801</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(1,273,631)</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(2,879,170)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(4,152,801)</w:t>
            </w: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Conversion of preferred stock</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(129,213)</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(658,102)</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61,803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658,096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658,102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60"/>
              <w:spacing w:after="0"/>
              <w:rPr>
                <w:sz w:val="20"/>
                <w:szCs w:val="20"/>
                <w:color w:val="auto"/>
              </w:rPr>
            </w:pPr>
            <w:r>
              <w:rPr>
                <w:rFonts w:ascii="Arial" w:cs="Arial" w:eastAsia="Arial" w:hAnsi="Arial"/>
                <w:sz w:val="15"/>
                <w:szCs w:val="15"/>
                <w:color w:val="auto"/>
              </w:rPr>
              <w:t>Extinguishment of preferred stock</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(39,306)</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(224,224)</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25,426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198,798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224,224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Conversion of convertible notes</w:t>
            </w: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82,818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82,818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360"/>
              <w:spacing w:after="0" w:line="162" w:lineRule="exact"/>
              <w:rPr>
                <w:sz w:val="20"/>
                <w:szCs w:val="20"/>
                <w:color w:val="auto"/>
              </w:rPr>
            </w:pPr>
            <w:r>
              <w:rPr>
                <w:rFonts w:ascii="Arial" w:cs="Arial" w:eastAsia="Arial" w:hAnsi="Arial"/>
                <w:sz w:val="15"/>
                <w:szCs w:val="15"/>
                <w:color w:val="auto"/>
              </w:rPr>
              <w:t>stock upon exercise of</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Arial" w:cs="Arial" w:eastAsia="Arial" w:hAnsi="Arial"/>
                <w:sz w:val="15"/>
                <w:szCs w:val="15"/>
                <w:color w:val="auto"/>
              </w:rPr>
              <w:t>stock options</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21,871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18,965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18,968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Share-based compensation</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expense</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488,326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488,326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60"/>
              <w:spacing w:after="0"/>
              <w:rPr>
                <w:sz w:val="20"/>
                <w:szCs w:val="20"/>
                <w:color w:val="auto"/>
              </w:rPr>
            </w:pPr>
            <w:r>
              <w:rPr>
                <w:rFonts w:ascii="Arial" w:cs="Arial" w:eastAsia="Arial" w:hAnsi="Arial"/>
                <w:sz w:val="15"/>
                <w:szCs w:val="15"/>
                <w:color w:val="auto"/>
              </w:rPr>
              <w:t>Net and comprehensive loss</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(16,983,511)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w w:val="94"/>
              </w:rPr>
              <w:t>(16,983,511)</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December 31, 2016</w:t>
            </w: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vMerge w:val="continue"/>
            <w:shd w:val="clear" w:color="auto" w:fill="CFF0FC"/>
          </w:tcPr>
          <w:p>
            <w:pPr>
              <w:spacing w:after="0"/>
              <w:rPr>
                <w:sz w:val="14"/>
                <w:szCs w:val="14"/>
                <w:color w:val="auto"/>
              </w:rPr>
            </w:pP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14,015,016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8"/>
              </w:rPr>
              <w:t>73,757,890</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1,240,925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(86,218,753)</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w w:val="94"/>
              </w:rPr>
              <w:t>(86,218,629)</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5"/>
                <w:szCs w:val="15"/>
                <w:color w:val="auto"/>
              </w:rPr>
              <w:t>Adjustment of redeemable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360"/>
              <w:spacing w:after="0" w:line="162" w:lineRule="exact"/>
              <w:rPr>
                <w:sz w:val="20"/>
                <w:szCs w:val="20"/>
                <w:color w:val="auto"/>
              </w:rPr>
            </w:pPr>
            <w:r>
              <w:rPr>
                <w:rFonts w:ascii="Arial" w:cs="Arial" w:eastAsia="Arial" w:hAnsi="Arial"/>
                <w:sz w:val="15"/>
                <w:szCs w:val="15"/>
                <w:color w:val="auto"/>
              </w:rPr>
              <w:t>convertible preferred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Arial" w:cs="Arial" w:eastAsia="Arial" w:hAnsi="Arial"/>
                <w:sz w:val="15"/>
                <w:szCs w:val="15"/>
                <w:color w:val="auto"/>
              </w:rPr>
              <w:t>stock to redemption value</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943,297</w:t>
            </w: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(943,297)</w:t>
            </w: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(943,297)</w:t>
            </w: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Conversion of redeemable</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convertible preferred</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stock</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(14,015,016)</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94"/>
              </w:rPr>
              <w:t>(74,701,187)</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14,015,016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74,699,785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74,701,187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line="162" w:lineRule="exact"/>
              <w:rPr>
                <w:sz w:val="20"/>
                <w:szCs w:val="20"/>
                <w:color w:val="auto"/>
              </w:rPr>
            </w:pPr>
            <w:r>
              <w:rPr>
                <w:rFonts w:ascii="Arial" w:cs="Arial" w:eastAsia="Arial" w:hAnsi="Arial"/>
                <w:sz w:val="15"/>
                <w:szCs w:val="15"/>
                <w:color w:val="auto"/>
              </w:rPr>
              <w:t>Conversion of convertible</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Arial" w:cs="Arial" w:eastAsia="Arial" w:hAnsi="Arial"/>
                <w:sz w:val="15"/>
                <w:szCs w:val="15"/>
                <w:color w:val="auto"/>
              </w:rPr>
              <w:t>notes and accrued interest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2,744,059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13,447,660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13,447,934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Share exchange in</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connection with Merger</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1,000,000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02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stock,</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360"/>
              <w:spacing w:after="0" w:line="162" w:lineRule="exact"/>
              <w:rPr>
                <w:sz w:val="20"/>
                <w:szCs w:val="20"/>
                <w:color w:val="auto"/>
              </w:rPr>
            </w:pPr>
            <w:r>
              <w:rPr>
                <w:rFonts w:ascii="Arial" w:cs="Arial" w:eastAsia="Arial" w:hAnsi="Arial"/>
                <w:sz w:val="15"/>
                <w:szCs w:val="15"/>
                <w:color w:val="auto"/>
              </w:rPr>
              <w:t>net of issuance costs of</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360"/>
              <w:spacing w:after="0"/>
              <w:rPr>
                <w:sz w:val="20"/>
                <w:szCs w:val="20"/>
                <w:color w:val="auto"/>
              </w:rPr>
            </w:pPr>
            <w:r>
              <w:rPr>
                <w:rFonts w:ascii="Arial" w:cs="Arial" w:eastAsia="Arial" w:hAnsi="Arial"/>
                <w:sz w:val="15"/>
                <w:szCs w:val="15"/>
                <w:color w:val="auto"/>
              </w:rPr>
              <w:t>$3,084,385</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8,049,555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37,162,585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w w:val="98"/>
              </w:rPr>
              <w:t>37,163,390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stock upon exercise of</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stock options</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25,729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36,098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36,101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60"/>
              <w:spacing w:after="0"/>
              <w:rPr>
                <w:sz w:val="20"/>
                <w:szCs w:val="20"/>
                <w:color w:val="auto"/>
              </w:rPr>
            </w:pPr>
            <w:r>
              <w:rPr>
                <w:rFonts w:ascii="Arial" w:cs="Arial" w:eastAsia="Arial" w:hAnsi="Arial"/>
                <w:sz w:val="15"/>
                <w:szCs w:val="15"/>
                <w:color w:val="auto"/>
              </w:rPr>
              <w:t>Forfeiture of restricted stock</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(5,246)</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0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Share-based compensation</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expense</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649,409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649,409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60"/>
              <w:spacing w:after="0"/>
              <w:rPr>
                <w:sz w:val="20"/>
                <w:szCs w:val="20"/>
                <w:color w:val="auto"/>
              </w:rPr>
            </w:pPr>
            <w:r>
              <w:rPr>
                <w:rFonts w:ascii="Arial" w:cs="Arial" w:eastAsia="Arial" w:hAnsi="Arial"/>
                <w:sz w:val="15"/>
                <w:szCs w:val="15"/>
                <w:color w:val="auto"/>
              </w:rPr>
              <w:t>Net and comprehensive loss</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(21,400,606)</w:t>
            </w: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w w:val="94"/>
              </w:rPr>
              <w:t>(21,400,606)</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Balance at December 31, 2017</w:t>
            </w: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vMerge w:val="continue"/>
            <w:shd w:val="clear" w:color="auto" w:fill="CFF0FC"/>
          </w:tcPr>
          <w:p>
            <w:pPr>
              <w:spacing w:after="0"/>
              <w:rPr>
                <w:sz w:val="14"/>
                <w:szCs w:val="14"/>
                <w:color w:val="auto"/>
              </w:rPr>
            </w:pP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27,070,038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2,707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1"/>
              </w:rPr>
              <w:t>125,995,438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w w:val="96"/>
              </w:rPr>
              <w:t>(108,562,656)</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8"/>
              </w:rPr>
              <w:t>17,435,489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8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(21,400,606)</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(16,983,511)</w:t>
            </w: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and comprehensive loss to net cash used in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69,673</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488,326</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75,561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188,686</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 related to convertible note conversion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114,359</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Prepaid expenses and current other assets</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(72,889)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90,404</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1,604,636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311,096</w:t>
            </w:r>
          </w:p>
        </w:tc>
        <w:tc>
          <w:tcPr>
            <w:tcW w:w="100" w:type="dxa"/>
            <w:vAlign w:val="bottom"/>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(18,883,535)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(15,718,144)</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(8,896)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(113,297)</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maturities of short-term investments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(113,297)</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18,968</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issuances of convertible notes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12,542,203</w:t>
            </w:r>
          </w:p>
        </w:tc>
        <w:tc>
          <w:tcPr>
            <w:tcW w:w="100" w:type="dxa"/>
            <w:vAlign w:val="bottom"/>
            <w:shd w:val="clear" w:color="auto" w:fill="CFF0FC"/>
          </w:tcPr>
          <w:p>
            <w:pPr>
              <w:spacing w:after="0"/>
              <w:rPr>
                <w:sz w:val="19"/>
                <w:szCs w:val="19"/>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Cash paid for debt issuance costs</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(264,247)</w:t>
            </w: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common stock</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40,247,777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Cash paid in connection with the sale of common stock</w:t>
            </w: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(3,084,385)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37,496,846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12,296,924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18,654,415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(3,534,517)</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5,144,211</w:t>
            </w:r>
          </w:p>
        </w:tc>
        <w:tc>
          <w:tcPr>
            <w:tcW w:w="100" w:type="dxa"/>
            <w:vAlign w:val="bottom"/>
            <w:shd w:val="clear" w:color="auto" w:fill="CFF0FC"/>
          </w:tcPr>
          <w:p>
            <w:pPr>
              <w:spacing w:after="0"/>
              <w:rPr>
                <w:sz w:val="19"/>
                <w:szCs w:val="19"/>
                <w:color w:val="auto"/>
              </w:rPr>
            </w:pPr>
          </w:p>
        </w:tc>
      </w:tr>
      <w:tr>
        <w:trPr>
          <w:trHeight w:val="263"/>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twelve months ended</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20,264,109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1,609,694</w:t>
            </w:r>
          </w:p>
        </w:tc>
        <w:tc>
          <w:tcPr>
            <w:tcW w:w="100" w:type="dxa"/>
            <w:vAlign w:val="bottom"/>
            <w:tcBorders>
              <w:bottom w:val="single" w:sz="8" w:color="CFF0FC"/>
            </w:tcBorders>
          </w:tcPr>
          <w:p>
            <w:pPr>
              <w:spacing w:after="0"/>
              <w:rPr>
                <w:sz w:val="22"/>
                <w:szCs w:val="22"/>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74,701,187</w:t>
            </w:r>
          </w:p>
        </w:tc>
        <w:tc>
          <w:tcPr>
            <w:tcW w:w="18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and accrued interest into common stock</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13,447,934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Adjustment of redeemable convertible preferred stock to redemption value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943,297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4,152,801</w:t>
            </w:r>
          </w:p>
        </w:tc>
        <w:tc>
          <w:tcPr>
            <w:tcW w:w="10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Extinguishment of redeemable convertible preferred stock</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(224,224)</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Aerpio Pharmaceuticals, Inc. (the “Company”) was incorporated as Zeta Acquisition Corp. II (“Zeta”) in the State of Delaware on November 16, 2007. Prior to the Merger, (as defined below), Zeta was a “shell company” (as defined in Rule 12b-2 of the Securities Exchange Act of 1934, as amended).</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wholly-owned subsidiary.</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effective time of the Merger, the shares of the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the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18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 Merger, the Company acquired the business of Aerpio and has continued the existing business operations of Aerpio as a public reporting company under the name Aerpio Pharmaceuticals, Inc. Immediately after the Merger, on March 15, 2017, Aerpio converted into a Delaware limited liability company (the “Conversion”).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were from Aerpio. In accordance with “reverse merger” or “reverse acquisition” accounting treatment, the consolidated financial statements for the period ended December 31, 2017 include the accounts of the Company and its wholly owned subsidiary, Aerpio Therapeutics, LLC. The comparative historical financial statements for periods ended prior to the date of the Merger are the historical financial statements of Aerpio. Consequently, the assets and liabilities and the historical operations that are reflected in these consolidated financial statements of the Company are those of Aerpio, which were recorded at their historical cost basis. Unless otherwise indicated, all share and per share figures reflect the exchange of each 2.3336572 shares of Aerpio capital stock, convertible notes and share based awards, then outstanding, for 1 share of the Company’s common stock at the effective time of the Merger.</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9" w:name="page80"/>
    <w:bookmarkEnd w:id="79"/>
    <w:p>
      <w:pPr>
        <w:spacing w:after="0" w:line="255" w:lineRule="auto"/>
        <w:rPr>
          <w:sz w:val="20"/>
          <w:szCs w:val="20"/>
          <w:color w:val="auto"/>
        </w:rPr>
      </w:pPr>
      <w:r>
        <w:rPr>
          <w:rFonts w:ascii="Arial" w:cs="Arial" w:eastAsia="Arial" w:hAnsi="Arial"/>
          <w:sz w:val="18"/>
          <w:szCs w:val="18"/>
          <w:color w:val="auto"/>
        </w:rPr>
        <w:t>The Company is a biopharmaceutical company focused on advancing first-in-class treatments for ocular disease. The Company’s lead product candidate, AKB-9778, a small molecule activator of the Tie2 pathway, is being developed for the treatment of diabetic retinopathy (“DR”). Tie2 signaling is essential for regulating blood vessel development and the stability of mature vessels. The Company has completed a Phase 2a clinical trial in diabetic macular edema (“DME”), a swelling of the retina that is a common cause of vision loss in patients with DR and during the second quarter of 2017, initiated a twelve month, double blind Phase 2b clinical trial in patients with DR who have not developed more serious complications such as DME or proliferative diabetic retinopathy.</w:t>
      </w:r>
    </w:p>
    <w:p>
      <w:pPr>
        <w:spacing w:after="0" w:line="193"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addition, the Company has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The Company completed a Phase 1a clinical trial in healthy volunteers for AKB-4924 and APR-1536 is currently in preclinical development. Further development on the pipeline programs is subject to receiving additional funding, which the Company may seek through collaborations with potential strategic and commercial partners.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 has not generated any revenues to date, nor is there any assurance of any future revenues. The Company’s product candidates are subject to long development cycles, and there is no assurance the Company will be able to successfully develop, obtain regulatory approval for, or market its product candidates.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incurred losses from operations and had a negative cash flows from operating activities for the years ended December 31, 2017 and 2016 and since inception. The Company’s current operating plan indicates that it will continue to incur losses from operations and generate negative cash flows from operating activities given ongoing expenditures related to the completion of its ongoing clinical trials and the Company’s lack of revenue generating activities. These events and conditions raise substantial doubt about the Company’s ability to continue as a going concern.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will need to raise additional funds in order to further advance its clinical research programs, commence additional clinical trials, and operate its business, and meet its obligations as they come due. The Company is pursuing financing alternatives, which include permanent equity financing, business development arrangements, licensing arrangements and business combination transactions. However, financing may not be available to the Company in the necessary time frame, in amounts that the Company requires, on terms that are acceptable to the Company, or at all. If the Company raises additional funds through collaboration, licensing or other similar arrangements, it may be necessary to relinquish valuable rights to its potential products or proprietary technologies, or grant licenses on terms that are not favorable to the Company. If the Company is unable to raise the necessary funds when needed or reduce spending on currently planned activities, it may not be able to continue the development of its product candidates or the Company could be required to delay, scale back, or eliminate some or all of its development programs and other operations and will materially harm its business, financial position and results of operations. Based on the company’s current plans, it is anticipated that the existing cash and cash equivalents will allow the Company to conduct planned operations into the fourth quarter of 2018.</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0" w:name="page81"/>
    <w:bookmarkEnd w:id="80"/>
    <w:p>
      <w:pPr>
        <w:ind w:right="20"/>
        <w:spacing w:after="0" w:line="270"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 The consolidated financial statements do not include any adjustments relating to the recoverability and classification of recorded asset amounts or amounts of liabilities that might be necessary should the Company be unable to continue as a going concern. 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$20.3 million and current financial condition as of the date of the Annual Report on Form 10-K, there is substantial doubt about the Company’s ability to continue as a going concern.</w:t>
      </w:r>
    </w:p>
    <w:p>
      <w:pPr>
        <w:spacing w:after="0" w:line="200" w:lineRule="exact"/>
        <w:rPr>
          <w:sz w:val="20"/>
          <w:szCs w:val="20"/>
          <w:color w:val="auto"/>
        </w:rPr>
      </w:pPr>
    </w:p>
    <w:p>
      <w:pPr>
        <w:spacing w:after="0" w:line="342" w:lineRule="exact"/>
        <w:rPr>
          <w:sz w:val="20"/>
          <w:szCs w:val="20"/>
          <w:color w:val="auto"/>
        </w:rPr>
      </w:pPr>
    </w:p>
    <w:p>
      <w:pPr>
        <w:ind w:right="7840" w:firstLine="8"/>
        <w:spacing w:after="0" w:line="378" w:lineRule="auto"/>
        <w:tabs>
          <w:tab w:leader="none" w:pos="1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spacing w:after="0" w:line="272" w:lineRule="auto"/>
        <w:rPr>
          <w:sz w:val="20"/>
          <w:szCs w:val="20"/>
          <w:color w:val="auto"/>
        </w:rPr>
      </w:pPr>
      <w:r>
        <w:rPr>
          <w:rFonts w:ascii="Arial" w:cs="Arial" w:eastAsia="Arial" w:hAnsi="Arial"/>
          <w:sz w:val="17"/>
          <w:szCs w:val="17"/>
          <w:color w:val="auto"/>
        </w:rPr>
        <w:t>The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and cash flows for each period presented. All adjustments are of a normal and recurring nature. These unaudited consolidated financial statements should be read in conjunction with the consolidated financial statements of Aerpio Therapeutics Inc. for the year ended December 31, 2016, included in the Company’s Registration Statement on Form S-1 filed with the SEC. The results of operations for the interim periods are not necessarily indicative of results of operations for a full year. The Company’s consolidated financial statements are stated in U.S. Dollars.</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consolidated financial statements are prepared in accordance with U.S. generally accepted accounting principles (U.S. GAAP) and stated in U.S. dollars.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 of America.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fair value of the Company’s stock-based awards.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1" w:name="page82"/>
    <w:bookmarkEnd w:id="81"/>
    <w:p>
      <w:pPr>
        <w:ind w:right="20"/>
        <w:spacing w:after="0" w:line="293" w:lineRule="auto"/>
        <w:rPr>
          <w:sz w:val="20"/>
          <w:szCs w:val="20"/>
          <w:color w:val="auto"/>
        </w:rPr>
      </w:pPr>
      <w:r>
        <w:rPr>
          <w:rFonts w:ascii="Arial" w:cs="Arial" w:eastAsia="Arial" w:hAnsi="Arial"/>
          <w:sz w:val="16"/>
          <w:szCs w:val="16"/>
          <w:color w:val="auto"/>
        </w:rPr>
        <w:t xml:space="preserve">Historically, the Company utilized various valuation methodologies in accordance with the framework of the American Institute of Certified Public Accountants Technical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to estimate the fair value of its common stock. Each valuation methodology included estimates and assumptions that required the Company’s judgment. These estimates and assumptions included a number of objective and subjective factors, including external market conditions, the prices at which the Company sold shares of redeemable convertible preferred stock, the superior rights and preferences of securities senior to the Company’s common stock at the time, and, at December 31, 2016, a probability analysis of various liquidity events under differing scenarios, including both a potential public trading scenario and potential sale scenario.</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Cash and cash equivalents consist of all cash on hand, deposits, and funds invested in short-term investments with remaining maturities of three months or less at the time of purchase. The Company may maintain balances with its banks in excess of federally insured limits.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Time deposits with remaining maturities of greater than three months but less than one year at the time of purchase are classified as short-term investments in the accompanying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(iv) facilities and other expenses, which include direct and allocated expenses for rent and maintenance of facilities and laboratory and other supplies; and (v) costs associated with preclinical activities and regulatory operations.</w:t>
      </w:r>
    </w:p>
    <w:p>
      <w:pPr>
        <w:spacing w:after="0" w:line="1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Income taxes are recorded in accordance with Financial Accounting Standards Board (“FASB”) Accounting Standards Codification (ASC)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 ASC 740</w:t>
      </w:r>
      <w:r>
        <w:rPr>
          <w:rFonts w:ascii="Arial" w:cs="Arial" w:eastAsia="Arial" w:hAnsi="Arial"/>
          <w:sz w:val="16"/>
          <w:szCs w:val="16"/>
          <w:color w:val="auto"/>
        </w:rPr>
        <w:t>, which provides for deferred taxes using an asset and liability approach. The Company recognizes deferred tax assets and liabilities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some or all of the benefit will more likely than not be realized. The determination as to whether the tax benefit will more likely than not be realized is based upon the technical merits of the tax position, as well as consideration of the available facts and circumstances. As of December 31, 2017, and 2016, the Company does not have any significant uncertain tax positions. If incurred, the Company would classify interest and penalties on uncertain tax positions as income tax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basic net loss per share attributable to common stockholders is calculated by dividing the net loss attributable to common stockholders by the weighted average number of shares of common stock outstanding for the period. The diluted net loss per share attributable to common stockholders is computed by adjusting the weighted average shares outstanding for the dilutive effect of common stock equivalents outstanding for the period, determined using the treasury stock method. For purposes of this calculation, redeemable convertible preferred stock, convertible notes payable, stock options to purchase common stock, warrants, and unvested restricted stock awards are considered to be common stock equivalents but have been excluded from the calculation of diluted net loss per share attributable to common stockholders as their effect is anti-dilutive for all periods presented. Therefore, basic and diluted net loss per share attributable to common stockholders were the same for all periods presented.</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the year ended December 31, 2016, all share and per share amounts have been retrospectively adjusted to reflect the exchange of each 2.3336572 shares of Aerpio capital stock and share based awards then outstanding, for 1 share of the Company’s common stock at the effective time of the Merger.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FASB ASC Topic 718, </w:t>
      </w:r>
      <w:r>
        <w:rPr>
          <w:rFonts w:ascii="Arial" w:cs="Arial" w:eastAsia="Arial" w:hAnsi="Arial"/>
          <w:sz w:val="16"/>
          <w:szCs w:val="16"/>
          <w:i w:val="1"/>
          <w:iCs w:val="1"/>
          <w:color w:val="auto"/>
        </w:rPr>
        <w:t>Compensation – Stock Compensation ASC 718</w:t>
      </w:r>
      <w:r>
        <w:rPr>
          <w:rFonts w:ascii="Arial" w:cs="Arial" w:eastAsia="Arial" w:hAnsi="Arial"/>
          <w:sz w:val="16"/>
          <w:szCs w:val="16"/>
          <w:color w:val="auto"/>
        </w:rPr>
        <w:t>. ASC 718 requires all stock-based payments to employees, including grants of employee stock options and restricted stock, to be recognized in the consolidated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subjective assumptions, including (a) the expected stock price volatility, (b) the calculation of expected term of the award, (c) the risk-free interest rate, and (d) expected dividends. The fair value of restricted stock awards is determined based on the Company’s estimated common stock value.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3" w:name="page84"/>
    <w:bookmarkEnd w:id="83"/>
    <w:p>
      <w:pPr>
        <w:ind w:right="40"/>
        <w:spacing w:after="0" w:line="276" w:lineRule="auto"/>
        <w:rPr>
          <w:sz w:val="20"/>
          <w:szCs w:val="20"/>
          <w:color w:val="auto"/>
        </w:rPr>
      </w:pPr>
      <w:r>
        <w:rPr>
          <w:rFonts w:ascii="Arial" w:cs="Arial" w:eastAsia="Arial" w:hAnsi="Arial"/>
          <w:sz w:val="17"/>
          <w:szCs w:val="17"/>
          <w:color w:val="auto"/>
        </w:rPr>
        <w:t xml:space="preserve">The Company uses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Compensation expense related to awards to employees is calculated on a straight-line basis by recognizing the grant date fair value over the associated service period of the award, which is generally the vesting term. Awards to non-employees are adjusted through share-based compensation expense as the award vests to reflect the current fair value of such awards and are expensed using an accelerated attribution model.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Company’s financial instruments consist of cash equivalents, short-term investments, accounts receivable, and accounts payable. The Company values cash equivalents using quoted market prices. The valuation technique used to measure the fair value of short-term investments was based on observable market data. The fair value of accounts receivable and accounts payable approximate the carrying value because of their short-term nature.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8"/>
          <w:szCs w:val="18"/>
          <w:i w:val="1"/>
          <w:iCs w:val="1"/>
          <w:color w:val="auto"/>
        </w:rPr>
        <w:t>Fair Value Measurements and Disclosures ASC 820</w:t>
      </w:r>
      <w:r>
        <w:rPr>
          <w:rFonts w:ascii="Arial" w:cs="Arial" w:eastAsia="Arial" w:hAnsi="Arial"/>
          <w:sz w:val="18"/>
          <w:szCs w:val="18"/>
          <w:color w:val="auto"/>
        </w:rPr>
        <w:t>, establishes a hierarchy of inputs used in measuring fair value that maximizes the use of observable inputs and minimizes the use of unobservable inputs by requiring that the observable inputs be used when available.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1200" w:right="10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spacing w:after="0" w:line="276"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years ended December 31, 2017 or 2016. The assets of the Company measured at fair value on a recurring basis as of December 31, 2017 and December 31, 2016 are summarized below:</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1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2017</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1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Cash and cash equivalents</w:t>
            </w:r>
          </w:p>
        </w:tc>
        <w:tc>
          <w:tcPr>
            <w:tcW w:w="11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20,264,109</w:t>
            </w:r>
          </w:p>
        </w:tc>
        <w:tc>
          <w:tcPr>
            <w:tcW w:w="5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66"/>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20,264,109</w:t>
            </w:r>
          </w:p>
        </w:tc>
        <w:tc>
          <w:tcPr>
            <w:tcW w:w="120" w:type="dxa"/>
            <w:vAlign w:val="bottom"/>
            <w:shd w:val="clear" w:color="auto" w:fill="CFF0FC"/>
          </w:tcPr>
          <w:p>
            <w:pPr>
              <w:spacing w:after="0"/>
              <w:rPr>
                <w:sz w:val="19"/>
                <w:szCs w:val="19"/>
                <w:color w:val="auto"/>
              </w:rPr>
            </w:pPr>
          </w:p>
        </w:tc>
      </w:tr>
      <w:tr>
        <w:trPr>
          <w:trHeight w:val="263"/>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8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20,264,109</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20,264,109</w:t>
            </w:r>
          </w:p>
        </w:tc>
        <w:tc>
          <w:tcPr>
            <w:tcW w:w="120" w:type="dxa"/>
            <w:vAlign w:val="bottom"/>
            <w:tcBorders>
              <w:bottom w:val="single" w:sz="8" w:color="CFF0FC"/>
            </w:tcBorders>
          </w:tcPr>
          <w:p>
            <w:pPr>
              <w:spacing w:after="0"/>
              <w:rPr>
                <w:sz w:val="22"/>
                <w:szCs w:val="22"/>
                <w:color w:val="auto"/>
              </w:rPr>
            </w:pPr>
          </w:p>
        </w:tc>
      </w:tr>
      <w:tr>
        <w:trPr>
          <w:trHeight w:val="21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Assets: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5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66"/>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120" w:type="dxa"/>
            <w:vAlign w:val="bottom"/>
            <w:shd w:val="clear" w:color="auto" w:fill="CFF0FC"/>
          </w:tcPr>
          <w:p>
            <w:pPr>
              <w:spacing w:after="0"/>
              <w:rPr>
                <w:sz w:val="19"/>
                <w:szCs w:val="19"/>
                <w:color w:val="auto"/>
              </w:rPr>
            </w:pPr>
          </w:p>
        </w:tc>
      </w:tr>
      <w:tr>
        <w:trPr>
          <w:trHeight w:val="230"/>
        </w:trPr>
        <w:tc>
          <w:tcPr>
            <w:tcW w:w="3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Short-term investments</w:t>
            </w:r>
          </w:p>
        </w:tc>
        <w:tc>
          <w:tcPr>
            <w:tcW w:w="8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FF0FC"/>
            </w:tcBorders>
          </w:tcPr>
          <w:p>
            <w:pPr>
              <w:spacing w:after="0"/>
              <w:rPr>
                <w:sz w:val="19"/>
                <w:szCs w:val="19"/>
                <w:color w:val="auto"/>
              </w:rPr>
            </w:pP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1,659,694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and cash equivalents and short-term investments are the only financial instruments that potentially subject the Company to concentrations of credit risk. At December 31, 2017 and 2016, all the Company’s cash and cash equivalents were deposited in accounts at two principal financial institutions. The Company maintains its cash and cash equivalents and short-term investments with a high-quality, accredited financial institution and, accordingly, such funds are subject to minimal credit risk. The Company has no significant off-balance sheet concentrations of credit risk, such as foreign currency exchange contracts, option contracts, or other hedging arrangements.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consolidated financial position or results of operations upon adoption.</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This ASU is intended to simplify accounting for share-based payments and requires that excess tax benefits for share-based payments be recorded as a reduction of income tax expense and reflected within operating cash flows rather than being recorded within equity and reflected within financing cash flows. The ASU also provides an option for companies to recognize forfeitures as they occur rather than estimating the number of awards expected to be forfeited. The Company adopted this ASU on January 1, 2017 and has applied the new guidance related to excess tax benefits on a prospective basis. The Company also elected to account for forfeitures of share-based payments as they occur. The effect of adoption was not material to the consolidated financial statements.</w:t>
      </w:r>
    </w:p>
    <w:p>
      <w:pPr>
        <w:spacing w:after="0" w:line="16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This ASU will require lessees to recognize almost all leases on the balance sheet as a right-of-use asset and a lease liability. For statement of operations purposes, the FASB retained a dual model, requiring leases to be classified as finance leases or operating leases. This ASU is effective for interim and annual periods beginning after December 15, 2018, with early adoption permitted. The Company is currently assessing the effect that adoption of the new standard will have on its consolidated financial statements.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(a consensus of the Emerging Issues Task Force).” This ASU addresses eight specific cash flow issues and applies to all entities that are required to present a statement of cash flows under FASB ASC Topic 230,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The amendments in this ASU are effective for fiscal years beginning after December 15, 2017, and interim periods within those fiscal years. Early adoption is permitted, including adoption during an interim period. The Company has not yet adopted this ASU and is currently evaluating the effect that adoption of this new standard will have on its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Related-Party Arrangements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Aerpio was initially capitalized in December 2011 in a spinout transaction from Akebia Therapeutics, Inc. (Akebia) to enable more rapid development of its compounds. In connection with the spinout of Aerpio from Akebia, the companies entered into shared services agreements. Under the terms of the shared services agreements, Akebia and Aerpio obtained from and provided to each other certain services, as outlined below. These agreements expired on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activities included in the consolidated statements of operations and comprehensive loss: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ind w:left="1120"/>
              <w:spacing w:after="0"/>
              <w:rPr>
                <w:sz w:val="20"/>
                <w:szCs w:val="20"/>
                <w:color w:val="auto"/>
              </w:rPr>
            </w:pPr>
            <w:r>
              <w:rPr>
                <w:rFonts w:ascii="Arial" w:cs="Arial" w:eastAsia="Arial" w:hAnsi="Arial"/>
                <w:sz w:val="14"/>
                <w:szCs w:val="14"/>
                <w:b w:val="1"/>
                <w:bCs w:val="1"/>
                <w:color w:val="auto"/>
              </w:rPr>
              <w:t>Year Ended</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Consolidated Financial</w:t>
            </w:r>
          </w:p>
        </w:tc>
        <w:tc>
          <w:tcPr>
            <w:tcW w:w="4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Activity</w:t>
            </w:r>
          </w:p>
        </w:tc>
        <w:tc>
          <w:tcPr>
            <w:tcW w:w="200" w:type="dxa"/>
            <w:vAlign w:val="bottom"/>
          </w:tcPr>
          <w:p>
            <w:pPr>
              <w:spacing w:after="0"/>
              <w:rPr>
                <w:sz w:val="11"/>
                <w:szCs w:val="11"/>
                <w:color w:val="auto"/>
              </w:rPr>
            </w:pPr>
          </w:p>
        </w:tc>
        <w:tc>
          <w:tcPr>
            <w:tcW w:w="41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Statement Caption</w:t>
            </w:r>
          </w:p>
        </w:tc>
        <w:tc>
          <w:tcPr>
            <w:tcW w:w="40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Akebia related</w:t>
            </w:r>
          </w:p>
        </w:tc>
        <w:tc>
          <w:tcPr>
            <w:tcW w:w="200" w:type="dxa"/>
            <w:vAlign w:val="bottom"/>
            <w:tcBorders>
              <w:top w:val="single" w:sz="8" w:color="CFF0FC"/>
            </w:tcBorders>
            <w:shd w:val="clear" w:color="auto" w:fill="CFF0FC"/>
          </w:tcPr>
          <w:p>
            <w:pPr>
              <w:spacing w:after="0"/>
              <w:rPr>
                <w:sz w:val="18"/>
                <w:szCs w:val="18"/>
                <w:color w:val="auto"/>
              </w:rPr>
            </w:pPr>
          </w:p>
        </w:tc>
        <w:tc>
          <w:tcPr>
            <w:tcW w:w="3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employee costs</w:t>
            </w:r>
          </w:p>
        </w:tc>
        <w:tc>
          <w:tcPr>
            <w:tcW w:w="200" w:type="dxa"/>
            <w:vAlign w:val="bottom"/>
            <w:shd w:val="clear" w:color="auto" w:fill="CFF0FC"/>
          </w:tcPr>
          <w:p>
            <w:pPr>
              <w:spacing w:after="0"/>
              <w:rPr>
                <w:sz w:val="20"/>
                <w:szCs w:val="20"/>
                <w:color w:val="auto"/>
              </w:rPr>
            </w:pPr>
          </w:p>
        </w:tc>
        <w:tc>
          <w:tcPr>
            <w:tcW w:w="4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Arial" w:cs="Arial" w:eastAsia="Arial" w:hAnsi="Arial"/>
                <w:sz w:val="18"/>
                <w:szCs w:val="18"/>
                <w:color w:val="auto"/>
              </w:rPr>
              <w:t>Facility-related</w:t>
            </w:r>
          </w:p>
        </w:tc>
        <w:tc>
          <w:tcPr>
            <w:tcW w:w="2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reimbursement</w:t>
            </w:r>
          </w:p>
        </w:tc>
        <w:tc>
          <w:tcPr>
            <w:tcW w:w="4340" w:type="dxa"/>
            <w:vAlign w:val="bottom"/>
            <w:gridSpan w:val="3"/>
          </w:tcPr>
          <w:p>
            <w:pPr>
              <w:ind w:left="200"/>
              <w:spacing w:after="0"/>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20"/>
                <w:szCs w:val="20"/>
                <w:color w:val="auto"/>
              </w:rPr>
            </w:pPr>
          </w:p>
        </w:tc>
        <w:tc>
          <w:tcPr>
            <w:tcW w:w="1340" w:type="dxa"/>
            <w:vAlign w:val="bottom"/>
          </w:tcPr>
          <w:p>
            <w:pPr>
              <w:ind w:left="11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00" w:type="dxa"/>
            <w:vAlign w:val="bottom"/>
          </w:tcPr>
          <w:p>
            <w:pPr>
              <w:spacing w:after="0"/>
              <w:rPr>
                <w:sz w:val="24"/>
                <w:szCs w:val="24"/>
                <w:color w:val="auto"/>
              </w:rPr>
            </w:pPr>
          </w:p>
        </w:tc>
        <w:tc>
          <w:tcPr>
            <w:tcW w:w="4140" w:type="dxa"/>
            <w:vAlign w:val="bottom"/>
            <w:gridSpan w:val="2"/>
          </w:tcPr>
          <w:p>
            <w:pPr>
              <w:jc w:val="right"/>
              <w:ind w:right="1459"/>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4.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1,276,537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1,135,608</w:t>
            </w:r>
          </w:p>
        </w:tc>
        <w:tc>
          <w:tcPr>
            <w:tcW w:w="6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277,217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200,468</w:t>
            </w:r>
          </w:p>
        </w:tc>
        <w:tc>
          <w:tcPr>
            <w:tcW w:w="6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833,650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483,442</w:t>
            </w:r>
          </w:p>
        </w:tc>
        <w:tc>
          <w:tcPr>
            <w:tcW w:w="6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69,549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52,835</w:t>
            </w:r>
          </w:p>
        </w:tc>
        <w:tc>
          <w:tcPr>
            <w:tcW w:w="6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Accrued project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1,069,852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541,158</w:t>
            </w:r>
          </w:p>
        </w:tc>
        <w:tc>
          <w:tcPr>
            <w:tcW w:w="6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65,359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57,459</w:t>
            </w:r>
          </w:p>
        </w:tc>
        <w:tc>
          <w:tcPr>
            <w:tcW w:w="6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accounts payable and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3,592,164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2,470,970</w:t>
            </w:r>
          </w:p>
        </w:tc>
        <w:tc>
          <w:tcPr>
            <w:tcW w:w="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Furniture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equipment and accumulated depreciation balances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8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Furniture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156,928</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156,928</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Computers</w:t>
            </w:r>
          </w:p>
        </w:tc>
        <w:tc>
          <w:tcPr>
            <w:tcW w:w="3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109,204</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111,446</w:t>
            </w:r>
          </w:p>
        </w:tc>
        <w:tc>
          <w:tcPr>
            <w:tcW w:w="12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3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141,067</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141,067</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35,869</w:t>
            </w:r>
          </w:p>
        </w:tc>
        <w:tc>
          <w:tcPr>
            <w:tcW w:w="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35,869</w:t>
            </w:r>
          </w:p>
        </w:tc>
        <w:tc>
          <w:tcPr>
            <w:tcW w:w="12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furniture and equipment</w:t>
            </w:r>
          </w:p>
        </w:tc>
        <w:tc>
          <w:tcPr>
            <w:tcW w:w="3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443,068</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445,310</w:t>
            </w:r>
          </w:p>
        </w:tc>
        <w:tc>
          <w:tcPr>
            <w:tcW w:w="12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80" w:type="dxa"/>
            <w:vAlign w:val="bottom"/>
          </w:tcPr>
          <w:p>
            <w:pPr>
              <w:spacing w:after="0"/>
              <w:rPr>
                <w:sz w:val="19"/>
                <w:szCs w:val="19"/>
                <w:color w:val="auto"/>
              </w:rPr>
            </w:pPr>
          </w:p>
        </w:tc>
        <w:tc>
          <w:tcPr>
            <w:tcW w:w="2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(335,845)</w:t>
            </w:r>
          </w:p>
        </w:tc>
        <w:tc>
          <w:tcPr>
            <w:tcW w:w="34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(295,715)</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Furniture and equipment, net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107,223</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 to Investors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2016, Aerpio entered into a senior secured convertible note financing (the “Convertible Notes” or the “Convertible Note Financing”) totaling approximately $9,000,000, with certain preferred investors of Aerpio. All preferred investors were invited to participate in the Convertible Notes Financing. At December 31, 2017 and 2016, the unamortized debt issuance costs related to Convertible Note financings was $0 and $75,561, respectively. In connection with the Convertible Note Financing, Aerpio’s Articles of Incorporation were amended such that any Aerpio preferred stockholder that did not participate in the Convertible Note Financing would have their respective shares of Aerpio preferred stock automatically converted into Aerpio common stock using a 3-to-1 conversion ratio and such preferred stockholders would lose the right to representation on the Aerpio Board of Directors and other preferred rights.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7" w:name="page88"/>
    <w:bookmarkEnd w:id="87"/>
    <w:p>
      <w:pPr>
        <w:ind w:right="20"/>
        <w:spacing w:after="0" w:line="268" w:lineRule="auto"/>
        <w:rPr>
          <w:sz w:val="20"/>
          <w:szCs w:val="20"/>
          <w:color w:val="auto"/>
        </w:rPr>
      </w:pPr>
      <w:r>
        <w:rPr>
          <w:rFonts w:ascii="Arial" w:cs="Arial" w:eastAsia="Arial" w:hAnsi="Arial"/>
          <w:sz w:val="17"/>
          <w:szCs w:val="17"/>
          <w:color w:val="auto"/>
        </w:rPr>
        <w:t>The Convertible Note Financing had two separate closings of approximately $4,500,000 each on April 14, 2016 and July 15, 2016. Certain Aerpio preferred stockholders chose not to participate in the Convertible Note Financing and their respective Aerpio preferred stock was converted into shares of Aerpio common stock in April 2016 in accordance with the terms of the Articles of Incorporation. Aerpio treated this as an extinguishment of its preferred stock. The Convertible Notes accrued interest at 8% per annum, compounded annually. The Company incurred $138,312 of costs in association with the issuance of the Convertible Notes that were amortized over the expected life of the Convertible Notes, from the date of execution through October 31, 2016. The Convertible Notes were also subject to mandatory prepayment upon the occurrence of certain events, such as a liquidation, dissolution, or the sale of Aerpio. In addition, and prior to maturity, the Convertible Notes were automatically convertible into shares of Aerpio capital stock upon the occurrence of a sale of Aerpio’s capital stock in a single transaction resulting in gross proceeds to Aerpio of $30,000,000 (hereinafter referred to as an “Investor Sale”). The type and class of Aerpio capital stock of to be issued to the holder of each Convertible Note upon conversion would have been identical to the type and class of Aerpio capital stock issued in the Investor Sale. The holder of each Convertible Note was entitled to a number of shares of Aerpio capital determined by dividing (i) the outstanding principal amount of the Convertible Note plus any unpaid accrued interest by (ii) an amount equal to the price per share of Aerpio capital stock paid by the purchasers of such shares in connection with the Investor Sale. The Convertible Notes were secured by a first priority perfected security interest in all of the Aerpio’s assets.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October 2016 and February 2017, Aerpio executed an additional senior secured Convertible Note financing (the “Additional Convertible Notes” or the “Additional Convertible Note Financing”) totaling approximately $3,500,000 and $300,000 respectively, with certain preferred investors of Aerpio. The terms of the Additional Convertible Notes are identical to the Convertible Notes and are treated as extensions of the original Convertible Note Financing. The Company incurred $125,935 of costs associated with these transactions, which were amortized to the maturity date of March 31, 2017. In connection with the Additional Convertible Note Financings, the Convertible Notes were amended and their respective maturity dates were extended from October 31, 2016 to March 31, 2017. The amendments are accounted for as a modification for accounting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(Note 1) the Convertible Notes and accrued interest were converted into the Company’s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 the Company had 300,000,000 and 17,440,436 shares, respectively, of authorized common stock with par value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$0.0001 per share. On March 15, 2017, in connection with the Merger, (Note 1) all the outstanding redeemable convertible preferred stock, was converted into 14,015,016 shares of the Company’s common stock and the Convertible Notes, both principal and accrued interest, were converted into 2,744,059 shares of the Company’s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Lock-up Agreements and Other Restrictions</w:t>
      </w:r>
    </w:p>
    <w:p>
      <w:pPr>
        <w:spacing w:after="0" w:line="12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connection with the Merger, each of the Company’s executive officers, directors, stockholders holding substantially all of the shares of common stock issued in exchange for shares held in Aerpio immediately prior to the Merger, certain other stockholders, and certain key employees, (the “Restricted Holders”), holding at the closing date of the Merger (the “Closing Date”) an aggregate of approximately 18.9 million shares of common stock, entered into lock-up agreements,(the “Lock-Up Agreements”), whereby they are restricted for a period of nine months after the Merger, or the Restricted Period, from certain sales or dispositions (including pledge) of all (or 80% in the case of the holders of 915,000 shares) of the Company’s common stock held by (or issuable to) them, (such restrictions together referred to as the “Lock-Up”). As of December 31, 2017, the Lock-Up Agreements have expired.</w:t>
      </w:r>
    </w:p>
    <w:p>
      <w:pPr>
        <w:spacing w:after="0" w:line="16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addition, each Restricted Holder and any stockholders holding or beneficially owning 1% or more of our common stock after giving effect to the Merger, agreed, for a period of 12 months following the Closing Date, that it will not, directly or indirectly, effect or agree to effect any short sale (as defined in Rule 200 under Regulation SHO of the Securities Exchange Act of 1934 (“the Exchange Act”), whether or not against the box, establish any “put equivalent position” (as defined in Rule 16a-1(h) under the Exchange Act) with respect to the common stock, borrow or pre-borrow any shares of common stock, or grant any other right (including, without limitation, any put or call option) with respect to the common stock or with respect to any security that includes, relates to or derives any significant part of its value from the common stock or otherwise seek to hedge its position in the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Anti-dilution protection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Investors in the Offering have anti-dilution protection with respect to the shares of the Company’s common stock sold in the Offering such that if within six</w:t>
      </w:r>
    </w:p>
    <w:p>
      <w:pPr>
        <w:spacing w:after="0" w:line="46" w:lineRule="exact"/>
        <w:rPr>
          <w:sz w:val="20"/>
          <w:szCs w:val="20"/>
          <w:color w:val="auto"/>
        </w:rPr>
      </w:pPr>
    </w:p>
    <w:p>
      <w:pPr>
        <w:ind w:firstLine="8"/>
        <w:spacing w:after="0" w:line="268" w:lineRule="auto"/>
        <w:tabs>
          <w:tab w:leader="none" w:pos="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months after the initial closing of the Offering the Company issues additional shares of common stock or common stock equivalents (subject to certain exceptions), for consideration per share less than the Offering Price, or the Lower Price, each such investor will be entitled to receive from the Company additional shares of common stock in an amount such that, when added to the number of shares of common stock initially purchased by such investor and still held of record and beneficially owned by such investor at the time of the dilutive issuance, or the Held Shares, will equal the number of shares of common stock that such investor’s Offering subscription amount for the Held Shares would have purchased at the Lower Price. Either (i) holders of a majority of the then-held Held Shares or (ii) a representative of the holders of the then-held Held Shares, which representative shall be appointed by three (3) investors who then hold the largest number of Held Shares, may waive the anti-dilution rights of all Offering investors with respect to a particular issuance by the Company. These anti-dilution rights were determined not to be a freestanding financial instrument and did not meet the definition of a derivative. At December 31, 2017, the anti-dilution rights were expired and the Company did not issue any additional shares of common stock or common stock equivalents during the year ended December 31, 2017.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December 31, 2017, the Company had warrants outstanding for the purchase of 317,562 shares of the Company’s common stock at an exercise price of $5.00 per share. The warrants have a three-year term and expire on March 15, 2020. The Warrants were issued in connection with the Offering. At the expiration date of the warrants,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common stock splits, combinations, reorganizations, or issue shares as part of a common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8. Preferred Stock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December 31, 2017, the Company had 10,000,000 shares of preferred stock, par value $0.0001 per share, in authorized capital. No preferred stock was issued and outstanding at December 31, 2017. In connection with the Merger (Note 1), all the Aerpio redeemable convertible preferred stock issued and outstanding prior to the Merger was converted into shares of the Company’s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Aerpio’s redeemable convertible preferred stock consisted of the following:</w:t>
      </w:r>
    </w:p>
    <w:p>
      <w:pPr>
        <w:spacing w:after="0" w:line="117" w:lineRule="exact"/>
        <w:rPr>
          <w:sz w:val="20"/>
          <w:szCs w:val="20"/>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Series A redeemable convertible preferred stock: 1,326,147 shares authorized and 1,239,338 shares issued and outstanding;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Series A1 redeemable convertible preferred stock: 8,368,247 shares authorized and 8,289,663 shares issued and outstanding; and</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Series A2 redeemable convertible preferred stock: 4,660,573 shares authorized and 4,486,015 shares issued and outstanding.</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share and per share amounts are on an as converted basis to reflect the effect of the Merger. The rights, preferences, and privileges of the redeemable convertible preferred stock issued and outstanding prior to the Merger were as follows: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holders of redeemable convertible preferred stock were entitled to the number of votes equal to the number of whole shares of Aerpio common stock into which the shares of redeemable convertible preferred stock were convertible. Except as provided by law or otherwise, the holders of redeemable convertible preferred stock voted together with the holders of Aerpio common stock as a single class. Certain significant actions required approval by at least 50% of the holders of redeemable convertible preferred stock voting as a single class on an as converted basis. Such significant actions include significant asset transfers, acquisitions, liquidation, amendments to the certificate of incorporation, new indebtedness, repurchase of common stock, changes in the authorized numbers of directors constituting the Board of Directors, and the declaration of dividends.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holders of shares of redeemable convertible preferred stock were entitled to elect six members of Aerpio’s Board of Directors, which was subject to reduction to not less than four directors under certain circumstances. The holders of Aerpio common stock (including any holders of all shares of redeemable convertible preferred stock on an as converted basis) were entitled to elect two members of Aerpio’s Board of Directors, which was subject to reduction to one director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60"/>
        <w:spacing w:after="0" w:line="309" w:lineRule="auto"/>
        <w:rPr>
          <w:sz w:val="20"/>
          <w:szCs w:val="20"/>
          <w:color w:val="auto"/>
        </w:rPr>
      </w:pPr>
      <w:r>
        <w:rPr>
          <w:rFonts w:ascii="Arial" w:cs="Arial" w:eastAsia="Arial" w:hAnsi="Arial"/>
          <w:sz w:val="18"/>
          <w:szCs w:val="18"/>
          <w:color w:val="auto"/>
        </w:rPr>
        <w:t>Dividends are payable, if permitted by law, in accordance with redeemable convertible preferred stock terms or when and if declared by Aerpio Board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event of any voluntary or involuntary liquidation, dissolution, or winding-up of Aerpio, or upon the occurrence of a Deemed Liquidation Event, as defined, at the election of more than 50% of the holders of Series A2 Preferred Stock and Series A1 Preferred Stock, those holders were entitled to be paid, in preference to the holders of Series A Preferred Stock and Aerpio common stock, out of the assets of Aerpio available for distribution at $4.90 per share for Series A2 Preferred Stock and $3.97 per share for Series A1 Preferred Stock, plus any accrued but unpaid dividends. After the holders of Series A1 Preferred Stock and Series A2 Preferred Stock are satisfied, the holders of Series A Preferred Stock were paid at $4.27 per share, plus any accrued but unpaid dividends before any payment was made to the holders of Aerpio’s common stock.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90" w:name="page91"/>
    <w:bookmarkEnd w:id="90"/>
    <w:p>
      <w:pPr>
        <w:spacing w:after="0" w:line="259" w:lineRule="auto"/>
        <w:rPr>
          <w:sz w:val="20"/>
          <w:szCs w:val="20"/>
          <w:color w:val="auto"/>
        </w:rPr>
      </w:pPr>
      <w:r>
        <w:rPr>
          <w:rFonts w:ascii="Arial" w:cs="Arial" w:eastAsia="Arial" w:hAnsi="Arial"/>
          <w:sz w:val="18"/>
          <w:szCs w:val="18"/>
          <w:color w:val="auto"/>
        </w:rPr>
        <w:t>In the event the assets of Aerpio available for distribution to stockholders were insufficient to pay the full amount to which the holder was entitled, the holders of Series A2 Preferred Stock and Series A1 Preferred Stock would share ratably any assets available for distribution in proportion to their relative original investment amounts. Any remaining assets of Aerpio would be distributed ratably among the holders of Series A Preferred Stock based upon aggregate applicable dividends accrued on Series A Preferred Stock not previously paid.</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After the payment of all preferential amounts required to be paid to the holders of redeemable convertible preferred stock, the remaining assets available for distribution would be distributed among the holders of redeemable convertible preferred stock and Aerpio common stock based on the pro rata number of shares held by each holder, treating such securities as if they had been converted to Aerpio common stock immediately prior to such dissolution, liquidation, or winding-up of Aerpio.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Each share of redeemable convertible preferred stock was convertible at the option of the holder, at any time and from time to time, into fully paid and non-assessable shares of Aerpio common stock. The initial conversion ratio was one share of redeemable convertible preferred stock for one share of Aerpio’s common stock. The applicable conversion rate was subject to adjustments upon the occurrence of certain events.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Each share of redeemable convertible preferred stock was automatically convertible into fully paid and non-assessable shares of Aerpio common stock at the then-applicable conversion ratio, as defined, upon either: (i) the closing of the sale of shares of Aerpio’s common stock to the public in an underwritten public offering at a price of $14.70 resulting in at least $40,000,000 of gross proceeds, or (ii) the date and time, or the occurrence of an event, specified by vote or written consent of the holders of more than 50% of the then outstanding shares of redeemable convertible preferred stock on an as-converted basis.</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Aerpio evaluated each series of its redeemable convertible preferred stock and determined that each individual series is considered an equity host under ASC Topic 815, Derivatives and Hedging. In making this determination, Aerpio’s analysis followed the whole instrument approach, which compares an individual feature against the entire redeemable convertible preferred stock instrument that includes that feature. Aerpio’s analysis was based on a consideration of the economic characteristics and risks of each series of redeemable convertible preferred stock. More specifically, Aerpio evaluated all the stated and implied substantive terms and features, including: (i) whether the redeemable convertible preferred stock included redemption features, (ii) how and when any redemption features could be exercised, (iii) whether the holders of redeemable convertible preferred stock were entitled to dividends, (iv) the voting rights of the redeemable convertible preferred stock, and (v) the existence and nature of any conversion rights. Aerpio concluded that as the redeemable convertible preferred stock represents an equity host, the conversion feature included in all series of redeemable convertible preferred stock is clearly and closely related to the associated host instrument. Accordingly, the conversion feature of all series of redeemable convertible preferred stock was not considered an embedded derivative that required bifurcation.</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Aerpio accounted for potentially beneficial conversion features under ASC Topic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At the time of each of the issuances of redeemable convertible preferred stock, Aerpio’s common stock into which each series of the redeemable convertible preferred stock was convertible had an estimated fair value less than the effective conversion prices of the redeemable convertible preferred stock. Therefore, there was no beneficial conversion element on the respective commitment 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November 17, 2011, the Company established the Aerpio Therapeutics, Inc. 2011 Equity Incentive Plan (the Plan). The Plan allows for the grant of either incentive stock options or non-qualified stock options to purchase Common Stock, stock bonuses, or restricted stock awards for management and certain persons performing services for the Company. As of December 31, 2016, a total of 5,860,874 shares of Common Stock were authorized for issuance in accordance with the provisions of the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ind w:right="40"/>
        <w:spacing w:after="0" w:line="255" w:lineRule="auto"/>
        <w:rPr>
          <w:sz w:val="20"/>
          <w:szCs w:val="20"/>
          <w:color w:val="auto"/>
        </w:rPr>
      </w:pPr>
      <w:r>
        <w:rPr>
          <w:rFonts w:ascii="Arial" w:cs="Arial" w:eastAsia="Arial" w:hAnsi="Arial"/>
          <w:sz w:val="18"/>
          <w:szCs w:val="18"/>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options granted generally vest over 48 months. For employees with less than one year’s service, options vest in installments of 25% at the one-year anniversary and thereafter in 36 equal monthly installments beginning in the 13th month after the initial Vesting Commencement Date (as defined), subject to the employee’s continuous service with the Company. Options granted to other employees vest in 48 equal monthly installments after the initial Vesting Commencement Date, subject to the employee’s continuous service with the Company. The options generally expire ten years after the date of grant. The fair value of the options at the date of grant is recognized as an expense over the requisite service period. Five option awards were granted for 1,014,018 shares in the twelve months ended December 31, 2017 and one option award was granted for 50,228 shares in the twelve months ended December 31, 2016. In 2017, two option awards for 733,570 shares were inducement grants related to hiring the CEO and CFO and three option awards for 280,448 shares were issued under the 2017 Equity Plan. Three option awards for 280,448 shares were granted under the 2017 Plan as of December 31, 2017. At December 31, 2017, 3,391,960 shares are reserved for issuance under the 2017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year ended December 31,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left="23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238"/>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940" w:type="dxa"/>
            <w:vAlign w:val="bottom"/>
          </w:tcPr>
          <w:p>
            <w:pPr>
              <w:jc w:val="center"/>
              <w:ind w:left="258"/>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left="258"/>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907,485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1.66</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50,228</w:t>
            </w:r>
          </w:p>
        </w:tc>
        <w:tc>
          <w:tcPr>
            <w:tcW w:w="160" w:type="dxa"/>
            <w:vAlign w:val="bottom"/>
          </w:tcPr>
          <w:p>
            <w:pPr>
              <w:spacing w:after="0"/>
              <w:rPr>
                <w:sz w:val="19"/>
                <w:szCs w:val="19"/>
                <w:color w:val="auto"/>
              </w:rPr>
            </w:pPr>
          </w:p>
        </w:tc>
        <w:tc>
          <w:tcPr>
            <w:tcW w:w="1020" w:type="dxa"/>
            <w:vAlign w:val="bottom"/>
            <w:gridSpan w:val="2"/>
          </w:tcPr>
          <w:p>
            <w:pPr>
              <w:jc w:val="right"/>
              <w:ind w:right="75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1.80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(21,870)</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0.87</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(8,251)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1.24</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2016</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1,030,217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Expected to vest, December 31, 2016</w:t>
            </w: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1.82</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December 31, 2016</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615,045</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5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1.63</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Outstanding, January 1, 2017</w:t>
            </w:r>
          </w:p>
        </w:tc>
        <w:tc>
          <w:tcPr>
            <w:tcW w:w="1260" w:type="dxa"/>
            <w:vAlign w:val="bottom"/>
          </w:tcPr>
          <w:p>
            <w:pPr>
              <w:jc w:val="right"/>
              <w:spacing w:after="0"/>
              <w:rPr>
                <w:sz w:val="20"/>
                <w:szCs w:val="20"/>
                <w:color w:val="auto"/>
              </w:rPr>
            </w:pPr>
            <w:r>
              <w:rPr>
                <w:rFonts w:ascii="Arial" w:cs="Arial" w:eastAsia="Arial" w:hAnsi="Arial"/>
                <w:sz w:val="18"/>
                <w:szCs w:val="18"/>
                <w:color w:val="auto"/>
              </w:rPr>
              <w:t>927,592</w:t>
            </w:r>
          </w:p>
        </w:tc>
        <w:tc>
          <w:tcPr>
            <w:tcW w:w="160" w:type="dxa"/>
            <w:vAlign w:val="bottom"/>
          </w:tcPr>
          <w:p>
            <w:pPr>
              <w:spacing w:after="0"/>
              <w:rPr>
                <w:sz w:val="19"/>
                <w:szCs w:val="19"/>
                <w:color w:val="auto"/>
              </w:rPr>
            </w:pPr>
          </w:p>
        </w:tc>
        <w:tc>
          <w:tcPr>
            <w:tcW w:w="1020" w:type="dxa"/>
            <w:vAlign w:val="bottom"/>
            <w:gridSpan w:val="2"/>
          </w:tcPr>
          <w:p>
            <w:pPr>
              <w:jc w:val="right"/>
              <w:ind w:right="75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1.70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7.48</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1,030,217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1,014,018</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5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5.50</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(25,729)</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1.40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Expired/cancelled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(2,901)</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2.11</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December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1,912,980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3.72</w:t>
            </w:r>
          </w:p>
        </w:tc>
        <w:tc>
          <w:tcPr>
            <w:tcW w:w="240" w:type="dxa"/>
            <w:vAlign w:val="bottom"/>
            <w:tcBorders>
              <w:bottom w:val="single" w:sz="8" w:color="CFF0FC"/>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2,738,704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Expected to vest, December 31, 2017</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1,161,495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5.02</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Options exercisable, December 31, 2017</w:t>
            </w:r>
          </w:p>
        </w:tc>
        <w:tc>
          <w:tcPr>
            <w:tcW w:w="1260" w:type="dxa"/>
            <w:vAlign w:val="bottom"/>
          </w:tcPr>
          <w:p>
            <w:pPr>
              <w:jc w:val="right"/>
              <w:spacing w:after="0"/>
              <w:rPr>
                <w:sz w:val="20"/>
                <w:szCs w:val="20"/>
                <w:color w:val="auto"/>
              </w:rPr>
            </w:pPr>
            <w:r>
              <w:rPr>
                <w:rFonts w:ascii="Arial" w:cs="Arial" w:eastAsia="Arial" w:hAnsi="Arial"/>
                <w:sz w:val="18"/>
                <w:szCs w:val="18"/>
                <w:color w:val="auto"/>
              </w:rPr>
              <w:t>751,485</w:t>
            </w:r>
          </w:p>
        </w:tc>
        <w:tc>
          <w:tcPr>
            <w:tcW w:w="160" w:type="dxa"/>
            <w:vAlign w:val="bottom"/>
          </w:tcPr>
          <w:p>
            <w:pPr>
              <w:spacing w:after="0"/>
              <w:rPr>
                <w:sz w:val="20"/>
                <w:szCs w:val="20"/>
                <w:color w:val="auto"/>
              </w:rPr>
            </w:pPr>
          </w:p>
        </w:tc>
        <w:tc>
          <w:tcPr>
            <w:tcW w:w="1020" w:type="dxa"/>
            <w:vAlign w:val="bottom"/>
            <w:gridSpan w:val="2"/>
          </w:tcPr>
          <w:p>
            <w:pPr>
              <w:jc w:val="right"/>
              <w:ind w:right="75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1.69</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6.07</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2,297,151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Aggregate intrinsic value represents the estimated fair value of the Company’s common stock at the end of the period in excess of the weighted average exercise price multiplied by the number of options outstanding or exercisable. The aggregate intrinsic value of the options at December 31, 2016 was $1,030,217.</w:t>
      </w:r>
    </w:p>
    <w:p>
      <w:pPr>
        <w:spacing w:after="0" w:line="195"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The weighted average grant date fair value of stock options granted during the year ended 2017 was $3.39. Stock options exercised during 2017 and 2016 had an intrinsic value of $92,544 and $20,335, respectively.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Compensation expense for stock options was $327,649 and $180,399 for the year ended December 31, 2017 and 2016, respectively. As of December 31, 2017, there was $3,517,806 of unrecognized compensation cost related to stock options, which is expected to be recognized over a weighted average period of 3.31 years.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spacing w:after="0" w:line="288" w:lineRule="auto"/>
        <w:rPr>
          <w:sz w:val="20"/>
          <w:szCs w:val="20"/>
          <w:color w:val="auto"/>
        </w:rPr>
      </w:pPr>
      <w:r>
        <w:rPr>
          <w:rFonts w:ascii="Arial" w:cs="Arial" w:eastAsia="Arial" w:hAnsi="Arial"/>
          <w:sz w:val="16"/>
          <w:szCs w:val="16"/>
          <w:color w:val="auto"/>
        </w:rPr>
        <w:t>The Company uses the Black-Scholes option pricing model to determine the estimated fair value for stock-based awards. There were 1,014,018 and 50,228 options granted in the years ended December 31 ,2017 and 2016, respectively. Option pricing models require the input of various subjective assumptions, including the option’s expected life, expected dividend yield, price volatility and risk-free interest rate of the underlying stock. As there has been significant public market activity of the Company’s Common Stock, the Company has determined the volatility assumption for options granted based on data from a peer group of companies that issued options with substantially similar terms. The expected volatility of options granted has been determined using the average of the historical volatility measures of this peer group of companies for a period equal to the expected life of the option. The risk-free interest rate is based on the rate applicable to U.S. Treasury zero-coupon issues, with remaining maturities commensurate with the expected term of the options granted in effect on the date of grant. The Company has not paid, and does not anticipate paying, cash dividends on shares of Common Stock; therefore, the expected dividend yield is assumed to be zero in the option valuation model. Accordingly, the weighted-average fair value of the options granted during the years ended December 31, 2017 and 2016 was $3.39 and $1.22 respectively. The calculation was based on the following assumptions.</w:t>
      </w:r>
    </w:p>
    <w:p>
      <w:pPr>
        <w:spacing w:after="0" w:line="269"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00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5.94</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9"/>
                <w:szCs w:val="19"/>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r>
      <w:tr>
        <w:trPr>
          <w:trHeight w:val="230"/>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8"/>
              </w:rPr>
              <w:t>67.57%</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61.00%</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Shares of restricted stock generally have similar vesting terms as stock options. A summary of the Company’s restricted stock activity and related information during the twelve year ended December 31, 2017 is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1, 2016</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444,199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(203,103)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2016</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Nonvested, January 1, 2017</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241,096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(144,274)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December 31, 2017</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recognized compensation expense for restricted stock of $321,760 and 307,927 for the years ended December 31, 2017 and 2016 respectively. As of December 31, 2017, there was $169,933 of unrecognized compensation cost related to these restricted stock grants, which is expected to be recognized over a weighted average period of .69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Compensation Expense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recognized the following compensation cost related to employee and non-employee stock-based compensation activity:</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393,347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317,644</w:t>
            </w:r>
          </w:p>
        </w:tc>
        <w:tc>
          <w:tcPr>
            <w:tcW w:w="6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256,062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170,682</w:t>
            </w:r>
          </w:p>
        </w:tc>
        <w:tc>
          <w:tcPr>
            <w:tcW w:w="6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649,409</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488,326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2017 Tax Act was signed into law on December 22, 2017. The 2017 Tax Act significantly revises the U.S. corporate income tax by, among other things, lowering the statutory corporate tax rate from 35% to 21% in 2018, eliminating certain deductions, imposing a mandatory one-time transition tax, or deemed repatriation tax, on accumulated earnings of foreign subsidiaries as of 2017 that were previously tax deferred, introducing new tax regimes, and changing how foreign earnings are subject to U.S. tax. While the effective date of the new corporate tax rates for the Company is January 1, 2018, the Company is required to calculate the effects of changes in tax rates and laws on deferred tax balances in 2017, the period in which the legislation was enacted. The impact of the 2017 Tax Act on the 2017 income tax provision was primarily related to the newly enacted lower statutory federal corporate tax rate. The Company is not impacted by the one-time transition tax.</w:t>
      </w:r>
    </w:p>
    <w:p>
      <w:pPr>
        <w:spacing w:after="0" w:line="18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 has not completed its determination of the accounting implications of the 2017 Tax Act on its tax accruals. However, the Company has reasonably evaluated an income tax expense as a provisional estimate of the 2017 Tax Act, fully offset by a corresponding valuation allowance. The significant component of this expense primarily relates to the remeasurement of net deferred tax assets at the lower enacted statutory federal corporate tax rate. As the Company completes its analysis of the 2017 Tax Act, collects and prepares necessary data, and interprets any additional guidance issued by the U.S. Treasury Department, the IRS, and other standard-setting bodies, the Company may make adjustments to the provisional amounts. Those adjustments may materially impact the Company’s provision for income taxes in the period in which the adjustments are made.</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did not record a current or deferred income tax expense or benefit for the years ended December 31, 2017 and 2016, due to the Company’s net losses and increases in its deferred tax asset valuation allowance. The components of loss before income taxes and a reconciliation of the statutory federal income tax with the provision for income taxes are as follows: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40640</wp:posOffset>
            </wp:positionV>
            <wp:extent cx="25298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gridSpan w:val="2"/>
          </w:tcPr>
          <w:p>
            <w:pPr>
              <w:ind w:left="8000"/>
              <w:spacing w:after="0"/>
              <w:rPr>
                <w:sz w:val="20"/>
                <w:szCs w:val="20"/>
                <w:color w:val="auto"/>
              </w:rPr>
            </w:pPr>
            <w:r>
              <w:rPr>
                <w:rFonts w:ascii="Arial" w:cs="Arial" w:eastAsia="Arial" w:hAnsi="Arial"/>
                <w:sz w:val="14"/>
                <w:szCs w:val="14"/>
                <w:b w:val="1"/>
                <w:bCs w:val="1"/>
                <w:color w:val="auto"/>
                <w:w w:val="89"/>
              </w:rPr>
              <w:t>2017</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jc w:val="right"/>
              <w:ind w:right="65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r>
      <w:tr>
        <w:trPr>
          <w:trHeight w:val="26"/>
        </w:trPr>
        <w:tc>
          <w:tcPr>
            <w:tcW w:w="72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CFF0FC"/>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r>
      <w:tr>
        <w:trPr>
          <w:trHeight w:val="223"/>
        </w:trPr>
        <w:tc>
          <w:tcPr>
            <w:tcW w:w="7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Federal tax at statutory rate</w:t>
            </w:r>
          </w:p>
        </w:tc>
        <w:tc>
          <w:tcPr>
            <w:tcW w:w="10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(34.00%)</w:t>
            </w:r>
          </w:p>
        </w:tc>
        <w:tc>
          <w:tcPr>
            <w:tcW w:w="4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80" w:type="dxa"/>
            <w:vAlign w:val="bottom"/>
            <w:shd w:val="clear" w:color="auto" w:fill="CFF0FC"/>
          </w:tcPr>
          <w:p>
            <w:pPr>
              <w:spacing w:after="0"/>
              <w:rPr>
                <w:sz w:val="19"/>
                <w:szCs w:val="19"/>
                <w:color w:val="auto"/>
              </w:rPr>
            </w:pPr>
          </w:p>
        </w:tc>
      </w:tr>
      <w:tr>
        <w:trPr>
          <w:trHeight w:val="230"/>
        </w:trPr>
        <w:tc>
          <w:tcPr>
            <w:tcW w:w="8300" w:type="dxa"/>
            <w:vAlign w:val="bottom"/>
            <w:gridSpan w:val="2"/>
          </w:tcPr>
          <w:p>
            <w:pPr>
              <w:ind w:left="140"/>
              <w:spacing w:after="0"/>
              <w:rPr>
                <w:sz w:val="20"/>
                <w:szCs w:val="20"/>
                <w:color w:val="auto"/>
              </w:rPr>
            </w:pPr>
            <w:r>
              <w:rPr>
                <w:rFonts w:ascii="Arial" w:cs="Arial" w:eastAsia="Arial" w:hAnsi="Arial"/>
                <w:sz w:val="18"/>
                <w:szCs w:val="18"/>
                <w:color w:val="auto"/>
              </w:rPr>
              <w:t>State and local tax at statutory rates, net of federal income tax</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(0.83)</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(0.83)</w:t>
            </w:r>
          </w:p>
        </w:tc>
      </w:tr>
      <w:tr>
        <w:trPr>
          <w:trHeight w:val="230"/>
        </w:trPr>
        <w:tc>
          <w:tcPr>
            <w:tcW w:w="8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Research and development credits</w:t>
            </w: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(1.72)</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(3.77)</w:t>
            </w:r>
          </w:p>
        </w:tc>
      </w:tr>
      <w:tr>
        <w:trPr>
          <w:trHeight w:val="230"/>
        </w:trPr>
        <w:tc>
          <w:tcPr>
            <w:tcW w:w="83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r>
      <w:tr>
        <w:trPr>
          <w:trHeight w:val="230"/>
        </w:trPr>
        <w:tc>
          <w:tcPr>
            <w:tcW w:w="83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b w:val="1"/>
                <w:bCs w:val="1"/>
                <w:color w:val="auto"/>
              </w:rPr>
              <w:t>(17.64)</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80" w:type="dxa"/>
            <w:vAlign w:val="bottom"/>
            <w:shd w:val="clear" w:color="auto" w:fill="CFF0FC"/>
          </w:tcPr>
          <w:p>
            <w:pPr>
              <w:spacing w:after="0"/>
              <w:rPr>
                <w:sz w:val="19"/>
                <w:szCs w:val="19"/>
                <w:color w:val="auto"/>
              </w:rPr>
            </w:pPr>
          </w:p>
        </w:tc>
      </w:tr>
      <w:tr>
        <w:trPr>
          <w:trHeight w:val="230"/>
        </w:trPr>
        <w:tc>
          <w:tcPr>
            <w:tcW w:w="72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Remeasurement of U.S. net deferred tax assets from 35% to 21%</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52.77</w:t>
            </w:r>
          </w:p>
        </w:tc>
        <w:tc>
          <w:tcPr>
            <w:tcW w:w="420" w:type="dxa"/>
            <w:vAlign w:val="bottom"/>
            <w:tcBorders>
              <w:bottom w:val="single" w:sz="8" w:color="CFF0FC"/>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Borders>
              <w:bottom w:val="single" w:sz="8" w:color="CFF0FC"/>
            </w:tcBorders>
          </w:tcPr>
          <w:p>
            <w:pPr>
              <w:spacing w:after="0"/>
              <w:rPr>
                <w:sz w:val="19"/>
                <w:szCs w:val="19"/>
                <w:color w:val="auto"/>
              </w:rPr>
            </w:pPr>
          </w:p>
        </w:tc>
      </w:tr>
      <w:tr>
        <w:trPr>
          <w:trHeight w:val="223"/>
        </w:trPr>
        <w:tc>
          <w:tcPr>
            <w:tcW w:w="7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Effective tax rate</w:t>
            </w:r>
          </w:p>
        </w:tc>
        <w:tc>
          <w:tcPr>
            <w:tcW w:w="10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7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income tax provision was computed based on the federal statutory rate and the average state statutory rates, net of the related federal benefit.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4" w:name="page95"/>
    <w:bookmarkEnd w:id="94"/>
    <w:p>
      <w:pPr>
        <w:ind w:right="4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the assets and liabilities for financial reporting purposes and the amounts used for income and for tax carryforwards, recorded at the enacted federal statutory income tax rate. Significant components of the Company’s deferred tax assets and liabilities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
        </w:trPr>
        <w:tc>
          <w:tcPr>
            <w:tcW w:w="56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98"/>
        </w:trPr>
        <w:tc>
          <w:tcPr>
            <w:tcW w:w="5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jc w:val="right"/>
              <w:ind w:right="6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r>
      <w:tr>
        <w:trPr>
          <w:trHeight w:val="26"/>
        </w:trPr>
        <w:tc>
          <w:tcPr>
            <w:tcW w:w="5640" w:type="dxa"/>
            <w:vAlign w:val="bottom"/>
            <w:tcBorders>
              <w:bottom w:val="single" w:sz="8" w:color="CFF0FC"/>
            </w:tcBorders>
          </w:tcPr>
          <w:p>
            <w:pPr>
              <w:spacing w:after="0"/>
              <w:rPr>
                <w:sz w:val="2"/>
                <w:szCs w:val="2"/>
                <w:color w:val="auto"/>
              </w:rPr>
            </w:pPr>
          </w:p>
        </w:tc>
        <w:tc>
          <w:tcPr>
            <w:tcW w:w="174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18,819,077</w:t>
            </w:r>
          </w:p>
        </w:tc>
        <w:tc>
          <w:tcPr>
            <w:tcW w:w="200" w:type="dxa"/>
            <w:vAlign w:val="bottom"/>
          </w:tcPr>
          <w:p>
            <w:pPr>
              <w:spacing w:after="0"/>
              <w:rPr>
                <w:sz w:val="19"/>
                <w:szCs w:val="19"/>
                <w:color w:val="auto"/>
              </w:rPr>
            </w:pP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23,146,178</w:t>
            </w:r>
          </w:p>
        </w:tc>
        <w:tc>
          <w:tcPr>
            <w:tcW w:w="100" w:type="dxa"/>
            <w:vAlign w:val="bottom"/>
          </w:tcPr>
          <w:p>
            <w:pPr>
              <w:spacing w:after="0"/>
              <w:rPr>
                <w:sz w:val="19"/>
                <w:szCs w:val="19"/>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204,599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96,578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96,570</w:t>
            </w:r>
          </w:p>
        </w:tc>
        <w:tc>
          <w:tcPr>
            <w:tcW w:w="100" w:type="dxa"/>
            <w:vAlign w:val="bottom"/>
          </w:tcPr>
          <w:p>
            <w:pPr>
              <w:spacing w:after="0"/>
              <w:rPr>
                <w:sz w:val="19"/>
                <w:szCs w:val="19"/>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1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3,038,863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2,670,688</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20,784</w:t>
            </w:r>
          </w:p>
        </w:tc>
        <w:tc>
          <w:tcPr>
            <w:tcW w:w="10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7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22,173,070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25,952,620</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assets</w:t>
            </w:r>
          </w:p>
        </w:tc>
        <w:tc>
          <w:tcPr>
            <w:tcW w:w="17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8,434</w:t>
            </w:r>
          </w:p>
        </w:tc>
        <w:tc>
          <w:tcPr>
            <w:tcW w:w="100" w:type="dxa"/>
            <w:vAlign w:val="bottom"/>
            <w:shd w:val="clear" w:color="auto" w:fill="CFF0FC"/>
          </w:tcPr>
          <w:p>
            <w:pPr>
              <w:spacing w:after="0"/>
              <w:rPr>
                <w:sz w:val="19"/>
                <w:szCs w:val="19"/>
                <w:color w:val="auto"/>
              </w:rPr>
            </w:pPr>
          </w:p>
        </w:tc>
      </w:tr>
      <w:tr>
        <w:trPr>
          <w:trHeight w:val="223"/>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deferred tax liabilities</w:t>
            </w:r>
          </w:p>
        </w:tc>
        <w:tc>
          <w:tcPr>
            <w:tcW w:w="17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w:t>
            </w:r>
          </w:p>
        </w:tc>
        <w:tc>
          <w:tcPr>
            <w:tcW w:w="10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deferred tax assets before valuation allowance</w:t>
            </w:r>
          </w:p>
        </w:tc>
        <w:tc>
          <w:tcPr>
            <w:tcW w:w="1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22,169,464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25,944,186</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(22,169,464)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(25,944,186)</w:t>
            </w:r>
          </w:p>
        </w:tc>
      </w:tr>
      <w:tr>
        <w:trPr>
          <w:trHeight w:val="223"/>
        </w:trPr>
        <w:tc>
          <w:tcPr>
            <w:tcW w:w="5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deferred tax asset</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When realization of the deferred tax asset is more likely than not to occur, the benefit related to the deductible temporary differences attributable to operation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net deferred tax assets. The valuation allowance decreased $3,774,722 in 2017 primarily as a result of the changes in the 2017 Tax Act offset by an increase with allowance on the NOL carryforward and increased $6,334,258 in 2016 as a result of an increase in the net operating loss (NOL) due to research and development credits carryforwards. The Company continues to monitor the need for a valuation allowance based on the profitability of its future operations.</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2017, the Company has approximately $86,346,064 of federal NOL carryforwards that have a 20-year carryforward period expiring at various dates through 2038. Additionally, the Company also has approximately $69,509,257 of state NOL carryforwards that expire from 2018 through 2038. Finally, at December 31, 2017, the Company had approximately $3,038,863 of federal research and development credit carryforwards that expire at various dates through 2038.</w:t>
      </w:r>
    </w:p>
    <w:p>
      <w:pPr>
        <w:spacing w:after="0" w:line="2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provisions of the Internal Revenue Code, NOL and tax credit carryforwards are subject to review and possible adjustment by the Internal Revenue Service and state tax authorities. NOL and tax credit carryforwards may be subject to an annual limitation in the event of certain cumulative changes in the ownership interest of significant stockholders by more than 50% over a three-year period, as defined in Sections 382 and 383 of the Internal Revenue Code and similar state provisions. The amount of the annual limitation is determined based on the value of the Company immediately before the ownership change. Subsequent ownership changes may further affect the limitation in future years. The Company has not completed a study to assess whether a change of control has occurred or whether there have been multiple changes of control since the date of the Company’s formation due to the significant complexity and cost associated with such study and that there could be additional changes in control in the future. As a result, the Company is unable to estimate the effect of these limitations, if any, on the Company’s ability to utilize NOL and tax credit carryforwards in the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95" w:name="page96"/>
    <w:bookmarkEnd w:id="95"/>
    <w:p>
      <w:pPr>
        <w:jc w:val="both"/>
        <w:ind w:right="20"/>
        <w:spacing w:after="0" w:line="257" w:lineRule="auto"/>
        <w:rPr>
          <w:sz w:val="20"/>
          <w:szCs w:val="20"/>
          <w:color w:val="auto"/>
        </w:rPr>
      </w:pPr>
      <w:r>
        <w:rPr>
          <w:rFonts w:ascii="Arial" w:cs="Arial" w:eastAsia="Arial" w:hAnsi="Arial"/>
          <w:sz w:val="18"/>
          <w:szCs w:val="18"/>
          <w:color w:val="auto"/>
        </w:rPr>
        <w:t>The Company has not yet conducted a study to document whether its research activities may qualify for the research and development tax credit. Such a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 and, if an adjustment is required, this adjustment would be offset by an adjustment to the deferred tax asset established for the research and development credit carryforwards and the valuation allowance.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and 2016, the Company had no accrued uncertain tax positions or associated interest or penalties and no amounts have been recognized in the Company’s consolidated statements of operations and comprehensive loss.</w:t>
      </w:r>
    </w:p>
    <w:p>
      <w:pPr>
        <w:spacing w:after="0" w:line="17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All years remain open and are subject to examination by federal and state taxing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176"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 Ended</w:t>
      </w:r>
    </w:p>
    <w:p>
      <w:pPr>
        <w:jc w:val="center"/>
        <w:ind w:left="62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490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14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(21,400,606)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(16,983,511)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Extinguishment of preferred stock</w:t>
            </w: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Adjustment of redeemable convertible preferred</w:t>
            </w:r>
          </w:p>
        </w:tc>
        <w:tc>
          <w:tcPr>
            <w:tcW w:w="1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(943,297)</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to redemption value</w:t>
            </w:r>
          </w:p>
        </w:tc>
        <w:tc>
          <w:tcPr>
            <w:tcW w:w="14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54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(4,152,801)</w:t>
            </w: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44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(22,343,903)</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(20,912,088)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840" w:type="dxa"/>
            <w:vAlign w:val="bottom"/>
            <w:gridSpan w:val="2"/>
            <w:vMerge w:val="restart"/>
            <w:shd w:val="clear" w:color="auto" w:fill="CFF0FC"/>
          </w:tcPr>
          <w:p>
            <w:pPr>
              <w:jc w:val="right"/>
              <w:ind w:right="245"/>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1840" w:type="dxa"/>
            <w:vAlign w:val="bottom"/>
            <w:gridSpan w:val="2"/>
            <w:vMerge w:val="continue"/>
            <w:shd w:val="clear" w:color="auto" w:fill="CFF0FC"/>
          </w:tcPr>
          <w:p>
            <w:pPr>
              <w:spacing w:after="0"/>
              <w:rPr>
                <w:sz w:val="20"/>
                <w:szCs w:val="20"/>
                <w:color w:val="auto"/>
              </w:rPr>
            </w:pPr>
          </w:p>
        </w:tc>
        <w:tc>
          <w:tcPr>
            <w:tcW w:w="1540" w:type="dxa"/>
            <w:vAlign w:val="bottom"/>
            <w:gridSpan w:val="2"/>
            <w:vMerge w:val="continue"/>
            <w:shd w:val="clear" w:color="auto" w:fill="CFF0FC"/>
          </w:tcPr>
          <w:p>
            <w:pPr>
              <w:spacing w:after="0"/>
              <w:rPr>
                <w:sz w:val="20"/>
                <w:szCs w:val="20"/>
                <w:color w:val="auto"/>
              </w:rPr>
            </w:pPr>
          </w:p>
        </w:tc>
        <w:tc>
          <w:tcPr>
            <w:tcW w:w="5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used in</w:t>
            </w:r>
          </w:p>
        </w:tc>
        <w:tc>
          <w:tcPr>
            <w:tcW w:w="14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40"/>
              <w:spacing w:after="0"/>
              <w:rPr>
                <w:sz w:val="20"/>
                <w:szCs w:val="20"/>
                <w:color w:val="auto"/>
              </w:rPr>
            </w:pPr>
            <w:r>
              <w:rPr>
                <w:rFonts w:ascii="Arial" w:cs="Arial" w:eastAsia="Arial" w:hAnsi="Arial"/>
                <w:sz w:val="18"/>
                <w:szCs w:val="18"/>
                <w:color w:val="auto"/>
              </w:rPr>
              <w:t>computing net loss per share attributable to</w:t>
            </w: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21,673,349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852,665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diluted net loss per share attributable to common stockholders for the periods presented because including them would have had an anti-dilutive effect:</w:t>
      </w:r>
    </w:p>
    <w:p>
      <w:pPr>
        <w:spacing w:after="0" w:line="243"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gridSpan w:val="2"/>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 (if converted)</w:t>
            </w:r>
          </w:p>
        </w:tc>
        <w:tc>
          <w:tcPr>
            <w:tcW w:w="1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14,015,016</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Notes and accrued interest (if converted)</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2,641,602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1,912,980</w:t>
            </w:r>
          </w:p>
        </w:tc>
        <w:tc>
          <w:tcPr>
            <w:tcW w:w="32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927,592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317,562</w:t>
            </w:r>
          </w:p>
        </w:tc>
        <w:tc>
          <w:tcPr>
            <w:tcW w:w="320" w:type="dxa"/>
            <w:vAlign w:val="bottom"/>
          </w:tcPr>
          <w:p>
            <w:pPr>
              <w:spacing w:after="0"/>
              <w:rPr>
                <w:sz w:val="20"/>
                <w:szCs w:val="20"/>
                <w:color w:val="auto"/>
              </w:rPr>
            </w:pP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643"/>
        </w:trPr>
        <w:tc>
          <w:tcPr>
            <w:tcW w:w="6660" w:type="dxa"/>
            <w:vAlign w:val="bottom"/>
            <w:gridSpan w:val="2"/>
          </w:tcPr>
          <w:p>
            <w:pPr>
              <w:jc w:val="right"/>
              <w:ind w:right="770"/>
              <w:spacing w:after="0"/>
              <w:rPr>
                <w:sz w:val="20"/>
                <w:szCs w:val="20"/>
                <w:color w:val="auto"/>
              </w:rPr>
            </w:pPr>
            <w:r>
              <w:rPr>
                <w:rFonts w:ascii="Arial" w:cs="Arial" w:eastAsia="Arial" w:hAnsi="Arial"/>
                <w:sz w:val="18"/>
                <w:szCs w:val="18"/>
                <w:color w:val="auto"/>
              </w:rPr>
              <w:t>96</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12. Quarterly Results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unaudited quarterly results for the years ended December 31, 2017 and 2016.</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 2017</w:t>
            </w: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4,759,585</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5,583,862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4,756,238</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6,288,858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21,388,543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(4,759,585)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(5,583,862)</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(4,756,238)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(6,288,858)</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(21,388,543)</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Total other (expense) income, net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(236,118)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63,555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(12,063)</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Net loss and comprehensive loss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40" w:type="dxa"/>
            <w:vAlign w:val="bottom"/>
            <w:vMerge w:val="continue"/>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(4,995,703)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(5,520,307)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(4,649,567)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(6,235,029)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(21,400,606)</w:t>
            </w:r>
          </w:p>
        </w:tc>
        <w:tc>
          <w:tcPr>
            <w:tcW w:w="0" w:type="dxa"/>
            <w:vAlign w:val="bottom"/>
          </w:tcPr>
          <w:p>
            <w:pPr>
              <w:spacing w:after="0"/>
              <w:rPr>
                <w:sz w:val="1"/>
                <w:szCs w:val="1"/>
                <w:color w:val="auto"/>
              </w:rPr>
            </w:pPr>
          </w:p>
        </w:tc>
      </w:tr>
      <w:tr>
        <w:trPr>
          <w:trHeight w:val="190"/>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Reconciliation to net loss attributable to</w:t>
            </w:r>
          </w:p>
        </w:tc>
        <w:tc>
          <w:tcPr>
            <w:tcW w:w="1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stockholders: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Net loss and comprehensive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(4,995,703)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(5,520,307)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(4,649,567)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(6,235,029)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(21,400,606)</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140"/>
              <w:spacing w:after="0"/>
              <w:rPr>
                <w:sz w:val="20"/>
                <w:szCs w:val="20"/>
                <w:color w:val="auto"/>
              </w:rPr>
            </w:pPr>
            <w:r>
              <w:rPr>
                <w:rFonts w:ascii="Arial" w:cs="Arial" w:eastAsia="Arial" w:hAnsi="Arial"/>
                <w:sz w:val="16"/>
                <w:szCs w:val="16"/>
                <w:color w:val="auto"/>
              </w:rPr>
              <w:t>Adjustment of redeemable convertible</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preferred stock to redemption value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(943,297)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(943,297)</w:t>
            </w:r>
          </w:p>
        </w:tc>
        <w:tc>
          <w:tcPr>
            <w:tcW w:w="0" w:type="dxa"/>
            <w:vAlign w:val="bottom"/>
          </w:tcPr>
          <w:p>
            <w:pPr>
              <w:spacing w:after="0"/>
              <w:rPr>
                <w:sz w:val="1"/>
                <w:szCs w:val="1"/>
                <w:color w:val="auto"/>
              </w:rPr>
            </w:pPr>
          </w:p>
        </w:tc>
      </w:tr>
      <w:tr>
        <w:trPr>
          <w:trHeight w:val="20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attributable to common</w:t>
            </w:r>
          </w:p>
        </w:tc>
        <w:tc>
          <w:tcPr>
            <w:tcW w:w="1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(5,939,000)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(5,520,307)</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(4,649,567)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(6,235,029)</w:t>
            </w: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(22,343,903)</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6"/>
                <w:szCs w:val="16"/>
                <w:color w:val="auto"/>
              </w:rPr>
              <w:t>Weighted average number of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6"/>
                <w:szCs w:val="16"/>
                <w:color w:val="auto"/>
              </w:rPr>
              <w:t>shares used in computing net loss per</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6"/>
                <w:szCs w:val="16"/>
                <w:color w:val="auto"/>
              </w:rPr>
              <w:t>share attributable to common</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stockholders, basic and diluted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5,605,151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26,895,164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26,926,673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26,965,293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21,673,349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attributable to common</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 basic and diluted</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(1.06)</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(0.17)</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(0.23)</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461"/>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 2016</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4,205,443</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4,377,433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4,745,315</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3,305,394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16,633,585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(4,205,443)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(4,377,433)</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(4,745,315)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(3,305,394)</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(16,633,585)</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Total other income (expense), net</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(7,829)</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(140,286)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(212,556)</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(349,926)</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Net loss and comprehensive loss</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40" w:type="dxa"/>
            <w:vAlign w:val="bottom"/>
            <w:vMerge w:val="continue"/>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(4,194,698)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(4,385,262)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(4,885,601)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(3,517,950)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(16,983,511)</w:t>
            </w:r>
          </w:p>
        </w:tc>
        <w:tc>
          <w:tcPr>
            <w:tcW w:w="0" w:type="dxa"/>
            <w:vAlign w:val="bottom"/>
          </w:tcPr>
          <w:p>
            <w:pPr>
              <w:spacing w:after="0"/>
              <w:rPr>
                <w:sz w:val="1"/>
                <w:szCs w:val="1"/>
                <w:color w:val="auto"/>
              </w:rPr>
            </w:pPr>
          </w:p>
        </w:tc>
      </w:tr>
      <w:tr>
        <w:trPr>
          <w:trHeight w:val="190"/>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Reconciliation to net loss attributable</w:t>
            </w:r>
          </w:p>
        </w:tc>
        <w:tc>
          <w:tcPr>
            <w:tcW w:w="18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common stockholders: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Net loss and comprehensive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(4,194,698)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(4,385,262)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(4,885,601)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(3,517,950)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(16,983,511)</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Extinguishment of preferred stock</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224,224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140"/>
              <w:spacing w:after="0"/>
              <w:rPr>
                <w:sz w:val="20"/>
                <w:szCs w:val="20"/>
                <w:color w:val="auto"/>
              </w:rPr>
            </w:pPr>
            <w:r>
              <w:rPr>
                <w:rFonts w:ascii="Arial" w:cs="Arial" w:eastAsia="Arial" w:hAnsi="Arial"/>
                <w:sz w:val="16"/>
                <w:szCs w:val="16"/>
                <w:color w:val="auto"/>
              </w:rPr>
              <w:t>Adjustment of redeemable convertible</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preferred stock to redemption value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(1,015,371)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(1,028,121)</w:t>
            </w:r>
          </w:p>
        </w:tc>
        <w:tc>
          <w:tcPr>
            <w:tcW w:w="1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(1,054,657)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(1,054,652)</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(4,152,801)</w:t>
            </w:r>
          </w:p>
        </w:tc>
        <w:tc>
          <w:tcPr>
            <w:tcW w:w="0" w:type="dxa"/>
            <w:vAlign w:val="bottom"/>
          </w:tcPr>
          <w:p>
            <w:pPr>
              <w:spacing w:after="0"/>
              <w:rPr>
                <w:sz w:val="1"/>
                <w:szCs w:val="1"/>
                <w:color w:val="auto"/>
              </w:rPr>
            </w:pPr>
          </w:p>
        </w:tc>
      </w:tr>
      <w:tr>
        <w:trPr>
          <w:trHeight w:val="20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attributable to common</w:t>
            </w:r>
          </w:p>
        </w:tc>
        <w:tc>
          <w:tcPr>
            <w:tcW w:w="1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(5,210,069)</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(5,189,159)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(5,940,258)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(4,572,602)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(20,912,088)</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6"/>
                <w:szCs w:val="16"/>
                <w:color w:val="auto"/>
              </w:rPr>
              <w:t>Weighted average number of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6"/>
                <w:szCs w:val="16"/>
                <w:color w:val="auto"/>
              </w:rPr>
              <w:t>shares used in computing net loss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60"/>
              <w:spacing w:after="0"/>
              <w:rPr>
                <w:sz w:val="20"/>
                <w:szCs w:val="20"/>
                <w:color w:val="auto"/>
              </w:rPr>
            </w:pPr>
            <w:r>
              <w:rPr>
                <w:rFonts w:ascii="Arial" w:cs="Arial" w:eastAsia="Arial" w:hAnsi="Arial"/>
                <w:sz w:val="16"/>
                <w:szCs w:val="16"/>
                <w:color w:val="auto"/>
              </w:rPr>
              <w:t>per share attributable to common</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60"/>
              <w:spacing w:after="0"/>
              <w:rPr>
                <w:sz w:val="20"/>
                <w:szCs w:val="20"/>
                <w:color w:val="auto"/>
              </w:rPr>
            </w:pPr>
            <w:r>
              <w:rPr>
                <w:rFonts w:ascii="Arial" w:cs="Arial" w:eastAsia="Arial" w:hAnsi="Arial"/>
                <w:sz w:val="16"/>
                <w:szCs w:val="16"/>
                <w:color w:val="auto"/>
              </w:rPr>
              <w:t>stockholders, basic and diluted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737,016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823,097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888,094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961,482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852,665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attributable to common</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 basic and diluted</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(7.07)</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(6.30)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(6.69)</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(4.76)</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sum of the quarterly net loss per share attributable to common stockholders may not equal the annual amounts reported because per share amounts are computed independently for each quarter and for full year based on respective weighted-average common shares outstanding and other dilutive potential common stockholders.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a party to a lease covering 7,580 square feet of space in Cincinnati, Ohio that expires in June 2018. In November 2017, the Company renewed a lease covering 687 square feet of space in Dexter, MI that expires October 2019. Total rent expense for all operating leases was $208,478 and $214,595 for the years ended December 31, 2017 and 2016, respectively. The Cincinnati, Ohio space lease agreement contains free rent, escalating rent payments and reimbursement for tenant improvements that amounted to $46,390 in the year ended December 31, 2016. No such lease incentives were recognized in 2017. Rent expense for the Cincinnati, Ohio space is recorded on the straight-line basis over the initial term with the differences between rent expense and rent payments recorded as deferred rent. As of December 31, 2017, the Company had total deferred rent of $42,660 for the Cincinnati, Ohio space, which is included in accrued expenses in the accompanying consolidated balance sheet. As of December 31, 2017, non-cancelable future minimum lease payments under the existing operating leases were $76,650. As of December 31, 2017, future payments related to operating leases activities are as follows: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42"/>
              <w:spacing w:after="0"/>
              <w:rPr>
                <w:sz w:val="20"/>
                <w:szCs w:val="20"/>
                <w:color w:val="auto"/>
              </w:rPr>
            </w:pPr>
            <w:r>
              <w:rPr>
                <w:rFonts w:ascii="Arial" w:cs="Arial" w:eastAsia="Arial" w:hAnsi="Arial"/>
                <w:sz w:val="14"/>
                <w:szCs w:val="14"/>
                <w:b w:val="1"/>
                <w:bCs w:val="1"/>
                <w:color w:val="auto"/>
                <w:w w:val="93"/>
              </w:rPr>
              <w:t>2019 and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22"/>
              <w:spacing w:after="0"/>
              <w:rPr>
                <w:sz w:val="20"/>
                <w:szCs w:val="20"/>
                <w:color w:val="auto"/>
              </w:rPr>
            </w:pPr>
            <w:r>
              <w:rPr>
                <w:rFonts w:ascii="Arial" w:cs="Arial" w:eastAsia="Arial" w:hAnsi="Arial"/>
                <w:sz w:val="14"/>
                <w:szCs w:val="14"/>
                <w:b w:val="1"/>
                <w:bCs w:val="1"/>
                <w:color w:val="auto"/>
                <w:w w:val="96"/>
              </w:rPr>
              <w:t>Thereafter</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65,890</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3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only be liable for the cost and expenses incurred to date.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Retirement Plan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created Aerpio’s 401(k) plan in 2015. Before then, the Company’s employees participated in Akebia’s 401(k) plan (Akebia Plan) collectively, the Plans. In accordance with both Plans, all employees who have attained the age of 21 are eligible to participate in the Plan as of the first Entry Date, as defined, following the employment date. Each employee can contribute a percentage of compensation up to a maximum of the statutory limits per year. Company contributions are discretionary, and no contributions were made during 2017 or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Bonus Plan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maintains a bonus plan for certain employees of the Company based on the achievement of certain milestones. The amount of bonus accrued at December 31, 2017 was $833,650. No bonus was accrued or paid at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Stock Purchase Plan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2017, the Board of Directors adopted and the stockholders approved, the Employee Stock Purchase Plan (the “ESPP”), that became effective in April 2017. The ESPP provides for the issuance of up to 300,000 shares of the Company’s common stock for the purchases made under the ESPP. No shares were purchased under the ESPP during 2017. The ESPP also provides that the number of shares reserved for issuance thereunder will be increased annually on the first day of each year beginning in 2018 by one percent (1%) of the shares of the Company’s common stock outstanding on the last day of the immediately preceding year or such smaller increase as determined by the Company’s Board of Directors. The Board of Directors has not yet determined the timing for the offering periods under the ESPP.</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maintains disclosure controls and procedures that are designed to provide reasonable assurance that information required to be disclosed in the Company’s reports under the Exchange Act, is recorded, processed, summarized and reported within the time periods specified in the SEC’s rules and forms, and that such information is accumulated and communicated to management, including the Company’s Chief Executive Officer (“CEO”) and Chief Financial Officer (“CFO”),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2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connection with the preparation of this Annual Report on Form 10-K, an evaluation is performed under the supervision and with the participation of the Company’s management, including the CEO and CFO, of the effectiveness of the design and operation of the Company’s disclosure controls and procedures (as defined in Rule 13a-15(e) under the Exchange Act) as of December 31, 2017. Based on that evaluation, the CEO and CFO conclude whether the Company’s disclosure controls and procedures are effective as of December 31, 2017, at the reasonable assurance level.</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this Annual Report on Form 10-K for the year ended December 31, 2017, an evaluation was performed of the effectiveness of the design and operation of the Company’s disclosure controls and procedures as of December 31, 2017. Based on that evaluation, the CEO and CFO concluded that the disclosure controls and procedures were effective as of December 31, 2017,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Management conducted an evaluation of the effectiveness, as of December 31, 2017,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in 2013. Based on this evaluation, management concluded that our internal control over financial reporting was effective as of December 31,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preparation of the Company’s financial statements for the year ended December 31, 2016, certain matters involving internal control over financial reporting rose to the level of a material weakness. The material weakness related to deficiencies within the Company’s disclosure controls and procedures, including review and approval procedures with respect to financial information generated to prepare the financial statements in accordance with SEC financial reporting requirements. This material weakness included a general lack of segregation of duties as a result of the Company’s size and overall lack of resources in the accounting department.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99" w:name="page100"/>
    <w:bookmarkEnd w:id="99"/>
    <w:p>
      <w:pPr>
        <w:spacing w:after="0" w:line="277" w:lineRule="auto"/>
        <w:rPr>
          <w:sz w:val="20"/>
          <w:szCs w:val="20"/>
          <w:color w:val="auto"/>
        </w:rPr>
      </w:pPr>
      <w:r>
        <w:rPr>
          <w:rFonts w:ascii="Arial" w:cs="Arial" w:eastAsia="Arial" w:hAnsi="Arial"/>
          <w:sz w:val="18"/>
          <w:szCs w:val="18"/>
          <w:color w:val="auto"/>
        </w:rPr>
        <w:t>This material weakness in our disclosure controls and procedures continued to exist as of the first three quarters of 2017. In the fourth quarter of 2017, this material weakness was remediated as a result of the following actions taken during the year:</w:t>
      </w:r>
    </w:p>
    <w:p>
      <w:pPr>
        <w:spacing w:after="0" w:line="62" w:lineRule="exact"/>
        <w:rPr>
          <w:sz w:val="20"/>
          <w:szCs w:val="20"/>
          <w:color w:val="auto"/>
        </w:rPr>
      </w:pPr>
    </w:p>
    <w:p>
      <w:pPr>
        <w:ind w:left="880" w:hanging="440"/>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full-time CFO was hired in 2017;</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engaged with a third-party consultant with internal control expertise to help with our management internal control assessment;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2E2E2E"/>
        </w:rPr>
        <w:t>/s/ Stephen Hoffman, M.D., Ph.D</w:t>
      </w:r>
      <w:r>
        <w:rPr>
          <w:rFonts w:ascii="Arial" w:cs="Arial" w:eastAsia="Arial" w:hAnsi="Arial"/>
          <w:sz w:val="18"/>
          <w:szCs w:val="18"/>
          <w:color w:val="2E2E2E"/>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Hoffman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921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Rogers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449" w:right="479" w:bottom="1440" w:gutter="0" w:footer="0" w:header="0"/>
        </w:sectPr>
      </w:pPr>
    </w:p>
    <w:bookmarkStart w:id="100" w:name="page101"/>
    <w:bookmarkEnd w:id="100"/>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other information required by this item is omitted from this Annual Report on Form 10-K and is incorporated herein by reference from our definitive proxy statement relating to our 2018 Annual Meeting of Stockholders (the “Definitive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adopted a code of business conduct and ethics that applies to all of our employees, officers and directors, including those officers responsible for financial reporting. Our code of business conduct and ethics is available on our website, which is located at www.aerpio.com. We intend to disclose any amendments to the code, or any waivers of its requirements, on our website, or in a current report on Form 8-K as may be required by law.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11 will be contained in the Definitive Proxy Statement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12 will be contained in the Definitive Proxy Statement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13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14 will be contained in the Definitive Proxy Statement and is incorporated herein by reference.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80"/>
          </w:cols>
          <w:pgMar w:left="240" w:top="337" w:right="579" w:bottom="1440" w:gutter="0" w:footer="0" w:header="0"/>
        </w:sectPr>
      </w:pPr>
    </w:p>
    <w:bookmarkStart w:id="101" w:name="page102"/>
    <w:bookmarkEnd w:id="101"/>
    <w:p>
      <w:pPr>
        <w:ind w:left="536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(1)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required by this item are submitted in a separate section beginning on page 74 of this report.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(a)(2) Exhibits.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520" w:type="dxa"/>
            <w:vAlign w:val="bottom"/>
            <w:gridSpan w:val="23"/>
          </w:tcPr>
          <w:p>
            <w:pPr>
              <w:jc w:val="center"/>
              <w:ind w:right="4940"/>
              <w:spacing w:after="0"/>
              <w:rPr>
                <w:sz w:val="20"/>
                <w:szCs w:val="20"/>
                <w:color w:val="auto"/>
              </w:rPr>
            </w:pPr>
            <w:r>
              <w:rPr>
                <w:rFonts w:ascii="Arial" w:cs="Arial" w:eastAsia="Arial" w:hAnsi="Arial"/>
                <w:sz w:val="18"/>
                <w:szCs w:val="18"/>
                <w:b w:val="1"/>
                <w:bCs w:val="1"/>
                <w:color w:val="auto"/>
                <w:w w:val="94"/>
              </w:rPr>
              <w:t>Exhibit Index</w:t>
            </w:r>
          </w:p>
        </w:tc>
      </w:tr>
      <w:tr>
        <w:trPr>
          <w:trHeight w:val="193"/>
        </w:trPr>
        <w:tc>
          <w:tcPr>
            <w:tcW w:w="1260" w:type="dxa"/>
            <w:vAlign w:val="bottom"/>
          </w:tcPr>
          <w:p>
            <w:pPr>
              <w:jc w:val="right"/>
              <w:ind w:right="352"/>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1260" w:type="dxa"/>
            <w:vAlign w:val="bottom"/>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00" w:type="dxa"/>
            <w:vAlign w:val="bottom"/>
            <w:gridSpan w:val="21"/>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82"/>
        </w:trPr>
        <w:tc>
          <w:tcPr>
            <w:tcW w:w="1260" w:type="dxa"/>
            <w:vAlign w:val="bottom"/>
          </w:tcPr>
          <w:p>
            <w:pPr>
              <w:jc w:val="center"/>
              <w:ind w:right="672"/>
              <w:spacing w:after="0"/>
              <w:rPr>
                <w:sz w:val="20"/>
                <w:szCs w:val="20"/>
                <w:color w:val="auto"/>
              </w:rPr>
            </w:pPr>
            <w:r>
              <w:rPr>
                <w:rFonts w:ascii="Arial" w:cs="Arial" w:eastAsia="Arial" w:hAnsi="Arial"/>
                <w:sz w:val="18"/>
                <w:szCs w:val="18"/>
                <w:color w:val="auto"/>
                <w:w w:val="87"/>
              </w:rPr>
              <w:t>2.1</w:t>
            </w: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Agreement and Plan of Merger, dated March 7, 2017, by and among the Company, Acquisition Sub, a Delaware corporation and wholly-</w:t>
              </w:r>
            </w:hyperlink>
          </w:p>
        </w:tc>
        <w:tc>
          <w:tcPr>
            <w:tcW w:w="32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owned subsidiary of the Company, and Aerpio Therapeutics, Inc., a Delaware corporation (incorporated herein by reference to Exhibit 2.1 to</w:t>
              </w:r>
            </w:hyperlink>
          </w:p>
        </w:tc>
      </w:tr>
      <w:tr>
        <w:trPr>
          <w:trHeight w:val="196"/>
        </w:trPr>
        <w:tc>
          <w:tcPr>
            <w:tcW w:w="1260" w:type="dxa"/>
            <w:vAlign w:val="bottom"/>
          </w:tcPr>
          <w:p>
            <w:pPr>
              <w:spacing w:after="0"/>
              <w:rPr>
                <w:sz w:val="17"/>
                <w:szCs w:val="17"/>
                <w:color w:val="auto"/>
              </w:rPr>
            </w:pPr>
          </w:p>
        </w:tc>
        <w:tc>
          <w:tcPr>
            <w:tcW w:w="8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the Company’s 8-K filed with the Securities and Exchange Commission on March 13, 2017, File No. 000-53057).</w:t>
              </w:r>
            </w:hyperlink>
          </w:p>
        </w:tc>
        <w:tc>
          <w:tcPr>
            <w:tcW w:w="1920" w:type="dxa"/>
            <w:vAlign w:val="bottom"/>
            <w:tcBorders>
              <w:top w:val="single" w:sz="8" w:color="0000EE"/>
            </w:tcBorders>
            <w:gridSpan w:val="1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18"/>
        </w:trPr>
        <w:tc>
          <w:tcPr>
            <w:tcW w:w="1260" w:type="dxa"/>
            <w:vAlign w:val="bottom"/>
          </w:tcPr>
          <w:p>
            <w:pPr>
              <w:jc w:val="center"/>
              <w:ind w:right="672"/>
              <w:spacing w:after="0"/>
              <w:rPr>
                <w:sz w:val="20"/>
                <w:szCs w:val="20"/>
                <w:color w:val="auto"/>
              </w:rPr>
            </w:pPr>
            <w:r>
              <w:rPr>
                <w:rFonts w:ascii="Arial" w:cs="Arial" w:eastAsia="Arial" w:hAnsi="Arial"/>
                <w:sz w:val="18"/>
                <w:szCs w:val="18"/>
                <w:color w:val="auto"/>
                <w:w w:val="87"/>
              </w:rPr>
              <w:t>3.1</w:t>
            </w:r>
          </w:p>
        </w:tc>
        <w:tc>
          <w:tcPr>
            <w:tcW w:w="10180" w:type="dxa"/>
            <w:vAlign w:val="bottom"/>
            <w:gridSpan w:val="26"/>
          </w:tcPr>
          <w:p>
            <w:pPr>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Certificate of Merger relating to the merger of Acquisition Sub with and into Aerpio Therapeutics, Inc., filed with the Secretary of State of</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the State of Delaware on March 15, 2017 (incorporated herein by reference to Exhibit 3.1 to the Company’s 8-K filed with the Securities and</w:t>
              </w:r>
            </w:hyperlink>
          </w:p>
        </w:tc>
      </w:tr>
      <w:tr>
        <w:trPr>
          <w:trHeight w:val="196"/>
        </w:trPr>
        <w:tc>
          <w:tcPr>
            <w:tcW w:w="126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Exchange Commission on March 17, 2017, File No. 000-53057).</w:t>
              </w:r>
            </w:hyperlink>
          </w:p>
        </w:tc>
        <w:tc>
          <w:tcPr>
            <w:tcW w:w="5460" w:type="dxa"/>
            <w:vAlign w:val="bottom"/>
            <w:tcBorders>
              <w:top w:val="single" w:sz="8" w:color="0000EE"/>
            </w:tcBorders>
            <w:gridSpan w:val="20"/>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60" w:type="dxa"/>
            <w:vAlign w:val="bottom"/>
          </w:tcPr>
          <w:p>
            <w:pPr>
              <w:jc w:val="center"/>
              <w:ind w:right="672"/>
              <w:spacing w:after="0"/>
              <w:rPr>
                <w:sz w:val="20"/>
                <w:szCs w:val="20"/>
                <w:color w:val="auto"/>
              </w:rPr>
            </w:pPr>
            <w:r>
              <w:rPr>
                <w:rFonts w:ascii="Arial" w:cs="Arial" w:eastAsia="Arial" w:hAnsi="Arial"/>
                <w:sz w:val="18"/>
                <w:szCs w:val="18"/>
                <w:color w:val="auto"/>
                <w:w w:val="87"/>
              </w:rPr>
              <w:t>3.2</w:t>
            </w:r>
          </w:p>
        </w:tc>
        <w:tc>
          <w:tcPr>
            <w:tcW w:w="10180" w:type="dxa"/>
            <w:vAlign w:val="bottom"/>
            <w:gridSpan w:val="26"/>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Amended and Restated Certificate of Incorporation of the Registrant (incorporated by reference to Exhibit 3.2 to the Registrant’s Form 8-K</w:t>
              </w:r>
            </w:hyperlink>
          </w:p>
        </w:tc>
      </w:tr>
      <w:tr>
        <w:trPr>
          <w:trHeight w:val="196"/>
        </w:trPr>
        <w:tc>
          <w:tcPr>
            <w:tcW w:w="126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filed with the Securities and Exchange Commission on March 17, 2017, File No. 000-53057)</w:t>
              </w:r>
            </w:hyperlink>
          </w:p>
        </w:tc>
        <w:tc>
          <w:tcPr>
            <w:tcW w:w="332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18"/>
        </w:trPr>
        <w:tc>
          <w:tcPr>
            <w:tcW w:w="1260" w:type="dxa"/>
            <w:vAlign w:val="bottom"/>
          </w:tcPr>
          <w:p>
            <w:pPr>
              <w:jc w:val="center"/>
              <w:ind w:right="672"/>
              <w:spacing w:after="0"/>
              <w:rPr>
                <w:sz w:val="20"/>
                <w:szCs w:val="20"/>
                <w:color w:val="auto"/>
              </w:rPr>
            </w:pPr>
            <w:r>
              <w:rPr>
                <w:rFonts w:ascii="Arial" w:cs="Arial" w:eastAsia="Arial" w:hAnsi="Arial"/>
                <w:sz w:val="18"/>
                <w:szCs w:val="18"/>
                <w:color w:val="auto"/>
                <w:w w:val="87"/>
              </w:rPr>
              <w:t>3.3</w:t>
            </w:r>
          </w:p>
        </w:tc>
        <w:tc>
          <w:tcPr>
            <w:tcW w:w="10180" w:type="dxa"/>
            <w:vAlign w:val="bottom"/>
            <w:gridSpan w:val="26"/>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Amended and Restated By-laws of the Registrant, as currently in effect (incorporated by reference to Exhibit 3.3 to the Registrant’s Form 8-</w:t>
              </w:r>
            </w:hyperlink>
          </w:p>
        </w:tc>
      </w:tr>
      <w:tr>
        <w:trPr>
          <w:trHeight w:val="196"/>
        </w:trPr>
        <w:tc>
          <w:tcPr>
            <w:tcW w:w="126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K filed with the Securities and Exchange Commission on March 17, 2017, File No. 000-53057)</w:t>
              </w:r>
            </w:hyperlink>
          </w:p>
        </w:tc>
        <w:tc>
          <w:tcPr>
            <w:tcW w:w="3200" w:type="dxa"/>
            <w:vAlign w:val="bottom"/>
            <w:tcBorders>
              <w:top w:val="single" w:sz="8" w:color="0000EE"/>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18"/>
        </w:trPr>
        <w:tc>
          <w:tcPr>
            <w:tcW w:w="1260" w:type="dxa"/>
            <w:vAlign w:val="bottom"/>
          </w:tcPr>
          <w:p>
            <w:pPr>
              <w:jc w:val="center"/>
              <w:ind w:right="672"/>
              <w:spacing w:after="0"/>
              <w:rPr>
                <w:sz w:val="20"/>
                <w:szCs w:val="20"/>
                <w:color w:val="auto"/>
              </w:rPr>
            </w:pPr>
            <w:r>
              <w:rPr>
                <w:rFonts w:ascii="Arial" w:cs="Arial" w:eastAsia="Arial" w:hAnsi="Arial"/>
                <w:sz w:val="18"/>
                <w:szCs w:val="18"/>
                <w:color w:val="auto"/>
                <w:w w:val="87"/>
              </w:rPr>
              <w:t>4.1</w:t>
            </w:r>
          </w:p>
        </w:tc>
        <w:tc>
          <w:tcPr>
            <w:tcW w:w="10180" w:type="dxa"/>
            <w:vAlign w:val="bottom"/>
            <w:gridSpan w:val="26"/>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Specimen Stock Certificate evidencing shares of common stock (incorporated by reference to Exhibit 4.2 to the Registrant’s Registration</w:t>
              </w:r>
            </w:hyperlink>
          </w:p>
        </w:tc>
      </w:tr>
      <w:tr>
        <w:trPr>
          <w:trHeight w:val="196"/>
        </w:trPr>
        <w:tc>
          <w:tcPr>
            <w:tcW w:w="12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Statement on Form S-1 (File No. 333-217320) filed April 14, 2017)</w:t>
              </w:r>
            </w:hyperlink>
          </w:p>
        </w:tc>
        <w:tc>
          <w:tcPr>
            <w:tcW w:w="4960" w:type="dxa"/>
            <w:vAlign w:val="bottom"/>
            <w:tcBorders>
              <w:top w:val="single" w:sz="8" w:color="0000EE"/>
            </w:tcBorders>
            <w:gridSpan w:val="10"/>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318"/>
        </w:trPr>
        <w:tc>
          <w:tcPr>
            <w:tcW w:w="1260" w:type="dxa"/>
            <w:vAlign w:val="bottom"/>
          </w:tcPr>
          <w:p>
            <w:pPr>
              <w:jc w:val="center"/>
              <w:ind w:right="672"/>
              <w:spacing w:after="0"/>
              <w:rPr>
                <w:sz w:val="20"/>
                <w:szCs w:val="20"/>
                <w:color w:val="auto"/>
              </w:rPr>
            </w:pPr>
            <w:r>
              <w:rPr>
                <w:rFonts w:ascii="Arial" w:cs="Arial" w:eastAsia="Arial" w:hAnsi="Arial"/>
                <w:sz w:val="18"/>
                <w:szCs w:val="18"/>
                <w:color w:val="auto"/>
                <w:w w:val="87"/>
              </w:rPr>
              <w:t>4.2</w:t>
            </w:r>
          </w:p>
        </w:tc>
        <w:tc>
          <w:tcPr>
            <w:tcW w:w="10180" w:type="dxa"/>
            <w:vAlign w:val="bottom"/>
            <w:gridSpan w:val="26"/>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Form of Warrant Agreements (incorporated by reference to Exhibit 4.1 to the Registrant’s Form 8-K filed with the Securities and Exchange</w:t>
              </w:r>
            </w:hyperlink>
          </w:p>
        </w:tc>
      </w:tr>
      <w:tr>
        <w:trPr>
          <w:trHeight w:val="196"/>
        </w:trPr>
        <w:tc>
          <w:tcPr>
            <w:tcW w:w="126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Commission March 17, 2017, File No. 000-53057)</w:t>
              </w:r>
            </w:hyperlink>
          </w:p>
        </w:tc>
        <w:tc>
          <w:tcPr>
            <w:tcW w:w="6360" w:type="dxa"/>
            <w:vAlign w:val="bottom"/>
            <w:tcBorders>
              <w:top w:val="single" w:sz="8" w:color="0000EE"/>
            </w:tcBorders>
            <w:gridSpan w:val="19"/>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w:t>
            </w:r>
          </w:p>
        </w:tc>
        <w:tc>
          <w:tcPr>
            <w:tcW w:w="10180" w:type="dxa"/>
            <w:vAlign w:val="bottom"/>
            <w:gridSpan w:val="26"/>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2011 Equity Incentive Plan and forms of award agreements thereunder, assumed in the Merger (incorporated herein by reference to Exhibit</w:t>
              </w:r>
            </w:hyperlink>
          </w:p>
        </w:tc>
      </w:tr>
      <w:tr>
        <w:trPr>
          <w:trHeight w:val="196"/>
        </w:trPr>
        <w:tc>
          <w:tcPr>
            <w:tcW w:w="126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8-K filed with the Securities and Exchange Commission on March 17, 2017, File No. 000-53057)</w:t>
              </w:r>
            </w:hyperlink>
          </w:p>
        </w:tc>
        <w:tc>
          <w:tcPr>
            <w:tcW w:w="1300" w:type="dxa"/>
            <w:vAlign w:val="bottom"/>
            <w:tcBorders>
              <w:top w:val="single" w:sz="8" w:color="0000EE"/>
            </w:tcBorders>
            <w:gridSpan w:val="9"/>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10.1.2#</w:t>
            </w:r>
          </w:p>
        </w:tc>
        <w:tc>
          <w:tcPr>
            <w:tcW w:w="9960" w:type="dxa"/>
            <w:vAlign w:val="bottom"/>
            <w:tcBorders>
              <w:bottom w:val="single" w:sz="8" w:color="0000EE"/>
            </w:tcBorders>
            <w:gridSpan w:val="20"/>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Amended and Restated 2017 Employee Stock Purchase Plan (incorporated herein by reference to Exhibit 10.1 to the Company’s 8-K filed</w:t>
              </w:r>
            </w:hyperlink>
          </w:p>
        </w:tc>
        <w:tc>
          <w:tcPr>
            <w:tcW w:w="22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with the Securities and Exchange Commission on December 18, 2017, File No. 000-53057)</w:t>
              </w:r>
            </w:hyperlink>
          </w:p>
        </w:tc>
        <w:tc>
          <w:tcPr>
            <w:tcW w:w="3580" w:type="dxa"/>
            <w:vAlign w:val="bottom"/>
            <w:gridSpan w:val="19"/>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10.2#</w:t>
            </w:r>
          </w:p>
        </w:tc>
        <w:tc>
          <w:tcPr>
            <w:tcW w:w="10180" w:type="dxa"/>
            <w:vAlign w:val="bottom"/>
            <w:gridSpan w:val="26"/>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2017 Stock Option and Incentive Plan and forms of award agreements thereunder (incorporated herein by reference to Exhibit 10.2 to the</w:t>
              </w:r>
            </w:hyperlink>
          </w:p>
        </w:tc>
      </w:tr>
      <w:tr>
        <w:trPr>
          <w:trHeight w:val="196"/>
        </w:trPr>
        <w:tc>
          <w:tcPr>
            <w:tcW w:w="1260" w:type="dxa"/>
            <w:vAlign w:val="bottom"/>
          </w:tcPr>
          <w:p>
            <w:pPr>
              <w:spacing w:after="0"/>
              <w:rPr>
                <w:sz w:val="17"/>
                <w:szCs w:val="17"/>
                <w:color w:val="auto"/>
              </w:rPr>
            </w:pPr>
          </w:p>
        </w:tc>
        <w:tc>
          <w:tcPr>
            <w:tcW w:w="9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Company’s 8-K filed with the Securities and Exchange Commission on March 17, 2017, File No. 000-53057)</w:t>
              </w:r>
            </w:hyperlink>
          </w:p>
        </w:tc>
        <w:tc>
          <w:tcPr>
            <w:tcW w:w="300" w:type="dxa"/>
            <w:vAlign w:val="bottom"/>
            <w:gridSpan w:val="8"/>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10.3#</w:t>
            </w:r>
          </w:p>
        </w:tc>
        <w:tc>
          <w:tcPr>
            <w:tcW w:w="9920" w:type="dxa"/>
            <w:vAlign w:val="bottom"/>
            <w:tcBorders>
              <w:bottom w:val="single" w:sz="8" w:color="0000EE"/>
            </w:tcBorders>
            <w:gridSpan w:val="19"/>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2017 Employee Stock Purchase Plan (incorporated herein by reference to Exhibit 10.3 to the Company’s 8-K filed with the Securities and</w:t>
              </w:r>
            </w:hyperlink>
          </w:p>
        </w:tc>
        <w:tc>
          <w:tcPr>
            <w:tcW w:w="2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Exchange Commission on March 17, 2017, File No. 000-53057)</w:t>
              </w:r>
            </w:hyperlink>
          </w:p>
        </w:tc>
        <w:tc>
          <w:tcPr>
            <w:tcW w:w="5540" w:type="dxa"/>
            <w:vAlign w:val="bottom"/>
            <w:gridSpan w:val="22"/>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10.4#</w:t>
            </w:r>
          </w:p>
        </w:tc>
        <w:tc>
          <w:tcPr>
            <w:tcW w:w="10180" w:type="dxa"/>
            <w:vAlign w:val="bottom"/>
            <w:gridSpan w:val="26"/>
          </w:tcPr>
          <w:p>
            <w:pPr>
              <w:spacing w:after="0"/>
              <w:rPr>
                <w:rFonts w:ascii="Arial" w:cs="Arial" w:eastAsia="Arial" w:hAnsi="Arial"/>
                <w:sz w:val="18"/>
                <w:szCs w:val="18"/>
                <w:color w:val="0000EE"/>
                <w:w w:val="94"/>
              </w:rPr>
            </w:pPr>
            <w:hyperlink r:id="rId148">
              <w:r>
                <w:rPr>
                  <w:rFonts w:ascii="Arial" w:cs="Arial" w:eastAsia="Arial" w:hAnsi="Arial"/>
                  <w:sz w:val="18"/>
                  <w:szCs w:val="18"/>
                  <w:color w:val="0000EE"/>
                  <w:w w:val="94"/>
                </w:rPr>
                <w:t>Form of Indemnification Agreement (incorporated herein by reference to Exhibit 10.4 to the Company’s 8-K filed with the Securities and</w:t>
              </w:r>
            </w:hyperlink>
          </w:p>
        </w:tc>
      </w:tr>
      <w:tr>
        <w:trPr>
          <w:trHeight w:val="196"/>
        </w:trPr>
        <w:tc>
          <w:tcPr>
            <w:tcW w:w="126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Exchange Commission on March 17, 2017, File No. 000-53057)</w:t>
              </w:r>
            </w:hyperlink>
          </w:p>
        </w:tc>
        <w:tc>
          <w:tcPr>
            <w:tcW w:w="5240" w:type="dxa"/>
            <w:vAlign w:val="bottom"/>
            <w:tcBorders>
              <w:top w:val="single" w:sz="8" w:color="0000EE"/>
            </w:tcBorders>
            <w:gridSpan w:val="14"/>
          </w:tcPr>
          <w:p>
            <w:pPr>
              <w:spacing w:after="0"/>
              <w:rPr>
                <w:sz w:val="17"/>
                <w:szCs w:val="17"/>
                <w:color w:val="auto"/>
              </w:rPr>
            </w:pPr>
          </w:p>
        </w:tc>
        <w:tc>
          <w:tcPr>
            <w:tcW w:w="300" w:type="dxa"/>
            <w:vAlign w:val="bottom"/>
            <w:gridSpan w:val="8"/>
          </w:tcPr>
          <w:p>
            <w:pPr>
              <w:spacing w:after="0"/>
              <w:rPr>
                <w:sz w:val="17"/>
                <w:szCs w:val="17"/>
                <w:color w:val="auto"/>
              </w:rPr>
            </w:pPr>
          </w:p>
        </w:tc>
      </w:tr>
      <w:tr>
        <w:trPr>
          <w:trHeight w:val="318"/>
        </w:trPr>
        <w:tc>
          <w:tcPr>
            <w:tcW w:w="1260" w:type="dxa"/>
            <w:vAlign w:val="bottom"/>
          </w:tcPr>
          <w:p>
            <w:pPr>
              <w:jc w:val="center"/>
              <w:ind w:right="652"/>
              <w:spacing w:after="0"/>
              <w:rPr>
                <w:sz w:val="20"/>
                <w:szCs w:val="20"/>
                <w:color w:val="auto"/>
              </w:rPr>
            </w:pPr>
            <w:r>
              <w:rPr>
                <w:rFonts w:ascii="Arial" w:cs="Arial" w:eastAsia="Arial" w:hAnsi="Arial"/>
                <w:sz w:val="18"/>
                <w:szCs w:val="18"/>
                <w:color w:val="auto"/>
                <w:w w:val="91"/>
              </w:rPr>
              <w:t>10.5</w:t>
            </w: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Registration Rights Agreement, dated March 15, 2017, by and among the Company and the persons listed on Exhibit A attached thereto</w:t>
              </w:r>
            </w:hyperlink>
          </w:p>
        </w:tc>
        <w:tc>
          <w:tcPr>
            <w:tcW w:w="40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(incorporated herein by reference to Exhibit 10.5 to the Company’s 8-K filed with the Securities and Exchange Commission on March 17,</w:t>
              </w:r>
            </w:hyperlink>
          </w:p>
        </w:tc>
        <w:tc>
          <w:tcPr>
            <w:tcW w:w="22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2017, File No. 000-53057)</w:t>
              </w:r>
            </w:hyperlink>
          </w:p>
        </w:tc>
        <w:tc>
          <w:tcPr>
            <w:tcW w:w="8260" w:type="dxa"/>
            <w:vAlign w:val="bottom"/>
            <w:gridSpan w:val="24"/>
          </w:tcPr>
          <w:p>
            <w:pPr>
              <w:spacing w:after="0"/>
              <w:rPr>
                <w:sz w:val="17"/>
                <w:szCs w:val="17"/>
                <w:color w:val="auto"/>
              </w:rPr>
            </w:pPr>
          </w:p>
        </w:tc>
      </w:tr>
      <w:tr>
        <w:trPr>
          <w:trHeight w:val="318"/>
        </w:trPr>
        <w:tc>
          <w:tcPr>
            <w:tcW w:w="1260" w:type="dxa"/>
            <w:vAlign w:val="bottom"/>
          </w:tcPr>
          <w:p>
            <w:pPr>
              <w:jc w:val="center"/>
              <w:ind w:right="652"/>
              <w:spacing w:after="0"/>
              <w:rPr>
                <w:sz w:val="20"/>
                <w:szCs w:val="20"/>
                <w:color w:val="auto"/>
              </w:rPr>
            </w:pPr>
            <w:r>
              <w:rPr>
                <w:rFonts w:ascii="Arial" w:cs="Arial" w:eastAsia="Arial" w:hAnsi="Arial"/>
                <w:sz w:val="18"/>
                <w:szCs w:val="18"/>
                <w:color w:val="auto"/>
                <w:w w:val="91"/>
              </w:rPr>
              <w:t>10.6</w:t>
            </w:r>
          </w:p>
        </w:tc>
        <w:tc>
          <w:tcPr>
            <w:tcW w:w="10180" w:type="dxa"/>
            <w:vAlign w:val="bottom"/>
            <w:gridSpan w:val="26"/>
          </w:tcPr>
          <w:p>
            <w:pPr>
              <w:spacing w:after="0"/>
              <w:rPr>
                <w:rFonts w:ascii="Arial" w:cs="Arial" w:eastAsia="Arial" w:hAnsi="Arial"/>
                <w:sz w:val="18"/>
                <w:szCs w:val="18"/>
                <w:color w:val="0000EE"/>
                <w:w w:val="95"/>
              </w:rPr>
            </w:pPr>
            <w:hyperlink r:id="rId150">
              <w:r>
                <w:rPr>
                  <w:rFonts w:ascii="Arial" w:cs="Arial" w:eastAsia="Arial" w:hAnsi="Arial"/>
                  <w:sz w:val="18"/>
                  <w:szCs w:val="18"/>
                  <w:color w:val="0000EE"/>
                  <w:w w:val="95"/>
                </w:rPr>
                <w:t>Subscription Agreement, dated March 15, 2017, by and between the Company and the investors party thereto (incorporated herein by</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100" w:type="dxa"/>
            <w:vAlign w:val="bottom"/>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w w:val="96"/>
              </w:rPr>
            </w:pPr>
            <w:hyperlink r:id="rId150">
              <w:r>
                <w:rPr>
                  <w:rFonts w:ascii="Arial" w:cs="Arial" w:eastAsia="Arial" w:hAnsi="Arial"/>
                  <w:sz w:val="18"/>
                  <w:szCs w:val="18"/>
                  <w:color w:val="0000EE"/>
                  <w:w w:val="96"/>
                </w:rPr>
                <w:t>reference to Exhibit 10.6 to the Company’s 8-K filed with the Securities and Exchange Commission on March 17, 2017, File No. 000-</w:t>
              </w:r>
            </w:hyperlink>
          </w:p>
        </w:tc>
      </w:tr>
      <w:tr>
        <w:trPr>
          <w:trHeight w:val="196"/>
        </w:trPr>
        <w:tc>
          <w:tcPr>
            <w:tcW w:w="1260" w:type="dxa"/>
            <w:vAlign w:val="bottom"/>
          </w:tcPr>
          <w:p>
            <w:pPr>
              <w:spacing w:after="0"/>
              <w:rPr>
                <w:sz w:val="17"/>
                <w:szCs w:val="17"/>
                <w:color w:val="auto"/>
              </w:rPr>
            </w:pPr>
          </w:p>
        </w:tc>
        <w:tc>
          <w:tcPr>
            <w:tcW w:w="1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53057)</w:t>
              </w:r>
            </w:hyperlink>
          </w:p>
        </w:tc>
        <w:tc>
          <w:tcPr>
            <w:tcW w:w="17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1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260" w:type="dxa"/>
            <w:vAlign w:val="bottom"/>
          </w:tcPr>
          <w:p>
            <w:pPr>
              <w:ind w:left="100"/>
              <w:spacing w:after="0"/>
              <w:rPr>
                <w:sz w:val="20"/>
                <w:szCs w:val="20"/>
                <w:color w:val="auto"/>
              </w:rPr>
            </w:pPr>
            <w:r>
              <w:rPr>
                <w:rFonts w:ascii="Arial" w:cs="Arial" w:eastAsia="Arial" w:hAnsi="Arial"/>
                <w:sz w:val="18"/>
                <w:szCs w:val="18"/>
                <w:color w:val="auto"/>
              </w:rPr>
              <w:t>10.7</w:t>
            </w:r>
          </w:p>
        </w:tc>
        <w:tc>
          <w:tcPr>
            <w:tcW w:w="10040" w:type="dxa"/>
            <w:vAlign w:val="bottom"/>
            <w:tcBorders>
              <w:bottom w:val="single" w:sz="8" w:color="0000EE"/>
            </w:tcBorders>
            <w:gridSpan w:val="20"/>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Office Lease at 10300 Alliance Road, Cincinnati, OH dated as of September 29, 2009, by and between Akebia Therapeutics, Inc. and Duke</w:t>
              </w:r>
            </w:hyperlink>
          </w:p>
        </w:tc>
        <w:tc>
          <w:tcPr>
            <w:tcW w:w="14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Realty Ohio, as amended by the First Lease Amendment dated as of April 23, 2010 by and between Akebia Therapeutics, Inc. and Duke</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Realty Ohio, as amended by the Second Lease Amendment and Assignment and Assumption of Lease dated as of April 25, 2012 by and</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between DP Landings Building II, LLC, Akebia Therapeutics, Inc., and Aerpio, as amended by the Third Amendment to Office Lease dated</w:t>
              </w:r>
            </w:hyperlink>
          </w:p>
        </w:tc>
        <w:tc>
          <w:tcPr>
            <w:tcW w:w="8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as of February 27, 2015 by and between RT Landings Building II, LLC and Aerpio (incorporated herein by reference to Exhibit 10.7 to the</w:t>
              </w:r>
            </w:hyperlink>
          </w:p>
        </w:tc>
        <w:tc>
          <w:tcPr>
            <w:tcW w:w="16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Company’s 8-K filed with the Securities and Exchange Commission on March 17, 2017, File No. 000-53057)</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10.8#</w:t>
            </w:r>
          </w:p>
        </w:tc>
        <w:tc>
          <w:tcPr>
            <w:tcW w:w="9860" w:type="dxa"/>
            <w:vAlign w:val="bottom"/>
            <w:tcBorders>
              <w:bottom w:val="single" w:sz="8" w:color="0000EE"/>
            </w:tcBorders>
            <w:gridSpan w:val="15"/>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 xml:space="preserve">Employment Agreement, dated as of March 15, 2017, between the Company and Joseph H. Gardner </w:t>
              </w:r>
              <w:r>
                <w:rPr>
                  <w:rFonts w:ascii="Arial" w:cs="Arial" w:eastAsia="Arial" w:hAnsi="Arial"/>
                  <w:sz w:val="18"/>
                  <w:szCs w:val="18"/>
                  <w:color w:val="0000EE"/>
                  <w:highlight w:val="white"/>
                  <w:w w:val="89"/>
                </w:rPr>
                <w:t>(incorporated herein by reference to</w:t>
              </w:r>
            </w:hyperlink>
          </w:p>
        </w:tc>
        <w:tc>
          <w:tcPr>
            <w:tcW w:w="320" w:type="dxa"/>
            <w:vAlign w:val="bottom"/>
            <w:gridSpan w:val="10"/>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Exhibit 10.8 to the Company’s Registration Statement on Form S-1 filed with the Securities and Exchange Commission on April 14, 2017,</w:t>
              </w:r>
            </w:hyperlink>
          </w:p>
        </w:tc>
      </w:tr>
      <w:tr>
        <w:trPr>
          <w:trHeight w:val="196"/>
        </w:trPr>
        <w:tc>
          <w:tcPr>
            <w:tcW w:w="12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File No. 333-217320)</w:t>
              </w:r>
            </w:hyperlink>
          </w:p>
        </w:tc>
        <w:tc>
          <w:tcPr>
            <w:tcW w:w="8420" w:type="dxa"/>
            <w:vAlign w:val="bottom"/>
            <w:tcBorders>
              <w:top w:val="single" w:sz="8" w:color="0000EE"/>
            </w:tcBorders>
            <w:gridSpan w:val="13"/>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10.9#</w:t>
            </w:r>
          </w:p>
        </w:tc>
        <w:tc>
          <w:tcPr>
            <w:tcW w:w="9620" w:type="dxa"/>
            <w:vAlign w:val="bottom"/>
            <w:tcBorders>
              <w:bottom w:val="single" w:sz="8" w:color="0000EE"/>
            </w:tcBorders>
            <w:gridSpan w:val="12"/>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Employment Agreement, dated as of March 15, 2017, between the Company and Kevin G. Peters (</w:t>
              </w:r>
              <w:r>
                <w:rPr>
                  <w:rFonts w:ascii="Arial" w:cs="Arial" w:eastAsia="Arial" w:hAnsi="Arial"/>
                  <w:sz w:val="18"/>
                  <w:szCs w:val="18"/>
                  <w:color w:val="0000EE"/>
                  <w:highlight w:val="white"/>
                  <w:w w:val="89"/>
                </w:rPr>
                <w:t>incorporated herein by reference to</w:t>
              </w:r>
            </w:hyperlink>
          </w:p>
        </w:tc>
        <w:tc>
          <w:tcPr>
            <w:tcW w:w="560" w:type="dxa"/>
            <w:vAlign w:val="bottom"/>
            <w:gridSpan w:val="1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Exhibit 10.9 to the Company’s Registration Statement on Form S-1 filed with the Securities and Exchange Commission on April 14, 2017,</w:t>
              </w:r>
            </w:hyperlink>
          </w:p>
        </w:tc>
      </w:tr>
      <w:tr>
        <w:trPr>
          <w:trHeight w:val="196"/>
        </w:trPr>
        <w:tc>
          <w:tcPr>
            <w:tcW w:w="12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File No. 333-217320)</w:t>
              </w:r>
            </w:hyperlink>
          </w:p>
        </w:tc>
        <w:tc>
          <w:tcPr>
            <w:tcW w:w="8420" w:type="dxa"/>
            <w:vAlign w:val="bottom"/>
            <w:tcBorders>
              <w:top w:val="single" w:sz="8" w:color="0000EE"/>
            </w:tcBorders>
            <w:gridSpan w:val="13"/>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10.10#</w:t>
            </w:r>
          </w:p>
        </w:tc>
        <w:tc>
          <w:tcPr>
            <w:tcW w:w="10180" w:type="dxa"/>
            <w:vAlign w:val="bottom"/>
            <w:gridSpan w:val="25"/>
          </w:tcPr>
          <w:p>
            <w:pPr>
              <w:spacing w:after="0"/>
              <w:rPr>
                <w:rFonts w:ascii="Arial" w:cs="Arial" w:eastAsia="Arial" w:hAnsi="Arial"/>
                <w:sz w:val="18"/>
                <w:szCs w:val="18"/>
                <w:color w:val="0000EE"/>
                <w:w w:val="94"/>
              </w:rPr>
            </w:pPr>
            <w:hyperlink r:id="rId156">
              <w:r>
                <w:rPr>
                  <w:rFonts w:ascii="Arial" w:cs="Arial" w:eastAsia="Arial" w:hAnsi="Arial"/>
                  <w:sz w:val="18"/>
                  <w:szCs w:val="18"/>
                  <w:color w:val="0000EE"/>
                  <w:w w:val="94"/>
                </w:rPr>
                <w:t>Employment Agreement, dated as of March 15, 2017, between the Company and Stephen Pakola (incorporated herein by reference to</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Exhibit 10.10 to the Company’s Registration Statement on Form S-1 filed with the Securities and Exchange Commission on April 14, 2017,</w:t>
              </w:r>
            </w:hyperlink>
          </w:p>
        </w:tc>
        <w:tc>
          <w:tcPr>
            <w:tcW w:w="10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File No. 333-217320)</w:t>
              </w:r>
            </w:hyperlink>
          </w:p>
        </w:tc>
        <w:tc>
          <w:tcPr>
            <w:tcW w:w="8620" w:type="dxa"/>
            <w:vAlign w:val="bottom"/>
            <w:gridSpan w:val="21"/>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10.11</w:t>
            </w:r>
          </w:p>
        </w:tc>
        <w:tc>
          <w:tcPr>
            <w:tcW w:w="10180" w:type="dxa"/>
            <w:vAlign w:val="bottom"/>
            <w:gridSpan w:val="25"/>
          </w:tcPr>
          <w:p>
            <w:pPr>
              <w:spacing w:after="0"/>
              <w:rPr>
                <w:rFonts w:ascii="Arial" w:cs="Arial" w:eastAsia="Arial" w:hAnsi="Arial"/>
                <w:sz w:val="18"/>
                <w:szCs w:val="18"/>
                <w:color w:val="0000EE"/>
                <w:w w:val="94"/>
              </w:rPr>
            </w:pPr>
            <w:hyperlink r:id="rId157">
              <w:r>
                <w:rPr>
                  <w:rFonts w:ascii="Arial" w:cs="Arial" w:eastAsia="Arial" w:hAnsi="Arial"/>
                  <w:sz w:val="18"/>
                  <w:szCs w:val="18"/>
                  <w:color w:val="0000EE"/>
                  <w:w w:val="94"/>
                </w:rPr>
                <w:t>Employment Agreement, entered into on October 8, 2017, by and between the Company and Stephen Hoffman (incorporated herein by</w:t>
              </w:r>
            </w:hyperlink>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w w:val="95"/>
              </w:rPr>
            </w:pPr>
            <w:hyperlink r:id="rId157">
              <w:r>
                <w:rPr>
                  <w:rFonts w:ascii="Arial" w:cs="Arial" w:eastAsia="Arial" w:hAnsi="Arial"/>
                  <w:sz w:val="18"/>
                  <w:szCs w:val="18"/>
                  <w:color w:val="0000EE"/>
                  <w:w w:val="95"/>
                </w:rPr>
                <w:t>reference to Exhibit 10.1 to the Company’s 8-K filed with the Securities and Exchange Commission on October 10, 2017, File No. 000-</w:t>
              </w:r>
            </w:hyperlink>
          </w:p>
        </w:tc>
      </w:tr>
      <w:tr>
        <w:trPr>
          <w:trHeight w:val="196"/>
        </w:trPr>
        <w:tc>
          <w:tcPr>
            <w:tcW w:w="12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57">
              <w:r>
                <w:rPr>
                  <w:rFonts w:ascii="Arial" w:cs="Arial" w:eastAsia="Arial" w:hAnsi="Arial"/>
                  <w:sz w:val="18"/>
                  <w:szCs w:val="18"/>
                  <w:color w:val="0000EE"/>
                  <w:w w:val="85"/>
                </w:rPr>
                <w:t>53057)</w:t>
              </w:r>
            </w:hyperlink>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10.12</w:t>
            </w:r>
          </w:p>
        </w:tc>
        <w:tc>
          <w:tcPr>
            <w:tcW w:w="10180" w:type="dxa"/>
            <w:vAlign w:val="bottom"/>
            <w:gridSpan w:val="25"/>
          </w:tcPr>
          <w:p>
            <w:pPr>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First Amendment to Employment Agreement, dated October 8, 2017, by and between the Company and Joseph Gardner (incorporated</w:t>
              </w:r>
            </w:hyperlink>
          </w:p>
        </w:tc>
      </w:tr>
      <w:tr>
        <w:trPr>
          <w:trHeight w:val="20"/>
        </w:trPr>
        <w:tc>
          <w:tcPr>
            <w:tcW w:w="12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herein by reference to Exhibit 10.1 to the Company’s 8-K filed with the Securities and Exchange Commission on October 10, 2017, File No.</w:t>
              </w:r>
            </w:hyperlink>
          </w:p>
        </w:tc>
      </w:tr>
      <w:tr>
        <w:trPr>
          <w:trHeight w:val="196"/>
        </w:trPr>
        <w:tc>
          <w:tcPr>
            <w:tcW w:w="126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000-53057)</w:t>
              </w:r>
            </w:hyperlink>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10.13</w:t>
            </w:r>
          </w:p>
        </w:tc>
        <w:tc>
          <w:tcPr>
            <w:tcW w:w="10180" w:type="dxa"/>
            <w:vAlign w:val="bottom"/>
            <w:gridSpan w:val="25"/>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Employment Agreement, effective as of November 15, 2017, by and between the Company and Michael Rogers (incorporated herein by</w:t>
              </w:r>
            </w:hyperlink>
          </w:p>
        </w:tc>
      </w:tr>
      <w:tr>
        <w:trPr>
          <w:trHeight w:val="20"/>
        </w:trPr>
        <w:tc>
          <w:tcPr>
            <w:tcW w:w="12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180" w:type="dxa"/>
            <w:vAlign w:val="bottom"/>
            <w:gridSpan w:val="25"/>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reference to Exhibit 10.1 to the Company’s 8-K filed with the Securities and Exchange Commission on November 14, 2017, File No. 000-</w:t>
              </w:r>
            </w:hyperlink>
          </w:p>
        </w:tc>
      </w:tr>
      <w:tr>
        <w:trPr>
          <w:trHeight w:val="196"/>
        </w:trPr>
        <w:tc>
          <w:tcPr>
            <w:tcW w:w="126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59">
              <w:r>
                <w:rPr>
                  <w:rFonts w:ascii="Arial" w:cs="Arial" w:eastAsia="Arial" w:hAnsi="Arial"/>
                  <w:sz w:val="18"/>
                  <w:szCs w:val="18"/>
                  <w:color w:val="0000EE"/>
                  <w:w w:val="85"/>
                </w:rPr>
                <w:t>53057)</w:t>
              </w:r>
            </w:hyperlink>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10.14</w:t>
            </w:r>
          </w:p>
        </w:tc>
        <w:tc>
          <w:tcPr>
            <w:tcW w:w="10020" w:type="dxa"/>
            <w:vAlign w:val="bottom"/>
            <w:tcBorders>
              <w:bottom w:val="single" w:sz="8" w:color="0000EE"/>
            </w:tcBorders>
            <w:gridSpan w:val="19"/>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Registration Rights Agreement by and among the Company and certain former stockholders of Aerpio (incorporated herein by reference to</w:t>
              </w:r>
            </w:hyperlink>
          </w:p>
        </w:tc>
        <w:tc>
          <w:tcPr>
            <w:tcW w:w="1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3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Exhibit 10.9 to the Company’s 8-K filed with the Securities and Exchange Commission on March 17, 2017, File No. 000-53057).</w:t>
              </w:r>
            </w:hyperlink>
          </w:p>
        </w:tc>
        <w:tc>
          <w:tcPr>
            <w:tcW w:w="860" w:type="dxa"/>
            <w:vAlign w:val="bottom"/>
            <w:gridSpan w:val="15"/>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10.15*</w:t>
            </w:r>
          </w:p>
        </w:tc>
        <w:tc>
          <w:tcPr>
            <w:tcW w:w="36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Senior Cash Incentive Bonus Plan of the Company</w:t>
              </w:r>
            </w:hyperlink>
          </w:p>
        </w:tc>
        <w:tc>
          <w:tcPr>
            <w:tcW w:w="6520" w:type="dxa"/>
            <w:vAlign w:val="bottom"/>
            <w:gridSpan w:val="19"/>
          </w:tcPr>
          <w:p>
            <w:pPr>
              <w:spacing w:after="0"/>
              <w:rPr>
                <w:sz w:val="24"/>
                <w:szCs w:val="24"/>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21.1</w:t>
            </w:r>
          </w:p>
        </w:tc>
        <w:tc>
          <w:tcPr>
            <w:tcW w:w="10180" w:type="dxa"/>
            <w:vAlign w:val="bottom"/>
            <w:gridSpan w:val="25"/>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Subsidiaries of the Registrant (incorporated herein by reference to Exhibit 21.1 to the Company’s 8-K filed with the Securities and Exchange</w:t>
              </w:r>
            </w:hyperlink>
          </w:p>
        </w:tc>
      </w:tr>
      <w:tr>
        <w:trPr>
          <w:trHeight w:val="196"/>
        </w:trPr>
        <w:tc>
          <w:tcPr>
            <w:tcW w:w="1260" w:type="dxa"/>
            <w:vAlign w:val="bottom"/>
          </w:tcPr>
          <w:p>
            <w:pPr>
              <w:spacing w:after="0"/>
              <w:rPr>
                <w:sz w:val="17"/>
                <w:szCs w:val="17"/>
                <w:color w:val="auto"/>
              </w:rPr>
            </w:pPr>
          </w:p>
        </w:tc>
        <w:tc>
          <w:tcPr>
            <w:tcW w:w="101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Commission on March 17, 2017, File No. 000-53057).</w:t>
              </w:r>
            </w:hyperlink>
          </w:p>
        </w:tc>
        <w:tc>
          <w:tcPr>
            <w:tcW w:w="40" w:type="dxa"/>
            <w:vAlign w:val="bottom"/>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23.1*</w:t>
            </w:r>
          </w:p>
        </w:tc>
        <w:tc>
          <w:tcPr>
            <w:tcW w:w="3920" w:type="dxa"/>
            <w:vAlign w:val="bottom"/>
            <w:tcBorders>
              <w:top w:val="single" w:sz="8" w:color="0000EE"/>
            </w:tcBorders>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Consent of Ernst &amp; Young LLP</w:t>
              </w:r>
            </w:hyperlink>
          </w:p>
        </w:tc>
        <w:tc>
          <w:tcPr>
            <w:tcW w:w="6260" w:type="dxa"/>
            <w:vAlign w:val="bottom"/>
            <w:gridSpan w:val="18"/>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31.1*</w:t>
            </w:r>
          </w:p>
        </w:tc>
        <w:tc>
          <w:tcPr>
            <w:tcW w:w="10180" w:type="dxa"/>
            <w:vAlign w:val="bottom"/>
            <w:gridSpan w:val="25"/>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Certification of Principal Executive Officer Pursuant to Rules 13a-14(a) and 15d-14(a) under the Securities Exchange Act of 1934, as</w:t>
              </w:r>
            </w:hyperlink>
          </w:p>
        </w:tc>
      </w:tr>
      <w:tr>
        <w:trPr>
          <w:trHeight w:val="196"/>
        </w:trPr>
        <w:tc>
          <w:tcPr>
            <w:tcW w:w="126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Adopted Pursuant to Section 302 of the Sarbanes-Oxley Act of 2002.</w:t>
              </w:r>
            </w:hyperlink>
          </w:p>
        </w:tc>
        <w:tc>
          <w:tcPr>
            <w:tcW w:w="4640" w:type="dxa"/>
            <w:vAlign w:val="bottom"/>
            <w:tcBorders>
              <w:top w:val="single" w:sz="8" w:color="0000EE"/>
            </w:tcBorders>
            <w:gridSpan w:val="4"/>
          </w:tcPr>
          <w:p>
            <w:pPr>
              <w:spacing w:after="0"/>
              <w:rPr>
                <w:sz w:val="17"/>
                <w:szCs w:val="17"/>
                <w:color w:val="auto"/>
              </w:rPr>
            </w:pPr>
          </w:p>
        </w:tc>
        <w:tc>
          <w:tcPr>
            <w:tcW w:w="560" w:type="dxa"/>
            <w:vAlign w:val="bottom"/>
            <w:gridSpan w:val="13"/>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31.2*</w:t>
            </w:r>
          </w:p>
        </w:tc>
        <w:tc>
          <w:tcPr>
            <w:tcW w:w="95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11">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20" w:type="dxa"/>
            <w:vAlign w:val="bottom"/>
            <w:gridSpan w:val="1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9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Adopted Pursuant to Section 302 of the Sarbanes-Oxley Act of 2002.</w:t>
              </w:r>
            </w:hyperlink>
          </w:p>
        </w:tc>
        <w:tc>
          <w:tcPr>
            <w:tcW w:w="5200" w:type="dxa"/>
            <w:vAlign w:val="bottom"/>
            <w:gridSpan w:val="17"/>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32.1*</w:t>
            </w:r>
          </w:p>
        </w:tc>
        <w:tc>
          <w:tcPr>
            <w:tcW w:w="10180" w:type="dxa"/>
            <w:vAlign w:val="bottom"/>
            <w:gridSpan w:val="25"/>
          </w:tcPr>
          <w:p>
            <w:pPr>
              <w:spacing w:after="0"/>
              <w:rPr>
                <w:rFonts w:ascii="Arial" w:cs="Arial" w:eastAsia="Arial" w:hAnsi="Arial"/>
                <w:sz w:val="18"/>
                <w:szCs w:val="18"/>
                <w:color w:val="0000EE"/>
                <w:w w:val="92"/>
              </w:rPr>
            </w:pPr>
            <w:hyperlink w:anchor="page112">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r>
      <w:tr>
        <w:trPr>
          <w:trHeight w:val="196"/>
        </w:trPr>
        <w:tc>
          <w:tcPr>
            <w:tcW w:w="12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112">
              <w:r>
                <w:rPr>
                  <w:rFonts w:ascii="Arial" w:cs="Arial" w:eastAsia="Arial" w:hAnsi="Arial"/>
                  <w:sz w:val="18"/>
                  <w:szCs w:val="18"/>
                  <w:color w:val="0000EE"/>
                  <w:w w:val="91"/>
                </w:rPr>
                <w:t>Act of 2002.</w:t>
              </w:r>
            </w:hyperlink>
          </w:p>
        </w:tc>
        <w:tc>
          <w:tcPr>
            <w:tcW w:w="9140" w:type="dxa"/>
            <w:vAlign w:val="bottom"/>
            <w:tcBorders>
              <w:top w:val="single" w:sz="8" w:color="0000EE"/>
            </w:tcBorders>
            <w:gridSpan w:val="17"/>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18"/>
        </w:trPr>
        <w:tc>
          <w:tcPr>
            <w:tcW w:w="1260" w:type="dxa"/>
            <w:vAlign w:val="bottom"/>
          </w:tcPr>
          <w:p>
            <w:pPr>
              <w:ind w:left="100"/>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8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13">
              <w:r>
                <w:rPr>
                  <w:rFonts w:ascii="Arial" w:cs="Arial" w:eastAsia="Arial" w:hAnsi="Arial"/>
                  <w:sz w:val="18"/>
                  <w:szCs w:val="18"/>
                  <w:color w:val="0000EE"/>
                  <w:w w:val="91"/>
                </w:rPr>
                <w:t>Act of 2002.</w:t>
              </w:r>
            </w:hyperlink>
          </w:p>
        </w:tc>
        <w:tc>
          <w:tcPr>
            <w:tcW w:w="9280" w:type="dxa"/>
            <w:vAlign w:val="bottom"/>
            <w:gridSpan w:val="22"/>
          </w:tcPr>
          <w:p>
            <w:pPr>
              <w:spacing w:after="0"/>
              <w:rPr>
                <w:sz w:val="17"/>
                <w:szCs w:val="17"/>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25"/>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spacing w:after="0"/>
              <w:rPr>
                <w:sz w:val="24"/>
                <w:szCs w:val="24"/>
                <w:color w:val="auto"/>
              </w:rPr>
            </w:pPr>
          </w:p>
        </w:tc>
        <w:tc>
          <w:tcPr>
            <w:tcW w:w="4980" w:type="dxa"/>
            <w:vAlign w:val="bottom"/>
            <w:gridSpan w:val="8"/>
          </w:tcPr>
          <w:p>
            <w:pPr>
              <w:ind w:left="4320"/>
              <w:spacing w:after="0"/>
              <w:rPr>
                <w:sz w:val="20"/>
                <w:szCs w:val="20"/>
                <w:color w:val="auto"/>
              </w:rPr>
            </w:pPr>
            <w:r>
              <w:rPr>
                <w:rFonts w:ascii="Arial" w:cs="Arial" w:eastAsia="Arial" w:hAnsi="Arial"/>
                <w:sz w:val="18"/>
                <w:szCs w:val="18"/>
                <w:color w:val="auto"/>
              </w:rPr>
              <w:t>104</w:t>
            </w:r>
          </w:p>
        </w:tc>
        <w:tc>
          <w:tcPr>
            <w:tcW w:w="2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3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30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hanging="59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of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63" w:right="3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AERPIO PHARMACEUTICALS, INC.</w:t>
      </w:r>
    </w:p>
    <w:p>
      <w:pPr>
        <w:spacing w:after="0" w:line="266" w:lineRule="exact"/>
        <w:rPr>
          <w:sz w:val="20"/>
          <w:szCs w:val="20"/>
          <w:color w:val="auto"/>
        </w:rPr>
      </w:pPr>
    </w:p>
    <w:p>
      <w:pPr>
        <w:spacing w:after="0"/>
        <w:tabs>
          <w:tab w:leader="none" w:pos="6800" w:val="left"/>
          <w:tab w:leader="none" w:pos="8080" w:val="left"/>
        </w:tabs>
        <w:rPr>
          <w:sz w:val="20"/>
          <w:szCs w:val="20"/>
          <w:color w:val="auto"/>
        </w:rPr>
      </w:pPr>
      <w:r>
        <w:rPr>
          <w:rFonts w:ascii="Arial" w:cs="Arial" w:eastAsia="Arial" w:hAnsi="Arial"/>
          <w:sz w:val="18"/>
          <w:szCs w:val="18"/>
          <w:color w:val="auto"/>
        </w:rPr>
        <w:t>Date: March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7"/>
          <w:szCs w:val="17"/>
          <w:b w:val="1"/>
          <w:bCs w:val="1"/>
          <w:color w:val="auto"/>
        </w:rPr>
        <w:t>Chief Executive Officer and Principal Executive</w:t>
      </w:r>
    </w:p>
    <w:p>
      <w:pPr>
        <w:spacing w:after="0" w:line="34"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Officer</w:t>
      </w:r>
    </w:p>
    <w:p>
      <w:pPr>
        <w:spacing w:after="0" w:line="2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00" w:type="dxa"/>
            <w:vAlign w:val="bottom"/>
          </w:tcPr>
          <w:p>
            <w:pPr>
              <w:spacing w:after="0"/>
              <w:rPr>
                <w:sz w:val="14"/>
                <w:szCs w:val="14"/>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4"/>
                <w:szCs w:val="1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72"/>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Stephen Hoffman, M.D., Ph.D.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Director, Chief Executive Officer and</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3"/>
              </w:rPr>
              <w:t>Stephen Hoffman, M.D., Ph.D.</w:t>
            </w:r>
          </w:p>
        </w:tc>
        <w:tc>
          <w:tcPr>
            <w:tcW w:w="100" w:type="dxa"/>
            <w:vAlign w:val="bottom"/>
          </w:tcPr>
          <w:p>
            <w:pPr>
              <w:spacing w:after="0"/>
              <w:rPr>
                <w:sz w:val="19"/>
                <w:szCs w:val="19"/>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Principal Executive Officer</w:t>
            </w: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Michael Rogers</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and Principal</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Rogers</w:t>
            </w:r>
          </w:p>
        </w:tc>
        <w:tc>
          <w:tcPr>
            <w:tcW w:w="100" w:type="dxa"/>
            <w:vAlign w:val="bottom"/>
          </w:tcPr>
          <w:p>
            <w:pPr>
              <w:spacing w:after="0"/>
              <w:rPr>
                <w:sz w:val="19"/>
                <w:szCs w:val="19"/>
                <w:color w:val="auto"/>
              </w:rPr>
            </w:pPr>
          </w:p>
        </w:tc>
        <w:tc>
          <w:tcPr>
            <w:tcW w:w="39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Financial and Accounting Officer</w:t>
            </w: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Joseph Gardner, Ph.D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Director, President and Founder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9"/>
              </w:rPr>
              <w:t>Joseph Gardner</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Muneer A. Satter</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3"/>
              </w:rPr>
              <w:t>Muneer A. Satter</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Chau Khuong</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Chau Khuong</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Steven Prelack</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Steven Prelack</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Paul Weiss, Ph.D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Paul Weiss</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Caley Castelein, M.D.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0"/>
              </w:rPr>
              <w:t>Caley Castelein</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0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3"/>
              </w:rPr>
              <w:t>/s/ Anupam Dalal, M.D.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3"/>
              </w:rPr>
              <w:t>Anupam Dalal</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8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 Pravin Dugel, M.D.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March 15, 2018</w:t>
            </w:r>
          </w:p>
        </w:tc>
      </w:tr>
      <w:tr>
        <w:trPr>
          <w:trHeight w:val="22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2"/>
              </w:rPr>
              <w:t>Pravin Dugel</w:t>
            </w:r>
          </w:p>
        </w:tc>
        <w:tc>
          <w:tcPr>
            <w:tcW w:w="1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792"/>
        </w:trPr>
        <w:tc>
          <w:tcPr>
            <w:tcW w:w="4200" w:type="dxa"/>
            <w:vAlign w:val="bottom"/>
          </w:tcPr>
          <w:p>
            <w:pPr>
              <w:spacing w:after="0"/>
              <w:rPr>
                <w:sz w:val="24"/>
                <w:szCs w:val="24"/>
                <w:color w:val="auto"/>
              </w:rPr>
            </w:pPr>
          </w:p>
        </w:tc>
        <w:tc>
          <w:tcPr>
            <w:tcW w:w="3960" w:type="dxa"/>
            <w:vAlign w:val="bottom"/>
            <w:gridSpan w:val="2"/>
          </w:tcPr>
          <w:p>
            <w:pPr>
              <w:jc w:val="right"/>
              <w:ind w:right="2231"/>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CASH INCENTIVE BONUS PLAN</w:t>
      </w:r>
    </w:p>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Purpose</w:t>
      </w:r>
    </w:p>
    <w:p>
      <w:pPr>
        <w:spacing w:after="0" w:line="225" w:lineRule="exact"/>
        <w:rPr>
          <w:sz w:val="20"/>
          <w:szCs w:val="20"/>
          <w:color w:val="auto"/>
        </w:rPr>
      </w:pPr>
    </w:p>
    <w:p>
      <w:pPr>
        <w:ind w:right="220" w:firstLine="877"/>
        <w:spacing w:after="0" w:line="259" w:lineRule="auto"/>
        <w:rPr>
          <w:sz w:val="20"/>
          <w:szCs w:val="20"/>
          <w:color w:val="auto"/>
        </w:rPr>
      </w:pPr>
      <w:r>
        <w:rPr>
          <w:rFonts w:ascii="Arial" w:cs="Arial" w:eastAsia="Arial" w:hAnsi="Arial"/>
          <w:sz w:val="18"/>
          <w:szCs w:val="18"/>
          <w:color w:val="auto"/>
        </w:rPr>
        <w:t>This Senior Executive Cash Incentive Bonus Plan (the “</w:t>
      </w:r>
      <w:r>
        <w:rPr>
          <w:rFonts w:ascii="Arial" w:cs="Arial" w:eastAsia="Arial" w:hAnsi="Arial"/>
          <w:sz w:val="18"/>
          <w:szCs w:val="18"/>
          <w:b w:val="1"/>
          <w:bCs w:val="1"/>
          <w:i w:val="1"/>
          <w:iCs w:val="1"/>
          <w:color w:val="auto"/>
        </w:rPr>
        <w:t>Incentive Plan</w:t>
      </w:r>
      <w:r>
        <w:rPr>
          <w:rFonts w:ascii="Arial" w:cs="Arial" w:eastAsia="Arial" w:hAnsi="Arial"/>
          <w:sz w:val="18"/>
          <w:szCs w:val="18"/>
          <w:color w:val="auto"/>
        </w:rPr>
        <w:t>”) is intended to provide an incentive for superior work and to motivate eligible executives of Aerpio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subsidiaries toward even higher achievement and business results, to tie their goals and interests to those of the Company and its stockholders and to enable the Company to attract and retain highly qualified executives. The Incentive Plan is for the benefit of Participants (as defined below).</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Participants</w:t>
      </w:r>
    </w:p>
    <w:p>
      <w:pPr>
        <w:spacing w:after="0" w:line="225" w:lineRule="exact"/>
        <w:rPr>
          <w:sz w:val="20"/>
          <w:szCs w:val="20"/>
          <w:color w:val="auto"/>
        </w:rPr>
      </w:pPr>
    </w:p>
    <w:p>
      <w:pPr>
        <w:ind w:right="160" w:firstLine="877"/>
        <w:spacing w:after="0" w:line="308" w:lineRule="auto"/>
        <w:rPr>
          <w:sz w:val="20"/>
          <w:szCs w:val="20"/>
          <w:color w:val="auto"/>
        </w:rPr>
      </w:pPr>
      <w:r>
        <w:rPr>
          <w:rFonts w:ascii="Arial" w:cs="Arial" w:eastAsia="Arial" w:hAnsi="Arial"/>
          <w:sz w:val="17"/>
          <w:szCs w:val="17"/>
          <w:color w:val="auto"/>
        </w:rPr>
        <w:t>From time to time,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may select certain key executives (the “</w:t>
      </w:r>
      <w:r>
        <w:rPr>
          <w:rFonts w:ascii="Arial" w:cs="Arial" w:eastAsia="Arial" w:hAnsi="Arial"/>
          <w:sz w:val="17"/>
          <w:szCs w:val="17"/>
          <w:b w:val="1"/>
          <w:bCs w:val="1"/>
          <w:i w:val="1"/>
          <w:iCs w:val="1"/>
          <w:color w:val="auto"/>
        </w:rPr>
        <w:t>Participants</w:t>
      </w:r>
      <w:r>
        <w:rPr>
          <w:rFonts w:ascii="Arial" w:cs="Arial" w:eastAsia="Arial" w:hAnsi="Arial"/>
          <w:sz w:val="17"/>
          <w:szCs w:val="17"/>
          <w:color w:val="auto"/>
        </w:rPr>
        <w:t>”) to be eligible to receive bonuses hereunder. Participation in this Plan does not change the “at will” nature of a Participant’s employment with the Company.</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Administration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shall have the sole discretion and authority to administer and interpret the Incentive Plan.</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Bonus Determinations</w:t>
      </w:r>
    </w:p>
    <w:p>
      <w:pPr>
        <w:spacing w:after="0" w:line="225" w:lineRule="exact"/>
        <w:rPr>
          <w:sz w:val="20"/>
          <w:szCs w:val="20"/>
          <w:color w:val="auto"/>
        </w:rPr>
      </w:pPr>
    </w:p>
    <w:p>
      <w:pPr>
        <w:ind w:right="60" w:firstLine="877"/>
        <w:spacing w:after="0" w:line="286" w:lineRule="auto"/>
        <w:rPr>
          <w:sz w:val="20"/>
          <w:szCs w:val="20"/>
          <w:color w:val="auto"/>
        </w:rPr>
      </w:pPr>
      <w:r>
        <w:rPr>
          <w:rFonts w:ascii="Arial" w:cs="Arial" w:eastAsia="Arial" w:hAnsi="Arial"/>
          <w:sz w:val="16"/>
          <w:szCs w:val="16"/>
          <w:u w:val="single" w:color="auto"/>
          <w:color w:val="auto"/>
        </w:rPr>
        <w:t>Corporate Performance Goals</w:t>
      </w:r>
      <w:r>
        <w:rPr>
          <w:rFonts w:ascii="Arial" w:cs="Arial" w:eastAsia="Arial" w:hAnsi="Arial"/>
          <w:sz w:val="16"/>
          <w:szCs w:val="16"/>
          <w:color w:val="auto"/>
        </w:rPr>
        <w:t>. A Participant may receive a bonus payment under the Incentive Plan based upon the attainment of one or more performance objectives that are established by the Board and relate to financial and operational metrics with respect to the Company or any of its subsidiaries (the “</w:t>
      </w:r>
      <w:r>
        <w:rPr>
          <w:rFonts w:ascii="Arial" w:cs="Arial" w:eastAsia="Arial" w:hAnsi="Arial"/>
          <w:sz w:val="16"/>
          <w:szCs w:val="16"/>
          <w:b w:val="1"/>
          <w:bCs w:val="1"/>
          <w:i w:val="1"/>
          <w:iCs w:val="1"/>
          <w:color w:val="auto"/>
        </w:rPr>
        <w:t>Corporate Performance Goals</w:t>
      </w:r>
      <w:r>
        <w:rPr>
          <w:rFonts w:ascii="Arial" w:cs="Arial" w:eastAsia="Arial" w:hAnsi="Arial"/>
          <w:sz w:val="16"/>
          <w:szCs w:val="16"/>
          <w:color w:val="auto"/>
        </w:rPr>
        <w:t>”), including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development, clinical, regulatory or commercial milestones; acquisitions or strategic transactions;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and/or net annual recurring revenue, any of which may be (i) measured in absolute terms or compared to any incremental increase, (ii) measured in terms of growth, (iii) compared to another company or companies or to results of a peer group, (iv) measured against the market as a whole and/or as compared to applicable market indices and/or (v)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Participant to Participant.</w:t>
      </w:r>
    </w:p>
    <w:p>
      <w:pPr>
        <w:spacing w:after="0" w:line="175"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u w:val="single" w:color="auto"/>
          <w:color w:val="auto"/>
        </w:rPr>
        <w:t>Calculation of Corporate Performance Goals</w:t>
      </w:r>
      <w:r>
        <w:rPr>
          <w:rFonts w:ascii="Arial" w:cs="Arial" w:eastAsia="Arial" w:hAnsi="Arial"/>
          <w:sz w:val="18"/>
          <w:szCs w:val="18"/>
          <w:color w:val="auto"/>
        </w:rPr>
        <w:t>. At the beginning of each applicable performance period, the Board will determine whether any significant element(s) will be included in or excluded from the calculation of any Corporate Performance Goal with respect to any Participant. In all other respects, Corporate Performance Goals will be calculated in accordance with the Company’s financial statements, generally accepted accounting principles, or under a methodology established by the Board at the beginning of the performance period and which is consistently applied with respect to a Corporate Performance Goal in the relevant performance period.</w:t>
      </w:r>
    </w:p>
    <w:p>
      <w:pPr>
        <w:spacing w:after="0" w:line="188" w:lineRule="exact"/>
        <w:rPr>
          <w:sz w:val="20"/>
          <w:szCs w:val="20"/>
          <w:color w:val="auto"/>
        </w:rPr>
      </w:pPr>
    </w:p>
    <w:p>
      <w:pPr>
        <w:ind w:right="360" w:firstLine="877"/>
        <w:spacing w:after="0" w:line="277" w:lineRule="auto"/>
        <w:rPr>
          <w:sz w:val="20"/>
          <w:szCs w:val="20"/>
          <w:color w:val="auto"/>
        </w:rPr>
      </w:pPr>
      <w:r>
        <w:rPr>
          <w:rFonts w:ascii="Arial" w:cs="Arial" w:eastAsia="Arial" w:hAnsi="Arial"/>
          <w:sz w:val="18"/>
          <w:szCs w:val="18"/>
          <w:u w:val="single" w:color="auto"/>
          <w:color w:val="auto"/>
        </w:rPr>
        <w:t>Target; Minimum; Maximum</w:t>
      </w:r>
      <w:r>
        <w:rPr>
          <w:rFonts w:ascii="Arial" w:cs="Arial" w:eastAsia="Arial" w:hAnsi="Arial"/>
          <w:sz w:val="18"/>
          <w:szCs w:val="18"/>
          <w:color w:val="auto"/>
        </w:rPr>
        <w:t>. Each Corporate Performance Goal shall have a “target” (100 percent attainment of the Corporate Performance Goal) and may also have a “minimum” hurdle and/or a “maximum”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ind w:firstLine="877"/>
        <w:spacing w:after="0" w:line="254" w:lineRule="auto"/>
        <w:rPr>
          <w:sz w:val="20"/>
          <w:szCs w:val="20"/>
          <w:color w:val="auto"/>
        </w:rPr>
      </w:pPr>
      <w:r>
        <w:rPr>
          <w:rFonts w:ascii="Arial" w:cs="Arial" w:eastAsia="Arial" w:hAnsi="Arial"/>
          <w:sz w:val="18"/>
          <w:szCs w:val="18"/>
          <w:u w:val="single" w:color="auto"/>
          <w:color w:val="auto"/>
        </w:rPr>
        <w:t>Bonus Requirements; Individual Goals</w:t>
      </w:r>
      <w:r>
        <w:rPr>
          <w:rFonts w:ascii="Arial" w:cs="Arial" w:eastAsia="Arial" w:hAnsi="Arial"/>
          <w:sz w:val="18"/>
          <w:szCs w:val="18"/>
          <w:color w:val="auto"/>
        </w:rPr>
        <w:t>. Except as otherwise set forth in this Section 4(d): (i) any bonuses paid to Participants under the Incentive Plan shall be based upon objectively determinable bonus formulas that tie such bonuses to one or more performance targets relating to the Corporate Performance Goals, (ii) bonus formulas for Participants shall be adopted in each performance period by the Board and communicated to each Participant at the beginning of each performance period and (iii) no bonuses shall be paid to Participants unless and until the Board makes a determination with respect to the attainment of the performance targets relating to the Corporate Performance Goals. Notwithstanding the foregoing, the Board may adjust bonuses payable under the Incentive Plan based on achievement of one or more individual performance objectives or pay bonuses (including, without limitation, discretionary bonuses) to Participants under the Incentive Plan based on individual performance goals and/or upon such other terms and conditions as the Board may in its discretion determine.</w:t>
      </w:r>
    </w:p>
    <w:p>
      <w:pPr>
        <w:spacing w:after="0" w:line="192"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u w:val="single" w:color="auto"/>
          <w:color w:val="auto"/>
        </w:rPr>
        <w:t>Individual Target, Minimum and Maximum Bonuses</w:t>
      </w:r>
      <w:r>
        <w:rPr>
          <w:rFonts w:ascii="Arial" w:cs="Arial" w:eastAsia="Arial" w:hAnsi="Arial"/>
          <w:sz w:val="18"/>
          <w:szCs w:val="18"/>
          <w:color w:val="auto"/>
        </w:rPr>
        <w:t>. The Board shall establish a target bonus opportunity for each Participant for each performance period. For each Participant, the Board shall have the authority to apportion the target award so that a portion of the target award shall be tied to attainment of Corporate Performance Goals and a portion of the target award shall be tied to attainment of individual performance objectives. The Board may also establish award payouts below or above a Participant’s target bonus opportunity for attainment of Corporate Performance Goals at Minimum or Maximum amounts defined in Section 4(c) above.</w:t>
      </w:r>
    </w:p>
    <w:p>
      <w:pPr>
        <w:spacing w:after="0" w:line="188" w:lineRule="exact"/>
        <w:rPr>
          <w:sz w:val="20"/>
          <w:szCs w:val="20"/>
          <w:color w:val="auto"/>
        </w:rPr>
      </w:pPr>
    </w:p>
    <w:p>
      <w:pPr>
        <w:ind w:right="400" w:firstLine="877"/>
        <w:spacing w:after="0" w:line="259" w:lineRule="auto"/>
        <w:rPr>
          <w:sz w:val="20"/>
          <w:szCs w:val="20"/>
          <w:color w:val="auto"/>
        </w:rPr>
      </w:pPr>
      <w:r>
        <w:rPr>
          <w:rFonts w:ascii="Arial" w:cs="Arial" w:eastAsia="Arial" w:hAnsi="Arial"/>
          <w:sz w:val="18"/>
          <w:szCs w:val="18"/>
          <w:u w:val="single" w:color="auto"/>
          <w:color w:val="auto"/>
        </w:rPr>
        <w:t>Employment Requirement</w:t>
      </w:r>
      <w:r>
        <w:rPr>
          <w:rFonts w:ascii="Arial" w:cs="Arial" w:eastAsia="Arial" w:hAnsi="Arial"/>
          <w:sz w:val="18"/>
          <w:szCs w:val="18"/>
          <w:color w:val="auto"/>
        </w:rPr>
        <w:t>. Subject to any additional terms contained in a written agreement between the Participant and the Company, the payment of a bonus to a Participant with respect to a performance period shall be conditioned upon the Participant’s employment by the Company on the bonus payment date. If a Participant was not employed for an entire performance period, the Board may pro rate the bonus based on the number of days employed during such period.</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Timing of Payment</w:t>
      </w:r>
    </w:p>
    <w:p>
      <w:pPr>
        <w:spacing w:after="0" w:line="225" w:lineRule="exact"/>
        <w:rPr>
          <w:sz w:val="20"/>
          <w:szCs w:val="20"/>
          <w:color w:val="auto"/>
        </w:rPr>
      </w:pPr>
    </w:p>
    <w:p>
      <w:pPr>
        <w:ind w:right="220" w:firstLine="877"/>
        <w:spacing w:after="0" w:line="302" w:lineRule="auto"/>
        <w:rPr>
          <w:sz w:val="20"/>
          <w:szCs w:val="20"/>
          <w:color w:val="auto"/>
        </w:rPr>
      </w:pPr>
      <w:r>
        <w:rPr>
          <w:rFonts w:ascii="Arial" w:cs="Arial" w:eastAsia="Arial" w:hAnsi="Arial"/>
          <w:sz w:val="16"/>
          <w:szCs w:val="16"/>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74 days after the end of the fiscal year in which such performance period ends.</w:t>
      </w:r>
    </w:p>
    <w:p>
      <w:pPr>
        <w:spacing w:after="0" w:line="154"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the avoidance of doubt, bonuses earned at any time in a fiscal year must be paid no later than 74 days after the last day of such fiscal year.</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Amendment and Termination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reserves the right to amend or terminate the Incentive Plan at any time in its sole discretion.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Adopted March 15, 2017.</w:t>
      </w:r>
    </w:p>
    <w:p>
      <w:pPr>
        <w:sectPr>
          <w:pgSz w:w="11900" w:h="16838" w:orient="portrait"/>
          <w:cols w:equalWidth="0" w:num="1">
            <w:col w:w="11420"/>
          </w:cols>
          <w:pgMar w:left="240" w:top="125" w:right="239" w:bottom="1440" w:gutter="0" w:footer="0" w:header="0"/>
        </w:sectPr>
      </w:pPr>
    </w:p>
    <w:bookmarkStart w:id="108" w:name="page109"/>
    <w:bookmarkEnd w:id="108"/>
    <w:p>
      <w:pPr>
        <w:ind w:left="984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20" w:right="340" w:hanging="407"/>
        <w:spacing w:after="0" w:line="291" w:lineRule="auto"/>
        <w:tabs>
          <w:tab w:leader="none" w:pos="8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Registration Statement (Form S-8 No. 333-220057) pertaining to the Aerpio Therapeutics, Inc. 2011 Equity Incentive Plan, Aerpio Pharmaceuticals, Inc. 2017 Stock Option and Incentive Plan, and Aerpio Pharmaceuticals, Inc. 2017 Employee Stock Purchase Plan, and</w:t>
      </w:r>
    </w:p>
    <w:p>
      <w:pPr>
        <w:ind w:left="820" w:hanging="407"/>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S-3 No. 333-223113) of Aerpio Pharmaceuticals, Inc.,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March 15, 2018, with respect to the consolidated financial statements of Aerpio Pharmaceuticals, Inc., included in this Annual Report (Form 10-K)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ectPr>
          <w:pgSz w:w="11900" w:h="16838" w:orient="portrait"/>
          <w:cols w:equalWidth="0" w:num="1">
            <w:col w:w="11020"/>
          </w:cols>
          <w:pgMar w:left="240" w:top="553" w:right="6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Hoffman, certify that:</w:t>
      </w:r>
    </w:p>
    <w:p>
      <w:pPr>
        <w:spacing w:after="0" w:line="225"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Aerpio Pharmaceuticals,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00" w:right="360" w:hanging="592"/>
        <w:spacing w:after="0" w:line="277" w:lineRule="auto"/>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70"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00" w:hanging="598"/>
        <w:spacing w:after="0"/>
        <w:tabs>
          <w:tab w:leader="none" w:pos="1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00" w:right="60" w:hanging="592"/>
        <w:spacing w:after="0" w:line="308" w:lineRule="auto"/>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tabs>
          <w:tab w:leader="none" w:pos="7000" w:val="left"/>
          <w:tab w:leader="none" w:pos="8240" w:val="left"/>
        </w:tabs>
        <w:rPr>
          <w:sz w:val="20"/>
          <w:szCs w:val="20"/>
          <w:color w:val="auto"/>
        </w:rPr>
      </w:pPr>
      <w:r>
        <w:rPr>
          <w:rFonts w:ascii="Arial" w:cs="Arial" w:eastAsia="Arial" w:hAnsi="Arial"/>
          <w:sz w:val="18"/>
          <w:szCs w:val="18"/>
          <w:color w:val="auto"/>
        </w:rPr>
        <w:t>Date: March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850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2585085" cy="8890"/>
                    </a:xfrm>
                    <a:prstGeom prst="rect">
                      <a:avLst/>
                    </a:prstGeom>
                    <a:noFill/>
                  </pic:spPr>
                </pic:pic>
              </a:graphicData>
            </a:graphic>
          </wp:anchor>
        </w:drawing>
      </w:r>
    </w:p>
    <w:p>
      <w:pPr>
        <w:spacing w:after="0" w:line="12"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3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Rogers, certify that:</w:t>
      </w:r>
    </w:p>
    <w:p>
      <w:pPr>
        <w:spacing w:after="0" w:line="225" w:lineRule="exact"/>
        <w:rPr>
          <w:sz w:val="20"/>
          <w:szCs w:val="20"/>
          <w:color w:val="auto"/>
        </w:rPr>
      </w:pPr>
    </w:p>
    <w:p>
      <w:pPr>
        <w:ind w:left="600" w:hanging="59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Aerpio Pharmaceuticals,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00" w:right="360" w:hanging="592"/>
        <w:spacing w:after="0" w:line="277"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29"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200" w:hanging="598"/>
        <w:spacing w:after="0"/>
        <w:tabs>
          <w:tab w:leader="none" w:pos="12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84"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200" w:right="40" w:hanging="598"/>
        <w:spacing w:after="0" w:line="264" w:lineRule="auto"/>
        <w:tabs>
          <w:tab w:leader="none" w:pos="12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00" w:right="60" w:hanging="592"/>
        <w:spacing w:after="0" w:line="308"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100"/>
        <w:spacing w:after="0"/>
        <w:tabs>
          <w:tab w:leader="none" w:pos="4060" w:val="left"/>
          <w:tab w:leader="none" w:pos="7280" w:val="left"/>
        </w:tabs>
        <w:rPr>
          <w:sz w:val="20"/>
          <w:szCs w:val="20"/>
          <w:color w:val="auto"/>
        </w:rPr>
      </w:pPr>
      <w:r>
        <w:rPr>
          <w:rFonts w:ascii="Arial" w:cs="Arial" w:eastAsia="Arial" w:hAnsi="Arial"/>
          <w:sz w:val="18"/>
          <w:szCs w:val="18"/>
          <w:color w:val="auto"/>
        </w:rPr>
        <w:t>Date: March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42964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2"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33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connection with the Annual Report of Aerpio Pharmaceuticals, Inc. (the “Company”) on Form 10-K for the period ending December 31, 2017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5360" w:val="left"/>
          <w:tab w:leader="none" w:pos="7320" w:val="left"/>
        </w:tabs>
        <w:rPr>
          <w:sz w:val="20"/>
          <w:szCs w:val="20"/>
          <w:color w:val="auto"/>
        </w:rPr>
      </w:pPr>
      <w:r>
        <w:rPr>
          <w:rFonts w:ascii="Arial" w:cs="Arial" w:eastAsia="Arial" w:hAnsi="Arial"/>
          <w:sz w:val="18"/>
          <w:szCs w:val="18"/>
          <w:color w:val="auto"/>
        </w:rPr>
        <w:t>Date: March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Stephen Hoffman, M.D., Ph.D.</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3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connection with the Annual Report of Aerpio Pharmaceuticals, Inc. (the “Company”) on Form 10-K for the period ending December 31, 2017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5360" w:val="left"/>
          <w:tab w:leader="none" w:pos="7860" w:val="left"/>
        </w:tabs>
        <w:rPr>
          <w:sz w:val="20"/>
          <w:szCs w:val="20"/>
          <w:color w:val="auto"/>
        </w:rPr>
      </w:pPr>
      <w:r>
        <w:rPr>
          <w:rFonts w:ascii="Arial" w:cs="Arial" w:eastAsia="Arial" w:hAnsi="Arial"/>
          <w:sz w:val="18"/>
          <w:szCs w:val="18"/>
          <w:color w:val="auto"/>
        </w:rPr>
        <w:t>Date: March 15,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Michael Rogers</w:t>
      </w:r>
    </w:p>
    <w:p>
      <w:pPr>
        <w:spacing w:after="0" w:line="2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6"/>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38" Type="http://schemas.openxmlformats.org/officeDocument/2006/relationships/hyperlink" Target="http://www.sec.gov/Archives/edgar/data/0001422142/000121390017002248/f8k030717ex2i_zetaacq.htm" TargetMode="External"/><Relationship Id="rId139" Type="http://schemas.openxmlformats.org/officeDocument/2006/relationships/hyperlink" Target="http://www.sec.gov/Archives/edgar/data/0001422142/000119312517085855/d350384dex31.htm" TargetMode="External"/><Relationship Id="rId140" Type="http://schemas.openxmlformats.org/officeDocument/2006/relationships/hyperlink" Target="http://www.sec.gov/Archives/edgar/data/0001422142/000119312517085855/d350384dex32.htm" TargetMode="External"/><Relationship Id="rId141" Type="http://schemas.openxmlformats.org/officeDocument/2006/relationships/hyperlink" Target="http://www.sec.gov/Archives/edgar/data/0001422142/000119312517085855/d350384dex33.htm" TargetMode="External"/><Relationship Id="rId142" Type="http://schemas.openxmlformats.org/officeDocument/2006/relationships/hyperlink" Target="http://www.sec.gov/Archives/edgar/data/1422142/000119312517124762/d374211dex42.htm" TargetMode="External"/><Relationship Id="rId143" Type="http://schemas.openxmlformats.org/officeDocument/2006/relationships/hyperlink" Target="http://www.sec.gov/Archives/edgar/data/1422142/000119312517085855/d350384dex41.htm" TargetMode="External"/><Relationship Id="rId144" Type="http://schemas.openxmlformats.org/officeDocument/2006/relationships/hyperlink" Target="http://www.sec.gov/Archives/edgar/data/0001422142/000119312517085855/d350384dex101.htm" TargetMode="External"/><Relationship Id="rId145" Type="http://schemas.openxmlformats.org/officeDocument/2006/relationships/hyperlink" Target="http://www.sec.gov/Archives/edgar/data/1422142/000119312517372228/d490988dex101.htm" TargetMode="External"/><Relationship Id="rId146" Type="http://schemas.openxmlformats.org/officeDocument/2006/relationships/hyperlink" Target="http://www.sec.gov/Archives/edgar/data/0001422142/000119312517085855/d350384dex102.htm" TargetMode="External"/><Relationship Id="rId147" Type="http://schemas.openxmlformats.org/officeDocument/2006/relationships/hyperlink" Target="http://www.sec.gov/Archives/edgar/data/0001422142/000119312517085855/d350384dex103.htm" TargetMode="External"/><Relationship Id="rId148" Type="http://schemas.openxmlformats.org/officeDocument/2006/relationships/hyperlink" Target="http://www.sec.gov/Archives/edgar/data/0001422142/000119312517085855/d350384dex104.htm" TargetMode="External"/><Relationship Id="rId149" Type="http://schemas.openxmlformats.org/officeDocument/2006/relationships/hyperlink" Target="http://www.sec.gov/Archives/edgar/data/0001422142/000119312517085855/d350384dex105.htm" TargetMode="External"/><Relationship Id="rId150" Type="http://schemas.openxmlformats.org/officeDocument/2006/relationships/hyperlink" Target="http://www.sec.gov/Archives/edgar/data/0001422142/000119312517085855/d350384dex106.htm" TargetMode="External"/><Relationship Id="rId153" Type="http://schemas.openxmlformats.org/officeDocument/2006/relationships/hyperlink" Target="http://www.sec.gov/Archives/edgar/data/0001422142/000119312517085855/d350384dex107.htm" TargetMode="External"/><Relationship Id="rId154" Type="http://schemas.openxmlformats.org/officeDocument/2006/relationships/hyperlink" Target="http://www.sec.gov/Archives/edgar/data/1422142/000119312517124762/d374211dex108.htm" TargetMode="External"/><Relationship Id="rId155" Type="http://schemas.openxmlformats.org/officeDocument/2006/relationships/hyperlink" Target="http://www.sec.gov/Archives/edgar/data/1422142/000119312517124762/d374211dex109.htm" TargetMode="External"/><Relationship Id="rId156" Type="http://schemas.openxmlformats.org/officeDocument/2006/relationships/hyperlink" Target="http://www.sec.gov/Archives/edgar/data/1422142/000119312517124762/d374211dex1010.htm" TargetMode="External"/><Relationship Id="rId157" Type="http://schemas.openxmlformats.org/officeDocument/2006/relationships/hyperlink" Target="http://www.sec.gov/Archives/edgar/data/1422142/000119312517306571/d467358dex101.htm" TargetMode="External"/><Relationship Id="rId158" Type="http://schemas.openxmlformats.org/officeDocument/2006/relationships/hyperlink" Target="http://www.sec.gov/Archives/edgar/data/1422142/000119312517306571/d467358dex102.htm" TargetMode="External"/><Relationship Id="rId159" Type="http://schemas.openxmlformats.org/officeDocument/2006/relationships/hyperlink" Target="http://www.sec.gov/Archives/edgar/data/1422142/000119312517342647/d484750dex101.htm" TargetMode="External"/><Relationship Id="rId160" Type="http://schemas.openxmlformats.org/officeDocument/2006/relationships/hyperlink" Target="http://www.sec.gov/Archives/edgar/data/1422142/000119312517085855/d350384dex109.htm" TargetMode="External"/><Relationship Id="rId161" Type="http://schemas.openxmlformats.org/officeDocument/2006/relationships/hyperlink" Target="http://www.sec.gov/Archives/edgar/data/1422142/000119312517085855/d35038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2019-12-28T23:12:43Z</dcterms:created>
  <dcterms:modified xsi:type="dcterms:W3CDTF">2019-12-28T23:12:43Z</dcterms:modified>
</cp:coreProperties>
</file>