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52026_110910.xml.htm"/>
      <w:bookmarkStart w:id="1" w:name="ksform409152026_110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Giacobello Scott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Subject to the Reporting Person continuing to be a Service Provider (as defined in the Issuer's 2021 Equity Incentive Plan) through each applicable date, twenty five percent (25%) of the shares subject to the award shall vest on the one-year anniversary of the Vesting Commencement Date, and twenty five percent (25%) of the shares subject to the award shall vest on each of the next three Vesting Commencement Date anniversaries thereafter.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154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784</Words>
  <Characters>4265</Characters>
  <CharactersWithSpaces>4963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