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409575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434340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5" w:lineRule="exact"/>
        <w:rPr>
          <w:sz w:val="24"/>
          <w:szCs w:val="24"/>
          <w:color w:val="auto"/>
        </w:rPr>
      </w:pPr>
    </w:p>
    <w:p>
      <w:pPr>
        <w:ind w:left="360" w:hanging="340"/>
        <w:spacing w:after="0"/>
        <w:tabs>
          <w:tab w:leader="none" w:pos="36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9" w:lineRule="exact"/>
        <w:rPr>
          <w:sz w:val="24"/>
          <w:szCs w:val="24"/>
          <w:color w:val="auto"/>
        </w:rPr>
      </w:pPr>
    </w:p>
    <w:p>
      <w:pPr>
        <w:ind w:left="4820" w:right="3960" w:hanging="4800"/>
        <w:spacing w:after="0" w:line="434" w:lineRule="auto"/>
        <w:tabs>
          <w:tab w:leader="none" w:pos="325"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001-38560</w:t>
      </w:r>
    </w:p>
    <w:p>
      <w:pPr>
        <w:spacing w:after="0" w:line="2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WHITEHAWK THERAPEUTICS, INC.</w:t>
      </w:r>
    </w:p>
    <w:p>
      <w:pPr>
        <w:spacing w:after="0" w:line="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p>
      <w:pPr>
        <w:spacing w:after="0" w:line="82"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3980" w:type="dxa"/>
            <w:vAlign w:val="bottom"/>
            <w:gridSpan w:val="2"/>
          </w:tcPr>
          <w:p>
            <w:pPr>
              <w:jc w:val="center"/>
              <w:ind w:left="159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20" w:type="dxa"/>
            <w:vAlign w:val="bottom"/>
          </w:tcPr>
          <w:p>
            <w:pPr>
              <w:jc w:val="right"/>
              <w:ind w:right="2431"/>
              <w:spacing w:after="0"/>
              <w:rPr>
                <w:sz w:val="20"/>
                <w:szCs w:val="20"/>
                <w:color w:val="auto"/>
              </w:rPr>
            </w:pPr>
            <w:r>
              <w:rPr>
                <w:rFonts w:ascii="Times New Roman" w:cs="Times New Roman" w:eastAsia="Times New Roman" w:hAnsi="Times New Roman"/>
                <w:sz w:val="14"/>
                <w:szCs w:val="14"/>
                <w:b w:val="1"/>
                <w:bCs w:val="1"/>
                <w:color w:val="auto"/>
              </w:rPr>
              <w:t>61-1547850</w:t>
            </w:r>
          </w:p>
        </w:tc>
      </w:tr>
      <w:tr>
        <w:trPr>
          <w:trHeight w:val="153"/>
        </w:trPr>
        <w:tc>
          <w:tcPr>
            <w:tcW w:w="3980" w:type="dxa"/>
            <w:vAlign w:val="bottom"/>
            <w:gridSpan w:val="2"/>
          </w:tcPr>
          <w:p>
            <w:pPr>
              <w:jc w:val="center"/>
              <w:ind w:left="1591"/>
              <w:spacing w:after="0" w:line="153" w:lineRule="exact"/>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tcPr>
          <w:p>
            <w:pPr>
              <w:jc w:val="center"/>
              <w:ind w:right="2051"/>
              <w:spacing w:after="0" w:line="15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0"/>
        </w:trPr>
        <w:tc>
          <w:tcPr>
            <w:tcW w:w="3980" w:type="dxa"/>
            <w:vAlign w:val="bottom"/>
            <w:gridSpan w:val="2"/>
          </w:tcPr>
          <w:p>
            <w:pPr>
              <w:jc w:val="center"/>
              <w:ind w:left="1591"/>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3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20" w:type="dxa"/>
            <w:vAlign w:val="bottom"/>
          </w:tcPr>
          <w:p>
            <w:pPr>
              <w:jc w:val="center"/>
              <w:ind w:right="2051"/>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182"/>
        </w:trPr>
        <w:tc>
          <w:tcPr>
            <w:tcW w:w="7740" w:type="dxa"/>
            <w:vAlign w:val="bottom"/>
            <w:gridSpan w:val="4"/>
          </w:tcPr>
          <w:p>
            <w:pPr>
              <w:jc w:val="center"/>
              <w:ind w:right="2100"/>
              <w:spacing w:after="0"/>
              <w:rPr>
                <w:sz w:val="20"/>
                <w:szCs w:val="20"/>
                <w:color w:val="auto"/>
              </w:rPr>
            </w:pPr>
            <w:r>
              <w:rPr>
                <w:rFonts w:ascii="Times New Roman" w:cs="Times New Roman" w:eastAsia="Times New Roman" w:hAnsi="Times New Roman"/>
                <w:sz w:val="14"/>
                <w:szCs w:val="14"/>
                <w:b w:val="1"/>
                <w:bCs w:val="1"/>
                <w:color w:val="auto"/>
                <w:w w:val="97"/>
              </w:rPr>
              <w:t>2 Headquarters Plaza East Building, 11th Floor, Morristown, NJ</w:t>
            </w:r>
          </w:p>
        </w:tc>
        <w:tc>
          <w:tcPr>
            <w:tcW w:w="3520" w:type="dxa"/>
            <w:vAlign w:val="bottom"/>
          </w:tcPr>
          <w:p>
            <w:pPr>
              <w:jc w:val="right"/>
              <w:ind w:right="2591"/>
              <w:spacing w:after="0"/>
              <w:rPr>
                <w:sz w:val="20"/>
                <w:szCs w:val="20"/>
                <w:color w:val="auto"/>
              </w:rPr>
            </w:pPr>
            <w:r>
              <w:rPr>
                <w:rFonts w:ascii="Times New Roman" w:cs="Times New Roman" w:eastAsia="Times New Roman" w:hAnsi="Times New Roman"/>
                <w:sz w:val="14"/>
                <w:szCs w:val="14"/>
                <w:b w:val="1"/>
                <w:bCs w:val="1"/>
                <w:color w:val="auto"/>
              </w:rPr>
              <w:t>07960</w:t>
            </w:r>
          </w:p>
        </w:tc>
      </w:tr>
      <w:tr>
        <w:trPr>
          <w:trHeight w:val="193"/>
        </w:trPr>
        <w:tc>
          <w:tcPr>
            <w:tcW w:w="3980" w:type="dxa"/>
            <w:vAlign w:val="bottom"/>
            <w:gridSpan w:val="2"/>
          </w:tcPr>
          <w:p>
            <w:pPr>
              <w:jc w:val="center"/>
              <w:ind w:left="1591"/>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tcPr>
          <w:p>
            <w:pPr>
              <w:jc w:val="center"/>
              <w:ind w:right="2051"/>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72"/>
        </w:trPr>
        <w:tc>
          <w:tcPr>
            <w:tcW w:w="7740" w:type="dxa"/>
            <w:vAlign w:val="bottom"/>
            <w:gridSpan w:val="4"/>
          </w:tcPr>
          <w:p>
            <w:pPr>
              <w:jc w:val="center"/>
              <w:ind w:left="3451"/>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 (551) 321-2234</w:t>
            </w:r>
          </w:p>
        </w:tc>
        <w:tc>
          <w:tcPr>
            <w:tcW w:w="3520" w:type="dxa"/>
            <w:vAlign w:val="bottom"/>
          </w:tcPr>
          <w:p>
            <w:pPr>
              <w:spacing w:after="0"/>
              <w:rPr>
                <w:sz w:val="23"/>
                <w:szCs w:val="23"/>
                <w:color w:val="auto"/>
              </w:rPr>
            </w:pPr>
          </w:p>
        </w:tc>
      </w:tr>
      <w:tr>
        <w:trPr>
          <w:trHeight w:val="178"/>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40" w:type="dxa"/>
            <w:vAlign w:val="bottom"/>
          </w:tcPr>
          <w:p>
            <w:pPr>
              <w:jc w:val="center"/>
              <w:ind w:right="171"/>
              <w:spacing w:after="0"/>
              <w:rPr>
                <w:sz w:val="20"/>
                <w:szCs w:val="20"/>
                <w:color w:val="auto"/>
              </w:rPr>
            </w:pPr>
            <w:r>
              <w:rPr>
                <w:rFonts w:ascii="Times New Roman" w:cs="Times New Roman" w:eastAsia="Times New Roman" w:hAnsi="Times New Roman"/>
                <w:sz w:val="14"/>
                <w:szCs w:val="14"/>
                <w:color w:val="auto"/>
                <w:w w:val="97"/>
              </w:rPr>
              <w:t>_______________________________________________</w:t>
            </w:r>
          </w:p>
        </w:tc>
        <w:tc>
          <w:tcPr>
            <w:tcW w:w="22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232"/>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100"/>
        </w:trPr>
        <w:tc>
          <w:tcPr>
            <w:tcW w:w="3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r>
      <w:tr>
        <w:trPr>
          <w:trHeight w:val="17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00" w:type="dxa"/>
            <w:vAlign w:val="bottom"/>
            <w:tcBorders>
              <w:bottom w:val="single" w:sz="8" w:color="auto"/>
            </w:tcBorders>
          </w:tcPr>
          <w:p>
            <w:pPr>
              <w:spacing w:after="0"/>
              <w:rPr>
                <w:sz w:val="15"/>
                <w:szCs w:val="15"/>
                <w:color w:val="auto"/>
              </w:rPr>
            </w:pPr>
          </w:p>
        </w:tc>
        <w:tc>
          <w:tcPr>
            <w:tcW w:w="3540" w:type="dxa"/>
            <w:vAlign w:val="bottom"/>
            <w:tcBorders>
              <w:bottom w:val="single" w:sz="8" w:color="auto"/>
              <w:right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color w:val="auto"/>
                <w:w w:val="96"/>
              </w:rPr>
              <w:t>Trading Symbol(s)</w:t>
            </w:r>
          </w:p>
        </w:tc>
        <w:tc>
          <w:tcPr>
            <w:tcW w:w="220" w:type="dxa"/>
            <w:vAlign w:val="bottom"/>
            <w:tcBorders>
              <w:bottom w:val="single" w:sz="8" w:color="auto"/>
            </w:tcBorders>
          </w:tcPr>
          <w:p>
            <w:pPr>
              <w:spacing w:after="0"/>
              <w:rPr>
                <w:sz w:val="15"/>
                <w:szCs w:val="15"/>
                <w:color w:val="auto"/>
              </w:rPr>
            </w:pPr>
          </w:p>
        </w:tc>
        <w:tc>
          <w:tcPr>
            <w:tcW w:w="3520" w:type="dxa"/>
            <w:vAlign w:val="bottom"/>
            <w:tcBorders>
              <w:bottom w:val="single" w:sz="8" w:color="auto"/>
              <w:right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color w:val="auto"/>
                <w:w w:val="98"/>
              </w:rPr>
              <w:t>Name of each exchange on which registered</w:t>
            </w:r>
          </w:p>
        </w:tc>
      </w:tr>
      <w:tr>
        <w:trPr>
          <w:trHeight w:val="186"/>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Common stock, $0.0001 par value per share</w:t>
            </w:r>
          </w:p>
        </w:tc>
        <w:tc>
          <w:tcPr>
            <w:tcW w:w="200" w:type="dxa"/>
            <w:vAlign w:val="bottom"/>
            <w:tcBorders>
              <w:bottom w:val="single" w:sz="8" w:color="auto"/>
            </w:tcBorders>
          </w:tcPr>
          <w:p>
            <w:pPr>
              <w:spacing w:after="0"/>
              <w:rPr>
                <w:sz w:val="16"/>
                <w:szCs w:val="16"/>
                <w:color w:val="auto"/>
              </w:rPr>
            </w:pPr>
          </w:p>
        </w:tc>
        <w:tc>
          <w:tcPr>
            <w:tcW w:w="3540" w:type="dxa"/>
            <w:vAlign w:val="bottom"/>
            <w:tcBorders>
              <w:bottom w:val="single" w:sz="8" w:color="auto"/>
              <w:right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color w:val="auto"/>
                <w:w w:val="98"/>
              </w:rPr>
              <w:t>WHWK</w:t>
            </w:r>
          </w:p>
        </w:tc>
        <w:tc>
          <w:tcPr>
            <w:tcW w:w="220" w:type="dxa"/>
            <w:vAlign w:val="bottom"/>
            <w:tcBorders>
              <w:bottom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color w:val="auto"/>
                <w:w w:val="97"/>
              </w:rPr>
              <w:t>The Nasdaq Stock Market LLC</w:t>
            </w:r>
          </w:p>
        </w:tc>
      </w:tr>
    </w:tbl>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88" w:lineRule="exact"/>
        <w:rPr>
          <w:sz w:val="24"/>
          <w:szCs w:val="24"/>
          <w:color w:val="auto"/>
        </w:rPr>
      </w:pPr>
    </w:p>
    <w:p>
      <w:pPr>
        <w:ind w:right="4040"/>
        <w:spacing w:after="0" w:line="382"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 w:lineRule="exact"/>
        <w:rPr>
          <w:sz w:val="24"/>
          <w:szCs w:val="24"/>
          <w:color w:val="auto"/>
        </w:rPr>
      </w:pPr>
    </w:p>
    <w:p>
      <w:pPr>
        <w:ind w:right="40"/>
        <w:spacing w:after="0" w:line="29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8" w:lineRule="exact"/>
        <w:rPr>
          <w:sz w:val="24"/>
          <w:szCs w:val="24"/>
          <w:color w:val="auto"/>
        </w:rPr>
      </w:pPr>
    </w:p>
    <w:p>
      <w:pPr>
        <w:ind w:right="40"/>
        <w:spacing w:after="0" w:line="29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8" w:lineRule="exact"/>
        <w:rPr>
          <w:sz w:val="24"/>
          <w:szCs w:val="24"/>
          <w:color w:val="auto"/>
        </w:rPr>
      </w:pPr>
    </w:p>
    <w:p>
      <w:pPr>
        <w:ind w:right="180"/>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6" w:right="319" w:bottom="1440" w:gutter="0" w:footer="0" w:header="0"/>
        </w:sectPr>
      </w:pPr>
    </w:p>
    <w:p>
      <w:pPr>
        <w:spacing w:after="0" w:line="6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00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446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Accelerated filer</w:t>
            </w:r>
          </w:p>
        </w:tc>
        <w:tc>
          <w:tcPr>
            <w:tcW w:w="1240" w:type="dxa"/>
            <w:vAlign w:val="bottom"/>
          </w:tcPr>
          <w:p>
            <w:pPr>
              <w:jc w:val="right"/>
              <w:spacing w:after="0"/>
              <w:rPr>
                <w:sz w:val="20"/>
                <w:szCs w:val="20"/>
                <w:color w:val="auto"/>
              </w:rPr>
            </w:pPr>
            <w:r>
              <w:rPr>
                <w:rFonts w:ascii="Wingdings" w:cs="Wingdings" w:eastAsia="Wingdings" w:hAnsi="Wingdings"/>
                <w:sz w:val="14"/>
                <w:szCs w:val="14"/>
                <w:b w:val="1"/>
                <w:bCs w:val="1"/>
                <w:color w:val="auto"/>
              </w:rPr>
              <w:t>o</w:t>
            </w:r>
          </w:p>
        </w:tc>
      </w:tr>
      <w:tr>
        <w:trPr>
          <w:trHeight w:val="193"/>
        </w:trPr>
        <w:tc>
          <w:tcPr>
            <w:tcW w:w="2000" w:type="dxa"/>
            <w:vAlign w:val="bottom"/>
          </w:tcPr>
          <w:p>
            <w:pPr>
              <w:spacing w:after="0"/>
              <w:rPr>
                <w:sz w:val="20"/>
                <w:szCs w:val="20"/>
                <w:color w:val="auto"/>
              </w:rPr>
            </w:pPr>
            <w:r>
              <w:rPr>
                <w:rFonts w:ascii="Wingdings" w:cs="Wingdings" w:eastAsia="Wingdings" w:hAnsi="Wingdings"/>
                <w:sz w:val="14"/>
                <w:szCs w:val="14"/>
                <w:b w:val="1"/>
                <w:bCs w:val="1"/>
                <w:color w:val="auto"/>
              </w:rPr>
              <w:t>x</w:t>
            </w:r>
          </w:p>
        </w:tc>
        <w:tc>
          <w:tcPr>
            <w:tcW w:w="446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40" w:type="dxa"/>
            <w:vAlign w:val="bottom"/>
          </w:tcPr>
          <w:p>
            <w:pPr>
              <w:jc w:val="right"/>
              <w:spacing w:after="0"/>
              <w:rPr>
                <w:sz w:val="20"/>
                <w:szCs w:val="20"/>
                <w:color w:val="auto"/>
              </w:rPr>
            </w:pPr>
            <w:r>
              <w:rPr>
                <w:rFonts w:ascii="Wingdings" w:cs="Wingdings" w:eastAsia="Wingdings" w:hAnsi="Wingdings"/>
                <w:sz w:val="14"/>
                <w:szCs w:val="14"/>
                <w:b w:val="1"/>
                <w:bCs w:val="1"/>
                <w:color w:val="auto"/>
              </w:rPr>
              <w:t>x</w:t>
            </w:r>
          </w:p>
        </w:tc>
      </w:tr>
      <w:tr>
        <w:trPr>
          <w:trHeight w:val="192"/>
        </w:trPr>
        <w:tc>
          <w:tcPr>
            <w:tcW w:w="200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446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158" w:lineRule="exact"/>
        <w:rPr>
          <w:sz w:val="24"/>
          <w:szCs w:val="24"/>
          <w:color w:val="auto"/>
        </w:rPr>
      </w:pPr>
    </w:p>
    <w:p>
      <w:pPr>
        <w:sectPr>
          <w:pgSz w:w="11900" w:h="16838" w:orient="portrait"/>
          <w:cols w:equalWidth="0" w:num="2">
            <w:col w:w="2800" w:space="720"/>
            <w:col w:w="7740"/>
          </w:cols>
          <w:pgMar w:left="320" w:top="226" w:right="319" w:bottom="1440" w:gutter="0" w:footer="0" w:header="0"/>
          <w:type w:val="continuous"/>
        </w:sectPr>
      </w:pPr>
    </w:p>
    <w:p>
      <w:pPr>
        <w:ind w:right="540"/>
        <w:spacing w:after="0" w:line="29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8" w:lineRule="exact"/>
        <w:rPr>
          <w:sz w:val="24"/>
          <w:szCs w:val="24"/>
          <w:color w:val="auto"/>
        </w:rPr>
      </w:pPr>
    </w:p>
    <w:p>
      <w:pPr>
        <w:ind w:right="40"/>
        <w:spacing w:after="0" w:line="29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o</w:t>
      </w:r>
    </w:p>
    <w:p>
      <w:pPr>
        <w:spacing w:after="0" w:line="18" w:lineRule="exact"/>
        <w:rPr>
          <w:sz w:val="24"/>
          <w:szCs w:val="24"/>
          <w:color w:val="auto"/>
        </w:rPr>
      </w:pPr>
    </w:p>
    <w:p>
      <w:pPr>
        <w:ind w:right="40"/>
        <w:spacing w:after="0" w:line="294"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85" w:lineRule="exact"/>
        <w:rPr>
          <w:sz w:val="24"/>
          <w:szCs w:val="24"/>
          <w:color w:val="auto"/>
        </w:rPr>
      </w:pPr>
    </w:p>
    <w:p>
      <w:pPr>
        <w:ind w:right="360"/>
        <w:spacing w:after="0" w:line="275"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71" w:lineRule="exact"/>
        <w:rPr>
          <w:sz w:val="24"/>
          <w:szCs w:val="24"/>
          <w:color w:val="auto"/>
        </w:rPr>
      </w:pPr>
    </w:p>
    <w:p>
      <w:pPr>
        <w:ind w:right="120"/>
        <w:spacing w:after="0" w:line="275"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shares of common stock on The NASDAQ Stock Market on June 30, 2024 was approximately $24.4 million.</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24, 2025 was 46,784,618.</w:t>
      </w:r>
    </w:p>
    <w:p>
      <w:pPr>
        <w:spacing w:after="0" w:line="6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7" w:lineRule="exact"/>
        <w:rPr>
          <w:sz w:val="24"/>
          <w:szCs w:val="24"/>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2025 Annual Meeting of Stockholders to be filed with the Securities and Exchange Commission pursuant to Regulation 14A not later than 120 days after the end of the fiscal year covered by this Annual Report on Form 10-K are incorporated herein by reference in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706120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73025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97155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780" w:type="dxa"/>
            <w:vAlign w:val="bottom"/>
            <w:gridSpan w:val="9"/>
          </w:tcPr>
          <w:p>
            <w:pPr>
              <w:jc w:val="center"/>
              <w:ind w:right="366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3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Item 1.</w:t>
            </w:r>
          </w:p>
        </w:tc>
        <w:tc>
          <w:tcPr>
            <w:tcW w:w="620" w:type="dxa"/>
            <w:vAlign w:val="bottom"/>
            <w:tcBorders>
              <w:bottom w:val="single" w:sz="8" w:color="0000FF"/>
            </w:tcBorders>
          </w:tcPr>
          <w:p>
            <w:pPr>
              <w:spacing w:after="0" w:line="184" w:lineRule="exact"/>
              <w:rPr>
                <w:sz w:val="20"/>
                <w:szCs w:val="20"/>
                <w:color w:val="auto"/>
              </w:rPr>
            </w:pPr>
            <w:r>
              <w:rPr>
                <w:rFonts w:ascii="Times New Roman" w:cs="Times New Roman" w:eastAsia="Times New Roman" w:hAnsi="Times New Roman"/>
                <w:sz w:val="17"/>
                <w:szCs w:val="17"/>
                <w:color w:val="0000FF"/>
                <w:w w:val="99"/>
              </w:rPr>
              <w:t>Business</w:t>
            </w:r>
          </w:p>
        </w:tc>
        <w:tc>
          <w:tcPr>
            <w:tcW w:w="8340" w:type="dxa"/>
            <w:vAlign w:val="bottom"/>
            <w:gridSpan w:val="22"/>
          </w:tcPr>
          <w:p>
            <w:pPr>
              <w:spacing w:after="0"/>
              <w:rPr>
                <w:sz w:val="15"/>
                <w:szCs w:val="15"/>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1A.</w:t>
            </w:r>
          </w:p>
        </w:tc>
        <w:tc>
          <w:tcPr>
            <w:tcW w:w="89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1B.</w:t>
            </w:r>
          </w:p>
        </w:tc>
        <w:tc>
          <w:tcPr>
            <w:tcW w:w="1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7000" w:type="dxa"/>
            <w:vAlign w:val="bottom"/>
            <w:gridSpan w:val="12"/>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1C.</w:t>
            </w:r>
          </w:p>
        </w:tc>
        <w:tc>
          <w:tcPr>
            <w:tcW w:w="89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2.</w:t>
            </w:r>
          </w:p>
        </w:tc>
        <w:tc>
          <w:tcPr>
            <w:tcW w:w="9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8000" w:type="dxa"/>
            <w:vAlign w:val="bottom"/>
            <w:gridSpan w:val="18"/>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3.</w:t>
            </w:r>
          </w:p>
        </w:tc>
        <w:tc>
          <w:tcPr>
            <w:tcW w:w="1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9"/>
              </w:rPr>
              <w:t>Legal Proceedings</w:t>
            </w:r>
          </w:p>
        </w:tc>
        <w:tc>
          <w:tcPr>
            <w:tcW w:w="7680" w:type="dxa"/>
            <w:vAlign w:val="bottom"/>
            <w:gridSpan w:val="16"/>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4.</w:t>
            </w:r>
          </w:p>
        </w:tc>
        <w:tc>
          <w:tcPr>
            <w:tcW w:w="89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6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3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Item 5.</w:t>
            </w:r>
          </w:p>
        </w:tc>
        <w:tc>
          <w:tcPr>
            <w:tcW w:w="8960" w:type="dxa"/>
            <w:vAlign w:val="bottom"/>
            <w:gridSpan w:val="23"/>
          </w:tcPr>
          <w:p>
            <w:pPr>
              <w:spacing w:after="0" w:line="184" w:lineRule="exact"/>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38"/>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6.</w:t>
            </w:r>
          </w:p>
        </w:tc>
        <w:tc>
          <w:tcPr>
            <w:tcW w:w="7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9"/>
              </w:rPr>
              <w:t>[Reserved]</w:t>
            </w:r>
          </w:p>
        </w:tc>
        <w:tc>
          <w:tcPr>
            <w:tcW w:w="6940" w:type="dxa"/>
            <w:vAlign w:val="bottom"/>
            <w:tcBorders>
              <w:top w:val="single" w:sz="8" w:color="0000FF"/>
            </w:tcBorders>
            <w:gridSpan w:val="19"/>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7.</w:t>
            </w:r>
          </w:p>
        </w:tc>
        <w:tc>
          <w:tcPr>
            <w:tcW w:w="89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7A.</w:t>
            </w:r>
          </w:p>
        </w:tc>
        <w:tc>
          <w:tcPr>
            <w:tcW w:w="61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800" w:type="dxa"/>
            <w:vAlign w:val="bottom"/>
            <w:gridSpan w:val="4"/>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8.</w:t>
            </w:r>
          </w:p>
        </w:tc>
        <w:tc>
          <w:tcPr>
            <w:tcW w:w="31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980" w:type="dxa"/>
            <w:vAlign w:val="bottom"/>
            <w:tcBorders>
              <w:top w:val="single" w:sz="8" w:color="0000FF"/>
            </w:tcBorders>
            <w:gridSpan w:val="2"/>
          </w:tcPr>
          <w:p>
            <w:pPr>
              <w:spacing w:after="0"/>
              <w:rPr>
                <w:sz w:val="17"/>
                <w:szCs w:val="17"/>
                <w:color w:val="auto"/>
              </w:rPr>
            </w:pPr>
          </w:p>
        </w:tc>
        <w:tc>
          <w:tcPr>
            <w:tcW w:w="4800" w:type="dxa"/>
            <w:vAlign w:val="bottom"/>
            <w:gridSpan w:val="7"/>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9.</w:t>
            </w:r>
          </w:p>
        </w:tc>
        <w:tc>
          <w:tcPr>
            <w:tcW w:w="89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9A.</w:t>
            </w:r>
          </w:p>
        </w:tc>
        <w:tc>
          <w:tcPr>
            <w:tcW w:w="17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4480" w:type="dxa"/>
            <w:vAlign w:val="bottom"/>
            <w:tcBorders>
              <w:top w:val="single" w:sz="8" w:color="0000FF"/>
            </w:tcBorders>
            <w:gridSpan w:val="11"/>
          </w:tcPr>
          <w:p>
            <w:pPr>
              <w:spacing w:after="0"/>
              <w:rPr>
                <w:sz w:val="17"/>
                <w:szCs w:val="17"/>
                <w:color w:val="auto"/>
              </w:rPr>
            </w:pPr>
          </w:p>
        </w:tc>
        <w:tc>
          <w:tcPr>
            <w:tcW w:w="2780" w:type="dxa"/>
            <w:vAlign w:val="bottom"/>
            <w:gridSpan w:val="3"/>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9B.</w:t>
            </w:r>
          </w:p>
        </w:tc>
        <w:tc>
          <w:tcPr>
            <w:tcW w:w="12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9"/>
              </w:rPr>
              <w:t>Other Information</w:t>
            </w:r>
          </w:p>
        </w:tc>
        <w:tc>
          <w:tcPr>
            <w:tcW w:w="7700" w:type="dxa"/>
            <w:vAlign w:val="bottom"/>
            <w:gridSpan w:val="17"/>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9C.</w:t>
            </w:r>
          </w:p>
        </w:tc>
        <w:tc>
          <w:tcPr>
            <w:tcW w:w="89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6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7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3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Item 10.</w:t>
            </w:r>
          </w:p>
        </w:tc>
        <w:tc>
          <w:tcPr>
            <w:tcW w:w="8960" w:type="dxa"/>
            <w:vAlign w:val="bottom"/>
            <w:gridSpan w:val="23"/>
          </w:tcPr>
          <w:p>
            <w:pPr>
              <w:spacing w:after="0" w:line="184"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11.</w:t>
            </w:r>
          </w:p>
        </w:tc>
        <w:tc>
          <w:tcPr>
            <w:tcW w:w="39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5060" w:type="dxa"/>
            <w:vAlign w:val="bottom"/>
            <w:gridSpan w:val="8"/>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12.</w:t>
            </w:r>
          </w:p>
        </w:tc>
        <w:tc>
          <w:tcPr>
            <w:tcW w:w="69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2000" w:type="dxa"/>
            <w:vAlign w:val="bottom"/>
            <w:gridSpan w:val="2"/>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13</w:t>
            </w:r>
          </w:p>
        </w:tc>
        <w:tc>
          <w:tcPr>
            <w:tcW w:w="89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14</w:t>
            </w:r>
          </w:p>
        </w:tc>
        <w:tc>
          <w:tcPr>
            <w:tcW w:w="52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3760" w:type="dxa"/>
            <w:vAlign w:val="bottom"/>
            <w:gridSpan w:val="5"/>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6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3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Item 15.</w:t>
            </w:r>
          </w:p>
        </w:tc>
        <w:tc>
          <w:tcPr>
            <w:tcW w:w="3020" w:type="dxa"/>
            <w:vAlign w:val="bottom"/>
            <w:tcBorders>
              <w:bottom w:val="single" w:sz="8" w:color="0000FF"/>
            </w:tcBorders>
            <w:gridSpan w:val="13"/>
          </w:tcPr>
          <w:p>
            <w:pPr>
              <w:spacing w:after="0" w:line="184" w:lineRule="exact"/>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5940" w:type="dxa"/>
            <w:vAlign w:val="bottom"/>
            <w:gridSpan w:val="10"/>
          </w:tcPr>
          <w:p>
            <w:pPr>
              <w:spacing w:after="0"/>
              <w:rPr>
                <w:sz w:val="15"/>
                <w:szCs w:val="15"/>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199"/>
        </w:trPr>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16.</w:t>
            </w:r>
          </w:p>
        </w:tc>
        <w:tc>
          <w:tcPr>
            <w:tcW w:w="89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Form of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882"/>
        </w:trPr>
        <w:tc>
          <w:tcPr>
            <w:tcW w:w="1380" w:type="dxa"/>
            <w:vAlign w:val="bottom"/>
          </w:tcPr>
          <w:p>
            <w:pPr>
              <w:spacing w:after="0"/>
              <w:rPr>
                <w:sz w:val="24"/>
                <w:szCs w:val="24"/>
                <w:color w:val="auto"/>
              </w:rPr>
            </w:pPr>
          </w:p>
        </w:tc>
        <w:tc>
          <w:tcPr>
            <w:tcW w:w="1660" w:type="dxa"/>
            <w:vAlign w:val="bottom"/>
            <w:tcBorders>
              <w:top w:val="single" w:sz="8" w:color="0000FF"/>
            </w:tcBorders>
            <w:gridSpan w:val="8"/>
          </w:tcPr>
          <w:p>
            <w:pPr>
              <w:spacing w:after="0"/>
              <w:rPr>
                <w:sz w:val="24"/>
                <w:szCs w:val="24"/>
                <w:color w:val="auto"/>
              </w:rPr>
            </w:pPr>
          </w:p>
        </w:tc>
        <w:tc>
          <w:tcPr>
            <w:tcW w:w="2940" w:type="dxa"/>
            <w:vAlign w:val="bottom"/>
            <w:gridSpan w:val="9"/>
          </w:tcPr>
          <w:p>
            <w:pPr>
              <w:jc w:val="right"/>
              <w:ind w:right="320"/>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Annual Report on Form 10-K (“Annual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Annual Report include, but are not limited to, statements regarding:</w:t>
      </w:r>
    </w:p>
    <w:p>
      <w:pPr>
        <w:spacing w:after="0" w:line="74" w:lineRule="exact"/>
        <w:rPr>
          <w:sz w:val="20"/>
          <w:szCs w:val="20"/>
          <w:color w:val="auto"/>
        </w:rPr>
      </w:pPr>
    </w:p>
    <w:p>
      <w:pPr>
        <w:jc w:val="both"/>
        <w:ind w:left="940" w:hanging="473"/>
        <w:spacing w:after="0" w:line="269"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expenses, capital requirements, needs for additional financing and the period over which we anticipate our existing cash and cash equivalents will be sufficient to fund our operating expenses and capital expenditure requirements, including our belief that, based on our current plans, our existing cash, cash equivalents and short-term investments will enable us to conduct our planned operations into 2028;</w:t>
      </w:r>
    </w:p>
    <w:p>
      <w:pPr>
        <w:spacing w:after="0" w:line="63" w:lineRule="exact"/>
        <w:rPr>
          <w:rFonts w:ascii="Times New Roman" w:cs="Times New Roman" w:eastAsia="Times New Roman" w:hAnsi="Times New Roman"/>
          <w:sz w:val="17"/>
          <w:szCs w:val="17"/>
          <w:color w:val="auto"/>
        </w:rPr>
      </w:pPr>
    </w:p>
    <w:p>
      <w:pPr>
        <w:jc w:val="both"/>
        <w:ind w:left="940" w:hanging="473"/>
        <w:spacing w:after="0" w:line="269"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regulatory approval for our portfolio of three next generation antibody drug conjugates (the “ADC Therapies”) or any other product candidates we may develop in the future, and any related restrictions, limitations or warnings in the label of an approved product candidate;</w:t>
      </w:r>
    </w:p>
    <w:p>
      <w:pPr>
        <w:spacing w:after="0" w:line="63" w:lineRule="exact"/>
        <w:rPr>
          <w:rFonts w:ascii="Times New Roman" w:cs="Times New Roman" w:eastAsia="Times New Roman" w:hAnsi="Times New Roman"/>
          <w:sz w:val="17"/>
          <w:szCs w:val="17"/>
          <w:color w:val="auto"/>
        </w:rPr>
      </w:pPr>
    </w:p>
    <w:p>
      <w:pPr>
        <w:jc w:val="both"/>
        <w:ind w:left="940" w:hanging="473"/>
        <w:spacing w:after="0" w:line="264"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progress and results of preclinical studies and clinical trials for our programs and product candidates (including our anticipated timing of submitting three investigational new drug (“IND”) applications for the ADC Therapies with the U.S. Food and Drug Administration in the coming 12 to 24 months),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timing of releasing data for current or future clinical trials;</w:t>
      </w:r>
    </w:p>
    <w:p>
      <w:pPr>
        <w:spacing w:after="0" w:line="113" w:lineRule="exact"/>
        <w:rPr>
          <w:rFonts w:ascii="Times New Roman" w:cs="Times New Roman" w:eastAsia="Times New Roman" w:hAnsi="Times New Roman"/>
          <w:sz w:val="17"/>
          <w:szCs w:val="17"/>
          <w:color w:val="auto"/>
        </w:rPr>
      </w:pPr>
    </w:p>
    <w:p>
      <w:pPr>
        <w:ind w:left="940" w:hanging="473"/>
        <w:spacing w:after="0" w:line="28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timing of commencement, enrollment, and completion of any current or future clinical trials for the ADC Therapies or any other product candidates we may develop;</w:t>
      </w:r>
    </w:p>
    <w:p>
      <w:pPr>
        <w:spacing w:after="0" w:line="49" w:lineRule="exact"/>
        <w:rPr>
          <w:rFonts w:ascii="Times New Roman" w:cs="Times New Roman" w:eastAsia="Times New Roman" w:hAnsi="Times New Roman"/>
          <w:sz w:val="17"/>
          <w:szCs w:val="17"/>
          <w:color w:val="auto"/>
        </w:rPr>
      </w:pPr>
    </w:p>
    <w:p>
      <w:pPr>
        <w:ind w:left="940" w:hanging="473"/>
        <w:spacing w:after="0" w:line="28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belief that, with the three ADC Therapies, we have the ability to pursue multiple cancer indications with high potential in large addressable patient populations, including and beyond those indications currently expected to be targeted in the upcoming Phase 1 trials;</w:t>
      </w:r>
    </w:p>
    <w:p>
      <w:pPr>
        <w:spacing w:after="0" w:line="49" w:lineRule="exact"/>
        <w:rPr>
          <w:rFonts w:ascii="Times New Roman" w:cs="Times New Roman" w:eastAsia="Times New Roman" w:hAnsi="Times New Roman"/>
          <w:sz w:val="17"/>
          <w:szCs w:val="17"/>
          <w:color w:val="auto"/>
        </w:rPr>
      </w:pPr>
    </w:p>
    <w:p>
      <w:pPr>
        <w:ind w:left="940" w:hanging="473"/>
        <w:spacing w:after="0" w:line="28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belief that the ADC Therapies will be able to target cancers expressing specified tumor markers precisely and deliver the potent, cytotoxic Topoisomerase I (TOPO1) inhibitor at the site of cancer;</w:t>
      </w:r>
    </w:p>
    <w:p>
      <w:pPr>
        <w:spacing w:after="0" w:line="49" w:lineRule="exact"/>
        <w:rPr>
          <w:rFonts w:ascii="Times New Roman" w:cs="Times New Roman" w:eastAsia="Times New Roman" w:hAnsi="Times New Roman"/>
          <w:sz w:val="17"/>
          <w:szCs w:val="17"/>
          <w:color w:val="auto"/>
        </w:rPr>
      </w:pPr>
    </w:p>
    <w:p>
      <w:pPr>
        <w:jc w:val="both"/>
        <w:ind w:left="940" w:hanging="473"/>
        <w:spacing w:after="0" w:line="269"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view that we are positioned to unlock the high potential of the ADC Therapies due to our track record of strong execution of novel drug formulation, research, clinical development, and commercialization in oncology, combined with our deep understanding of antibody drug conjugates (ADCs);</w:t>
      </w:r>
    </w:p>
    <w:p>
      <w:pPr>
        <w:spacing w:after="0" w:line="63" w:lineRule="exact"/>
        <w:rPr>
          <w:rFonts w:ascii="Times New Roman" w:cs="Times New Roman" w:eastAsia="Times New Roman" w:hAnsi="Times New Roman"/>
          <w:sz w:val="17"/>
          <w:szCs w:val="17"/>
          <w:color w:val="auto"/>
        </w:rPr>
      </w:pPr>
    </w:p>
    <w:p>
      <w:pPr>
        <w:ind w:left="940" w:hanging="473"/>
        <w:spacing w:after="0" w:line="28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belief that our team is well positioned to execute on our strategy to develop and, if approved, commercialize the ADC Therapies and future pipeline assets to ultimately bring broad benefit to cancer patients worldwide;</w:t>
      </w:r>
    </w:p>
    <w:p>
      <w:pPr>
        <w:spacing w:after="0" w:line="49"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manufacturing capabilities and strategy;</w:t>
      </w:r>
    </w:p>
    <w:p>
      <w:pPr>
        <w:spacing w:after="0" w:line="113" w:lineRule="exact"/>
        <w:rPr>
          <w:rFonts w:ascii="Times New Roman" w:cs="Times New Roman" w:eastAsia="Times New Roman" w:hAnsi="Times New Roman"/>
          <w:sz w:val="17"/>
          <w:szCs w:val="17"/>
          <w:color w:val="auto"/>
        </w:rPr>
      </w:pPr>
    </w:p>
    <w:p>
      <w:pPr>
        <w:ind w:left="940" w:hanging="473"/>
        <w:spacing w:after="0" w:line="28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expectations regarding the beneficial characteristics, safety, efficacy and therapeutic effects of the ADC Therapies and any other product candidates that we may develop;</w:t>
      </w:r>
    </w:p>
    <w:p>
      <w:pPr>
        <w:spacing w:after="0" w:line="49"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our business model and our strategic plans for our business;</w:t>
      </w:r>
    </w:p>
    <w:p>
      <w:pPr>
        <w:spacing w:after="0" w:line="113" w:lineRule="exact"/>
        <w:rPr>
          <w:rFonts w:ascii="Times New Roman" w:cs="Times New Roman" w:eastAsia="Times New Roman" w:hAnsi="Times New Roman"/>
          <w:sz w:val="17"/>
          <w:szCs w:val="17"/>
          <w:color w:val="auto"/>
        </w:rPr>
      </w:pPr>
    </w:p>
    <w:p>
      <w:pPr>
        <w:ind w:left="940" w:hanging="473"/>
        <w:spacing w:after="0" w:line="28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contract with and rely on third parties to assist in conducting our clinical trials and manufacturing the ADC Therapies and any other product candidates we may develop in the future;</w:t>
      </w:r>
    </w:p>
    <w:p>
      <w:pPr>
        <w:spacing w:after="0" w:line="49" w:lineRule="exact"/>
        <w:rPr>
          <w:rFonts w:ascii="Times New Roman" w:cs="Times New Roman" w:eastAsia="Times New Roman" w:hAnsi="Times New Roman"/>
          <w:sz w:val="17"/>
          <w:szCs w:val="17"/>
          <w:color w:val="auto"/>
        </w:rPr>
      </w:pPr>
    </w:p>
    <w:p>
      <w:pPr>
        <w:ind w:left="940" w:hanging="473"/>
        <w:spacing w:after="0" w:line="28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growth potential of the markets for the ADC Therapies and any other product candidates we may develop, if approved, and our ability to serve those markets, either alone or in partnership with others;</w:t>
      </w:r>
    </w:p>
    <w:p>
      <w:pPr>
        <w:spacing w:after="0" w:line="49" w:lineRule="exact"/>
        <w:rPr>
          <w:rFonts w:ascii="Times New Roman" w:cs="Times New Roman" w:eastAsia="Times New Roman" w:hAnsi="Times New Roman"/>
          <w:sz w:val="17"/>
          <w:szCs w:val="17"/>
          <w:color w:val="auto"/>
        </w:rPr>
      </w:pPr>
    </w:p>
    <w:p>
      <w:pPr>
        <w:ind w:left="940" w:hanging="473"/>
        <w:spacing w:after="0" w:line="286"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funding for our operations, including funding necessary to complete development, approval and, if approved, commercialization of the ADC Therapies and any other product candidates we may develop;</w:t>
      </w:r>
    </w:p>
    <w:p>
      <w:pPr>
        <w:spacing w:after="0" w:line="49"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our business development efforts to maximize the potential value of our portfolio;</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20" w:hanging="453"/>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ability to obtain and maintain intellectual property protection for our product candidates;</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 and</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the continued service of our key professionals and to identify, hire and retain additional qualified professionals.</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 Item 1A (Risk Factors) of this Annual Report.</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and the documents that we reference in this Annual Report and have filed with or furnished to the U.S. Securities and Exchange Commission (the “SEC”) completely and with the understanding that our actual future results may be materially different from any future results expressed or implied by these forward-looking statements.</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forward-looking statements in this Annual Report represent our views as of the date of this Annual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References in the following discussion to “we,” “our,” “us,” or “Whitehawk” refer to Whitehawk Therapeutics, Inc.</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are an oncology therapeutics company applying advanced technologies to established tumor biology that are intended to efficiently deliver improved cancer treatments. We have deep experience in chemistry, formulation, and drug delivery, as well as research, clinical, and commercial pharmaceutical development, resulting in successfully taking product candidates from the clinic to approval, launch, and commercialization.</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recently entered into an intellectual property license agreement (the “WuXi License Agreement”) with WuXi Biologics (Shanghai FX) Co., Ltd. (“WuXi Biologics”) for the development and global commercialization of a portfolio of three next generation antibody drug conjugates (“ADCs”) targeting clinically validated, broadly overexpressed tumor antigens in high potential cancer indications with significant unmet need. These ADCs are constructed utilizing an advanced linker-payload platform called CPT113 that has been shown to provide increased stability in blood circulation and deliver targeted release of a Topoisomerase I (“TOPO1”) inhibitor payload into cancer cells.</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These in-licensed assets originated through the collaborative efforts of WuXi Biologics, a leading global contract research, development and manufacturing organization (“CRDMO”), and Hangzhou DAC Biotechnology (“Hangzhou DAC”), a global leader in ADC innovation, where Hangzhou DAC’s CPT113 linker-payload has been conjugated to novel antibodies developed by WuXi Biologics against three tumor targets: Protein Tyrosine Kinase 7 (“PTK7”), Mucin 16 (“MUC16”) and Seizure-related Protein 6 (“SEZ6”). The antibody targeting MUC16 targets the membrane-bound form of MUC16 (mMUC16). The antibody targeting SEZ6 is a biparatopic SEZ6 ("biSEZ6") antibody targeting two different epitopes on SEZ6. We believe the resulting ADCs will be able to target cancers expressing these respective tumor markers precisely and deliver the potent, cytotoxic TOPO1 inhibitor at the site of cancer. Each of these ADCs have demonstrated tumor cell binding, tumor cell line cytotoxicity,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antitumor activity in preclinical models of cancer. We refer to these in-licensed ADC assets as the "ADC Therapies" herein.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anticipate submitting three investigational new drug (“IND”) applications with the U.S. Food and Drug Administration (“FDA”) in the coming 12 to 24 months, starting with HWK-007 for the treatment of solid tumors, including non-small cell lung cancer (“NSCLC”) and ovarian cancer, in the second half of 2025; HWK-016 for the treatment of cancers of female origin by the end of 2025; and HWK-206 for the treatment of cancers of neuroendocrine origin in mid-2026. With these three assets, we have the ability to pursue multiple cancer indications with high potential in large addressable patient populations, including and beyond those indications currently expected to be targeted in the upcoming Phase 1 trials.</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track record of strong execution of novel drug formulation, research, clinical development, and commercialization in oncology, combined with our deep understanding of ADCs positions us to unlock the high potential of this differentiated ADC portfolio. Our management team has extensive experience in the discovery, development, and commercialization of cancer therapeutics, including in senior roles at leading oncology companies. We are supported by our board of directors and specialized scientific advisors, who contribute their deep understanding of drug discovery and development. Furthermore, our investor base includes top life science investors. We believe that our team is well positioned to execute our strategy to develop and, if approved, commercialize the ADC Therapies and future pipeline assets to ultimately bring broad benefit to cancer patients worldwide.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Legacy FYARRO Business</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Historically, our lead drug product was FYARRO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(sirolimus protein-bound particles for injectable suspension (albumin-bound); nab-sirolimus), which combines two established technologies: nanoparticle albumin-bound (nab) technology and the anti-cancer agent, sirolimus. Nab-sirolimus is a potent inhibitor of the mTOR biological pathway with demonstrated anti-cancer activity in advanced malignant perivascular epithelioid cell tumor (“PEComa”), a rare cancer. We exclusively licensed FYARRO, previously called ABI-009, nab-sirolimus, from Abraxis BioScience, LLC, a wholly owned subsidiary of Celgene Corporation, which is a wholly owned subsidiary of Bristol-Myers Squibb Company (“BMS”) and we refer to the development, production and commercial sale of FYARRO herein as the “FYARRO Business”. On February 22, 2022, we launched FYARRO in the United States for treatment of advanced malignant PEComa and recognized net product sales of $26.0 million and $24.4 million for the years ended December 31, 2024 and 2023, respectively.</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19, 2024, we entered into a Stock Purchase Agreement (the “Divestiture Agreement”) with KAKEN INVESTMENTS INC., a Delaware corporation (“KAKEN”), KAKEN PHARMACEUTICAL CO., LTD (“Guarantor”), and Aadi Subsidiary, Inc., a Delaware corporation and our former wholly owned subsidiary and the operating company for the FYARRO Business (“Aadi Subsidiary”). Under the Divestiture Agreement, KAKEN acquired 100% of the outstanding shares of capital stock of Aadi Subsidiary from us at the closing of the transaction for a cash payment of $102.4 million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(following applicable purchase price adjustments under the Divestiture Agreement) (the "FYARRO Divestiture"). The divestiture transaction closed on March 25, 2025 and, as a result, we no longer operate the FYARRO Business.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Our vision is to make bold choices in applying technology to efficiently deliver improved oncology therapies for people living with difficult-to-treat cancers. The principal components of our strategy include:</w:t>
      </w:r>
    </w:p>
    <w:p>
      <w:pPr>
        <w:spacing w:after="0" w:line="43" w:lineRule="exact"/>
        <w:rPr>
          <w:sz w:val="20"/>
          <w:szCs w:val="20"/>
          <w:color w:val="auto"/>
        </w:rPr>
      </w:pPr>
    </w:p>
    <w:p>
      <w:pPr>
        <w:ind w:left="920" w:hanging="453"/>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We leverage “next wave” ADC architecture.</w:t>
      </w:r>
    </w:p>
    <w:p>
      <w:pPr>
        <w:spacing w:after="0" w:line="119" w:lineRule="exact"/>
        <w:rPr>
          <w:rFonts w:ascii="Times New Roman" w:cs="Times New Roman" w:eastAsia="Times New Roman" w:hAnsi="Times New Roman"/>
          <w:sz w:val="17"/>
          <w:szCs w:val="17"/>
          <w:color w:val="auto"/>
        </w:rPr>
      </w:pPr>
    </w:p>
    <w:p>
      <w:pPr>
        <w:jc w:val="both"/>
        <w:ind w:left="94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Recently, next wave ADCs have been associated with double-digit improvement in objective response rates (“ORR”) over first generation ADCs against the same target across a variety of solid tumors, including ovarian, breast cancer, and lung cancers. Next wave ADC architectures are typified by improved linker-antibody stability, optimized pharmacokinetics and improved inhibitor payloads, such as using TOPO1 inhibitor in lieu of monomethyl auristatin E (“MMAE”).</w:t>
      </w:r>
    </w:p>
    <w:p>
      <w:pPr>
        <w:spacing w:after="0" w:line="61"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We preferentially pursue clinically validated targets and identify opportunities for differentiation.</w:t>
      </w:r>
    </w:p>
    <w:p>
      <w:pPr>
        <w:spacing w:after="0" w:line="119" w:lineRule="exact"/>
        <w:rPr>
          <w:rFonts w:ascii="Times New Roman" w:cs="Times New Roman" w:eastAsia="Times New Roman" w:hAnsi="Times New Roman"/>
          <w:sz w:val="17"/>
          <w:szCs w:val="17"/>
          <w:color w:val="auto"/>
        </w:rPr>
      </w:pPr>
    </w:p>
    <w:p>
      <w:pPr>
        <w:jc w:val="both"/>
        <w:ind w:left="94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Rather than expend resources on target discovery, we leverage our team’s deep experience in oncology and biologics, review existing oncology target literature, and engage with key opinion leaders to identify promising tumor antibodies, antibody conjugates, and antigens. We focus on tumor targets of product candidates previously tested in clinical trials by other biopharmaceutical companies and where the trials results were made available, the rationale for discontinuation of such product candidates were well-known and where we have identified opportunities for differentiation. We also prioritize those targets that we believe have both strong precedent data and potential broader applicability, including expansion beyond the indications in which they were initially tested.</w:t>
      </w:r>
    </w:p>
    <w:p>
      <w:pPr>
        <w:spacing w:after="0" w:line="67"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We innovate antibody design to improve ADC performance</w:t>
      </w:r>
      <w:r>
        <w:rPr>
          <w:rFonts w:ascii="Times New Roman" w:cs="Times New Roman" w:eastAsia="Times New Roman" w:hAnsi="Times New Roman"/>
          <w:sz w:val="17"/>
          <w:szCs w:val="17"/>
          <w:color w:val="auto"/>
        </w:rPr>
        <w:t>.</w:t>
      </w:r>
    </w:p>
    <w:p>
      <w:pPr>
        <w:spacing w:after="0" w:line="119" w:lineRule="exact"/>
        <w:rPr>
          <w:rFonts w:ascii="Times New Roman" w:cs="Times New Roman" w:eastAsia="Times New Roman" w:hAnsi="Times New Roman"/>
          <w:sz w:val="17"/>
          <w:szCs w:val="17"/>
          <w:color w:val="auto"/>
        </w:rPr>
      </w:pPr>
    </w:p>
    <w:p>
      <w:pPr>
        <w:ind w:left="940"/>
        <w:spacing w:after="0" w:line="2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strive to develop ADCs that couple next wave ADC architecture with cutting-edge antibody strategies to further improve antibody performance, including, but not limited to, high affinity, biparatopic, Fc modifications that increase ADC potency or safety.</w:t>
      </w:r>
    </w:p>
    <w:p>
      <w:pPr>
        <w:spacing w:after="0" w:line="43" w:lineRule="exact"/>
        <w:rPr>
          <w:rFonts w:ascii="Times New Roman" w:cs="Times New Roman" w:eastAsia="Times New Roman" w:hAnsi="Times New Roman"/>
          <w:sz w:val="17"/>
          <w:szCs w:val="17"/>
          <w:color w:val="auto"/>
        </w:rPr>
      </w:pPr>
    </w:p>
    <w:p>
      <w:pPr>
        <w:ind w:left="940" w:hanging="473"/>
        <w:spacing w:after="0" w:line="294"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We focus our development strategies to demonstrate differentiation of our assets compared to first generation ADCs to maximize our asset’s competitive profile.</w:t>
      </w:r>
    </w:p>
    <w:p>
      <w:pPr>
        <w:spacing w:after="0" w:line="42" w:lineRule="exact"/>
        <w:rPr>
          <w:rFonts w:ascii="Times New Roman" w:cs="Times New Roman" w:eastAsia="Times New Roman" w:hAnsi="Times New Roman"/>
          <w:sz w:val="17"/>
          <w:szCs w:val="17"/>
          <w:color w:val="auto"/>
        </w:rPr>
      </w:pPr>
    </w:p>
    <w:p>
      <w:pPr>
        <w:jc w:val="both"/>
        <w:ind w:left="94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development strategy leverages precedent data from first generation ADCs to benchmark potential improvements to guide further expansion in both precedent and non-precedent indications. We also plan to pursue combination strategies early in our programs to reach more patients and take full advantage of Project Frontrunner, the FDA’s effort to shift cancer therapeutics development in earlier lines of therapy.</w:t>
      </w:r>
    </w:p>
    <w:p>
      <w:pPr>
        <w:spacing w:after="0" w:line="57"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We utilize an efficient virtual model with outsourced clinical development and manufacturing</w:t>
      </w:r>
      <w:r>
        <w:rPr>
          <w:rFonts w:ascii="Times New Roman" w:cs="Times New Roman" w:eastAsia="Times New Roman" w:hAnsi="Times New Roman"/>
          <w:sz w:val="17"/>
          <w:szCs w:val="17"/>
          <w:color w:val="auto"/>
        </w:rPr>
        <w:t>.</w:t>
      </w:r>
    </w:p>
    <w:p>
      <w:pPr>
        <w:spacing w:after="0" w:line="119" w:lineRule="exact"/>
        <w:rPr>
          <w:rFonts w:ascii="Times New Roman" w:cs="Times New Roman" w:eastAsia="Times New Roman" w:hAnsi="Times New Roman"/>
          <w:sz w:val="17"/>
          <w:szCs w:val="17"/>
          <w:color w:val="auto"/>
        </w:rPr>
      </w:pPr>
    </w:p>
    <w:p>
      <w:pPr>
        <w:jc w:val="both"/>
        <w:ind w:left="94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plan to utilize an outsourced model for research, development and manufacturing operations. Initially, we intend to continue to benefit from the continuity of partnership with WuXi Biologics and Hangzhou DAC for near-term IND-enabling studies and ADC manufacturing. We will expand our CRDMO network as appropriate as our portfolio advances further in clinical trials.</w:t>
      </w:r>
    </w:p>
    <w:p>
      <w:pPr>
        <w:spacing w:after="0" w:line="57" w:lineRule="exact"/>
        <w:rPr>
          <w:rFonts w:ascii="Times New Roman" w:cs="Times New Roman" w:eastAsia="Times New Roman" w:hAnsi="Times New Roman"/>
          <w:sz w:val="17"/>
          <w:szCs w:val="17"/>
          <w:color w:val="auto"/>
        </w:rPr>
      </w:pPr>
    </w:p>
    <w:p>
      <w:pPr>
        <w:ind w:left="940" w:hanging="473"/>
        <w:spacing w:after="0" w:line="294"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We look to continue to build our portfolio through strategic partnerships. </w:t>
      </w:r>
      <w:r>
        <w:rPr>
          <w:rFonts w:ascii="Times New Roman" w:cs="Times New Roman" w:eastAsia="Times New Roman" w:hAnsi="Times New Roman"/>
          <w:sz w:val="17"/>
          <w:szCs w:val="17"/>
          <w:color w:val="auto"/>
        </w:rPr>
        <w:t>We plan to continue to use our management and board expertise, as well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our extensive network, to maximize and grow our portfolio through additional strategic partnerships and transactions.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Portfolio</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were deliberate in identifying promising tumor targets that are broadly expressed across multiple cancer types, and plan to focus our initial development efforts on high potential indications where first generation ADCs against these targets have already shown proof of concept in Phase 1 clinical trials. The three tumor targets we selected – PTK7, MUC16 and SEZ6 – are each validated by a first-generation ADC that demonstrated promising efficacy in key indications, but were discontinued, largely due to safety and limited therapeutic index. Importantly, we prioritized the ability to be in the clinic quickly, and we expect to file INDs in the next 12 to 24 months, starting with our PTK7-directed asset in the second half of 2025, followed closely by the MUC16-directed asset by the end of 2025, and the SEZ6-directed asset in mid-2026.</w:t>
      </w:r>
    </w:p>
    <w:p>
      <w:pPr>
        <w:spacing w:after="0" w:line="67" w:lineRule="exact"/>
        <w:rPr>
          <w:sz w:val="20"/>
          <w:szCs w:val="20"/>
          <w:color w:val="auto"/>
        </w:rPr>
      </w:pPr>
    </w:p>
    <w:p>
      <w:pPr>
        <w:ind w:left="940" w:hanging="473"/>
        <w:spacing w:after="0" w:line="294"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HWK-007 </w:t>
      </w:r>
      <w:r>
        <w:rPr>
          <w:rFonts w:ascii="Times New Roman" w:cs="Times New Roman" w:eastAsia="Times New Roman" w:hAnsi="Times New Roman"/>
          <w:sz w:val="17"/>
          <w:szCs w:val="17"/>
          <w:color w:val="auto"/>
        </w:rPr>
        <w:t>presents a differentiated opportunity to be among the first next wave ADCs in clinical development for high PTK7 expressing cancers,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NSCLC, ovarian cancer, and several other major indications.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40" w:hanging="473"/>
        <w:spacing w:after="0" w:line="294"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HWK-016 </w:t>
      </w:r>
      <w:r>
        <w:rPr>
          <w:rFonts w:ascii="Times New Roman" w:cs="Times New Roman" w:eastAsia="Times New Roman" w:hAnsi="Times New Roman"/>
          <w:sz w:val="17"/>
          <w:szCs w:val="17"/>
          <w:color w:val="auto"/>
        </w:rPr>
        <w:t>is potentially the first ADC that targets membrane-bound portion of MUC16, a glycoprotein often overexpressed in cancers of female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origin, such as ovarian cancer, endometrial cancer, cervical cancer, or breast cancer.</w:t>
      </w:r>
    </w:p>
    <w:p>
      <w:pPr>
        <w:spacing w:after="0" w:line="36" w:lineRule="exact"/>
        <w:rPr>
          <w:rFonts w:ascii="Times New Roman" w:cs="Times New Roman" w:eastAsia="Times New Roman" w:hAnsi="Times New Roman"/>
          <w:sz w:val="17"/>
          <w:szCs w:val="17"/>
          <w:color w:val="auto"/>
        </w:rPr>
      </w:pPr>
    </w:p>
    <w:p>
      <w:pPr>
        <w:ind w:left="940" w:hanging="473"/>
        <w:spacing w:after="0" w:line="294"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HWK-206 </w:t>
      </w:r>
      <w:r>
        <w:rPr>
          <w:rFonts w:ascii="Times New Roman" w:cs="Times New Roman" w:eastAsia="Times New Roman" w:hAnsi="Times New Roman"/>
          <w:sz w:val="17"/>
          <w:szCs w:val="17"/>
          <w:color w:val="auto"/>
        </w:rPr>
        <w:t>is designed to bind to two epitopes on SEZ6, which is often overexpressed in cancers of neuroendocrine origin. We believe this biparatopic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approach can potentially improve internalization and drive increased effectiveness of the ADC.</w:t>
      </w:r>
    </w:p>
    <w:p>
      <w:pPr>
        <w:spacing w:after="0" w:line="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believe that improving ADC architecture can increase treatment efficacy in solid tumors. Each of the ADC Therapies utilizes the advanced CPT113 linker-payload technology from Hangzhou DAC, which consists of a highly stable yet cleavable linker that delivers a TOPO1 inhibitor payload, and high affinity antibodies designed using the industry-leading antibody capability of Wuxi Biologics. The portfolio leverages an advanced ADC platform technology and are engineered for minimal off-target toxicity, greater stability and higher therapeutic index. We believe these assets can potentially overcome the limitations that hindered the first generation ADC therapies against these targets to deliver improved results for patients. Under the WuXi License Agreement, we have worldwide development and commercialization rights to all of our product candidates. We intend to develop each of our programs as a monotherapy and also in combination with other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5396865" cy="2240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96865" cy="224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Background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Antibody-Drug Conjugates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 antibody-drug conjugate (“ADC”) consists of an antibody that is connected to a drug (the payload) via a linker. An ADC can be a preferred alternative to systemic chemotherapies, particularly for cancer such as solid tumors, as it can deliver potent antibody-directed payloads directly to the tumor cells. This targeted approach can limit off-target toxicities of chemotherapy and/or allow for greatly improved potency against cancer. With these improvements in cancer outcomes, the ADC market with an estimated $11 billion in sales at the end of 2023 is expected to grow to over $50 billion by 2030.</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the end of 2024, 13 ADCs have been approved by the FDA (mostly first generation; two have been withdrawn) against multiple cancers, including blood, breast, and lung cancers. Despite the benefit seen with first generation ADCs, there continues to be significant need for improved ADCs with safer payloads, improved stability and optimized pharmacokinetics. For example, first generation ADCs often use tubulin inhibitor-based payloads, such as MMAE-based payloads, that have been associated with a class effect of dose-limiting toxicities, like peripheral neuropathy, ocular toxicities and neutropenia.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Next wave ADCs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Recent advances in ADCs have included replacing the tubulin inhibitor-based payloads with Topoisomerase I (“TOPO1”) inhibitor payloads to reduce toxicity, improving linker stability to reduce circulating free payload, and increasing and optimizing the drug-to-antibody ratio (“DAR”) to improve pharmacokinetics and antitumor activity. In a number of ADC programs, next generation ADCs were shown to have improved ORR by 20-40% over their first-generation precursors. For example, the ORR for ABBV-011, a calicheamicin-based ADC with a DAR of 2 and a non-cleavable linker, in small cell lung cancer (“SCLC”) was 19%, while the ORR for ABBV-706, a next wave ADC with a TOPO1 inhibitor payload and a DAR of 6, was 61%, representing a 42% higher response rate compared to ABBV-011.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442595</wp:posOffset>
            </wp:positionV>
            <wp:extent cx="5396865" cy="3009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96865"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Approach: CPT113-based ADC platform</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Each of the ADC Therapies utilizes Hangzhou DAC’s CPT113 platform, which consists of a highly stable yet cleavable linker with proprietary carbon-bridge technology that delivers a TOPO1 inhibitor payload. We believe that the CPT113 platform’s linker stability and payload has the potential to be highly competitive among the next generation ADC platforms. Hangzhou DAC selectively designed and synthesized an advanced linker and payload design that supports stability, limits free payload release and improves the pharmacokinetic characteristics for the associated ADCs. Separately from the ADC Therapies we are licensing, Hangzhou DAC has two internally developed programs utilizing the same platform, DXC006 and DXC1002, that are currently in dose-escalating Phase 1 clinical trials in China.</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 critical feature of the CPT113 platform is its stability. First generation ADCs were challenged by high free payload release in circulation. Many approved and marketed ADCs have 1 to 20 percent free payload released into the circulation, which limits their therapeutic windows because the high amounts of free payload can generate off-target side effects. Next generation ADC platforms in development generally seek to lower the amounts of free payload released into circulation. Based on reported pharmacokinetic results across different ADC programs, as shown in the figure below, the CPT113 platform is likely on par with or better than these latest platforms, demonstrating its highly competitive stability.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5396865" cy="3001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96865" cy="300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20" w:hanging="308"/>
        <w:spacing w:after="0"/>
        <w:tabs>
          <w:tab w:leader="none" w:pos="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highest species reported in publications on file; note that stability is largely consistent (~1-5X differences) between species for an individual ADC.</w:t>
      </w:r>
    </w:p>
    <w:p>
      <w:pPr>
        <w:spacing w:after="0" w:line="2" w:lineRule="exact"/>
        <w:rPr>
          <w:rFonts w:ascii="Times New Roman" w:cs="Times New Roman" w:eastAsia="Times New Roman" w:hAnsi="Times New Roman"/>
          <w:sz w:val="12"/>
          <w:szCs w:val="12"/>
          <w:color w:val="auto"/>
        </w:rPr>
      </w:pPr>
    </w:p>
    <w:p>
      <w:pPr>
        <w:ind w:left="620" w:hanging="308"/>
        <w:spacing w:after="0"/>
        <w:tabs>
          <w:tab w:leader="none" w:pos="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based on molar concentration of free payload and ADC in representative pharmacokinetic studies.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payload component of CPT113 is a proprietary TOPO1 inhibitor based on a modified form of exatecan. Exatecan is a semisynthetic, water-soluble derivative of camptothecin, a naturally occurring plant alkaloid that is known for its TOPO1 inhibition and antitumor activity. TOPO1 are necessary for normal and tumor cell growth, as they are involved in DNA supercoiling and repackaging of DNA during cell division. Inhibition of TOPO1 prevents DNA from rejoining, thereby causing DNA breaks and leading to cell death.</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Although exatecan has shown some antitumor activity, it has been associated with acute toxicity when delivered freely in the circulation, however, has been found to be highly effective as an ADC payload due to its ability to improve the overall efficacy and toxicity of the ADC. Multiple companies are utilizing pure exatecan or exatecan derivatives in their ADC platforms. Deruxtecan (“DXd”), for example, has been shown to have potent anti-tumor efficacy with an improved safety profile compared to pure exatecan. Trastuzumab deruxtecan (“T-DXd”), an ADC consisting of a humanized mAb trastuzumab (Herceptin) covalently linked to DXd, is approved for treatment of breast cancer, gastric cancer and gastroesophageal adenocarcinoma and sold by Daiichi Sankyo. Our payload has similar structure, cytotoxicity and preclinical safety profile to DXd.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 Candidates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442595</wp:posOffset>
            </wp:positionV>
            <wp:extent cx="5396865" cy="3049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96865" cy="304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HWK-007</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lead product candidate HWK-007 is a next wave ADC with a DAR of 6 targeting PTK7 that we plan to develop for the treatment of non-small cell lung cancer (“NSCLC”) and platinum resistant ovarian cancer (“PROC”), with potential to expand into other indications. We believe HWK-007 has the potential to be among the first in next wave ADCs with a TOPO1 inhibitor payload to enter the clinic. With its optimized linker and TOPO1 inhibitor payload, we hope to improve upon the initial ORRs seen with cofetuzumab pelidotin (“Cofe-P”), a first generation MMAE-based ADC with a DAR 4 targeting PTK7.</w:t>
      </w:r>
    </w:p>
    <w:p>
      <w:pPr>
        <w:spacing w:after="0" w:line="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HWK-007 has shown superior cytotoxic activity compared to a first generation MMAE-based PTK7 ADC in both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preclinical models. We are currently completing IND-enabling studies and expect to submit an IND for the use of HWK-007 in treating solid tumors, including NSCLC and PROC, in the second half of 2025.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Target Overview: Protein tyrosine kinase 7 (PTK7)</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Protein tyrosine kinase 7 (“PTK7”) is an oncofetal pseudokinase also known as colon carcinoma kinase 4 (“CCK-4”). PTK7 is a transmembrane protein with an extracellular region comprised of 7 Ig domains and an intracellular domain that is non-catalytic.</w:t>
      </w:r>
    </w:p>
    <w:p>
      <w:pPr>
        <w:spacing w:after="0" w:line="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PTK7 drives embryonic early development by regulating cell polarity, movement and development of hematopoietic and somatic progenitor cells often interacting with ligands, co-receptors and intracellular transducers in the Wnt signaling pathway. PTK7 is subsequently down-regulated in adult tissues and is known as a catalytically inactive receptor tyrosine kinase (“RTK”). PTK7 is commonly upregulated across a broad spectrum of cancers, being found in tumors associated with endometrial, prostate, cervical, head and neck, breast, colorectal, esophageal, lung, ovarian and gastric intestinal cancers, as shown in the figure below. In fact, PTK7 is almost exclusively re-expressed in primary and metastatic tumor cells and cancer associated fibroblasts (“CAFs”) in the tumor microenvironment. PTK7 is known to promote cancer growth and invasion. Overexpression of PTK7 is associated with poor prognosis, tumor metastasis, and reduced overall survival.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442595</wp:posOffset>
            </wp:positionV>
            <wp:extent cx="5396865" cy="4432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96865" cy="443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0" w:hanging="308"/>
        <w:spacing w:after="0"/>
        <w:tabs>
          <w:tab w:leader="none" w:pos="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Whitehawk analysis based on Human Protein Atlas, Gepia, and literature review.</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PTK7 is a clinically validated tumor target. In a Phase 1 trial in patients with advanced solid tumors, including PROC, NSCLC or triple-negative breast cancer (“TNBC”), Cofe-P demonstrated clinical activity with ORR ranging from 16 to 27% in all evaluable patients and 23 to 46% in the subgroup with moderate or high expression of PTK7 (“PTK7 mod-high”), as confirmed by immunohistochemistry (“IHC”) analysis of tumor tissues. In patients treated every three weeks (“Q3W”) cohort, ORR was up to 46% compared to 27% in patients with PROC compared to patients with PTK7 mod-high PROC, 25% compared to 16% in patients with NSCLC compared to patients with PTK7 mod-high NSCLC and 23% compared to 21% in patients with TNBC compared to patients with PTK7 mod-high TNBC. This is an important finding as PTK7 is an ADC target where a high proportion of marker-positive patients express PTK7 at moderate to high levels.</w:t>
      </w:r>
    </w:p>
    <w:p>
      <w:pPr>
        <w:spacing w:after="0" w:line="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Despite these encouraging signals, Cofe-P’s commercial potential was limited by the reduced dose intensity and narrow therapeutic window driven by toxicities consistent with MMAE-associated class effects, including Grade 3 headache and fatigue. Additionally, 25% (28/112) of the Q3W cohort experienced Grade 3 neutropenia. Overall, common treatment-related adverse events included nausea, alopecia, fatigue, headache, neutropenia and vomiting.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5396865" cy="2117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686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0" w:right="20" w:hanging="308"/>
        <w:spacing w:after="0" w:line="257" w:lineRule="auto"/>
        <w:tabs>
          <w:tab w:leader="none" w:pos="616"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Mod-high ORR reflects Whitehawk analysis of the PTK7 protein expression and best overall response data for Q3W cohorts in Figure 2 of Maitland et al. </w:t>
      </w:r>
      <w:r>
        <w:rPr>
          <w:rFonts w:ascii="Times New Roman" w:cs="Times New Roman" w:eastAsia="Times New Roman" w:hAnsi="Times New Roman"/>
          <w:sz w:val="12"/>
          <w:szCs w:val="12"/>
          <w:i w:val="1"/>
          <w:iCs w:val="1"/>
          <w:color w:val="auto"/>
        </w:rPr>
        <w:t>Clin Cancer Research</w:t>
      </w:r>
      <w:r>
        <w:rPr>
          <w:rFonts w:ascii="Times New Roman" w:cs="Times New Roman" w:eastAsia="Times New Roman" w:hAnsi="Times New Roman"/>
          <w:sz w:val="12"/>
          <w:szCs w:val="12"/>
          <w:color w:val="auto"/>
        </w:rPr>
        <w:t>, 2021: 27:4511–20. There were 13, 16, and 13 patients with mod-high PTK 7 expressions in PROC, NSCLC, and TNBC,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Emerging Therapies and their Limitations</w:t>
      </w:r>
    </w:p>
    <w:p>
      <w:pPr>
        <w:spacing w:after="0" w:line="1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Although there are currently no approved ADCs targeting PTK7, there are multiple PTK7 programs currently in, or about to begin, clinical development, some of which are described here:</w:t>
      </w:r>
    </w:p>
    <w:p>
      <w:pPr>
        <w:spacing w:after="0" w:line="49" w:lineRule="exact"/>
        <w:rPr>
          <w:sz w:val="20"/>
          <w:szCs w:val="20"/>
          <w:color w:val="auto"/>
        </w:rPr>
      </w:pPr>
    </w:p>
    <w:p>
      <w:pPr>
        <w:jc w:val="both"/>
        <w:ind w:left="940" w:hanging="473"/>
        <w:spacing w:after="0" w:line="269"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PRO1107, being developed by Genmab following its acquisition of ProfoundBio, is currently in Phase 1/2 with the first patient dosed in February 2024. PRO1107 uses an MMAE payload, which is a tubulin inhibitor similar to the payload in Cofe-P, connected through a protease-cleavable hydrophilic linker system called LD343, and has a DAR of 8.</w:t>
      </w:r>
    </w:p>
    <w:p>
      <w:pPr>
        <w:spacing w:after="0" w:line="63" w:lineRule="exact"/>
        <w:rPr>
          <w:rFonts w:ascii="Times New Roman" w:cs="Times New Roman" w:eastAsia="Times New Roman" w:hAnsi="Times New Roman"/>
          <w:sz w:val="17"/>
          <w:szCs w:val="17"/>
          <w:color w:val="auto"/>
        </w:rPr>
      </w:pPr>
    </w:p>
    <w:p>
      <w:pPr>
        <w:jc w:val="both"/>
        <w:ind w:left="940" w:hanging="473"/>
        <w:spacing w:after="0" w:line="264"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DAY301 (MTX-13), being developed by Day One Biopharmaceuticals after acquiring development and commercialization rights outside of the Greater China area from MabCare Therapeutics, recently initiated a Phase 1 trial. Unlike Cofe-P and PRO1107, DAY301 has a pure exatecan payload which may be associated with myelosuppression. LY4175408, being developed by Eli Lilly, also has a pure exatecan payload. We expect Eli Lilly will submit its IND in 2025.</w:t>
      </w:r>
    </w:p>
    <w:p>
      <w:pPr>
        <w:spacing w:after="0" w:line="67"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SKB518, being developed by Kelun Biotech, is currently in Phase 1 in China.</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expect multiple external PTK7 ADC programs are projected to present clinical data in 2025 to 2027, which will further validate our target and TOPO1 inhibitor payload approach. Additionally, there are multiple preclinical PTK7 bispecific ADCs in development, including the PTK7 x B7-H3 ADC recently acquired by IDEAYA Biosciences. There are a number of other ADC programs in development for NSCLC targeting other tumor-associated antigens.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Product Candidate: HWK-007</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HWK-007, as a differentiated next wave PTK7-directed ADC, is poised to be among the first in next wave ADCs with an alternate TOPO1 inhibitor payload to enter the clinic. With its optimized linker and TOPO1 inhibitor payload switch, we are targeting to build on the initial ORRs seen with Cofe-P and potentially deliver superior outcomes for patients.</w:t>
      </w:r>
    </w:p>
    <w:p>
      <w:pPr>
        <w:spacing w:after="0" w:line="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HWK-007 has already demonstrated superior tumor reduction compared to Cofe-P in both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preclinical models. HWK-007 shows superior tumor reduction in a lung cancer cell lines compared to similar doses of Cofe-P. The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antitumor studies were conducted with human tumor xenografts with moderate to high PTK7 expression in nude mice (n=8 per xenograft). As shown in the figure below, in human SCLC xenograft models NCI-H446 (PTK7-mod), both HWK-007 and Cofe-P showed clear dose response in antitumor activity but HWK-007 demonstrated increased antitumor activity compared to Cofe-P at each corresponding dose with tumor regression achieved by HWK-007 at higher doses. Similar results were also observed in xenograft models from other tumor types.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5396865" cy="3753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96865" cy="3753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Development Plan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We plan to complete IND-enabling studies, linker-payload process development, and CMC and submit an IND for the treatment of solid tumors, including NSCLC and PROC, in the second half of 2025. Subject to FDA acceptance, we plan to initiate a Phase 1 trial by the end of 2025.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HWK-016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product candidate HWK-016 is a next wave ADC targeting the membrane-bound portion of MUC16, a glycoprotein often overexpressed in cancers of female origin, such as ovarian cancer, endometrial cancer, cervical cancer, or breast cancer. MUC16 has been previously a challenging target because a large part of its extracellular portion is often cleaved and released or “shed” into the bloodstream, often called cancer antigen 125 (“CA125”). HWK-016 is specifically designed to bind to the membrane-bound portion, which we believe can enable greater therapeutic effect at lower doses. We plan to develop HWK-016 initially for the treatment of PROC, with potential expansion to other ovarian cancers, endometrial cancer, and/or cervical cancer, aiming to deliver a potential best-in-class treatment for these large patient populations.</w:t>
      </w:r>
    </w:p>
    <w:p>
      <w:pPr>
        <w:spacing w:after="0" w:line="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Our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studies show consistent cytotoxic activity by HWK-016, including in the presence of CA125, suggesting that our product candidate does bind to the right epitope. Our product candidate also has an optimized linker and improved TOPO1 inhibitor payload, which we expect can improve response rate and reduce toxicity. We plan to complete IND-enabling studies and submit an IND for the treatment of ovarian cancer by the end of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Target Overview: MUC16</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Mucin 16 (MUC16) is a heavily glycosylated type 1 transmembrane protein with a low level of expression in normal bronchial, endometrial, ovarian and corneal epithelial cells.</w:t>
      </w:r>
    </w:p>
    <w:p>
      <w:pPr>
        <w:spacing w:after="0" w:line="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MUC16 is upregulated in a number of cancers, including ovarian cancer, endometrial cancer, cervical cancer, or breast cancer, as well as NSCLC, pancreatic and gastric cancers. Overexpression of MUC16 promotes cancer cell proliferation and chemoresistance, while also inhibiting anti-cancer immune responses. Knockdown of MUC16 has been shown to reduce tumor growth, motility, and invasiveness, while overexpression enhances these properties.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MUC16 interacts with various signaling pathways and proteins, such as the JAK2/STAT3/GR axis, PI3k, EGFR and Src family kinases.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5396865" cy="4505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96865" cy="450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20" w:hanging="308"/>
        <w:spacing w:after="0"/>
        <w:tabs>
          <w:tab w:leader="none" w:pos="6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Whitehawk analysis based on Human Protein Atlas, Gepia, and literature review.</w:t>
      </w:r>
    </w:p>
    <w:p>
      <w:pPr>
        <w:spacing w:after="0" w:line="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MUC16 consists of an O-glycosylated N-terminal domain, a tandem repeat domain, approximately 56 SEA (sperm protein, enterokinase and agrin) domains, a transmembrane domain and a cytoplasmic tail. MUC16 is unique in its large number of SEA domains, as other mucins such as MUC1, MUC12, MUC13, and MUC17 only possess a single SEA module. SEA domains and their functions are not fully understood but MUC16 is speculated to have two proteolytic sites in the SEA domains, at the 55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and 56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SEA domains. It is believed that MUC16 cleavage occurs at these sites, whereby CA125 is released or “shed” into the bloodstream. The serum levels of CA125 serve as a biomarker for cancer screening and disease monitoring; CA125 is one of the best-known blood biomarkers for ovarian cancer and elevated levels are strongly associated with poor prognosis.</w:t>
      </w:r>
    </w:p>
    <w:p>
      <w:pPr>
        <w:spacing w:after="0" w:line="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MUC16 is a clinically validated tumor target, including by DMUC4064A, a first generation MMAE-based ADC targeting the tandem repeat region of MUC16, that demonstrated efficacy in PROC in an open-label Phase 1 trial. DMUC4064A, which has a protease-cleavable linker with a DAR of 2, demonstrated 42% ORR at the recommended Phase 2 dose.</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Despite this promising response rate, DMUC4064A development was discontinued in 2021 due to a limited therapeutic index, toxicities consistent with MMAE class effects and binding to circulating CA125 that may have hindered effectiveness, also known as an “antigen sink.” Patients treated with DMUC4064A experienced toxicities consistent with other MMAE-based therapies, with 40% of patients reporting ocular toxicities, including Grade 3 ocular events in 9%. Although MUC16 is expressed in certain ocular cell types, we believe the frequency and severity of ocular toxicities were primarily driven by the MMAE payload rather than on-target effects from MUC16 binding. Overall, 25% experience Grade 3 or higher treatment-related adverse events. Common adverse events included fatigue, nausea, abdominal pain, constipation, blurred vision, diarrhea, anemia and peripheral neuropathy. Additionally, lower doses did not produce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objective responses, likely due to a portion of the ADC binding to circulating CA125. Consequently, higher doses were necessary to first saturate most of the circulating CA125 before achieving therapeutic efficacy and tumor cell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5396865" cy="2117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9686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 xml:space="preserve">Sources: Liu J, et al. </w:t>
      </w:r>
      <w:r>
        <w:rPr>
          <w:rFonts w:ascii="Times New Roman" w:cs="Times New Roman" w:eastAsia="Times New Roman" w:hAnsi="Times New Roman"/>
          <w:sz w:val="12"/>
          <w:szCs w:val="12"/>
          <w:i w:val="1"/>
          <w:iCs w:val="1"/>
          <w:color w:val="auto"/>
        </w:rPr>
        <w:t>Gynecol Oncol</w:t>
      </w:r>
      <w:r>
        <w:rPr>
          <w:rFonts w:ascii="Times New Roman" w:cs="Times New Roman" w:eastAsia="Times New Roman" w:hAnsi="Times New Roman"/>
          <w:sz w:val="12"/>
          <w:szCs w:val="12"/>
          <w:color w:val="auto"/>
        </w:rPr>
        <w:t xml:space="preserve">. 2021;163(3):473-480; Liu J, et al. </w:t>
      </w:r>
      <w:r>
        <w:rPr>
          <w:rFonts w:ascii="Times New Roman" w:cs="Times New Roman" w:eastAsia="Times New Roman" w:hAnsi="Times New Roman"/>
          <w:sz w:val="12"/>
          <w:szCs w:val="12"/>
          <w:i w:val="1"/>
          <w:iCs w:val="1"/>
          <w:color w:val="auto"/>
        </w:rPr>
        <w:t>Ann Oncol</w:t>
      </w:r>
      <w:r>
        <w:rPr>
          <w:rFonts w:ascii="Times New Roman" w:cs="Times New Roman" w:eastAsia="Times New Roman" w:hAnsi="Times New Roman"/>
          <w:sz w:val="12"/>
          <w:szCs w:val="12"/>
          <w:color w:val="auto"/>
        </w:rPr>
        <w:t xml:space="preserve">. 2016;27(11):2124-2130; Chen Y, et al. </w:t>
      </w:r>
      <w:r>
        <w:rPr>
          <w:rFonts w:ascii="Times New Roman" w:cs="Times New Roman" w:eastAsia="Times New Roman" w:hAnsi="Times New Roman"/>
          <w:sz w:val="12"/>
          <w:szCs w:val="12"/>
          <w:i w:val="1"/>
          <w:iCs w:val="1"/>
          <w:color w:val="auto"/>
        </w:rPr>
        <w:t>Cancer Res.</w:t>
      </w:r>
      <w:r>
        <w:rPr>
          <w:rFonts w:ascii="Times New Roman" w:cs="Times New Roman" w:eastAsia="Times New Roman" w:hAnsi="Times New Roman"/>
          <w:sz w:val="12"/>
          <w:szCs w:val="12"/>
          <w:color w:val="auto"/>
        </w:rPr>
        <w:t xml:space="preserve"> 2007;67(10):4924-4932. ORR, objective response 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Emerging Therapies and their Limitations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Currently, there are no approved or actively developing ADCs targeting MUC16. Regeneron is developing two MUC16 bispecific T cell-engaging antibodies; a limitation of this approach, however, includes the modest ORRs observed to date. While several ADCs targeting other antigens in PROC are under development, none offer the combined advantages of high target expression in both depth and frequency, along with the potential for a matched blood-based biomarker like CA125.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Product Candidate: HWK-016</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product candidate is designed to bind to a different region than the targets of prior MUC16 therapies in development. HWK-016 targets membrane-bound MUC16 (mMUC16) below the site of cleavage, so that even if MUC16 is cleaved and release of CA125 occurs, the ADC can stay bound to the cell surface permitting internalization of the TOPO1 inhibitor payload. This allows HWK-016 to bypass the antigen sink of circulating CA125, and directly target the tumor surface.</w:t>
      </w:r>
    </w:p>
    <w:p>
      <w:pPr>
        <w:spacing w:after="0" w:line="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Preclinical data shows that HWK-016 demonstrates superior tumor growth inhibition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compared to DMUC4064A in a high CA125-shedding model of ovarian cancer.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data suggest that this next wave approach has the potential for improved response rates in ovarian cancer and other gynecological cancers. For example, our product candidate HWK-016, along with DMUC and mMUC16 antibodies conjugated to DXd and MMAE payloads, were tested in an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OVCAR-3 CDX model. Nude mice bearing the OVCAR-3 tumor xenograft were treated with a single dose of ADC at 1 mg/kg. mMUC16 ADCs displayed significantly increased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antitumor activity compared to DMUC ADCs, regardless of the cytotoxic payload. No obvious weight loss was observed in any group.</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5396865" cy="4243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96865" cy="424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Development Plan</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plan to complete IND-enabling studies and linker-payload process development in 2025 with IND submission by the end of 2025. Subject to FDA acceptance, we plan to initiate Phase 1 trial in ovarian cancer in 2026, with the potential to expand into other cancers affecting women, such as endometrial and cervical cancer, where we believe HWK-016 can make a meaningful impact.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HWK-206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Our product candidate HWK-206 is a biparatopic ADC targeting to two epitopes on the SEZ6 protein. There is limited class competition as ABBV-706 is the only clinical-stage SEZ6 ADC currently in development. Our product candidate is the only biparatopic ADC in development for SCLC and high-grade neuroendocrine tumors (“NET”) patients, and we believe this approach of binding to two independent sites on the target antigen protein will achieve superior outcomes compared to other SCLC ADCs.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assays demonstrate increased binding and internalization compared to the monotopic ABBV-706. We plan to complete IND-enabling studies and linker-payload process development in 2025 and first half of 2026, with an IND submission planned in mid-2026.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Target Overview: SEZ6</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Seizure-related homolog protein 6 (“SEZ6”) is a transmembrane protein commonly expressed on neurons, particularly neuronal dendrites, but minimally expressed in normal tissues outside the central nervous system (“CNS”). SEZ6 plays a role in CNS development and maintenance both during childhood development and in adulthood. SEZ6 is responsible for dendritic branching and synapse formation.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The extracellular portion of the SEZ6 proteins contain three CUB domains and five SCR domains. The presence of multiple CUB and SCR domains suggests potential adhesive or receptor trafficking functions but their binding partners are not yet known.</w:t>
      </w:r>
    </w:p>
    <w:p>
      <w:pPr>
        <w:spacing w:after="0" w:line="4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SEZ6 is highly expressed in about 80% of SCLC and also overexpressed in extrapulmonary NETs and CNS tumors. SEZ6 expression is correlated with tumor progression although its role in cancer is not well understood.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5396865" cy="4505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96865" cy="450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hanging="308"/>
        <w:spacing w:after="0"/>
        <w:tabs>
          <w:tab w:leader="none" w:pos="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Whitehawk analysis based on Human Protein Atlas, Gepia, and literature review.</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Emerging Therapies and their Limitations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Currently, ABBV-706 (developed by AbbVie) is the only clinical stage SEZ6 ADC in development. ABBV-706 is a TOPO1 inhibitor-based ADC (DAR 6) with a cleavable linker. In a Phase 1 trial in patients with SCLC and neuroendocrine neoplasms (“NEN”), ABBV-706 demonstrated an overall ORR of 44% (21/48, excludes n=5 with glioblastoma multiforme (“GBM”)), with 60.9% ORR in SCLC and 28% ORR in NENs. ABBV-706 demonstrated a manageable safety profile with no on-target neurotoxicity. The promising results with ABBV-706 validated SEZ6 as a target and demonstrated clinical improvement by switching to a cleavable TOPO1 inhibitor linker-payload.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442595</wp:posOffset>
            </wp:positionV>
            <wp:extent cx="5396865" cy="5462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96865" cy="546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Of note, 77% (41/53) of patients experienced Grade 3 or higher treatment-emergent adverse events (“TEAEs”) with cytopenias being the most frequent. 32% of patients experienced severe adverse events (“SAEs”), with pneumonia being the most common. Anemia (60%) and fatigue (66%) were the most common any-grade hematologic and non-hematologic TEAEs, respectively. The maximum tolerable dose (“MTD”) was 3.0 mg/kg, with hematological dose limiting toxicities (“DLTs”) occurring in 2 patients: one Grade 4 leukopenia and neutropenia lasting &gt;7 days and one Grade 4 thrombocytopenia. All gastrointestinal toxicities were Grade 1 or 2 and no neurotoxicity or GBM was observed suggesting that there is no intracranial penetration. While ABBV-706 represents important progress for SCLC, we believe there are opportunities to apply novel ADC engineering to provide a path to even greater gains.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Product Candidate: HWK-206</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plan to investigate a biparatopic ADC approach for SEZ6. Biparatopic antibodies (which bind two different epitopes of the same protein) can allow for clustering of cells surface receptors by way of binding an epitope of SEZ6 and then a different epitope on another SEZ6 protein. This clustering ultimately results in the formation of large receptor clusters on the cell surface, which can drive receptor internalization and increase payload release for an ADC. We believe this target specificity, binding, and the internalization can translate into great efficacy and/or safety gains for patients treated with ADCs.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5396865" cy="2477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9686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 xml:space="preserve">Source: Weisser et al. </w:t>
      </w:r>
      <w:r>
        <w:rPr>
          <w:rFonts w:ascii="Times New Roman" w:cs="Times New Roman" w:eastAsia="Times New Roman" w:hAnsi="Times New Roman"/>
          <w:sz w:val="12"/>
          <w:szCs w:val="12"/>
          <w:i w:val="1"/>
          <w:iCs w:val="1"/>
          <w:color w:val="auto"/>
        </w:rPr>
        <w:t>Nat Commun</w:t>
      </w:r>
      <w:r>
        <w:rPr>
          <w:rFonts w:ascii="Times New Roman" w:cs="Times New Roman" w:eastAsia="Times New Roman" w:hAnsi="Times New Roman"/>
          <w:sz w:val="12"/>
          <w:szCs w:val="12"/>
          <w:color w:val="auto"/>
        </w:rPr>
        <w:t>. 2023;14(1):1394.</w:t>
      </w:r>
    </w:p>
    <w:p>
      <w:pPr>
        <w:spacing w:after="0" w:line="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There are several biparatopic molecules that provide precedent for demonstrating increased therapeutic benefit compared to their single epitope counterparts. For example, zanidatamab, a biparatopic HER2 Ab (Jazz Pharmaceuticals) binds the same epitopes as trastuzumab (Herceptin) and pertuzumab (Perjeta). Zanidatamab demonstrated approximately 20% increase in ORR compared to monoparatopic trastuzumab while maintaining a tolerable safety profile.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Our biparatopic SEZ6 ADC, HWK-206, is the only biparatopic ADC in development for small cell lung cancer, and shows potential to outperform the available treatment approaches and the single epitope-binding ADCs in development.</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Preclinical models suggest the biSEZ6 antibody shows superior binding and internalization compared to single epitope SEZ6 antibody counterparts, including the antibody used in ABBV-706, with increased mean fluorescence intensity (MFI).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5396865" cy="2943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96865" cy="294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Development Plan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We plan to explore this potential in our planned Phase 1 trial in SCLC and NETs where there is a significant need for new treatment options. We plan to complete IND-enabling studies, linker-payload process development and submit an IND in mid-2026.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strive to protect the proprietary technologies that we believe are important to our business, including pursuing and maintaining patent protection intended to cover the ADC Therapies, their respective anticipated methods of use, related technologies, and other inventions that are important to our business. In addition to patent protection, we may also rely on trade secrets to protect aspects of our business that are not amenable to, or that we do not consider appropriate for, patent protection.</w:t>
      </w:r>
    </w:p>
    <w:p>
      <w:pPr>
        <w:spacing w:after="0" w:line="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commercial success will depend, in part, upon our ability to obtain and maintain patent and other proprietary protection for the ADC Therapies, if approved, and other commercially important technologies, inventions, and know-how related to our business, defend and enforce our intellectual property rights, in particular, our patent rights, preserve the confidentiality of our trade secrets, and operate without infringing valid and enforceable intellectual property rights of others.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patent positions for biotechnology and pharmaceutical companies like us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In addition, the coverage claimed in a patent application can be significantly reduced before a patent is issued, and its scope can be reinterpreted and even challenged after issuance. As a result, we cannot guarantee that the ADC Therapies will be protected or remain protectable by enforceable patents. Moreover, any patents that we hold may be challenged, circumvented, or invalidated by third parties. For more information regarding the risks related to our intellectual property please see “Risk Factors—Risks Related to Our Intellectual Property”.</w:t>
      </w:r>
    </w:p>
    <w:p>
      <w:pPr>
        <w:spacing w:after="0" w:line="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United States, the term of a patent covering an FDA approved drug may, in certain cases, be eligible for a patent term extension under the Drug Price Competition and Patent Term Restoration Act of 1984, commonly referred to as the Hatch-Waxman Act, as compensation for the loss of patent term during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We also intend to seek patent term extensions in any jurisdictions where they are available, however, there is no guarantee that the applicable authorities, including the FDA, will agree with our assessment of whether such extensions should be granted, and even if granted, the length of such extensions.</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to patent protection, we also rely on trade secret protection for our proprietary information that is not amenable to, or that we do not consider appropriate for, patent protection, including, for example, certain aspects of our manufacturing processes for the nanoparticle compositions. However, trade secrets can be difficult to protect. Although we take steps to protect our proprietary information, including restricting access to our premises and our confidential information, as well as entering into agreements with our employees, consultants, advisors, and potential collaborators, such individuals may breach such agreements and disclose our proprietary information including our trade secrets, and we may not be able to obtain adequate remedies for such breaches. In addition, third parties may independently develop the same or similar proprietary information or may otherwise gain access to our proprietary information. As a result, we may be unable to meaningfully protect our trade secrets and proprietary information. For more information regarding the risks related to our intellectual property please see “Risk Factors—Risks Related to Our Intellectual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6, 2025, patent rights held by us relating to our ADC drug candidates include the following:</w:t>
      </w:r>
    </w:p>
    <w:p>
      <w:pPr>
        <w:spacing w:after="0" w:line="114" w:lineRule="exact"/>
        <w:rPr>
          <w:sz w:val="20"/>
          <w:szCs w:val="20"/>
          <w:color w:val="auto"/>
        </w:rPr>
      </w:pPr>
    </w:p>
    <w:p>
      <w:pPr>
        <w:jc w:val="both"/>
        <w:ind w:left="620" w:hanging="308"/>
        <w:spacing w:after="0" w:line="264"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PTK7 targeting drug candidate, our material patents consist of one People’s Republic of China (PRC) patent application exclusively licensed from WuXi Biologics and directed to the PTK7 ADC drug candidate, which we intend to pursue patent protection for in key jurisdictions. This application, if issued, is expected to expire in at least 2046, without taking into account any possible patent term adjustments or extensions and assuming payment of all appropriate maintenance, renewal, annuity or other governmental fees.</w:t>
      </w:r>
    </w:p>
    <w:p>
      <w:pPr>
        <w:spacing w:after="0" w:line="67" w:lineRule="exact"/>
        <w:rPr>
          <w:rFonts w:ascii="Times New Roman" w:cs="Times New Roman" w:eastAsia="Times New Roman" w:hAnsi="Times New Roman"/>
          <w:sz w:val="17"/>
          <w:szCs w:val="17"/>
          <w:color w:val="auto"/>
        </w:rPr>
      </w:pPr>
    </w:p>
    <w:p>
      <w:pPr>
        <w:jc w:val="both"/>
        <w:ind w:left="620" w:hanging="308"/>
        <w:spacing w:after="0" w:line="264"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SEZ6 targeting drug candidate, our material patents consist of one PRC patent application exclusively licensed from WuXi Biologics and directed to the SEZ6 ADC drug candidate, which we intend to pursue patent protection for in key jurisdictions. This application, if issued, is expected to expire in at least 2046, without taking into account any possible patent term adjustments or extensions and assuming payment of all appropriate maintenance, renewal, annuity or other governmental fees.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20" w:hanging="308"/>
        <w:spacing w:after="0" w:line="264"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MUC16 targeting drug candidate, our material patents consist of one PRC patent application exclusively licensed from WuXi Biologics and directed to the MUC16 ADC drug candidate, which we intend to pursue patent protection for in key jurisdictions. This application, if issued, is expected to expire in at least 2046, without taking into account any possible patent term adjustments or extensions and assuming payment of all appropriate maintenance, renewal, annuity or other governmental fees.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Many companies are active in the oncology market and are developing or marketing products for the specific therapeutic markets that we target, including both antibody- and non-antibody-based therapies. Similarly, we also face competition from other companies and institutions that continue to invest in innovation in the ADC field, including new payload classes, new conjugation approaches and new targeting moieties. Specifically, we are aware of multiple companies with ADC technologies that may be competitive with our products and product candidates, including, but not limited to, AbbVie, Daiichi Sankyo, Day One Biopharmaceuticals, Eli Lilly, Genmab, GlaxoSmithKline, Gilead, Kelun, Mersana, Sanofi, Roche, Pfizer, and Zymeworks. There are hundreds of ADCs in development, the vast majority of which are being developed for the treatment of cancer.</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industry is characterized by rapidly advancing technologies, intense competition, and a strong emphasis on proprietary products. We face competition with respect to our current products and product candidates and will face competition with respect to any products and product candidates that we may seek to develop or commercialize in the future. Our competitors include large pharmaceutical and biotechnology companies, academic institutions, government agencies and other public and private research organizations that conduct research, seek patent protection and establish collaborative arrangements for research, development, manufacturing and commercialization. Many of our competitors have significantly greater financial resources and capabilities in research and development, manufacturing, preclinical testing, conducting clinical trials, obtaining regulatory approval and marketing than we do. Furthermore, mergers and acquisitions in the biotechnology industry may result in even more resources being concentrated among a smaller number of our competitors.</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we expect changes to the treatment paradigm, including potential new entrants and new approvals across the lines of therapies. New technologies, procedures or treatments could change the patient population and their eligibility to use our product candidates, raise expectations regarding safety and efficacy results that are necessary for regulatory approval and, if approved, adoption by the medical community, or otherwise render the ADC Therapies and any other product candidates that we may develop obsolete.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PTK7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Although there are currently no approved ADCs targeting PTK7, there are multiple PTK7 programs currently in, or about to begin, clinical development, including</w:t>
      </w:r>
    </w:p>
    <w:p>
      <w:pPr>
        <w:spacing w:after="0" w:line="114" w:lineRule="exact"/>
        <w:rPr>
          <w:sz w:val="20"/>
          <w:szCs w:val="20"/>
          <w:color w:val="auto"/>
        </w:rPr>
      </w:pPr>
    </w:p>
    <w:p>
      <w:pPr>
        <w:jc w:val="both"/>
        <w:ind w:left="940" w:hanging="473"/>
        <w:spacing w:after="0" w:line="269"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PRO1107, being developed by Genmab following its acquisition of ProfoundBio, is currently in Phase 1/2 with the first patient dosed in February 2024. PRO1107 uses an MMAE payload, which is a tubulin inhibitor similar to the payload in Cofe-P, connected through a protease-cleavable hydrophilic linker system called LD343, and has a DAR of 8.</w:t>
      </w:r>
    </w:p>
    <w:p>
      <w:pPr>
        <w:spacing w:after="0" w:line="63" w:lineRule="exact"/>
        <w:rPr>
          <w:rFonts w:ascii="Times New Roman" w:cs="Times New Roman" w:eastAsia="Times New Roman" w:hAnsi="Times New Roman"/>
          <w:sz w:val="17"/>
          <w:szCs w:val="17"/>
          <w:color w:val="auto"/>
        </w:rPr>
      </w:pPr>
    </w:p>
    <w:p>
      <w:pPr>
        <w:jc w:val="both"/>
        <w:ind w:left="940" w:hanging="473"/>
        <w:spacing w:after="0" w:line="264"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DAY301 (MTX-13), being developed by Day One Biopharmaceuticals after acquiring development and commercialization rights outside of the Greater China area from MabCare Therapeutics, recently initiated a Phase 1 trial. Unlike Cofe-P and PRO1107, DAY301 has a pure exatecan payload which may be associated with myelosuppression. LY4175408, being developed by Eli Lilly, also has a pure exatecan payload. We expect Eli Lilly will submit its IND in 2025.</w:t>
      </w:r>
    </w:p>
    <w:p>
      <w:pPr>
        <w:spacing w:after="0" w:line="67"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SKB518, being developed by Kelun Biotech, is currently in Phase 1 in China.</w:t>
      </w:r>
    </w:p>
    <w:p>
      <w:pPr>
        <w:spacing w:after="0" w:line="113" w:lineRule="exact"/>
        <w:rPr>
          <w:rFonts w:ascii="Times New Roman" w:cs="Times New Roman" w:eastAsia="Times New Roman" w:hAnsi="Times New Roman"/>
          <w:sz w:val="17"/>
          <w:szCs w:val="17"/>
          <w:color w:val="auto"/>
        </w:rPr>
      </w:pPr>
    </w:p>
    <w:p>
      <w:pPr>
        <w:ind w:left="940" w:hanging="473"/>
        <w:spacing w:after="0" w:line="286"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there are multiple preclinical PTK7 bispecific ADCs in development, including the PTK7 x B7-H3 ADC recently acquired by IDEAYA Biosciences.</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In addition, there are multiple PTK7 ADC programs that are projected to present clinical data in 2025 to 2027, which we believe will further validate our target and TOPO1 inhibitor payload approach.</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MUC16</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Currently, there are no approved or actively developing ADCs targeting MUC16. Regeneron is developing two MUC16 bispecific T cell-engaging antibodies; a limitation of this approach, however, includes the modest ORRs observed to date. While several ADCs targeting other antigens in PROC are under development, none offer the combined advantages of high target expression in both depth and frequency, along with the potential for a matched blood-based biomarker like CA125.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SEZ6</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Currently, ABBV-706 (developed by AbbVie) is the only clinical stage SEZ6 ADC in development. ABBV-706 is a TOPO1 inhibitor-based ADC (DAR 6) with a cleavable linker. In a Phase 1 trial in patients with SCLC and neuroendocrine neoplasms (“NEN”), ABBV-706 demonstrated an overall ORR of 44% (21/48, excludes n=5 with glioblastoma multiforme (“GBM”)), with 60.9% ORR in SCLC and 28% ORR in NENs. ABBV-706 demonstrated a manageable safety profile with no on-target neurotoxicity. The promising results with ABBV-706 validated SEZ6 as a target and demonstrated clinical improvement by switching to a cleavable TOPO1 inhibitor linker-payload.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do not own or operate, and have no plans to establish, any manufacturing facilities. Initially, we intend to continue to benefit from the continuity of partnership with WuXi Biologics and Hangzhou DAC for near-term IND-enabling studies and ADC manufacturing. We will expand our CRDMO network as appropriate as our portfolio advances further in clinical trials.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pharmaceutical and biological products, such as those we are developing. In addition, some government authorities regulate the pricing of such products. The process of obtaining regulatory approvals and the subsequent compliance with appropriate federal, state, local and foreign statutes and regulations require the expenditure of substantial time and financial resources.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Government Regulation</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Drug Development</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the U.S., the FDA regulates drugs under the Federal Food, Drug, and Cosmetic Act (“FDCA”) and its implementing regulations. Drugs are also subject to other federal, state, and local statutes and regulations. Drugs must be approved by the FDA through the NDA process before they may be legally marketed in the U.S. The process required by the FDA before a drug may be marketed in the U.S. generally involves the following:</w:t>
      </w:r>
    </w:p>
    <w:p>
      <w:pPr>
        <w:spacing w:after="0" w:line="64" w:lineRule="exact"/>
        <w:rPr>
          <w:sz w:val="20"/>
          <w:szCs w:val="20"/>
          <w:color w:val="auto"/>
        </w:rPr>
      </w:pPr>
    </w:p>
    <w:p>
      <w:pPr>
        <w:ind w:left="940" w:hanging="473"/>
        <w:spacing w:after="0" w:line="286"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extensive preclinical, sometimes referred to as nonclinical, laboratory tests, animal studies, and formulation studies all performed in accordance with applicable regulations, including the FDA’s good laboratory practice (“GLP”) regulations;</w:t>
      </w:r>
    </w:p>
    <w:p>
      <w:pPr>
        <w:spacing w:after="0" w:line="49" w:lineRule="exact"/>
        <w:rPr>
          <w:rFonts w:ascii="Times New Roman" w:cs="Times New Roman" w:eastAsia="Times New Roman" w:hAnsi="Times New Roman"/>
          <w:sz w:val="17"/>
          <w:szCs w:val="17"/>
          <w:color w:val="auto"/>
        </w:rPr>
      </w:pPr>
    </w:p>
    <w:p>
      <w:pPr>
        <w:ind w:left="940" w:hanging="473"/>
        <w:spacing w:after="0" w:line="286"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investigational new drug application (“IND”), which must become effective before human clinical trials may begin and must be updated annually and amended in accordance with the regulations;</w:t>
      </w:r>
    </w:p>
    <w:p>
      <w:pPr>
        <w:spacing w:after="0" w:line="49" w:lineRule="exact"/>
        <w:rPr>
          <w:rFonts w:ascii="Times New Roman" w:cs="Times New Roman" w:eastAsia="Times New Roman" w:hAnsi="Times New Roman"/>
          <w:sz w:val="17"/>
          <w:szCs w:val="17"/>
          <w:color w:val="auto"/>
        </w:rPr>
      </w:pPr>
    </w:p>
    <w:p>
      <w:pPr>
        <w:ind w:left="940" w:hanging="473"/>
        <w:spacing w:after="0" w:line="286"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in accordance with applicable IND and other clinical trial-related regulations, sometimes referred to as good clinical practices (“GCPs”), to establish the safety and efficacy of the proposed drug for its proposed indication(s);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20" w:hanging="453"/>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NDA for a new drug;</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by the FDA within 60 days of its receipt of an NDA to file the NDA for review;</w:t>
      </w:r>
    </w:p>
    <w:p>
      <w:pPr>
        <w:spacing w:after="0" w:line="113" w:lineRule="exact"/>
        <w:rPr>
          <w:rFonts w:ascii="Times New Roman" w:cs="Times New Roman" w:eastAsia="Times New Roman" w:hAnsi="Times New Roman"/>
          <w:sz w:val="17"/>
          <w:szCs w:val="17"/>
          <w:color w:val="auto"/>
        </w:rPr>
      </w:pPr>
    </w:p>
    <w:p>
      <w:pPr>
        <w:ind w:left="940" w:hanging="473"/>
        <w:spacing w:after="0" w:line="286"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pre-approval inspection of the manufacturing facility or facilities at which the active pharmaceutical ingredient (“API”) and finished drug product are produced to assess compliance with the FDA’s current good manufacturing practice requirements (“cGMP”);</w:t>
      </w:r>
    </w:p>
    <w:p>
      <w:pPr>
        <w:spacing w:after="0" w:line="49"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FDA audit of the testing laboratories and clinical trial sites that generated the data in support of the NDA; and</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NDA prior to any commercial marketing or sale of the drug in the U.S.</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Prior to beginning a clinical trial with a product candidate in the United States, companies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new IND, or a separate submission to the existing IND must be made for each successive clinical trial conducted during product development and for any subsequent protocol amendments. Furthermore, an independent review board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Human clinical trials are typically conducted in three sequential phases that may overlap or be combined:</w:t>
      </w:r>
    </w:p>
    <w:p>
      <w:pPr>
        <w:spacing w:after="0" w:line="114" w:lineRule="exact"/>
        <w:rPr>
          <w:sz w:val="20"/>
          <w:szCs w:val="20"/>
          <w:color w:val="auto"/>
        </w:rPr>
      </w:pPr>
    </w:p>
    <w:p>
      <w:pPr>
        <w:jc w:val="both"/>
        <w:ind w:left="940" w:hanging="473"/>
        <w:spacing w:after="0" w:line="261"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70" w:lineRule="exact"/>
        <w:rPr>
          <w:rFonts w:ascii="Times New Roman" w:cs="Times New Roman" w:eastAsia="Times New Roman" w:hAnsi="Times New Roman"/>
          <w:sz w:val="17"/>
          <w:szCs w:val="17"/>
          <w:color w:val="auto"/>
        </w:rPr>
      </w:pPr>
    </w:p>
    <w:p>
      <w:pPr>
        <w:jc w:val="both"/>
        <w:ind w:left="940" w:hanging="473"/>
        <w:spacing w:after="0" w:line="269"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3" w:lineRule="exact"/>
        <w:rPr>
          <w:rFonts w:ascii="Times New Roman" w:cs="Times New Roman" w:eastAsia="Times New Roman" w:hAnsi="Times New Roman"/>
          <w:sz w:val="17"/>
          <w:szCs w:val="17"/>
          <w:color w:val="auto"/>
        </w:rPr>
      </w:pPr>
    </w:p>
    <w:p>
      <w:pPr>
        <w:jc w:val="both"/>
        <w:ind w:left="940" w:hanging="473"/>
        <w:spacing w:after="0" w:line="269"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 pivotal study is a clinical study that adequately meets regulatory agency requirements for the evaluation of a drug candidate’s efficacy and safety such that it can serve as the primary basis for approval of the drug. Generally, pivotal studies are also Phase 3 studies but may be Phase 2 studies if the trial design provides a well-controlled and reliable assessment of clinical benefit, particularly in situations where there is an unmet medical need. Post-approval trials,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w:t>
      </w:r>
    </w:p>
    <w:p>
      <w:pPr>
        <w:spacing w:after="0" w:line="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in vitro testing that suggests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trials may not be completed successfully within any specified period, if at all. The FDA, the IRB,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Additionally, appropriate packaging must be selected and tested, and stability studies must be conducted to demonstrate that the drug candidate does not undergo unacceptable deterioration over its shelf life.</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advanced therapy.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NDA and the FDA Review Process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Following trial completion, trial data are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sufficient evidence of drug product quality, safety and efficacy, which is demonstrated by extensive analytical, preclinical and clinical testing. Data may come from company-sponsored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for a particular indication or indications to the satisfaction of the FDA. FDA approval of an NDA must be obtained before a drug may be offered for sale in the United States.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submission of an NDA is subject to the payment of substantial user fees; a waiver of such fees may be obtained under certain limited circumstances.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Additionally, no user fees are assessed on NDAs for products designated as orphan drugs, unless the product also includes a non-orphan indication.</w:t>
      </w:r>
    </w:p>
    <w:p>
      <w:pPr>
        <w:spacing w:after="0" w:line="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does not always meet its PDUFA goal dates for standard and priority NDAs, and the review process is often significantly extended by FDA requests for additional information or clarification. In such event, the NDA must be resubmitted with the additional information. The resubmitted application is also subject to review before the FDA accepts it for filing.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In the course of its review, the FDA may re-analyze the clinical trial data, which could result in extensive discussions between the FDA and the applicant during the review process. The review and evaluation of an NDA by the FDA is extensive and time consuming and may take longer than originally planned to complete, and we may not receive a timely approval, if at all.</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Before approving an NDA, the FDA typically conducts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to ensure compliance with GCP requirements. After the FDA evaluates the application, manufacturing process, and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challenge the determination set forth in the letter by requesting a hearing, or withdraw the application. Even if such data and information are submitted, the FDA may ultimately decide that the NDA does not satisfy the criteria for approval. Data obtained from clinical trials are not always conclusive and the FDA may interpret data differently than we interpret the same data.</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There is no assurance that the FDA will ultimately approve a drug product for marketing in the United States and we may encounter significant difficulties or costs during the review process. If a drug receives marketing approval, the approval may be significantly limited to specific diseases, dosages, or patient subgroups, or the indications for use may otherwise be limited, which could restrict the commercial value of the drug. Further, the FDA may require that certain contraindications, warnings, precautions, or adverse events be included in the drug labeling or may condition the approval of the NDA on other changes to the proposed labeling, development of adequate controls and specifications, or a commitment to conduct post-marketing testing or clinical trials, and surveillance to monitor the effects of approved drugs.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Any of these limitations on approval or marketing could restrict the commercial promotion, distribution, prescription, or dispensing of drugs. Drug approvals may be withdrawn for non-compliance with regulatory standards or if problems occur following initial marketing.</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FDA Expedited Development and Review Programs</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FDA has various programs, including fast track designation, priority review, accelerated approval, and breakthrough therapy designation, which are intended to expedite or simplify the process for the development and FDA review of drugs that are intended for the treatment of serious or life-threatening diseases or conditions and demonstrate the potential to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unmet medical needs. The purpose of these programs is to provide important new drugs to patients earlier than under standard FDA review procedures.</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to submit promotional materials for preapproval and pre-use review, which could adversely impact the timing of the commercial launch of the product. In addition, the drug may be subject to accelerated withdrawal procedures.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the FDA may review new drug applications under the Oncology Center of Excellence Real-Time Oncology Review (“RTOR”), which, according to the FDA, aims to explore a more efficient review process to ensure that safe and effective treatments are available to patients as early as possible, while maintaining and improving review quality. Drugs considered for review under RTOR must be likely to demonstrate substantial improvements over available therapy, which may include drugs previously granted breakthrough therapy designation for the same or other indications, and must have straight-forward study designs and endpoints that can be easily interpreted. RTOR allows the FDA to review much of the data in an NDA earlier, before the applicant formally submits the complete application. This analysis of the pre-submission package gives the FDA and applicants an early opportunity to address data quality and potential review issues and allows the FDA to provide early feedback regarding the most effective way to analyze data to properly address key regulatory questions.</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the ADC Therapies as appropriate.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Post-Marketing Requirements</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Following approval of a new drug, a pharmaceutical company and the approved drug are subject to continuing regulation by the FDA, including, among other things, establishment registration and drug listing,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limitations on industry-sponsored scientific and educational activities, and requirements for promotional activities involving the internet.</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particular,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 Modifications or enhancements to the drug or its labeling or changes of the site or process of manufacture are often subject to the approval of the FDA and other regulators, which may or may not be received or may result in a lengthy review process.</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Prescription drug advertising is subject to federal, state, and foreign regulations. In the U.S., the FDA regulates prescription drug promotion, including direct-to-consumer advertising. Prescription drug promotional materials must be submitted to the FDA in conjunction with their first use. Any distribution of prescription drugs and pharmaceutical samples must comply with the U.S. Prescription Drug Marketing Act (“PDMA”), a part of the FDCA. The Drug Supply Chain Security Act (“DSCSA”), enacted in 2013, aims to build an electronic system to identify and trace certain prescription drugs distributed in the U.S. The DSCSA mandates phased-in and resource-intensive obligations for pharmaceutical manufacturers, wholesale distributors, and dispensers over a 10-year period that is expected to culminate in November 2023. The law’s requirements include the quarantine and prompt investigation of a suspect product to determine if it is illegitimate and notifying trading partners and the FDA of any illegitimate product. Drug manufacturers and their collaborators are also required to place a unique product identifier on prescription drug packages. This identifier consists of the National Drug Code, serial number, lot number, and expiration date, in the form of a 2-dimensional data matrix barcode that can be read by humans and machines.</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the U.S., once a drug is approved, its manufacture is subject to comprehensive and continuing regulation by the FDA. FDA regulations require that drugs be manufactured in specific facilities per the NDA approval and in accordance with cGMP. We rely, and expect to continue to rely, on third parties for the production of clinical and commercial quantities of its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FDA also may require post-approval testing, sometimes referred to as Phase 4 testing, risk minimization action plans, and post- marketing surveillance to monitor the effects of an approved drug or place conditions on an approval that could restrict the distribution or use of the drug. Discovery of previously unknown problems with a drug or the failure to comply with applicable FDA requirements can have negative consequences, including adverse publicity, judicial, or administrative enforcement actions. Other potential consequences include, among other things:</w:t>
      </w:r>
    </w:p>
    <w:p>
      <w:pPr>
        <w:spacing w:after="0" w:line="67" w:lineRule="exact"/>
        <w:rPr>
          <w:sz w:val="20"/>
          <w:szCs w:val="20"/>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the product, complete withdrawal of the product from the market or product recalls;</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warning letters, or untitled letters;</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holds on post-approval or Phase 4 clinical studies, if applicable;</w:t>
      </w:r>
    </w:p>
    <w:p>
      <w:pPr>
        <w:spacing w:after="0" w:line="113" w:lineRule="exact"/>
        <w:rPr>
          <w:rFonts w:ascii="Times New Roman" w:cs="Times New Roman" w:eastAsia="Times New Roman" w:hAnsi="Times New Roman"/>
          <w:sz w:val="17"/>
          <w:szCs w:val="17"/>
          <w:color w:val="auto"/>
        </w:rPr>
      </w:pPr>
    </w:p>
    <w:p>
      <w:pPr>
        <w:ind w:left="940" w:hanging="473"/>
        <w:spacing w:after="0" w:line="263"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of the FDA to approve pending applications or supplements to approved applications, or suspension or revocation of product license approvals;</w:t>
      </w:r>
    </w:p>
    <w:p>
      <w:pPr>
        <w:spacing w:after="0" w:line="300"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products;</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 decrees, corporate integrity agreements, debarment, or exclusion from federal healthcare programs;</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mandated modification of promotional materials and labeling and the issuance of corrective information;</w:t>
      </w:r>
    </w:p>
    <w:p>
      <w:pPr>
        <w:spacing w:after="0" w:line="113" w:lineRule="exact"/>
        <w:rPr>
          <w:rFonts w:ascii="Times New Roman" w:cs="Times New Roman" w:eastAsia="Times New Roman" w:hAnsi="Times New Roman"/>
          <w:sz w:val="17"/>
          <w:szCs w:val="17"/>
          <w:color w:val="auto"/>
        </w:rPr>
      </w:pPr>
    </w:p>
    <w:p>
      <w:pPr>
        <w:ind w:left="940" w:hanging="473"/>
        <w:spacing w:after="0" w:line="286"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safety alerts, Dear Healthcare Provider letters, press releases, and other communications containing warnings or other safety information about the product; or</w:t>
      </w:r>
    </w:p>
    <w:p>
      <w:pPr>
        <w:spacing w:after="0" w:line="49"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FDA may withdraw approval if compliance with regulatory requirements and standards is not maintained or if problems occur after the product reaches the market. Newly discovered or developed safety or effectiveness data may require changes to a drug’s approved labeling, including the addition of new warnings and contraindications, and also may require the implementation of other risk management measures, including a REMS or the conduct of post-marketing studies to assess a newly discovered safety issue. Also, new government requirements, including those resulting from new legislation, may be established, or the FDA’s policies may change, which could delay or prevent regulatory approval of our drugs under development.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Orphan Drug Designation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marketing the drug for this type of disease or condition will be recovered from sales in the United States. Orphan drug designation must be requested before submitting an application for marketing approval. Orphan drug designation does not convey any advantage in, or shorten the duration of, the regulatory review and approval process. After the grant of an orphan drug designation, FDA may revoke the designation if FDA finds that the request for designation contained an untrue statement of material fact, omitted required material information, or if FDA subsequently finds that the drug had not been eligible for the orphan drug designation at the time of the submission of the request.</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("ODE"),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i w:val="1"/>
          <w:iCs w:val="1"/>
          <w:color w:val="auto"/>
        </w:rPr>
        <w:t>Catalyst Pharms., Inc. v. Becerra</w:t>
      </w:r>
      <w:r>
        <w:rPr>
          <w:rFonts w:ascii="Times New Roman" w:cs="Times New Roman" w:eastAsia="Times New Roman" w:hAnsi="Times New Roman"/>
          <w:sz w:val="17"/>
          <w:szCs w:val="17"/>
          <w:color w:val="auto"/>
        </w:rPr>
        <w:t xml:space="preserve">, 14 F.4th 1299 (11th Cir. 2021), the court disagreed with the FDA’s longstanding position that the ODE only applies to the approved use or indication within an eligible disease. This decision created uncertainty in the application of the ODE. On January 24, 2023, the FDA published a notice in the Federal Register to clarify that while the agency complies with the court’s order in </w:t>
      </w:r>
      <w:r>
        <w:rPr>
          <w:rFonts w:ascii="Times New Roman" w:cs="Times New Roman" w:eastAsia="Times New Roman" w:hAnsi="Times New Roman"/>
          <w:sz w:val="17"/>
          <w:szCs w:val="17"/>
          <w:i w:val="1"/>
          <w:iCs w:val="1"/>
          <w:color w:val="auto"/>
        </w:rPr>
        <w:t>Catalyst</w:t>
      </w:r>
      <w:r>
        <w:rPr>
          <w:rFonts w:ascii="Times New Roman" w:cs="Times New Roman" w:eastAsia="Times New Roman" w:hAnsi="Times New Roman"/>
          <w:sz w:val="17"/>
          <w:szCs w:val="17"/>
          <w:color w:val="auto"/>
        </w:rPr>
        <w:t xml:space="preserve">, FDA intends to continue to apply its longstanding interpretation of the regulations to matters outside of the scope of the </w:t>
      </w:r>
      <w:r>
        <w:rPr>
          <w:rFonts w:ascii="Times New Roman" w:cs="Times New Roman" w:eastAsia="Times New Roman" w:hAnsi="Times New Roman"/>
          <w:sz w:val="17"/>
          <w:szCs w:val="17"/>
          <w:i w:val="1"/>
          <w:iCs w:val="1"/>
          <w:color w:val="auto"/>
        </w:rPr>
        <w:t>Catalyst</w:t>
      </w:r>
      <w:r>
        <w:rPr>
          <w:rFonts w:ascii="Times New Roman" w:cs="Times New Roman" w:eastAsia="Times New Roman" w:hAnsi="Times New Roman"/>
          <w:sz w:val="17"/>
          <w:szCs w:val="17"/>
          <w:color w:val="auto"/>
        </w:rPr>
        <w:t xml:space="preserve"> order – that is, the agency will continue tying the scope of ODE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ODE.</w:t>
      </w:r>
    </w:p>
    <w:p>
      <w:pPr>
        <w:spacing w:after="0" w:line="6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 xml:space="preserve">In June 2024, in </w:t>
      </w:r>
      <w:r>
        <w:rPr>
          <w:rFonts w:ascii="Times New Roman" w:cs="Times New Roman" w:eastAsia="Times New Roman" w:hAnsi="Times New Roman"/>
          <w:sz w:val="17"/>
          <w:szCs w:val="17"/>
          <w:i w:val="1"/>
          <w:iCs w:val="1"/>
          <w:color w:val="auto"/>
        </w:rPr>
        <w:t>Loper Bright Enterprises v. Raimondo</w:t>
      </w:r>
      <w:r>
        <w:rPr>
          <w:rFonts w:ascii="Times New Roman" w:cs="Times New Roman" w:eastAsia="Times New Roman" w:hAnsi="Times New Roman"/>
          <w:sz w:val="17"/>
          <w:szCs w:val="17"/>
          <w:color w:val="auto"/>
        </w:rPr>
        <w:t xml:space="preserve">, the U.S. Supreme Court overruled the </w:t>
      </w:r>
      <w:r>
        <w:rPr>
          <w:rFonts w:ascii="Times New Roman" w:cs="Times New Roman" w:eastAsia="Times New Roman" w:hAnsi="Times New Roman"/>
          <w:sz w:val="17"/>
          <w:szCs w:val="17"/>
          <w:i w:val="1"/>
          <w:iCs w:val="1"/>
          <w:color w:val="auto"/>
        </w:rPr>
        <w:t>Chevron</w:t>
      </w:r>
      <w:r>
        <w:rPr>
          <w:rFonts w:ascii="Times New Roman" w:cs="Times New Roman" w:eastAsia="Times New Roman" w:hAnsi="Times New Roman"/>
          <w:sz w:val="17"/>
          <w:szCs w:val="17"/>
          <w:color w:val="auto"/>
        </w:rPr>
        <w:t xml:space="preserve"> doctrine, which gives deference to regulatory agencies’ statutory interpretations in litigation against federal government agencies, such as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FDA, where the law is ambiguous. This landmark Supreme Court decision may invite various stakeholders to bring lawsuits against the FDA to challenge longstanding decisions and policies, such as market exclusivities, which could lead to uncertainties in the industry. Further, changes in the leadership of the FDA and other federal agencies under the Trump administration may lead to new policies, changes in the regulations, or disruptions to the operations of federal agencies, any of which may impact our clinical development plans.</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the European Union, the European Commission, after receiving the opinion of the European Medicines Agency’s (“EMA”) Committee for Orphan Medicinal Products (“COMP”), grants orphan drug designation to also promote the development of products. The relevant European legislation provides that a product can be designated as an orphan drug by the European Commission if its sponsor can establish: that the product is intended for the diagnosis, prevention, or treatment of</w:t>
      </w:r>
    </w:p>
    <w:p>
      <w:pPr>
        <w:spacing w:after="0" w:line="2" w:lineRule="exact"/>
        <w:rPr>
          <w:sz w:val="20"/>
          <w:szCs w:val="20"/>
          <w:color w:val="auto"/>
        </w:rPr>
      </w:pPr>
    </w:p>
    <w:p>
      <w:pPr>
        <w:jc w:val="both"/>
        <w:ind w:firstLine="3"/>
        <w:spacing w:after="0" w:line="254" w:lineRule="auto"/>
        <w:tabs>
          <w:tab w:leader="none" w:pos="24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life-threatening or chronically debilitating condition affecting not more than 5 in 10,000 persons in the European Union when the application is made, or (2)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applicant must also demonstrate that there exists no satisfactory method of diagnosis, prevention, or treatment of the condition in question that has been authorized in the European Union or, if such method exists, the product has to be of significant benefit compared to products available for the condition.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biological product.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European Union, orphan drug designation also entitles a party to financial incentives such as reduction of fees or fee waivers and ten years of market exclusivity is granted following drug or biological product approval. During this market exclusivity period, neither the EMA nor the European Commission or the 27 member states that comprise the European Union can accept an application or grant a marketing authorization for the same therapeutic indication in respect of a “similar medicinal product.” A “similar medicinal product” is defined as a medicinal product containing a similar active substance or substances as contained in an authorized orphan medicinal product, and which is intended for the same therapeutic indication. This period may be reduced to six years if, after five years, the orphan drug designation criteria are no longer met, including where it is shown that the product is sufficiently profitable not to justify maintenance of market exclusivity.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Patent Term Restoration and Marketing Exclusivity</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Depending upon the timing, duration, and specifics of the FDA approval of our ADC drug candidate, some of our United States patents may be eligible for limited patent term extension under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The U.S. Patent and Trademark Office (“USPTO”), in consultation with the FDA, reviews and approves the application for any patent term extension or restoration.</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Marketing exclusivity provisions under the FDCA can also delay the submission or the approval of certain marketing applications for competing products. The FDCA provides a five-year period of non-patent marketing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drug based on the same active moiety, regardless of whether the drug is intended for the same indication as the original innovator drug or for another indication. However, an application may be submitted after four years if it contains a certification of patent invalidity or non-infringement to one of the patents listed with the FDA by the innovator NDA holder.</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applications for drugs containing the active agent for the original indication or condition of use.</w:t>
      </w:r>
    </w:p>
    <w:p>
      <w:pPr>
        <w:spacing w:after="0" w:line="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These five-year and three-year exclusivities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ODE, as described above, may offer a seven-year period of marketing exclusivity, except in certain circumstances. Pediatric exclusivity is another type of regulatory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a pediatric trial.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U.S. Regulatory Matters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Manufacturing, sales, promotion, and other activities following drug approval are also subject to regulation by numerous regulatory authorities in addition to the FDA, including, in the United States, the Centers for Medicare &amp; Medicaid Services (“CMS”), other divisions of the U.S. Department of Health and Human Services (“HHS”), the Drug Enforcement Administration for controlled substances,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(the “ACA”).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subject to numerous foreign, federal, state, and local environmental, health, and safety laws and regulations, including those governing laboratory procedures and the handling, use, storage, treatment, and disposal of hazardous materials and wastes. In addition, our leasing and operation of real property may subject us to liability pursuant to certain U.S. environmental laws and regulations, under which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distribution of pharmaceutical drugs is subject to additional requirements and regulations, including extensive record-keeping, licensing, storage, and security requirements intended to prevent the unauthorized sale of pharmaceutical drugs. The failure to comply with regulatory requirements subjects firms to possible legal or regulatory action. Depending on the circumstances, failure to meet applicable regulatory requirements can result in criminal prosecution, fines, or other penalties, injunctions, voluntary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Coverage and Reimbursement</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Sales of our drugs will depend, in part, on the extent to which our drugs will be covered by third-party payors, such as government health programs, commercial insurers, and managed healthcare organizations, as well as the level of reimbursement such third-party payors provide for our products. Patients and providers are unlikely to use our products unless coverage is provided and reimbursement is adequate to cover a significant portion of the cost of our products in which our products are used. These third-party payors are increasingly reducing reimbursements for medical drugs and services.</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the U.S., no uniform policy of coverage and reimbursement for drugs or biological products exists, and one payor’s determination to provide coverage and adequate reimbursement for a product does not assure that other payors will make a similar determination. In the U.S., the principal decisions about reimbursement for new medicines are typically made by the CMS, an agency within the HHS, as the CMS decides whether and to what extent a new medicine will be covered and reimbursed under Medicare. Private third-party payors tend to follow Medicare coverage and reimbursement limitations to a substantial degree, but also have their own methods and approval process apart from Medicare determinations. Accordingly, decisions regarding the extent of coverage and amount of reimbursement to be provided for the ADC</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Therapies will be made on a payor-by-payor basis. As a result, the coverage determination process may be a time-consuming and costly process that will require us to provide scientific and clinical support for the use of our products to each payor separately,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Medicaid Drug Rebate Program (“MDRP”) requires pharmaceutical manufacturers to enter into and have in effect a national rebate agreement with the Secretary of the HHS as a condition for states to receive federal matching funds for the manufacturer’s outpatient drugs furnished to Medicaid patients. The ACA made several changes to the MDRP, including increasing pharmaceutical manufacturers’ rebate liability by raising the minimum basic Medicaid rebate percentage on most branded prescription drugs of average manufacturer price (“AMP”) and adding a new rebate calculation for “line extensions” (i.e., new formulations, such as extended release formulations) of solid oral dosage forms of branded products, creating a new methodology by which rebates owed are calculated for drugs that are inhaled, infused, instilled, implanted, or injected,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Pricing and rebate programs must also comply with the Medicaid rebate requirements of the U.S. Omnibus Budget Reconciliation Act of 1990. The American Rescue Plan Act of 2021 eliminated the statutory cap on Medicaid Drug Rebate Program rebates that manufactures pay to state Medicaid programs. Elimination of this cap may require pharmaceutical manufacturers to pay more in rebates than it receives on the sale of products, which could have a material impact on our business.</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 However,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These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may obtain marketing approval. However, any negotiated prices for our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American Recovery and Reinvestment Act of 2009 provides funding for the federal government to compare the effectiveness of different treatments for the same illness. The plan for the research was published in 2012 by the HHS, the Agency for Healthcare Research and Quality and the National Institutes for Health, and periodic reports on the status of the research and related expenditures are made to Congress. It is also possible that comparative effectiveness research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demonstrating benefits in a competitor’s drug could adversely affect the sales of our ADC drug candidate. If third-party payors do not consider our drugs to be cost-effective compared to other available therapies, they may not cover our drugs as a benefit under their plans or, if they do, the level of payment may not be sufficient to allow us to sell our drugs on a profitable basis.</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recent years, additional laws have resulted in direct or indirect reimbursement reductions for certain Medicare providers. For example, the Budget Control Act of 2011, among other things, created measures for spending reductions by Congress. These changes included aggregate reductions to Medicare payments to providers of up to 2% per fiscal year, which went into effect in April 2013 and will remain in effect through 2032, unless additional congressional action is taken. The American Taxpayer Relief Act of 2012, among other things, reduced Medicare payments to several providers, and increased the statute of limitations period for the government to recover overpayments to providers from three to five years. These laws, and future state and federal healthcare reform measures, as discussed further below, may be adopted in the future, any of which may result in additional reductions in Medicare and other healthcare funding and otherwise affect the prices we may obtain for any product candidate for which it may obtain regulatory approval or the frequency with which any such product candidate is prescribed or used.</w:t>
      </w: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noted above, the marketability of any products for which we receive regulatory approval for commercial sale may suffer if the government and other third-party payors fail to provide adequate coverage and reimbursement. We expect that an increasing emphasis on cost containment measures in the U.S.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U.S. and generally tend to be significantly lower.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Healthcare Reform</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ACA has had a significant impact on the healthcare industry. The ACA expanded coverage for the uninsured while at the same time containing overall healthcare costs. With regard to pharmaceutical products, the ACA, among other things, addressed a new methodology by which rebates owed by manufacturers under the MDRP are calculated for drugs that are inhaled, infused, instilled, implanted, or injected, increased the minimum Medicaid rebates owed by manufacturers under the MDRP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The American Rescue Plan Act of 2021 eliminated the statutory cap on Medicaid Drug Rebate Program rebates that manufacturers pay to state Medicaid programs. Elimination of this cap may require pharmaceutical manufacturers to pay more in rebates than they receive on the sale of products, which could have a material impact on our business.</w:t>
      </w:r>
    </w:p>
    <w:p>
      <w:pPr>
        <w:spacing w:after="0" w:line="2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ACA requires pharmaceutical manufacturers of branded prescription drugs to pay a branded prescription drug fee to the federal government. Each such manufacturer is required to pay a prorated share of the branded prescription drug fee based on the dollar value of its branded prescription drug sales to certain federal programs identified in the law. The ACA also expanded the 340B program to include additional types of covered entities. Federal law requires that any company that participates in the Medicaid rebate program also participate in the 340B program in order for federal funds to be available for the manufacturer’s drugs under Medicaid. The 340B program requires participating manufacturers to agree to charge statutorily defined covered entities no more than the 340B “ceiling price” for the manufacturer’s covered outpatient drugs. In addition, in order to be eligible to have its products paid for with federal funds under the Medicaid programs and purchased by certain federal grantees and agencies, a manufacturer also must participate in the Department of Veterans Affairs Federal Supply Schedule (“FSS”) pricing program, established by Section 603 of the Veterans Health Care Act of 1992. Under this program, the manufacturer is obligated to make products available for procurement on an FSS contract and charge a price to four federal agencies—the Department of Veterans Affairs, the Department of Defense, the Public</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Health Service, and the Coast Guard—that is at least 24% less than the Non-Federal Average Manufacturing Price for the prior fiscal year.</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Since the enactment of the ACA, there have been judicial and Congressional challenges to certain aspects of the ACA. In June 2021, the Supreme Court held that Texas and other challengers had no legal standing to challenge the ACA, upholding the ACA. In January 2021, President Biden also issued an executive order to initiate a special enrollment period to allow people to obtain health insurance coverage through the ACA marketplace and instructs certain governmental agencies to review and reconsider their existing policies and rules that limit access to healthcare, among others. We cannot predict how future litigation, healthcare reform measures of the Trump administration, or what other regulations will ultimately be implemented at the federal or state level, or the effect of any future legislation or regulation may have on our business.</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for example, in September 2018, CMS announced that it will allow Medicare Advantage Plans the option to use step therapy for Part B drugs beginning January 1, 2019. Additionally, CMS issued a final rule, effective on July 9, 2019, that requires direct-to-consumer television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In July 2021, the Biden administration released an executive order, “Promoting Competition in the American Economy,” with multiple provisions aimed at increasing competition for prescription drugs.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In June 2024, in </w:t>
      </w:r>
      <w:r>
        <w:rPr>
          <w:rFonts w:ascii="Times New Roman" w:cs="Times New Roman" w:eastAsia="Times New Roman" w:hAnsi="Times New Roman"/>
          <w:sz w:val="17"/>
          <w:szCs w:val="17"/>
          <w:i w:val="1"/>
          <w:iCs w:val="1"/>
          <w:color w:val="auto"/>
        </w:rPr>
        <w:t>Loper Bright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Enterprises v. Raimondo</w:t>
      </w:r>
      <w:r>
        <w:rPr>
          <w:rFonts w:ascii="Times New Roman" w:cs="Times New Roman" w:eastAsia="Times New Roman" w:hAnsi="Times New Roman"/>
          <w:sz w:val="17"/>
          <w:szCs w:val="17"/>
          <w:color w:val="auto"/>
        </w:rPr>
        <w:t>, the U.S. Supreme Court overruled the</w:t>
      </w:r>
      <w:r>
        <w:rPr>
          <w:rFonts w:ascii="Times New Roman" w:cs="Times New Roman" w:eastAsia="Times New Roman" w:hAnsi="Times New Roman"/>
          <w:sz w:val="17"/>
          <w:szCs w:val="17"/>
          <w:i w:val="1"/>
          <w:iCs w:val="1"/>
          <w:color w:val="auto"/>
        </w:rPr>
        <w:t xml:space="preserve"> Chevron </w:t>
      </w:r>
      <w:r>
        <w:rPr>
          <w:rFonts w:ascii="Times New Roman" w:cs="Times New Roman" w:eastAsia="Times New Roman" w:hAnsi="Times New Roman"/>
          <w:sz w:val="17"/>
          <w:szCs w:val="17"/>
          <w:color w:val="auto"/>
        </w:rPr>
        <w:t>doctrine, which gives deference to regulatory agencies’ statutory interpretations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litigation against federal government agencies, such as the FDA, where the law is ambiguous. This landmark Supreme Court decision may invite various stakeholders to bring lawsuits against the FDA to challenge longstanding decisions and policies, such as market exclusivities, which could lead to uncertainties in the industry. Further, changes in the leadership of the FDA and other federal agencies under the Trump administration may lead to new policies, changes in the regulations, or disruptions to the operations of federal agencies, any of which may impact our clinical development plans. There are important exemptions to Maximum Fair Price including medications that are orphan drug designated and approved, for only one rare disease, and drugs with low Medicare spend as defined by CMS. In an effort to curb Medicare patients’ out-of-pocket costs for prescription drugs, the Part D redesign legislation requires manufacturers to contribute to the catastrophic coverage phase for Part D Drugs, as discounts through a manufacturer discount program. Various industry stakeholders have initiated lawsuits against the federal government asserting that the price negotiation provisions of the Inflation Reduction Act are unconstitutional. The impact of these judicial challenges as well as future actions and agency rules implemented by the government on us and the pharmaceutical industry as a whole is unclear. Furthermore,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any of the product candidates for which we receive approval.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has authorized the state of Florida to develop a program to import certain prescription drugs from Canada for a limited period to help reduce drug costs, provided that Florida’s Agency for Health Care Administration meets the requirements set forth by the FDA. Other states may follow Florida.</w:t>
      </w:r>
    </w:p>
    <w:p>
      <w:pPr>
        <w:spacing w:after="0" w:line="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expect that additional federal and state healthcare reform measures will be adopted in the future, any of which could limit the amounts that federal and state governments will pay for healthcare drugs and services, and in turn could significantly reduce the projected value of certain development projects and reduce our profitability and may increase our regulatory burdens and operating costs.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Moreover,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Healthcare Laws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our product and any product candidates that obtain regulatory approval and are marketed in the United States, our arrangements, directly or indirectly, with third-party payors, healthcare providers,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Our employees, consultants, and commercial partners may engage in misconduct or other improper activities, including non-compliance with regulatory standards and requirements. Federal and state healthcare laws and regulations that may affect our ability to conduct business, include, without limitation:</w:t>
      </w:r>
    </w:p>
    <w:p>
      <w:pPr>
        <w:spacing w:after="0" w:line="70" w:lineRule="exact"/>
        <w:rPr>
          <w:sz w:val="20"/>
          <w:szCs w:val="20"/>
          <w:color w:val="auto"/>
        </w:rPr>
      </w:pPr>
    </w:p>
    <w:p>
      <w:pPr>
        <w:ind w:left="940" w:hanging="473"/>
        <w:spacing w:after="0" w:line="286"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Department of Justice, and other government authority prohibitions against the advertisement, promotion and labeling of our products for off-label uses, or uses outside the specific indications approved by the FDA;</w:t>
      </w:r>
    </w:p>
    <w:p>
      <w:pPr>
        <w:spacing w:after="0" w:line="49" w:lineRule="exact"/>
        <w:rPr>
          <w:rFonts w:ascii="Times New Roman" w:cs="Times New Roman" w:eastAsia="Times New Roman" w:hAnsi="Times New Roman"/>
          <w:sz w:val="17"/>
          <w:szCs w:val="17"/>
          <w:color w:val="auto"/>
        </w:rPr>
      </w:pPr>
    </w:p>
    <w:p>
      <w:pPr>
        <w:jc w:val="both"/>
        <w:ind w:left="940" w:hanging="473"/>
        <w:spacing w:after="0" w:line="264"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broadly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Medicare or Medicaid. A person or entity does not need to have actual knowledge of the statute or specific intent to violate it to have committed a violation;</w:t>
      </w:r>
    </w:p>
    <w:p>
      <w:pPr>
        <w:spacing w:after="0" w:line="67" w:lineRule="exact"/>
        <w:rPr>
          <w:rFonts w:ascii="Times New Roman" w:cs="Times New Roman" w:eastAsia="Times New Roman" w:hAnsi="Times New Roman"/>
          <w:sz w:val="17"/>
          <w:szCs w:val="17"/>
          <w:color w:val="auto"/>
        </w:rPr>
      </w:pPr>
    </w:p>
    <w:p>
      <w:pPr>
        <w:jc w:val="both"/>
        <w:ind w:left="940" w:hanging="473"/>
        <w:spacing w:after="0" w:line="257"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which prohibits, among other things, individuals or entities from knowingly presenting, or causing to be presented, false claims, or knowingly using false statements, to obtain payment from the federal government. These laws have been interpreted to apply to arrangements between manufacturers, on the one hand, and prescribers, purchasers, and other healthcare-related professionals on the other. They can apply to manufacturers who provide inaccurate information on coverage, coding, and reimbursement of their products to persons who bill third-party payers. In addition, manufacturers have been prosecuted or faced civil and criminal liability under these laws for a variety of alleged promotional and marketing activities, including violations of the federal Anti-Kickback Statute and engaging in off-label promotion that caused claims to be submitted for non-covered off-label uses. Private individuals can bring False Claims Act “qui tam” actions, on behalf of the government and such individuals, commonly known as “whistleblowers,” may share in amounts paid by the entity to the government in fines or settlement;</w:t>
      </w:r>
    </w:p>
    <w:p>
      <w:pPr>
        <w:spacing w:after="0" w:line="76" w:lineRule="exact"/>
        <w:rPr>
          <w:rFonts w:ascii="Times New Roman" w:cs="Times New Roman" w:eastAsia="Times New Roman" w:hAnsi="Times New Roman"/>
          <w:sz w:val="17"/>
          <w:szCs w:val="17"/>
          <w:color w:val="auto"/>
        </w:rPr>
      </w:pPr>
    </w:p>
    <w:p>
      <w:pPr>
        <w:jc w:val="both"/>
        <w:ind w:left="940" w:hanging="473"/>
        <w:spacing w:after="0" w:line="264"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Insurance Portability and Accountability Act of 1996 (“HIPAA”), as amended, which among other things, also created criminal liability for knowingly and willfully falsifying or concealing a material fact or making a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7" w:lineRule="exact"/>
        <w:rPr>
          <w:rFonts w:ascii="Times New Roman" w:cs="Times New Roman" w:eastAsia="Times New Roman" w:hAnsi="Times New Roman"/>
          <w:sz w:val="17"/>
          <w:szCs w:val="17"/>
          <w:color w:val="auto"/>
        </w:rPr>
      </w:pPr>
    </w:p>
    <w:p>
      <w:pPr>
        <w:ind w:left="940" w:hanging="473"/>
        <w:spacing w:after="0" w:line="286"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criminal laws that prohibit executing a scheme to defraud any healthcare benefit program or making, or causing to be made, false statements relating to healthcare matters;</w:t>
      </w:r>
    </w:p>
    <w:p>
      <w:pPr>
        <w:spacing w:after="0" w:line="49" w:lineRule="exact"/>
        <w:rPr>
          <w:rFonts w:ascii="Times New Roman" w:cs="Times New Roman" w:eastAsia="Times New Roman" w:hAnsi="Times New Roman"/>
          <w:sz w:val="17"/>
          <w:szCs w:val="17"/>
          <w:color w:val="auto"/>
        </w:rPr>
      </w:pPr>
    </w:p>
    <w:p>
      <w:pPr>
        <w:jc w:val="both"/>
        <w:ind w:left="940" w:hanging="473"/>
        <w:spacing w:after="0" w:line="269"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the U.K. Bribery Act of 2010, and other local anti-corruption laws that apply to our international activities;</w:t>
      </w:r>
    </w:p>
    <w:p>
      <w:pPr>
        <w:spacing w:after="0" w:line="113" w:lineRule="exact"/>
        <w:rPr>
          <w:rFonts w:ascii="Times New Roman" w:cs="Times New Roman" w:eastAsia="Times New Roman" w:hAnsi="Times New Roman"/>
          <w:sz w:val="17"/>
          <w:szCs w:val="17"/>
          <w:color w:val="auto"/>
        </w:rPr>
      </w:pPr>
    </w:p>
    <w:p>
      <w:pPr>
        <w:jc w:val="both"/>
        <w:ind w:left="940" w:hanging="473"/>
        <w:spacing w:after="0" w:line="264"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 Sunshine Act (“Open Payments”), and implementing regulations, which require applicable group purchasing organizations and manufacturers of covered drugs, medical devices, biologicals and medical supplies for which payment is available under Medicare, Medicaid, or the Children’s Health Insurance Program to report annually to the CMS information related to certain payments and other transfers of value made to covered recipients, including licensed physicians (defined to include doctors,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940"/>
        <w:spacing w:after="0" w:line="269" w:lineRule="auto"/>
        <w:rPr>
          <w:sz w:val="20"/>
          <w:szCs w:val="20"/>
          <w:color w:val="auto"/>
        </w:rPr>
      </w:pPr>
      <w:r>
        <w:rPr>
          <w:rFonts w:ascii="Times New Roman" w:cs="Times New Roman" w:eastAsia="Times New Roman" w:hAnsi="Times New Roman"/>
          <w:sz w:val="17"/>
          <w:szCs w:val="17"/>
          <w:color w:val="auto"/>
        </w:rPr>
        <w:t>dentists, optometrists, podiatrists and chiropractors), certain non-physician healthcare professionals (such as physician assistants and nurse practitioners, among others), and teaching hospitals, and information regarding ownership and investment interests held by physicians and their immediate family members;</w:t>
      </w:r>
    </w:p>
    <w:p>
      <w:pPr>
        <w:spacing w:after="0" w:line="64" w:lineRule="exact"/>
        <w:rPr>
          <w:sz w:val="20"/>
          <w:szCs w:val="20"/>
          <w:color w:val="auto"/>
        </w:rPr>
      </w:pPr>
    </w:p>
    <w:p>
      <w:pPr>
        <w:jc w:val="both"/>
        <w:ind w:left="940" w:hanging="473"/>
        <w:spacing w:after="0" w:line="256"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pharmaceutical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foreign and state laws, including the EU General Data Protection Regulation (“GDPR”) and a version of the GDPR adopted in the United Kingdom (“UK GDPR”), and state laws and regulations, including general legislation such as the California Consumer Protection Act (“CCPA”), and sector- or subject matter-specific laws and regulations, governing the privacy and security of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scope and enforcement of each of these laws are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may not comply with current or future statutes, regulations, or case law involving applicable fraud and abuse or other healthcare laws and regulations, and we could also be subject to claims, demands, and litigation initiated by private individuals or entities related to these matters. If our operations, including those of our contractors or agents who conduct business for or on our behalf, are alleged or found to be in violation of any of these laws or any other related governmental regulations that may apply to us, we may be subject to significant civil, criminal, and administrative penalties, damages, fines, imprisonment, disgorgement, exclusion of drugs from government funded healthcare programs, such as Medicare and Medicaid, reputational harm, additional oversight, and reporting obligations if we becomes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alleged or found to be not in compliance with applicable laws, they may be subject to similar actions, penalties, and sanctions, which may also adversely affect our business. Ensuring business arrangements comply with applicable healthcare laws, as well as responding to possible investigations by government authorities, can be time- and resource-consuming and can divert a company’s attention from the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Privacy and Data Protection Laws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are subject to laws and regulations covering data privacy and the protection of health-related and other personal information. Federal, state, and foreign laws also govern the privacy and security of health information in some circumstances. For example, 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 State data privacy and security laws may differ from each other in significant ways and often are not pre-empted by HIPAA, which may complicate compliance efforts in states or jurisdictions we conduct business. For example, in 2020, California enacted the CCPA, which created new individual privacy rights for California consumers, as defined in the law, and placed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The CCPA went into effect on January 1, 2020 and became enforceable by the California Attorney General on July 1, 2020. It was further amended and supplemented by the California Privacy Rights Act, which became effective on January 1, 2023, and imposes additional privacy and security obligations on companies doing business in California. While there is currently an exception in the CCPA for protected health information that is subject to HIPAA and clinical trial regulations, as currently written, numerous other states have enacted legislation similar to the CCPA, and several states have</w:t>
      </w:r>
    </w:p>
    <w:p>
      <w:pPr>
        <w:spacing w:after="0" w:line="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enacted other privacy and security legislation, such as Washington’s My Health, My Data Act, which includes a private right of action. The CCPA and such other new and evolving legislation may impact our business activities significantly, and these and other applicable state and foreign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privacy laws, as well as uncertain changes in future regulation and legislation, could impact our business strategies, increase our potential liability, increase our compliance costs, and adversely affect our business.</w:t>
      </w:r>
    </w:p>
    <w:p>
      <w:pPr>
        <w:spacing w:after="0" w:line="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collection and use of personal health data in the European Union are governed by the GDPR and applicable member state legislation. The GDPR and related member state legislation impose several requirements relating to consent of the individuals to whom the personal data relates, information provided to the individuals, and the security and confidentiality of personal data. Legislation similar to the GDPR, the UK GDPR, also has been adopted in the United Kingdom. The GDPR and UK GDPR also impose strict rules on the transfer of personal data out of the European Union and United Kingdom, respectively, to the U.S. Both the GDPR and UK GDPR provide for substantial fines for noncompliance. Failure to comply with the requirements of the GDPR, UK GDPR, or data protection laws of European Union member states may result in fines and other administrative penalties. The GDPR and UK GDPR may impose additional responsibility and liability in relation to personal data that we process and we may be required to put in place additional mechanisms in an effort to achieve and maintain compliance with their obligations. This may be onerous and adversely affect our business, financial condition, results of operations, and prospects.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Regulatory Matters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European Drug Development</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Europe, any future drug products for which we receive marketing authorization will also be subject to extensive regulatory requirements. As in the United States, medicinal products can only be marketed if a marketing authorization from the competent regulatory agencies has been obtained. Similar to the United States, the various phases of preclinical and clinical research in Europe are subject to significant regulatory controls. Although the European Union Clinical Trials Directive 2001/20/EC (“Clinical Trials Directive”) has sought to harmonize the EU clinical trials regulatory framework, setting out common rules for the control and authorization of clinical trials in the EU, the EU member states have transposed and applied the provisions of the Clinical Trials Directive differently. This has led to significant variations in the member state regimes. Under the current regime, before a clinical trial can be initiated, it must be approved in each of the EU member states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2014, a new Clinical Trials Regulation 536/2014 (“Clinical Trials Regulation”), replacing the current Directive, was adopted. The Clinical Trials Regulation will become directly applicable in all EU member states (without national implementation) once the EU Portal and Database are fully functional. The implementation of the Clinical Trials Regulation depends on confirmation of full functionality of the Clinical Trials Information System through an independent audit, which commenced in September 2020. This system went into application in first quarter of 2022. From January 31, 2025, any trials approved under the Clinical Trials Directive that continue running will need to comply with the Clinical Trials Regulation, and their sponsors must enter information on the trials in the Clinical Trials Information System. The Clinical Trials Regulation seeks to simplify and streamline the approval of clinical trials in the European Union. For example, the sponsor can submit a single application for approval of a clinical trial via the EU Portal. As part of the application process, the sponsor will propose a reporting member state, which will coordinate the validation and evaluation of the application. The reporting member state shall consult and coordinate with the other member states in which the clinical trial will take place, also referred to as the Member States Concerned. If an application is rejected, it can be amended and resubmitted through the EU Portal. If an approval is issued, the sponsor can start the clinical trial in all Member States Concerned. However, a Member State Concerned can in limited circumstances declare an “opt-out” from an approval. In such a case, the clinical trial cannot be conducted in that member state. The Clinical Trials Regulation also aims to streamline and simplify the rules on safety reporting and introduces enhanced transparency requirements such as mandatory submission of a summary of the clinical trial results to the EU Database.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European Drug Review and Approval</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European Economic Area (“EEA”), which is comprised of the 27 EU member states plus Norway, Iceland, and Liechtenstein, medicinal products can only be commercialized after obtaining approval of an EU marketing authorization application (“MAA”). There are two types of marketing authorizations. The first is the community or centralized EU MAA, which is issued by the European Commission through the Centralized Procedure, based on the opinion of the Committee for Medicinal Products for Human Use (“CHMP”) of the European Medicines Agency and which is valid throughout the entire territory of the EEA. The Centralized Procedure is mandatory for certain types of drugs, such as biotechnology medicinal drugs, orphan medicinal drugs, and medicinal drugs containing a new active substance indicated for the treatment of AIDS, cancer, neurodegenerative disorders, diabetes, auto-immune, and viral diseases. The Centralized Procedure is optional for drugs containing a new active substance not yet authorized in the EEA, or for drugs that constitute a significant therapeutic, scientific, or technical innovation or which are in the interest of public health in the EU.</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National EU MAAs,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EU MAA can be recognized in another member states through the Mutual Recognition Procedure. If the drug has not received a National EU MAA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EU MAA is sought, one of which is selected by the applicant as the Reference Member State (“RMS”). The competent authority of the RMS prepares a draft assessment report, a draft summary of the drug characteristics (“SPC”), and a draft of the labeling and package leaflet, which are sent to the other member states, or the Member States Concerned, for their approval. If the Member States Concerned raise no objections, based on a potential serious risk to public health, to the assessment, SPC, labeling, or packaging proposed by the RMS, the drug is subsequently granted a national EU MAA in all the member states, i.e., in the RMS and the Member States Concerned.</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Under the above-described procedures, before granting the EU MAA, the EMA or the competent authorities of the member states of the EEA make an assessment of the risk-benefit balance of the drug on the basis of scientific criteria concerning its quality, safety, and efficacy.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European Chemical Entity Exclusivity</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Europe, new chemical entities, sometimes referred to as new active substances, qualify for eight years of data exclusivity upon marketing authorization and an additional two years of market exclusivity. This data exclusivity, if granted, prevents regulatory authorities in the EU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Brexit and the Regulatory Framework in the United Kingdom</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June 23, 2016, the electorate in the United Kingdom voted in favor of leaving the EU, commonly referred to as Brexit. Thereafter, on March 29, 2017, the country formally notified the EU of its intention to withdraw pursuant to Article 50 of the Lisbon Treaty. The United Kingdom formally left the EU on January 31, 2020. A transition period began on February 1, 2020, during which EU pharmaceutical law remains applicable to the United Kingdom and ended on December 31,</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2020. Although the United Kingdom is no longer a member of the EU, EU law remains applicable in Northern Ireland, as set forth in the Protocol on Ireland and Northern Ireland and as amended by the Windsor Framework, which will be implemented in Northern Ireland on January 1, 2025. There are a number of new marketing authorization routes available in the United Kingdom, Great Britain (England, Scotland and Wales) or Northern Ireland, in addition to the national procedure. As with the EU position, a company can only start to market a medicine in the United Kingdom once it has received a marketing authorization. The main legislation that applies to clinical trials in the United Kingdom is the United Kingdom Medicines for Human Use (Clinical Trials) Regulations 2004, which transposes the Clinical Trials Directive into domestic law. Consequently, the requirements and obligations that relate to the conduct of clinical trials in the UK currently remain largely aligned with the EU position. It is unclear how future regulatory regime in the United Kingdom will impact regulations of products, manufacturers, and approval of product candidates in the United Kingdom.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Foreign Countries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other countries outside of the United States and the European Union, the requirements governing the conduct of clinical trials, drug approval or marketing authorization, pricing, and reimbursement vary from country to country. In all cases, clinical trials must be conducted in accordance with GCP requirements and the applicable regulatory requirements and the ethical principles that have their origin in the Declaration of Helsinki, which is a statement of ethical principles for medical research involving human subjects, including research on identifiable human material and data, developed by the World Medical Association.</w:t>
      </w:r>
    </w:p>
    <w:p>
      <w:pPr>
        <w:spacing w:after="0" w:line="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 and Human Capital</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We have operated by leveraging skilled experts, consultants, contract research organizations, and contractors to manage our clinical operations, manufacturing, research and development, and other functions under the leadership and direction of our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 We will continue to expand our infrastructure to manage our operations, including commercial with additional full-time employees.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2024, we had 40 full-time or part-time employees. Of these employees, 23 employees were engaged in research and development activities and 17 employees were engaged in selling, general and administrative activities. In connection with the FYARRO Divestiture, 16 employees remained with Aadi Subsidiary, Inc., and 6 employees departed the company. As a result, following the FYARRO Divestiture, we have 18 full-time or part-time employees. None of our employees are represented by labor unions or covered by collective bargaining agreements. We consider the relationship with our employees to be good.</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human capital resources objectives include, as applicable, identifying, recruiting, retaining, incentivizing and integrating our existing and additional employees, advisors and consultants, while being committed to a diverse and dynamic workplace.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Corporate Information</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were originally incorporated in the State of Delaware in November 2007 under the name “Zeta Acquisition Corp. II.” Zeta Acquisition Corp. II was a “shell” company registered under the Exchange Act with no specific business plan or purpose until it began operating the business of Aerpio Pharmaceuticals, Inc. through a merger in March 2017. In August 2021, we effected a reverse merger pursuant to which a wholly owned subsidiary of ours, merged with and into Aadi Subsidiary, Inc. (formerly known as Aadi Bioscience, Inc. or "Private Aadi") (“Aadi Subsidiary”), with Aadi Subsidiary surviving as a wholly owned subsidiary of ours (the "Merger"). Upon the closing of the Merger, we changed our name from “Aerpio Pharmaceuticals, Inc.” to “Aadi Bioscience, Inc.” and the name of Private Aadi was changed from “Aadi Bioscience, Inc.” to “Aadi Subsidiary, Inc.”</w:t>
      </w:r>
    </w:p>
    <w:p>
      <w:pPr>
        <w:spacing w:after="0" w:line="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In connection with the FYARRO Divestiture, KAKEN acquired 100% of the outstanding shares of capital stock of Aadi Subsidiary. On March 18, 2025, in connection with such transaction, we changed our name from "Aadi Bioscience, Inc." to "Whitehawk Therapeutics, Inc."</w:t>
      </w:r>
    </w:p>
    <w:p>
      <w:pPr>
        <w:spacing w:after="0" w:line="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Since March 2025, our principal executive offices have been located at 2 Headquarters Plaza, East Building, 11</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Morristown, NJ 07960. Prior to March 2025, our principal executive offices were located at 17383 Sunset Boulevard, Suite A250, Pacific Palisades, California 90272. We maintain a website at www.whitehawktx.com, to which we regularly post copies of our press releases as well as additional information about us. Our filings with the Securities and Exchange Commission (the “SEC”) will be available free of charge through the website as soon as reasonably practicable after being electronically filed with or furnished to the SEC. Information contained in our website does not constitute a part of this Annual Report on Form 10-K or any of our other filings with the SEC unless specifically incorporated herein by reference. In addition, our filings with the SEC may be accessed through the SEC’s Electronic Data Gathering, Analysis, and Retrieval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Please see page 2 of this Annual Report for a discussion of some of the forward-looking statements that are qualified by these risk factors. If any of the following risks actually occur, our business, financial condition, results of operations and future growth prospects could be materially and adversely affected.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business is subject to numerous risks and uncertainties that you should be aware of in evaluating our business, including those described in Part I, Item 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Factors” in this Annual Report on Form 10-K. These risks include, but are not limited to, the following:</w:t>
      </w:r>
    </w:p>
    <w:p>
      <w:pPr>
        <w:spacing w:after="0" w:line="97" w:lineRule="exact"/>
        <w:rPr>
          <w:sz w:val="20"/>
          <w:szCs w:val="20"/>
          <w:color w:val="auto"/>
        </w:rPr>
      </w:pPr>
    </w:p>
    <w:p>
      <w:pPr>
        <w:ind w:left="940" w:hanging="319"/>
        <w:spacing w:after="0" w:line="286"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preclinical-stage biopharmaceutical company, have a limited operating history and have three preclinical products in development, which may make it difficult for you to evaluate our current business and likelihood of success and viability.</w:t>
      </w:r>
    </w:p>
    <w:p>
      <w:pPr>
        <w:spacing w:after="0" w:line="49"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net losses since our inception, and we expect to continue to incur significant net losses for the foreseeable future.</w:t>
      </w:r>
    </w:p>
    <w:p>
      <w:pPr>
        <w:spacing w:after="0" w:line="113" w:lineRule="exact"/>
        <w:rPr>
          <w:rFonts w:ascii="Times New Roman" w:cs="Times New Roman" w:eastAsia="Times New Roman" w:hAnsi="Times New Roman"/>
          <w:sz w:val="17"/>
          <w:szCs w:val="17"/>
          <w:color w:val="auto"/>
        </w:rPr>
      </w:pPr>
    </w:p>
    <w:p>
      <w:pPr>
        <w:ind w:left="940" w:hanging="319"/>
        <w:spacing w:after="0" w:line="286"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revenue and achieve profitability depends significantly on our ability to achieve several objectives relating to the discovery, development and commercialization of the ADC Therapies and any other product candidates that we may develop in the future.</w:t>
      </w:r>
    </w:p>
    <w:p>
      <w:pPr>
        <w:spacing w:after="0" w:line="49" w:lineRule="exact"/>
        <w:rPr>
          <w:rFonts w:ascii="Times New Roman" w:cs="Times New Roman" w:eastAsia="Times New Roman" w:hAnsi="Times New Roman"/>
          <w:sz w:val="17"/>
          <w:szCs w:val="17"/>
          <w:color w:val="auto"/>
        </w:rPr>
      </w:pPr>
    </w:p>
    <w:p>
      <w:pPr>
        <w:ind w:left="940" w:hanging="319"/>
        <w:spacing w:after="0" w:line="286"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36" w:lineRule="exact"/>
        <w:rPr>
          <w:rFonts w:ascii="Times New Roman" w:cs="Times New Roman" w:eastAsia="Times New Roman" w:hAnsi="Times New Roman"/>
          <w:sz w:val="17"/>
          <w:szCs w:val="17"/>
          <w:color w:val="auto"/>
        </w:rPr>
      </w:pPr>
    </w:p>
    <w:p>
      <w:pPr>
        <w:jc w:val="both"/>
        <w:ind w:left="940" w:hanging="319"/>
        <w:spacing w:after="0" w:line="258"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obtain United States or foreign regulatory approval for the ADC Therapies or any other product candidates that we may develop in the future and, as a result, may be unable to commercialize any such product candidates and in such event our business will be substantially harmed.</w:t>
      </w:r>
    </w:p>
    <w:p>
      <w:pPr>
        <w:spacing w:after="0" w:line="275"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may not be successful in growing our product pipeline through acquisitions and in-licenses.</w:t>
      </w:r>
    </w:p>
    <w:p>
      <w:pPr>
        <w:spacing w:after="0" w:line="113" w:lineRule="exact"/>
        <w:rPr>
          <w:rFonts w:ascii="Times New Roman" w:cs="Times New Roman" w:eastAsia="Times New Roman" w:hAnsi="Times New Roman"/>
          <w:sz w:val="17"/>
          <w:szCs w:val="17"/>
          <w:color w:val="auto"/>
        </w:rPr>
      </w:pPr>
    </w:p>
    <w:p>
      <w:pPr>
        <w:jc w:val="both"/>
        <w:ind w:left="940" w:hanging="319"/>
        <w:spacing w:after="0" w:line="269"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contract with qualified third parties for the production of pre-clinical product supplies, and expect to continue to do so for supplies needed for clinical trials. This reliance on third parties increases the risk that we will not have sufficient quality and quantities of product supplies to meet demand or otherwise or such quantities at an acceptable cost, which could delay, prevent or impair our development or commercialization efforts.</w:t>
      </w:r>
    </w:p>
    <w:p>
      <w:pPr>
        <w:spacing w:after="0" w:line="63" w:lineRule="exact"/>
        <w:rPr>
          <w:rFonts w:ascii="Times New Roman" w:cs="Times New Roman" w:eastAsia="Times New Roman" w:hAnsi="Times New Roman"/>
          <w:sz w:val="17"/>
          <w:szCs w:val="17"/>
          <w:color w:val="auto"/>
        </w:rPr>
      </w:pPr>
    </w:p>
    <w:p>
      <w:pPr>
        <w:ind w:left="940" w:hanging="319"/>
        <w:spacing w:after="0" w:line="286"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spacing w:after="0" w:line="49" w:lineRule="exact"/>
        <w:rPr>
          <w:rFonts w:ascii="Times New Roman" w:cs="Times New Roman" w:eastAsia="Times New Roman" w:hAnsi="Times New Roman"/>
          <w:sz w:val="17"/>
          <w:szCs w:val="17"/>
          <w:color w:val="auto"/>
        </w:rPr>
      </w:pPr>
    </w:p>
    <w:p>
      <w:pPr>
        <w:ind w:left="940" w:hanging="319"/>
        <w:spacing w:after="0" w:line="286"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experience delays or difficulties in the enrollment and/or maintenance of patients in clinical trials, our regulatory submissions or receipt of necessary regulatory approvals could be delayed or prevented.</w:t>
      </w:r>
    </w:p>
    <w:p>
      <w:pPr>
        <w:spacing w:after="0" w:line="49" w:lineRule="exact"/>
        <w:rPr>
          <w:rFonts w:ascii="Times New Roman" w:cs="Times New Roman" w:eastAsia="Times New Roman" w:hAnsi="Times New Roman"/>
          <w:sz w:val="17"/>
          <w:szCs w:val="17"/>
          <w:color w:val="auto"/>
        </w:rPr>
      </w:pPr>
    </w:p>
    <w:p>
      <w:pPr>
        <w:ind w:left="940" w:hanging="319"/>
        <w:spacing w:after="0" w:line="286"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resources and are currently focusing our efforts on developing the ADC Therapies for particular indications. As a result, we may fail to capitalize on other indications or product candidates that may ultimately prove to be more profitable or to have a greater likelihood of success.</w:t>
      </w:r>
    </w:p>
    <w:p>
      <w:pPr>
        <w:spacing w:after="0" w:line="49" w:lineRule="exact"/>
        <w:rPr>
          <w:rFonts w:ascii="Times New Roman" w:cs="Times New Roman" w:eastAsia="Times New Roman" w:hAnsi="Times New Roman"/>
          <w:sz w:val="17"/>
          <w:szCs w:val="17"/>
          <w:color w:val="auto"/>
        </w:rPr>
      </w:pPr>
    </w:p>
    <w:p>
      <w:pPr>
        <w:jc w:val="both"/>
        <w:ind w:left="940" w:hanging="319"/>
        <w:spacing w:after="0" w:line="269"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63" w:lineRule="exact"/>
        <w:rPr>
          <w:rFonts w:ascii="Times New Roman" w:cs="Times New Roman" w:eastAsia="Times New Roman" w:hAnsi="Times New Roman"/>
          <w:sz w:val="17"/>
          <w:szCs w:val="17"/>
          <w:color w:val="auto"/>
        </w:rPr>
      </w:pPr>
    </w:p>
    <w:p>
      <w:pPr>
        <w:ind w:left="940" w:hanging="319"/>
        <w:spacing w:after="0" w:line="286"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opportunities for the ADC Therapies and other product candidates we may develop in the future, if approved, may be limited to certain smaller patient subsets.</w:t>
      </w:r>
    </w:p>
    <w:p>
      <w:pPr>
        <w:spacing w:after="0" w:line="49" w:lineRule="exact"/>
        <w:rPr>
          <w:rFonts w:ascii="Times New Roman" w:cs="Times New Roman" w:eastAsia="Times New Roman" w:hAnsi="Times New Roman"/>
          <w:sz w:val="17"/>
          <w:szCs w:val="17"/>
          <w:color w:val="auto"/>
        </w:rPr>
      </w:pPr>
    </w:p>
    <w:p>
      <w:pPr>
        <w:jc w:val="both"/>
        <w:ind w:left="940" w:hanging="319"/>
        <w:spacing w:after="0" w:line="269"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is highly dependent on our ability to attract and retain highly skilled executive officers, key scientific personnel and employees. If we fail to attract and retain such personnel, we may be unable to continue to successfully develop or commercialize our product or any future product candidates or otherwise implement our business plan, including consummating potential strategic transactions.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40" w:hanging="319"/>
        <w:spacing w:after="0" w:line="286"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on our ability to protect and strengthen our intellectual property and our proprietary technologies, including our ability to obtain patent term extension for our product or any future product candidates.</w:t>
      </w:r>
    </w:p>
    <w:p>
      <w:pPr>
        <w:spacing w:after="0" w:line="49" w:lineRule="exact"/>
        <w:rPr>
          <w:rFonts w:ascii="Times New Roman" w:cs="Times New Roman" w:eastAsia="Times New Roman" w:hAnsi="Times New Roman"/>
          <w:sz w:val="17"/>
          <w:szCs w:val="17"/>
          <w:color w:val="auto"/>
        </w:rPr>
      </w:pPr>
    </w:p>
    <w:p>
      <w:pPr>
        <w:ind w:left="940" w:hanging="319"/>
        <w:spacing w:after="0" w:line="286"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intellectual property licensed from third parties and termination of any of these licenses could result in the loss of significant rights, which would harm our business.</w:t>
      </w:r>
    </w:p>
    <w:p>
      <w:pPr>
        <w:spacing w:after="0" w:line="49" w:lineRule="exact"/>
        <w:rPr>
          <w:rFonts w:ascii="Times New Roman" w:cs="Times New Roman" w:eastAsia="Times New Roman" w:hAnsi="Times New Roman"/>
          <w:sz w:val="17"/>
          <w:szCs w:val="17"/>
          <w:color w:val="auto"/>
        </w:rPr>
      </w:pPr>
    </w:p>
    <w:p>
      <w:pPr>
        <w:ind w:left="940" w:hanging="319"/>
        <w:spacing w:after="0" w:line="286"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and expect to continue to rely, on third parties to conduct our preclinical studies and clinical trials and those third parties may not perform satisfactorily.</w:t>
      </w:r>
    </w:p>
    <w:p>
      <w:pPr>
        <w:spacing w:after="0" w:line="49"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the risks associated with doing business in China.</w:t>
      </w:r>
    </w:p>
    <w:p>
      <w:pPr>
        <w:spacing w:after="0" w:line="113"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U.S.-China trade relations may adversely impact our supply chain operations and business.</w:t>
      </w:r>
    </w:p>
    <w:p>
      <w:pPr>
        <w:spacing w:after="0" w:line="113" w:lineRule="exact"/>
        <w:rPr>
          <w:rFonts w:ascii="Times New Roman" w:cs="Times New Roman" w:eastAsia="Times New Roman" w:hAnsi="Times New Roman"/>
          <w:sz w:val="17"/>
          <w:szCs w:val="17"/>
          <w:color w:val="auto"/>
        </w:rPr>
      </w:pPr>
    </w:p>
    <w:p>
      <w:pPr>
        <w:ind w:left="940" w:hanging="319"/>
        <w:spacing w:after="0" w:line="286"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and legal proceedings may substantially increase our costs and harm our business, irrespective of outcome, including any securities class action litigation that might occur in connection with potential strategic transactions.</w:t>
      </w:r>
    </w:p>
    <w:p>
      <w:pPr>
        <w:spacing w:after="0" w:line="49"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 price is volatile.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Financial Condition and Capital Requirements</w:t>
      </w:r>
    </w:p>
    <w:p>
      <w:pPr>
        <w:spacing w:after="0" w:line="11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 preclinical-stage biopharmaceutical company, have a limited operating history and had a single product approved for commercial sale that we have divested, which may make it difficult for you to evaluate our current business and likelihood of success and viability.</w:t>
      </w:r>
    </w:p>
    <w:p>
      <w:pPr>
        <w:spacing w:after="0" w:line="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We are a preclinical-stage biopharmaceutical company with a limited operating history upon which you can evaluate our business and prospects. </w:t>
      </w:r>
      <w:r>
        <w:rPr>
          <w:rFonts w:ascii="Times New Roman" w:cs="Times New Roman" w:eastAsia="Times New Roman" w:hAnsi="Times New Roman"/>
          <w:sz w:val="17"/>
          <w:szCs w:val="17"/>
          <w:color w:val="231F20"/>
        </w:rPr>
        <w:t>We had a single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product, FYARRO, approved for commercial sale by the FDA in November 2021 and launched commercially in the United States </w:t>
      </w:r>
      <w:r>
        <w:rPr>
          <w:rFonts w:ascii="Times New Roman" w:cs="Times New Roman" w:eastAsia="Times New Roman" w:hAnsi="Times New Roman"/>
          <w:sz w:val="17"/>
          <w:szCs w:val="17"/>
          <w:color w:val="000000"/>
        </w:rPr>
        <w:t>for treatment of</w:t>
      </w:r>
      <w:r>
        <w:rPr>
          <w:rFonts w:ascii="Times New Roman" w:cs="Times New Roman" w:eastAsia="Times New Roman" w:hAnsi="Times New Roman"/>
          <w:sz w:val="17"/>
          <w:szCs w:val="17"/>
          <w:color w:val="231F20"/>
        </w:rPr>
        <w:t xml:space="preserve"> advanced malignant PEComa in February 2022. We generated net product sales for FYARRO of $26.0 million and $24.4 million for the years ended December 31, 2024 and 2023, respectively. In March 2025, we divested FYARRO pursuant to a </w:t>
      </w:r>
      <w:r>
        <w:rPr>
          <w:rFonts w:ascii="Times New Roman" w:cs="Times New Roman" w:eastAsia="Times New Roman" w:hAnsi="Times New Roman"/>
          <w:sz w:val="17"/>
          <w:szCs w:val="17"/>
          <w:color w:val="000000"/>
        </w:rPr>
        <w:t>Stock Purchase Agreement (the “Divestiture Agreement”), dated December 19, 2024, with</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KAKEN INVESTMENTS INC., a Delaware corporation (“KAKEN”), KAKEN PHARMACEUTICAL CO., LTD, and Aadi Subsidiary, Inc., a Delaware corporation and our former wholly owned subsidiary and the operating company for the FYARRO Business (“Aadi Subsidiary”). We recently entered into an intellectual property license agreement (the “License Agreement”) with WuXi Biologics (Shanghai FX) Co., Ltd. (“WuXi Biologics”) for the development and global commercialization of a portfolio of three next generation antibody drug conjugates (“ADC Therapies”) targeting clinically validated, broadly overexpressed tumor antigens in high potential cancer indications with significant unmet need. Accordingly, we continue to incur significant research and development and other expenses related to such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To date, we have devoted substantially all of our resources to research and development activities, business planning, establishing and maintaining our intellectual property portfolio, the commercialization of FYARRO, hiring personnel, raising capital and providing general and administrative support for these operations.</w:t>
      </w:r>
    </w:p>
    <w:p>
      <w:pPr>
        <w:spacing w:after="0" w:line="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just recently acquired the ADC Therapies and have not commenced clinical trials with the product candidates. As a result, it may be more difficult for you to accurately predict our likelihood of success and viability than it could be if we had a longer operating history. In addition, we may encounter unforeseen expenses, difficulties, complications, delays and other known and unknown factors and risks frequently experienced by preclinical-stage biopharmaceutical companies in rapidly evolving fields.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net losses since our inception, and we expect to continue to incur significant net losses for the foreseeable future.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231F20"/>
        </w:rPr>
        <w:t>We have incurred significant net losses since our inception, have only generated revenue from product sales for a portion of our operating history (February 2022 through March 2025), and have financed our operations principally through private placements and public offerings of our securities, federal grants and proceeds from licenses. Our net losses were $63.7 million and $65.8 million for the years ended December 31, 2024 and 2023, respectively. We had an accumulated deficit of $332.7 million and $269.0 million as of December 31, 2024 and 2023, respectively. These losses have resulted primarily from costs incurred in connection with research and development activities, costs incurred in connection with developing and commercializing FYARRO and general and administrative costs associated with our operations. As a result of our acquisition of the ADC Therapies, we expect to continue to incur significant selling, general and administrative expenses as well as research and development expenses related to our ongoing operations, including, identifying and designing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231F20"/>
        </w:rPr>
        <w:t>additional product candidates, conducting preclinical studies and clinical trials for our product candidates, and navigating the regulatory approval process for the ADC Therapies and any future product candidates. Although we expect our expenses to decrease overall given the recent divestiture of FYARRO, including related commercial and clinical expenses, and headcount reductions, the amount of our future expenses and potential losses is uncertain.</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231F20"/>
        </w:rPr>
        <w:t>Even if we succeed in receiving regulatory approval for and commercializing one or more of our current and future product candidates, we expect to continue to incur significant expenses and increasing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our ability to achieve and maintain profitability and the performance of our stock.</w:t>
      </w:r>
    </w:p>
    <w:p>
      <w:pPr>
        <w:spacing w:after="0" w:line="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generate revenue and achieve profitability depends significantly on our ability to achieve several objectives relating to the discovery, development and commercialization of the ADC Therapies and other product candidates that we may develop in the future.</w:t>
      </w:r>
    </w:p>
    <w:p>
      <w:pPr>
        <w:spacing w:after="0" w:line="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ability to generate product sales depends on our ability, alone or with strategic collaboration partners, to obtain the regulatory and marketing approvals necessary to successfully complete discovery, development and eventual commercialization of one or more of the ADC Therapies or any future product candidates, and commercialize any such product candidates, if approved, in foreign jurisdictions. We do not anticipate generating revenue from product sales for the foreseeable future. Our ability to generate future revenue and achieve profitability depends significantly on our ability, or any current or future collaborator’s ability, to achieve several objectives, including, but not limited to:</w:t>
      </w:r>
    </w:p>
    <w:p>
      <w:pPr>
        <w:spacing w:after="0" w:line="70" w:lineRule="exact"/>
        <w:rPr>
          <w:sz w:val="20"/>
          <w:szCs w:val="20"/>
          <w:color w:val="auto"/>
        </w:rPr>
      </w:pPr>
    </w:p>
    <w:p>
      <w:pPr>
        <w:ind w:left="620" w:hanging="308"/>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demonstrating the safety and efficacy of the ADC Therapies to the satisfaction of the FDA and obtaining regulatory approval for ADC Therapies and for any other product candidates that we may develop in the future, if any, for which there is a commercial market;</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launching and successfully commercializing the ADC Therapies or any other product candidates that we may develop in the future following any regulatory approval, including the development of a commercial infrastructure, whether in-house or with one or more collaborators;</w:t>
      </w:r>
    </w:p>
    <w:p>
      <w:pPr>
        <w:spacing w:after="0" w:line="49"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commercially viable supply of, and manufacturing relationships with third parties that can provide adequate, in both amount and quality, products and services to support clinical development and meet the market demand for the ADC Therapies or any other product candidates that we may develop in the future, if approved;</w:t>
      </w:r>
    </w:p>
    <w:p>
      <w:pPr>
        <w:spacing w:after="0" w:line="6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development activities successfully and on a timely basis;</w:t>
      </w:r>
    </w:p>
    <w:p>
      <w:pPr>
        <w:spacing w:after="0" w:line="113"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complete investigational new drug (“IND”) application enabling studies and successfully submit INDs or IND supplements or comparable applications, which become effective without any objections by the FDA or comparable regulatory authorities before commencing a clinical trial for the ADC Therapies and any future product candidates;</w:t>
      </w:r>
    </w:p>
    <w:p>
      <w:pPr>
        <w:spacing w:after="0" w:line="6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relationships with contract research organizations (“CROs”) and clinical sites for the future clinical development of the ADC Therapies and any other future product candidates that we may develop;</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timely receipt of regulatory approvals from applicable regulatory authorities for any product candidates for which we successfully complete clinical development;</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or contracting for an efficient and scalable manufacturing process for the ADC Therapies and any future product candidates, including obtaining finished products that are appropriately packaged for sale;</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regulatory approval, negotiating and maintaining an adequate price for the ADC Therapies or any future product candidates, both in the United States and in foreign countries where our products are commercialized;</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continued acceptable safety profile following any regulatory approval of product candidates;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acceptance of product candidates by patients, the medical community and third-party payors;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coverage and adequate reimbursement by third-party payors for any product candidates;</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satisfying any required post-regulatory approval commitments to applicable regulatory authorities; identifying, assessing and developing new product candidates;</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maintaining and expanding patent protection, trade secret protection and regulatory exclusivity, both in the United States and internationally;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hanging="308"/>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protecting our rights in our intellectual property portfolio;</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defending against third-party interference or infringement claims, if any;</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entering into and maintaining, on favorable terms, any collaboration, licensing or other arrangements that may be necessary or desirable to develop, manufacture or commercialize the ADC Therapies and any future product candidates; and</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addressing any competing therapies and technological and market developments and attracting, hiring and retaining qualified personnel.</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spacing w:after="0" w:line="6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this will continue as a result of our ongoing and planned activities, particularly the clinical development of the ADC Therapies.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trials or the development of any future product candidates. Other unanticipated costs may also arise. In addition, even if we obtain regulatory approval for the ADC Therapies or any other product candidates that we may develop in the future, we expect to incur significant commercialization expenses related to sales, marketing, manufacturing and distribution activities and ongoing compliance activities. We cannot reasonably estimate the actual amount of resources and funding that will be necessary to successfully complete the development and, if approved, commercialize the ADC Therapies or any other product candidates we may develop. In addition, we have incurred, and will continue to incur, additional costs associated with operating as a public company. Accordingly, we will need to obtain substantial additional funding in order to continue our operations.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Changing circumstances, some of which may be beyond our control, could cause us to consume capital significantly faster than we currently anticipate, and we may need to seek additional funds sooner than planned.</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plan to use our cash, cash equivalents and short-term investments to fund the clinical development of the ADC Therapies, for manufacturing operations and to fund our other research for other product candidates and development activities, as well as for working capital and other general corporate purposes. Advancing the development of the ADC Therapies and any future product candidate will require a significant amount of capital. Our existing cash, cash equivalents and short-term investments will not be sufficient to fund all of the activities that are necessary to complete the development of the ADC Therapies and any future product candidates.</w:t>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develop the ADC Therapies or any other product candidates we may develop in the future, if approved. Adequate additional financing may not be available to us in sufficient amounts or on acceptable terms, or at all. To the extent that we raise additional capital through the sale of equity or convertible debt securities, our stockholders’ ownership interest will be diluted, and the terms may include liquidation or other preferences that adversely affect stockholder rights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 are not favorable to us, which may have a material adverse effect on our business, operating results and prospects. Our ability to raise additional funds may be adversely impacted by potential worsening global economic conditions and the recent disruptions to, and volatility in, the credit and financial markets in the United States and worldwide resulting from rising inflation and interest rates, monetary policy changes, the implementation of tariffs, the conflicts in Ukraine and the Middle East, and otherwise. In addition, we may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seek additional capital due to favorable market conditions or strategic considerations even if we believe we have sufficient funds for our current or future operating plans.</w:t>
      </w:r>
    </w:p>
    <w:p>
      <w:pPr>
        <w:spacing w:after="0" w:line="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 programs, clinical trials or future commercialization efforts.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Discovery, Development and Commercialization of Our Product Candidates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Following the FYARRO Divestiture, we do not have any approved products and our pipeline will comprise solely of preclinical assets. The ADC Therapies are early in development. Going forward, our business will depend on our ability to advance our current and future product candidates through preclinical studies and clinical trials and obtain regulatory approval of our product candidates, which may fail in development or suffer delays that adversely affect their commercial viability.</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Following the FYARRO Divestiture, we will not have any approved products and our pipeline will comprise solely of preclinical assets. Going forward, our business and future operating results will be dependent on our ability to successfully advance, develop and obtain regulatory approval for and/or commercialize our current and future product candidates and discover or in-license additional preclinical or clinical assets. Our ability to generate product or other revenue, which we do not expect will occur for many years, if ever, will depend heavily on the successful development and eventual commercialization of our product candidates, which may never occur.</w:t>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Prior to initiating clinical trials of our product candidates, we will need to initiate or complete IND-enabling studies for each of our ADC Therapies and we will need to file an IND or similar application to the FDA or regulatory authorities in other jurisdictions. We expect to submit an IND with respect to our lead product candidate HWK-007 in the second half of 2025 but we may not be able to file the INDs for our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 If we experience failures, setbacks or delays in our preclinical studies, clinical trials, manufacturing or regulatory efforts, our business may be materially harmed.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success of other product candidates we may develop will depend on many factors, including the following:</w:t>
      </w:r>
    </w:p>
    <w:p>
      <w:pPr>
        <w:spacing w:after="0" w:line="114" w:lineRule="exact"/>
        <w:rPr>
          <w:sz w:val="20"/>
          <w:szCs w:val="20"/>
          <w:color w:val="auto"/>
        </w:rPr>
      </w:pPr>
    </w:p>
    <w:p>
      <w:pPr>
        <w:ind w:left="620" w:hanging="308"/>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generating sufficient preclinical data to support the initiation of clinical trials;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regulatory permission to initiate clinical trials;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contracting with the necessary parties to conduct preclinical studies and clinical trials;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enrollment of patients in, and the completion of, clinical trials on a timely basis;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timely manufacture of sufficient quantities of a product candidate for use in clinical trials; and</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generating sufficient safety and efficacy data to warrant continued development and which are satisfactory to the FDA or any other regulatory authority for marketing approval.</w:t>
      </w:r>
    </w:p>
    <w:p>
      <w:pPr>
        <w:spacing w:after="0" w:line="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Even if we successfully advance any of the ADC Therapies or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spacing w:after="0" w:line="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Through the License Agreement, we are transitioning to a new preclinical pipeline and pursuing different targets and indications from those we have historically pursued, which has risks.</w:t>
      </w:r>
    </w:p>
    <w:p>
      <w:pPr>
        <w:spacing w:after="0" w:line="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We are in-licensing the ADC Therapies, which are focused on new targets and indications that are different from the targets and indications for FYARRO. Transitioning to a new product candidate pipeline has many risks, including the ability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obtain sufficient capital to cover expenses to fund operations. These risks may be further exacerbated by the FYARRO Divestiture, as FYARRO has historically been our only source of revenue. The ADC Therapies represent a new preclinical pipeline with new targets and indications from historical current clinical pipeline and FYARRO. As a result, we have competitors that are better established in the market, have greater experience with such line of business or have greater resources than we do. Furthermore, certain of our current employees may have limited experience with discovery, research and development, preclinical studies and clinical trials relating to ADC Therapies and may have limited experience with respect to other programs we may explore as we seek to expand our pipeline. We may also be required to incur additional costs, including hiring additional personnel or equipment or engaging with new service providers. We may also have issues with the transfer of materials or learnings.</w:t>
      </w:r>
    </w:p>
    <w:p>
      <w:pPr>
        <w:spacing w:after="0" w:line="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ADC Therapies have never been tested in humans. They are comprised of antibodies that have never been tested in humans and linker-payloads that are currently in clinical trials run by independent third parties for other indications.</w:t>
      </w:r>
    </w:p>
    <w:p>
      <w:pPr>
        <w:spacing w:after="0" w:line="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product candidates are next-generation ADC Therapies using the same linker-payload designed by Hangzhou DAC and new antibodies designed by WuXi Biologics. Though ADC-based product candidates have been or are currently being evaluated by others in clinical trials using similar targets or the same linker-payload architectures, our product candidates and their antibody components have never been evaluated in human clinical trials. If our product candidates encounter safety or efficacy problems, developmental delays or regulatory issues or other problems, such problems could impact the development plans for our other product candidates because all of our product candidates are currently use the same linker-payload architecture.</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Additionally, if the ADC Therapies being developed by other third parties that use the same linker-payload as our product candidates encounter safety or efficacy problems, our product candidates may face challenges from a development, regulatory or commercialization perspective. Lack of efficacy, adverse events, undesirable side effects or other adverse results may emerge in clinical trials conducted by third parties investigating a similar product candidate or product candidates using the same or similar linkers, payloads or antibodies. Those adverse results can adversely affect the development, approval and commercialization of our product candidates.</w:t>
      </w:r>
    </w:p>
    <w:p>
      <w:pPr>
        <w:spacing w:after="0" w:line="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Additionally, WuXi Biologics and Hangzhou DAC may enter into other licenses or collaboration partners that allow more third parties to develop and commercialize product candidates with the same or similar components, thereby increasing these risks. Lastly, the linker payloads may use highly potent cytotoxins and payloads that require special manufacturing and handling, which can pose additional risks.</w:t>
      </w:r>
    </w:p>
    <w:p>
      <w:pPr>
        <w:spacing w:after="0" w:line="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not achieve adequate market acceptance among physicians, patients, healthcare payors and others in the medical community necessary for commercial success, which would limit the revenue that we generate from our sales.</w:t>
      </w:r>
    </w:p>
    <w:p>
      <w:pPr>
        <w:spacing w:after="0" w:line="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Even if our product candidates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spacing w:after="0" w:line="64" w:lineRule="exact"/>
        <w:rPr>
          <w:sz w:val="20"/>
          <w:szCs w:val="20"/>
          <w:color w:val="auto"/>
        </w:rPr>
      </w:pPr>
    </w:p>
    <w:p>
      <w:pPr>
        <w:ind w:left="620" w:hanging="308"/>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safety profile as demonstrated in clinical trials compared to alternative treatments;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market introduction of the product candidate as well as competitive products;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a product candidate is approved;</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and perceived advantages of our product candidates over alternative treatments;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treatment in relation to alternative treatments;</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coverage and adequate reimbursement by third-party payors, including government authorities or the willingness of patients to pay out-of-pocket in the absence of third-party payor coverage;</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an approved product candidate for use as a combination therapy;</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adverse effects associated with any approved product candidate;</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restrictions on the use of our product candidates together with other medications;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convenience and ease of administration;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hanging="308"/>
        <w:spacing w:after="0" w:line="286"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the target patient population to try new therapies and undergo required diagnostic screening to determine treatment eligibility and of physicians to prescribe these therapies and diagnostic tests;</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sales and marketing efforts;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publicity relating to our product candidates; and</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other new therapies for the same indications.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Even if a product candidate is approved,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 may require us to demonstrate that any product candidates, in addition to treating target indications, also provide incremental health benefits to patients. Our efforts to educate the medical community and third-party payors about the benefits of any product candidates may require significant resources and may never be successful.</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market opportunities for the ADC Therapies and any other product candidates we may develop in the future, if approved, may be limited to certain smaller patient subsets.</w:t>
      </w:r>
    </w:p>
    <w:p>
      <w:pPr>
        <w:spacing w:after="0" w:line="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number of patients who have the cancers we are targeting may turn out to be lower than expected. Our projections of addressable patient populations that may benefit from treatment with our product or any future product candidates are based on our estimates, which may prove to be incorrect. Additionally, the potentially addressable patient population for any product candidates may be limited or may not be amenable to treatment with such product.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develop could be significantly diminished and have an adverse material impact on our business.</w:t>
      </w:r>
    </w:p>
    <w:p>
      <w:pPr>
        <w:spacing w:after="0" w:line="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Even if we obtain significant market share for any future approved product, if the potential target populations are small, we may never achieve profitability without obtaining regulatory approval for additional indications.</w:t>
      </w:r>
    </w:p>
    <w:p>
      <w:pPr>
        <w:spacing w:after="0" w:line="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Any product candidates for which we may obtain regulatory approval, may become subject to unfavorable third-party coverage and reimbursement practices, as well as pricing regulations.</w:t>
      </w:r>
    </w:p>
    <w:p>
      <w:pPr>
        <w:spacing w:after="0" w:line="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product candidate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any product candidates that we may develop in the future.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There is significant uncertainty related to third-party payor coverage and reimbursement of newly approved products, which would include any product candidate for which we may obtain regulatory approval. Market acceptance and sales of any product candidates for which we obtain regulatory approval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As a result, any product candidate we may develop may not be considered medically necessary or cost effective. We cannot be sure that coverage and reimbursement will be available for any product that we may commercialize and, if reimbursement is available, what the level of reimbursement will be.</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(the “American Rescue Plan”),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as well as future legislative, executive, and administrative actions and agency rules implemented by the Trump administration on us and the pharmaceutical industry as a whole is unclear. A number of states are considering or have recently enacted state drug price transparency and reporting laws that could substantially increase our compliance burdens and expose us to greater liability under such laws after obtaining regulatory approval for any of the product candidates that we may develop. The implementation of cost containment measures or other healthcare reforms may prevent us from being able to generate revenue, attain profitability, or commercialize any product candidates that we may develop, if approved. Complying with any new legislation and regulatory changes could be time-intensive and expensive, resulting in a material adverse effect on our business.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Outside the United States, the commercialization of therapeutics is generally subject to extensive governmental price controls and other market regulations, and we believe the increasing emphasis on cost containment initiatives in Europe,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Canada and other countries has and will continue to put pressure on the pricing and usage of therapeutics such as any product candidates that we may develop,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any product candidate that we may develop, if approved,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any product candidates that we may develop, if approved. Accordingly, in markets outside the United States, the reimbursement for any other products that we may develop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spacing w:after="0" w:line="2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we are unable to establish or sustain coverage and adequate reimbursement for any product candidates that we may develop, if approved, from third-party payors, the adoption of those other products if approved, the prices of those other products, if approved, and sales revenue from those products if approved will be adversely affected, which, in turn, could adversely affect the ability to market or sell any product candidates that we may develop, if approved. Moreover, coverage policies and third-party payor reimbursement rates, including those of government payors, may change at any time and it is unclear what effect legislative, executive, and administrative actions and any future healthcare measures and agency rules will have on the number of covered individuals. Even if favorable coverage and reimbursement status is attained for one or more product candidates that we may develop for which we receive regulatory approval, it is possible that less favorable coverage policies and reimbursement rates may be implemented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obtain FDA approval of any future NDA for any other product candidates we may develop.</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clinical development, manufacturing, labeling, packaging, storage, recordkeeping, advertising, promotion, export, import, marketing and distribution and other possible activities relating to any product candidate that we may develop are subject to extensive regulation in the United States. Prior to the approval of our NDA for FYARRO for advanced malignant PEComa, we had not submitted an application for approval or obtained FDA approval for any product.</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those goals and their impact on specific clinical programs and the industry are unclear. Despite the time and expense associated with preclinical studies and clinical trials, failure can occur at any stage, and we could encounter problems that require us to repeat or perform additional preclinical studies or clinical trials or 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w:t>
      </w:r>
    </w:p>
    <w:p>
      <w:pPr>
        <w:spacing w:after="0" w:line="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 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w:t>
      </w:r>
    </w:p>
    <w:p>
      <w:pPr>
        <w:spacing w:after="0" w:line="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Failure to obtain marketing approval in international jurisdictions would prevent any product candidates that we may develop, if approved, from being marketed abroad.</w:t>
      </w:r>
    </w:p>
    <w:p>
      <w:pPr>
        <w:spacing w:after="0" w:line="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order to market and sell our products in the European Union and in any other foreign jurisdictions, we must obtain separate marketing approvals and comply with numerous and varying regulatory requirements. The approval procedure varies among countries and can involve additional testing. The time required to obtain approval may differ substantially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any product candidates that we may develop, if approved, in any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variety of risks associated with marketing any product candidates we may develop, if approved, internationally could affect our business.</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We may seek regulatory approval for product candidates outside of the United States and, accordingly, we expect that we will be subject to additional risks related to operating in foreign countries if we obtain the necessary approvals, including:</w:t>
      </w:r>
    </w:p>
    <w:p>
      <w:pPr>
        <w:spacing w:after="0" w:line="49" w:lineRule="exact"/>
        <w:rPr>
          <w:sz w:val="20"/>
          <w:szCs w:val="20"/>
          <w:color w:val="auto"/>
        </w:rPr>
      </w:pPr>
    </w:p>
    <w:p>
      <w:pPr>
        <w:ind w:left="620" w:hanging="308"/>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regulatory requirements in foreign countries;</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tariffs, trade barriers, price and exchange controls and other regulatory requirements;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weakness, including inflation, or political instability in particular foreign economies and markets;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tax, employment, immigration and labor laws for employees living or traveling abroad;</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taxes, including withholding of payroll taxes;</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fluctuations, which could result in increased operating expenses and reduced revenue, and other obligations incident to doing business in another country;</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staffing and managing foreign operations;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workforce uncertainty in countries where labor unrest is more common than in the United States;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liability under the United States Foreign Corrupt Practices Act (“FCPA”) or comparable foreign regulations;</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production shortages resulting from any events affecting raw material supply or manufacturing capabilities abroad; and</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interruptions resulting from geo-political actions, including war and terrorism.</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recent conflicts in Ukraine and the Middle East have led to, and could continue to lead to, disruption, instability and volatility in global markets and industries that could negatively impact our operations. For example,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and other risks associated with our international operations may compromise our ability to achieve or maintain profitability.</w:t>
      </w:r>
    </w:p>
    <w:p>
      <w:pPr>
        <w:spacing w:after="0" w:line="1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preclinical studies and clinical trials for the ADC Therapies or any other product candidates that we may develop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Before obtaining regulatory approval from the FDA, EMA or other foreign regulatory authorities for the sale of product candidates that we may develop, we, among other requirements, may need to complete preclinical development and extensive clinical trials to demonstrate with substantial evidence the safety and efficacy of such product candidates. Each product candidate must demonstrate an adequate risk versus benefit profile in our intended patient population and for our intended use. Drug product must also be manufactured and tested in accordance with regional regulatory requirements which may differ from region to region. Clinical testing is expensive, difficult to design and implement, can take many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years to complete and its ultimate outcome is inherently uncertain. A failure of one or more preclinical studies or clinical 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the ADC Therapies or any other product candidates we may develop.</w:t>
      </w:r>
    </w:p>
    <w:p>
      <w:pPr>
        <w:spacing w:after="0" w:line="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We may experience numerous unforeseen events during, or as a result of, clinical trials that could delay or prevent our ability to receive regulatory approval or our ability to commercialize any product candidates we may develop, including:</w:t>
      </w:r>
    </w:p>
    <w:p>
      <w:pPr>
        <w:spacing w:after="0" w:line="49" w:lineRule="exact"/>
        <w:rPr>
          <w:sz w:val="20"/>
          <w:szCs w:val="20"/>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feedback from regulatory authorities that require us to modify the design of our clinical trials;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or inconclusive clinical trial results that may require us to conduct additional clinical trials or abandon certain drug development programs;</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 sites or our CRO failing to comply with regulatory requirements or meet their contractual obligations to us in a timely manner, or at all;</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suspension or termination of our clinical trials for various reasons, including non-compliance with regulatory requirements or a finding that our product candidates have undesirable side effects or other unexpected characteristics;</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of our product candidates being greater than anticipated;</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quality of our product candidates or other materials necessary to conduct clinical trials of our product candidates being insufficient or inadequate; and</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due to health epidemics, such as the COVID-19 pandemic, including starting any clinical trials for other indications or programs.</w:t>
      </w:r>
    </w:p>
    <w:p>
      <w:pPr>
        <w:spacing w:after="0" w:line="1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For example, we initiated our PRECISION1 Phase 2 study of FYARRO in malignant solid tumors harboring </w:t>
      </w:r>
      <w:r>
        <w:rPr>
          <w:rFonts w:ascii="Times New Roman" w:cs="Times New Roman" w:eastAsia="Times New Roman" w:hAnsi="Times New Roman"/>
          <w:sz w:val="17"/>
          <w:szCs w:val="17"/>
          <w:i w:val="1"/>
          <w:iCs w:val="1"/>
          <w:color w:val="auto"/>
        </w:rPr>
        <w:t>TSC1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TSC2</w:t>
      </w:r>
      <w:r>
        <w:rPr>
          <w:rFonts w:ascii="Times New Roman" w:cs="Times New Roman" w:eastAsia="Times New Roman" w:hAnsi="Times New Roman"/>
          <w:sz w:val="17"/>
          <w:szCs w:val="17"/>
          <w:color w:val="auto"/>
        </w:rPr>
        <w:t xml:space="preserve"> inactivating alterations based on exploratory data from our completed Phase 2 registrational study, Advanced Malignant PEComa Trial (“AMPECT trial”), and data for FYARRO in other solid tumors with </w:t>
      </w:r>
      <w:r>
        <w:rPr>
          <w:rFonts w:ascii="Times New Roman" w:cs="Times New Roman" w:eastAsia="Times New Roman" w:hAnsi="Times New Roman"/>
          <w:sz w:val="17"/>
          <w:szCs w:val="17"/>
          <w:i w:val="1"/>
          <w:iCs w:val="1"/>
          <w:color w:val="auto"/>
        </w:rPr>
        <w:t>TSC1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TSC2</w:t>
      </w:r>
      <w:r>
        <w:rPr>
          <w:rFonts w:ascii="Times New Roman" w:cs="Times New Roman" w:eastAsia="Times New Roman" w:hAnsi="Times New Roman"/>
          <w:sz w:val="17"/>
          <w:szCs w:val="17"/>
          <w:color w:val="auto"/>
        </w:rPr>
        <w:t xml:space="preserve"> inactivating alterations. In August 2024, we had to halt, and subsequently wind-down, the PRECISION1 trial based on interim data and the related analysis by the Independent Data Monitoring Committee, which determined that the study was unlikely to exceed an efficacy threshold necessary to support an accelerated approval, the key goal of the study.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we are aware of several other approved and clinical-stage antibody drug conjugates products being developed by multiple other companies, and, as such, the development of the ADC Therapies and our stock price may be impacted by inferences, whether correct or not, that are drawn between the success of our product candidates and those of other companies’ antibody drug conjugates products.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in clinical trials may have received surgical, radiation and chemotherapy treatments and/or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do not know whether any clinical trials we may conduct will demonstrate consistent or adequate efficacy and safety sufficient to obtain approval to market any product candidates we may develop. If we are required to conduct additional clinical trials or other testing of any future product candidates beyond those that we currently contemplate, if we are unable to successfully complete clinical trials of any product candidates or other testing in a timely manner, if the results of these trials or tests are not positive or are only modestly positive or if there are safety concerns, we may (i) incur unplanned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costs, (ii) be delayed in seeking and obtaining regulatory approval for respective indications, if we receive such approval at all, (iii) receive more limited or restrictive regulatory approval for respective indications, (iv) be subject to additional post-marketing testing requirements or (v) have the drug removed from the market after obtaining regulatory approval. Even if regulatory approval is secured for any of our product candidates, the terms of such approval may limit the scope and use any product candidates, which may also limit their commercial potential.</w:t>
      </w:r>
    </w:p>
    <w:p>
      <w:pPr>
        <w:spacing w:after="0" w:line="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Any product candidates that we may develop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spacing w:after="0" w:line="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any product candidates that we may develop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their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any affected product candidate, could substantially increase the costs of commercializing our product(s), and significantly impact our ability to successfully commercialize any product candidates that we may develop, if approved, and generate revenues, and may harm our business, financial condition and prospects significantly.</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Any product candidates may be used in populations for which safety concerns may be particularly scrutinized by regulatory agencies. Patients treated with product candidates that we may develop may also be undergoing surgical, radiation and/or chemotherapy treatments, which can cause side effects or adverse events that are unrelated to the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If further significant adverse events or other side effects are observed in any of our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spacing w:after="0" w:line="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spacing w:after="0" w:line="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Further, if any product candidate that we may develop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the way the product is distributed or administered, (v) implement a risk evaluation and mitigation strategy, or create a medication guide outlining the risks of such side effects for distribution to patients, or (vi) suspend or withdraw the product from the market. We cannot predict whether any product candidates that we may develop will cause toxicities in humans that would preclude or lead to the revocation of regulatory approval based on preclinical studies or early-stage clinical trials.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Results from early preclinical studies and clinical trials of the ADC Therapies or any other product candidates that we may develop are not necessarily predictive of the results of later preclinical studies and clinical trials of such product candidates. If we cannot replicate the results from our earlier preclinical studies and clinical trials in our later preclinical studies and clinical trials, we may be unable to successfully develop, obtain regulatory approval for and commercialize any product candidates.</w:t>
      </w:r>
    </w:p>
    <w:p>
      <w:pPr>
        <w:spacing w:after="0" w:line="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Any results from early preclinical studies and clinical trials of product candidates that we may develop may not necessarily be predictive of the results from later preclinical studies and clinical trials. Similarly, even if we are able to complete preclinical studies and clinical trials according to our current development timeline, the results from such preclinical studies and clinical trials may not be replicated in subsequent preclinical studies or clinical trial results.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relating to open-label clinical trials.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Some of our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biases, including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any product candidates when studied in a controlled environment with a placebo or active control.</w:t>
      </w:r>
    </w:p>
    <w:p>
      <w:pPr>
        <w:spacing w:after="0" w:line="6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Interim, topline and preliminary data from our clinical trials that we announce or publish from time to time may change as more patient data become available or as additional analyses are conducted and are subject to audit, independent radiographic or clinical review, and verification procedures that could result in material changes in the final data.</w:t>
      </w:r>
    </w:p>
    <w:p>
      <w:pPr>
        <w:spacing w:after="0" w:line="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From time to time, we may publicly disclose preliminary, interim or topline data from our clinical trials.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independent radiographic or clinical review,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that we may develop may be harmed, which could harm our business, financial condition, results of operations and prospects.</w:t>
      </w:r>
    </w:p>
    <w:p>
      <w:pPr>
        <w:spacing w:after="0" w:line="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Adverse results of clinical trials conducted by third parties investigating the same product candidates as us in different territories could adversely affect our development of such product candidate.</w:t>
      </w:r>
    </w:p>
    <w:p>
      <w:pPr>
        <w:spacing w:after="0" w:line="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we may in the future enter into collaborations for the development and commercialization of the ADC Therapies or other product candidates that we may develop in certain foreign jurisdictions. As part of these collaborations, we may grant such collaboration partners with the right to develop and commercialize the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same compounds licensed to us, including the ADC Therapies, in such foreign jurisdictions. As a result, we may not have control over clinical trials or development programs of such third parties that we may collaborate with in the future, and any adverse findings or unexpected side effects from such third party’s conduct of clinical trials could adversely affect our development and commercialization of the ADC Therapies, if approved, or the viability of the ADC Therapies as a product candidate. We may be required to report these adverse events or unexpected side effects to the FDA or comparable foreign regulatory authorities, which could, among other things, order us to cease further development of the ADC Therapies.</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the enrollment and/or maintenance of patients in clinical trials, our regulatory submissions or receipt of necessary regulatory approvals could be delayed or prevented.</w:t>
      </w:r>
    </w:p>
    <w:p>
      <w:pPr>
        <w:spacing w:after="0" w:line="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may not be able to initiate or continue clinical trials for the ADC Therapies or any future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identify and enroll eligible patients for clinical trials may be limited or may result in slower enrollment than we anticipate. In particular, because we are focused on patients with specific genetic alterations for certain of our development programs, our ability to enroll eligible patients may be limited or may result in slower enrollment than anticipated.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the ADC Therapies or other product candidates.</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Patient enrollment may be affected if our competitors have ongoing clinical trials for product candidates that are under development for the same indications as the ADC Therapies or any future product candidates, and patients who would otherwise be eligible for our clinical trials instead enroll in clinical trials of our competitors’ product candidates.</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clinical trials may be affected by other factors, including:</w:t>
      </w:r>
    </w:p>
    <w:p>
      <w:pPr>
        <w:spacing w:after="0" w:line="64" w:lineRule="exact"/>
        <w:rPr>
          <w:sz w:val="20"/>
          <w:szCs w:val="20"/>
          <w:color w:val="auto"/>
        </w:rPr>
      </w:pPr>
    </w:p>
    <w:p>
      <w:pPr>
        <w:ind w:left="620" w:hanging="308"/>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size and nature of the patient population;</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severity of the disease under investigation;</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and efficacy of approved drugs for the disease under investigation;</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 eligibility criteria for the trial in question as defined in the protocol or as mandated by regulatory agencies;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risks and benefits of the product candidate under study;</w:t>
      </w:r>
    </w:p>
    <w:p>
      <w:pPr>
        <w:spacing w:after="0" w:line="113"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spacing w:after="0" w:line="6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recruit clinical study investigators with the appropriate competencies and experience;</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clinicians’ willingness to screen their patients for biomarkers to indicate which patients may be eligible for enrollment in our clinical trials;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 referral practices of physicians;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and maintain patient consents;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monitor patients adequately during and after treatment;</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proximity and availability of clinical trial sites for prospective patients; and</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factors we may not be able to control, such as current or potential pandemics that may limit patients, principal investigators or staff or clinical site availability (e.g., the COVID-19 pandemic).</w:t>
      </w:r>
    </w:p>
    <w:p>
      <w:pPr>
        <w:spacing w:after="0" w:line="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inability to enroll a sufficient number of patients for our clinical trials could result in significant delays or may require us to abandon one or more clinical trials altogether. Furthermore, any negative results we may report in clinical trials of the ADC Therapies or any future product candidates may make it difficult or impossible to recruit and retain patients in other clinical trials we are conducting. Similarly, negative results reported by our competitors about their ADC drug candidates may negatively affect patient recruitment in our clinical trials. Enrollment delays in our clinical trials may result in increased development costs for the ADC Therapies and any other product candidates that we may develop and jeopardize our ability to obtain regulatory approval for such product candidates. Furthermore, even if we are able to enroll a sufficient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number of patients for our clinical trials, there is a risk that patients enrolled in clinical trials will drop out of the trials before completion or, because they may be late-stage cancer patients, may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develop product candidates in combination with other therapies, which exposes us to additional risks.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may develop product candidates, in combination with one or more currently approved or unapproved therapies to treat cancer or other diseases. Patients may not be able to tolerate product candidates in combination with other therapies or dosing of product candidates in combination with other therapies may have unexpected consequences. Even if any of our product candidates that we develop in the future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such products, or safety, efficacy, manufacturing or supply issues could arise with these existing therapies. In addition, it is possible that existing therapies with which product candidates are approved for use could themselves fall out of favor or be relegated to later lines of treatment. This could result in the need to identify other combination therapies for product candidates, the FDA, EMA or comparable foreign regulatory authorities in other jurisdictions requiring additional clinical trials, or our own products being removed from the market or being less successful commercially.</w:t>
      </w:r>
    </w:p>
    <w:p>
      <w:pPr>
        <w:spacing w:after="0" w:line="2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may also evaluate product candidates in combination with one or more other therapies that have not yet been approved for marketing by the FDA, EMA or comparable foreign regulatory authorities. We will not be able to market and sell product candidate in combination with any such unapproved therapies that do not ultimately obtain regulatory approval.</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the FDA, EMA or other comparable foreign regulatory authorities do not approve or revoke their approval of these other therapies, or if safety, efficacy, commercial adoption, manufacturing or supply issues arise with the therapies we choose to evaluate in combination with product candidate, we may be unable to obtain approval of or successfully market product candidates we develop. These unapproved therapies face the same risks described with respect to product candidates currently in development, including serious adverse effects and delays in their clinical trials. In addition, other companies may also develop their products or product candidates in combination with the unapproved therapies with which we are developing product candidates for use in combination. Any setbacks in these companies’ clinical trials, including the emergence of serious adverse effects, may delay or prevent the development and approval of product candidates that we may develop in the future.</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Additionally, if the third-party providers of therapies or therapies in development used in combination with product candidates are unable to produce sufficient quantities for clinical trials or for commercialization of product candidates, if approved, or if the cost of combination therapies are prohibitive, our development and commercialization efforts would be impaired, which would have an adverse effect on our business, financial condition, results of operations and growth prospects.</w:t>
      </w:r>
    </w:p>
    <w:p>
      <w:pPr>
        <w:spacing w:after="0" w:line="2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face substantial competition in oncology and in the ADC field,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Many companies are active in the oncology market and are developing or marketing products for the specific therapeutic markets that we target, including both antibody- and non-antibody-based therapies. Similarly, we also face competition from other companies and institutions that continue to invest in innovation in the ADC field, including new payload classes, new conjugation approaches and new targeting moieties. Specifically, we are aware of multiple companies with ADC technologies that may be competitive with our products and product candidates, including, but not limited to, AbbVie, Daiichi Sankyo, Day One Biopharmaceuticals, Eli Lilly, Genmab, GlaxoSmithKline, Gilead, Kelun, Mersana, Sanofi, Roche, Pfizer and Zymeworks. There are hundreds of ADCs in development, the vast majority of which were being developed for the treatment of cancer.</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industry is characterized by rapidly advancing technologies, intense competition and a strong emphasis on proprietary products. We face competition with respect to our current products and product candidates and will face competition with respect to any products and product candidates that we may seek to develop or commercialize in the future. We expect changes to the treatment paradigm, including potential new entrants and new approvals across the lines of therapies. New technologies, procedures or treatments could change the patient population and their eligibility to use our product candidates, raise expectations regarding safety and efficacy results that are necessary for regulatory approval and, if approved, adoption by the medical community, or otherwise render our products and product candidates obsolete and there can be no assurance that our products and product candidates would be able to compete effectively. If we are unable to</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compete with these new treatment options, physicians may not utilize our products and our future revenues and estimates may be negatively impacted.</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competitors include large pharmaceutical and biotechnology companies, academic institutions, government agencies and other public and private research organizations that conduct research, seek patent protection and establish collaborative arrangements for research, development, manufacturing and commercialization.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The product candidates we may develop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any product candidates we may develop, if approved, could be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methods of product candidate manufacturing or formulation may result in additional costs or delay.</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material changes will require regulatory approval before implementation and carry the risk that they will not achieve these intended objectives. Any of these changes could cause any product candidate that we may develop to perform differently and affect the results of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any product candidates that we may develop, if approved, and generate revenue.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growing our product pipeline through acquisitions and in-licenses.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such as with the in-license of the ADC Therapies,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28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entails a significant risk of product liability and if we are unable to obtain sufficient insurance coverage such inability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any product candidates that we may develop. For example, we may be sued if the ADC Therapies or any other product candidates that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Regulatory Approval and Other Legal Compliance Matters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If the FDA does not conclude that a product candidate and/or new indications satisfy the requirements under the 505(b)(2) regulatory pathway, or if the requirements for such product candidate and/or new indications under Section 505(b)(2) are not as we expect, the approval pathway for such product candidates and/or new indications may take longer, cost more or entail greater complications and risks than anticipated, which may delay or prevent the approval of a product candidate and/or new indications for commercial use.</w:t>
      </w:r>
    </w:p>
    <w:p>
      <w:pPr>
        <w:spacing w:after="0" w:line="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submitted a Section 505(b)(2) NDA to the FDA in May 2021 for FYARRO for the treatment of advanced malignant PEComa, and the FDA approved the NDA on November 22, 2021. However, we may not be successful in obtaining FDA approval under 505(b)(2) regulatory pathway for the ADC Therapies or any other product candidates that we may develop.</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Moreover, even if any new indication or product candidate is approved under the Section 505(b)</w:t>
      </w:r>
    </w:p>
    <w:p>
      <w:pPr>
        <w:spacing w:after="0" w:line="5" w:lineRule="exact"/>
        <w:rPr>
          <w:sz w:val="20"/>
          <w:szCs w:val="20"/>
          <w:color w:val="auto"/>
        </w:rPr>
      </w:pPr>
    </w:p>
    <w:p>
      <w:pPr>
        <w:ind w:firstLine="3"/>
        <w:spacing w:after="0" w:line="265" w:lineRule="auto"/>
        <w:tabs>
          <w:tab w:leader="none" w:pos="24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pathway, the approval may be subject to limitations on the indicated uses for which we may be marketed or to other conditions of approval, or may contain requirements for costly post-marketing testing and surveillance to monitor the safety or efficacy of the product.</w:t>
      </w:r>
    </w:p>
    <w:p>
      <w:pPr>
        <w:spacing w:after="0" w:line="6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obtain United States approval for product candidates that we may develop or foreign regulatory approval for product candidates that we may develop and, as a result, may be unable to commercialize any product candidates and in such event our business will be substantially harmed.</w:t>
      </w:r>
    </w:p>
    <w:p>
      <w:pPr>
        <w:spacing w:after="0" w:line="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ADC Therapies and other product candidates that we may develop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Disruptions at the FDA and other agencies, such as previous delays or disruptions due to the COVID-19 pandemic, travel restrictions, and staffing shortages, may also slow the time necessary for new product candidates to be reviewed and/or approved by necessary government agencies, which would adversely affect our business. In response to the COVID-19 pandemic, after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pace and approval timelines could be extended, including where a pre-approval inspection or an inspection of clinical sites is required.</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EMA and other comparable foreign regulatory authorities are lengthy, time consuming and inherently unpredictable. If we are ultimately unable to obtain regulatory approval for product candidates that we may develop, we will be unable to generate product revenue, and our business will be substantially harmed.</w:t>
      </w:r>
    </w:p>
    <w:p>
      <w:pPr>
        <w:spacing w:after="0" w:line="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if we eventually complete clinical testing and receive approval for any product candidates that we may develop,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Other than FYARRO, we have not obtained regulatory approval for any product candidate, and it is possible that none of our current or future product candidates will ever obtain regulatory approval.</w:t>
      </w:r>
    </w:p>
    <w:p>
      <w:pPr>
        <w:spacing w:after="0" w:line="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Further, regulatory approval may be delayed for reasons beyond our control. For example, a United States federal government shutdown or budget sequestration, such as ones that occurred during 2013, 2018 and 2019, or the diversion of resources to handle the COVID-19 public health emergency and pandemic may result in significant reductions to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FDA’s budget, employees and operations, which may lead to slower response times and longer review periods, potentially affecting our ability to obtain regulatory approval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Applications for any future product candidates could fail to receive regulatory approval for many reasons, including the following:</w:t>
      </w:r>
    </w:p>
    <w:p>
      <w:pPr>
        <w:spacing w:after="0" w:line="114" w:lineRule="exact"/>
        <w:rPr>
          <w:sz w:val="20"/>
          <w:szCs w:val="20"/>
          <w:color w:val="auto"/>
        </w:rPr>
      </w:pPr>
    </w:p>
    <w:p>
      <w:pPr>
        <w:ind w:left="620" w:hanging="308"/>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other comparable foreign regulatory authorities may disagree with the design, implementation or results of our clinical trials;</w:t>
      </w:r>
    </w:p>
    <w:p>
      <w:pPr>
        <w:spacing w:after="0" w:line="113"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spacing w:after="0" w:line="6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population studied in the clinical trial may not be sufficiently broad or representative to assure efficacy and safety in the full population for which we seek approval;</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other comparable foreign regulatory authorities may disagree with our interpretation of data from preclinical studies or clinical trials;</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to the FDA, EMA or other comparable foreign regulatory authorities that our product candidate’s risk-benefit ratio for our proposed indication is acceptable;</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other comparable regulatory authorities may fail to approve companion diagnostic tests for our product candidates, if required; and</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policies or regulations of the FDA, EMA or other comparable foreign regulatory authorities may significantly change in a manner rendering our clinical data insufficient for approval.</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FDA, EMA and other comparable foreign regulatory authorities may not accept data from trials conducted in locations outside of their jurisdiction.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clinical trials have been and may in the future be undertaken in the United States. We may choose to conduct additional clinical trials internationally as well.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relating to regulatory uncertainty in foreign jurisdictions.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Brexit and uncertainty in the regulatory framework as well as future legislation in the United Kingdom,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future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a product candidate will be harmed.</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Following Brexit, to the extent we conduct any operations in the United Kingdom, we will be subject to applicable regulatory requirements in the United Kingdom. Although the United Kingdom is no longer a member of the European Union, European Union law remains applicable in Northern Ireland, as set forth in the Protocol on Ireland and Northern Ireland and as amended by the Windsor Framework, which was implemented in Northern Ireland on January 1, 2025. There are a number of new marketing authorization routes available in the United Kingdom, Great Britain (England, Scotland and Wales) or Northern Ireland, in addition to the national procedure. As with the European Union position, a company can only start to market a medicine in the United Kingdom once it has received a marketing authorization. The main legislation that applies to clinical trials in the United Kingdom is the UK Medicines for Human Use (Clinical Trials) Regulations 2004, which transposes the Clinical Trials Directive into domestic law. Consequently, the requirements and obligations that relate to the conduct of clinical trials in the United Kingdom currently remain largely aligned with the European Union position. It is unclear how future regulatory regime in the United Kingdom will impact regulations of products, manufacturers, and approval of product candidates in the United Kingdom. In the immediately foreseeable future, the United Kingdom regulatory approval process is likely to remain similar to that applicable in the European Union, albeit that the processes for applications will be separate. Longer term, the United Kingdom is likely to develop its own legislation that diverges from that in the European Union.</w:t>
      </w:r>
    </w:p>
    <w:p>
      <w:pPr>
        <w:spacing w:after="0" w:line="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ADC Therapies and any other product candidate we may develop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any product candidate we may develop when and if any of them are approved.</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ADC Therapies and any other product candidate we may develop in the future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standards. Accordingly, we and others with whom we work must continue to expend time, money, and effort in all areas of regulatory compliance, including manufacturing, production, and quality control.</w:t>
      </w:r>
    </w:p>
    <w:p>
      <w:pPr>
        <w:spacing w:after="0" w:line="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If marketing approval of the ADC Therapies and any other product candidate we may develop is granted, such product candidates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We may be required, as a condition of approval of an NDA for a product candidate, to conduct certain post-marketing requirements (“PMR”) and/or post-marketing commitments (“PMC”). If we fail to comply with the PMR and/or PMC, the FDA may take enforcement actions, which may include, among other things, the issuance of a Warning Letter and assessing civil monetary penalties. The product may also be deemed misbranded.</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any product candidate that we may develop in the future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w:t>
      </w:r>
    </w:p>
    <w:p>
      <w:pPr>
        <w:spacing w:after="0" w:line="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spacing w:after="0" w:line="73" w:lineRule="exact"/>
        <w:rPr>
          <w:sz w:val="20"/>
          <w:szCs w:val="20"/>
          <w:color w:val="auto"/>
        </w:rPr>
      </w:pPr>
    </w:p>
    <w:p>
      <w:pPr>
        <w:ind w:left="620" w:hanging="308"/>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inspection findings;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warnings or otherwise restrict the product’s indicated use, label, or marketing;</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a product, distribution, manufacturers or manufacturing processes;</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warning letters, safety alerts, dear-healthcare-provider letters, press releases or other communications containing warnings regarding the product that would result in adverse publicity;</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voluntary or mandatory product recalls and publicity requirements or withdrawal of a product from the market;</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marketing or regulatory approvals or other permits or voluntary;</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seizures, detentions or import bans;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or partial suspension of production;</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restrictions on operations, including costly new manufacturing requirements;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 to establish or modify a REMS;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 to conduct post-marketing studies or surveillance;</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drug distribution or use;</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conduct post-marketing studies or clinical trials;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pending applications or supplements to approved applications that we submit and other delays;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or the rejection of approvals of additional indications for a product;</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our ability to conduct clinical trials, including full or partial clinical holds on, or the suspension or termination of, future trials;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restitution or disgorgement of profits or revenue;</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reputational harm;</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of government contracts or future orders under existing contracts, exclusion from participation in federal health care programs; or</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 including False Claims Act liability.</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occurrence of any event or penalty described above may inhibit our ability to commercialize any product candidates that we may develop, if approved, and generate revenue. If regulatory sanctions are applied or if regulatory approval is withdrawn, our value and operating results will be adversely affected.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FDA and other regulatory agencies actively enforce the laws and regulations prohibiting the promotion of off-label uses.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we are found to have improperly promoted off-label uses of FYARRO prior to its divestiture or any product candidate that we may develop in the future including the ADC Therapies, if approved, we may become subject to significant liability. The FDA and other regulatory agencies, including the U.S. Department of Justice, strictly regulate the post-approval marketing and promotional claims that may be made about prescription products.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any product candidate that we may develop, if approved, we could become subject to significant liability, which would materially adversely affect our business and financial condition.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If we are required by the FDA to obtain approval of a companion diagnostic product in connection with approval of any future product candidates or new indication that we may develop, and if we fail to obtain or face delays in obtaining FDA approval of such companion diagnostic product, we will not be able to commercialize such product candidate intended for use with such companion diagnostic product and our ability to generate revenue from such product candidate will be materially impaired.</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connection with the development of any future product candidates or new indications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effectiveness of our current diagnostics and any future diagnostics we may develop, which we expect will require separate regulatory clearance or approval prior to commercialization.</w:t>
      </w:r>
    </w:p>
    <w:p>
      <w:pPr>
        <w:spacing w:after="0" w:line="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In June 2023, FDA announced a new voluntary pilot program through which drug manufacturers can provide to the FDA the diagnostic test performance information used to enroll patients into clinical trials for drug approval. Based on assessment of the performance information, the FDA will publish the minimum performance characteristics recommended for similar tests that may be used to select patients for treatment with the approved drug to help laboratories identify specific biomarkers for their development of laboratory-developed tests, or LDTs, and to ensure more consistent performance of these tests for drug selection and improved cancer patient care. In April 2024, the FDA published a final rule that phases out its enforcement discretion for most LDTs and amends the FDA’s regulations to make explicit that in vitro diagnostics are medical devices under the Federal Food, Drug, and Cosmetic Act, including when the manufacturer of the diagnostic product is a laboratory. If we or our collaborators develop any LDTs, such products would be subject to FDA regulation as medical devices, and we would need to invest significant time and resources to ensure ongoing compliance with FDA quality system regulations and other post-market regulatory requirements. In January 2024, FDA announced its plans to reclassify certain high-risk in vitro diagnostics, including companion diagnostics, as Class II (or moderate risk) devices. We will continue to evaluate the impact of FDA guidance and other developments in the diagnostic space.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 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seek Fast Track designations from the FDA for our product candidates. Even if one or more of our product candidates receive Fast Track designation, we may not lead to a faster development or review process, or we may be unable to maintain or effectively utilize such a designation.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may seek Fast Track designation for our product candidates, and we may not be successful in securing such additional designation or in expediting development if such designations were received. Even if we receive Fast Track designation for product candidates, the FDA may withdraw such Fast Track designation if it believes that the Fast Track designation is no longer supported by data from our clinical development program.</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product candidates that we may develop in the future that receives Fast Track designation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 approval. Furthermore, such a designation does not increase the likelihood that a product candidate will receive regulatory approval in the United States in other indications.</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obtain or maintain orphan drug designation or obtain or maintain orphan drug exclusivity for any product candidates and, even if we do, such exclusivity may not prevent the FDA, EMA or other comparable foreign regulatory authorities, from approving competing products.</w:t>
      </w:r>
    </w:p>
    <w:p>
      <w:pPr>
        <w:spacing w:after="0" w:line="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any product candidates.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 years if a drug no longer meets the criteria for orphan drug designation or if the drug is sufficiently profitable so that market exclusivity is no longer justified.</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i w:val="1"/>
          <w:iCs w:val="1"/>
          <w:color w:val="auto"/>
        </w:rPr>
        <w:t>Catalyst Pharms., Inc. v. Becerra</w:t>
      </w:r>
      <w:r>
        <w:rPr>
          <w:rFonts w:ascii="Times New Roman" w:cs="Times New Roman" w:eastAsia="Times New Roman" w:hAnsi="Times New Roman"/>
          <w:sz w:val="17"/>
          <w:szCs w:val="17"/>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 w:cs="Times New Roman" w:eastAsia="Times New Roman" w:hAnsi="Times New Roman"/>
          <w:sz w:val="17"/>
          <w:szCs w:val="17"/>
          <w:i w:val="1"/>
          <w:iCs w:val="1"/>
          <w:color w:val="auto"/>
        </w:rPr>
        <w:t>Catalyst</w:t>
      </w:r>
      <w:r>
        <w:rPr>
          <w:rFonts w:ascii="Times New Roman" w:cs="Times New Roman" w:eastAsia="Times New Roman" w:hAnsi="Times New Roman"/>
          <w:sz w:val="17"/>
          <w:szCs w:val="17"/>
          <w:color w:val="auto"/>
        </w:rPr>
        <w:t xml:space="preserve">, the FDA intends to continue to apply its longstanding interpretation of the regulations to matters outside of the scope of the </w:t>
      </w:r>
      <w:r>
        <w:rPr>
          <w:rFonts w:ascii="Times New Roman" w:cs="Times New Roman" w:eastAsia="Times New Roman" w:hAnsi="Times New Roman"/>
          <w:sz w:val="17"/>
          <w:szCs w:val="17"/>
          <w:i w:val="1"/>
          <w:iCs w:val="1"/>
          <w:color w:val="auto"/>
        </w:rPr>
        <w:t>Catalyst</w:t>
      </w:r>
      <w:r>
        <w:rPr>
          <w:rFonts w:ascii="Times New Roman" w:cs="Times New Roman" w:eastAsia="Times New Roman" w:hAnsi="Times New Roman"/>
          <w:sz w:val="17"/>
          <w:szCs w:val="17"/>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Even if orphan drug designation is granted,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 In view of the overturn of the </w:t>
      </w:r>
      <w:r>
        <w:rPr>
          <w:rFonts w:ascii="Times New Roman" w:cs="Times New Roman" w:eastAsia="Times New Roman" w:hAnsi="Times New Roman"/>
          <w:sz w:val="17"/>
          <w:szCs w:val="17"/>
          <w:i w:val="1"/>
          <w:iCs w:val="1"/>
          <w:color w:val="auto"/>
        </w:rPr>
        <w:t>Chevron</w:t>
      </w:r>
      <w:r>
        <w:rPr>
          <w:rFonts w:ascii="Times New Roman" w:cs="Times New Roman" w:eastAsia="Times New Roman" w:hAnsi="Times New Roman"/>
          <w:sz w:val="17"/>
          <w:szCs w:val="17"/>
          <w:color w:val="auto"/>
        </w:rPr>
        <w:t xml:space="preserve"> doctrine in </w:t>
      </w:r>
      <w:r>
        <w:rPr>
          <w:rFonts w:ascii="Times New Roman" w:cs="Times New Roman" w:eastAsia="Times New Roman" w:hAnsi="Times New Roman"/>
          <w:sz w:val="17"/>
          <w:szCs w:val="17"/>
          <w:i w:val="1"/>
          <w:iCs w:val="1"/>
          <w:color w:val="auto"/>
        </w:rPr>
        <w:t>Loper Bright Enterprises v. Raimondo</w:t>
      </w:r>
      <w:r>
        <w:rPr>
          <w:rFonts w:ascii="Times New Roman" w:cs="Times New Roman" w:eastAsia="Times New Roman" w:hAnsi="Times New Roman"/>
          <w:sz w:val="17"/>
          <w:szCs w:val="17"/>
          <w:color w:val="auto"/>
        </w:rPr>
        <w:t>, this landmark Supreme Court decision may invite various stakeholders to bring lawsuits against the FDA to challenge longstanding decisions and policies, including market exclusivities, which could lead to uncertainties in the industry. Further, changes in the leadership of the FDA and other federal agencies under the Trump administration may also lead to new policies and changes in the regulations and operations of the FDA, which may impact our clinical development plans.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We may be unable to obtain orphan drug designation or orphan drug exclusivity for any other product candidate, or we may be unable to successfully commercialize a product candidate for such orphan population due to risks that include:</w:t>
      </w:r>
    </w:p>
    <w:p>
      <w:pPr>
        <w:spacing w:after="0" w:line="49" w:lineRule="exact"/>
        <w:rPr>
          <w:sz w:val="20"/>
          <w:szCs w:val="20"/>
          <w:color w:val="auto"/>
        </w:rPr>
      </w:pPr>
    </w:p>
    <w:p>
      <w:pPr>
        <w:ind w:left="620" w:hanging="308"/>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orphan patient populations may change in size;</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changes in the treatment options for patients that may provide alternative treatments;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costs may be greater than projected revenue of drug sales for the orphan indications;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agencies may disagree with the design or implementation of our clinical trials;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difficulties in enrolling patients for clinical trials;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 candidate may not prove to be efficacious in the respective orphan patient populations;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 results may not meet the level of statistical significance required by the regulatory agencies; and</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 candidate may not have a favorable risk/benefit assessment in the respective orphan indication.</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If we are unable to obtain regulatory approval for a product candidate in any other orphan population for which we obtain orphan drug designation or we are unable to successfully commercialize a product candidate, if approved, for such orphan population, it could harm our business prospects, financial condition and results of operations.</w:t>
      </w:r>
    </w:p>
    <w:p>
      <w:pPr>
        <w:spacing w:after="0" w:line="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Where possible, we plan to pursue accelerated development strategies in areas of high unmet need. We may seek an accelerated approval pathway for future product candidates. Under the accelerated approval provisions in the FDA, and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pre-approval of promotional materials,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spacing w:after="0" w:line="2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a product candidate would result in a longer time period to commercialization of such product candidate, could increase the cost of development of such product candidate and could harm our competitive position in the marketplace.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difficulties from changes to current regulations and future legislation.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Existing regulatory policies may change, and additional government regulations may be enacted that could prevent, limit or delay regulatory approval of any product candidates that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Some of the provisions of the ACA have been subject to judicial and Congressional challenges, and in June 2021, the Supreme Court held that Texas and other challengers had no legal standing to challenge the ACA, dismissing the case without specifically ruling on the constitutionality of the ACA.</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the statutory cap on Medicaid Drug Rebate Program rebates that manufacturers pay to state Medicaid programs will be eliminated. Elimination of this cap may require a pharmaceutical</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August 2022, Congress passed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have initiated lawsuits against the federal government asserting that the price negotiation provisions of the Inflation Reduction Act are unconstitutional. The impact of these judicial challenges as well as any future litigation in view of the Supreme Court’s overturn of the </w:t>
      </w:r>
      <w:r>
        <w:rPr>
          <w:rFonts w:ascii="Times New Roman" w:cs="Times New Roman" w:eastAsia="Times New Roman" w:hAnsi="Times New Roman"/>
          <w:sz w:val="17"/>
          <w:szCs w:val="17"/>
          <w:i w:val="1"/>
          <w:iCs w:val="1"/>
          <w:color w:val="auto"/>
        </w:rPr>
        <w:t xml:space="preserve">Chevron </w:t>
      </w:r>
      <w:r>
        <w:rPr>
          <w:rFonts w:ascii="Times New Roman" w:cs="Times New Roman" w:eastAsia="Times New Roman" w:hAnsi="Times New Roman"/>
          <w:sz w:val="17"/>
          <w:szCs w:val="17"/>
          <w:color w:val="auto"/>
        </w:rPr>
        <w:t>doctrine, new legislative, executive, and administrative actions and any future healthcare measures and agency rules implemented by the government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2032, unless additional congressional action is taken.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any product candidates that we may develop, if approved, and accordingly, our financial operations.</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Additionally, FDA has authorized the state of Florida to develop a program to import certain prescription drugs from Canada for a limited period to help reduce drug costs, provided that Florida’s Agency for Health Care Administration meets the requirements set forth by the FDA. Other states may follow Florida.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 Further, in view of the Supreme Court decision in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Loper Bright Enterprises v. Raimondo</w:t>
      </w:r>
      <w:r>
        <w:rPr>
          <w:rFonts w:ascii="Times New Roman" w:cs="Times New Roman" w:eastAsia="Times New Roman" w:hAnsi="Times New Roman"/>
          <w:sz w:val="17"/>
          <w:szCs w:val="17"/>
          <w:color w:val="auto"/>
        </w:rPr>
        <w:t>, this landmark decision may invite various stakeholders to bring lawsuits against the FDA to challenge longstanding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decisions and policies, including market exclusivities, which could lead to uncertainties in the industry. Further, changes in the leadership of the FDA and other federal agencies under the Trump administration may also lead to new policies and changes in the regulations and operations of the FDA, which may impact our clinical development plans.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European Union member states may result in fines up to €20.0 million or up to 4% of the total worldwide annual turnover of the preceding financial year, whichever is higher, and other administrative penalties. Additionally, the UK has implemented legislation that substantially implements the GDPR, the UK GDPR, which provides for similar obligations and provides for penalties for noncompliance of up to the greater of £17.5 million or four percent of worldwide revenues. The European Union also has enacted numerous laws and regulations addressing cybersecurity. Similar laws have been proposed, and in certain cases enacted, in other foreign jurisdictions. For example, on August 20, 2021, the Personal Information Protection Law (“PIPL”) of the People’s Republic of China was adopted and went into effect on November 1, 2021. The PIPL shares similarities with the GDPR, including extraterritorial application, data minimization, data localization, and purpose limitation requirements, and limitations on cross-border data transfers. The PIPL allows for fines of up to 50 million renminbi or 5% of a covered company’s revenue in the prior year.</w:t>
      </w:r>
    </w:p>
    <w:p>
      <w:pPr>
        <w:spacing w:after="0" w:line="2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More generally, state and foreign laws addressing privacy, data protection and cybersecurity may apply to the privacy and security of information we maintain, and may differ from each other in significant ways, thus complicating compliance efforts. For example, the California Consumer Privacy Act of 2018 (the “CCPA”), which took effect on January 1, 2020, and subsequently was amended and supplemented by the CPRA,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Numerous other states in the U.S. have proposed or enacted similar legislation. While the CCPA and many other similar state laws exempt some data regulated by the Health Insurance Portability and Accountability Act of 1996 (“HIPAA”) and certain clinical trials data, the CCPA and such other laws, to the extent applicable to our business and operations, may increase our compliance costs and potential liability. Further, some states have enacted more specific legislation, such as Washington’s enactment of the My Health, My Data Act, which includes a private right of action. The U.S. federal government is also contemplating federal privacy legislation, and the U.S. Department of Justice has issued rules regarding certain bulk sensitive personal data transfers. The evolving trend toward more stringent laws and regulations in the United States relating to privacy, data protection and cybersecurity, including the foregoing laws and regulations and the potential for future laws and regulations, could increase our compliance costs and potential liability and adversely affect our business.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It is possible that the GDPR, UK GDPR, CCPA, CPRA, or other laws and regulations relating to privacy, data protection and cybersecurity may be interpreted and applied in a manner that is inconsistent from jurisdiction to jurisdiction or inconsistent with our policies and practices. We cannot guarantee that we are in compliance with all such laws and regulations, and we cannot be sure how these laws and regulations will be interpreted, enforced or applied to our operations. Furthermore, various jurisdictions are introducing or enhancing laws, rules, and regulations relating to privacy, data protection and cybersecurity, which could increase our compliance costs and the risks associated with noncompliance. It is possible that these laws may be interpreted and applied in a manner that is inconsistent with our practices, and our efforts to comply with the evolving data protection rules may be unsuccessful. Our actual or alleged non-compliance could result in government-imposed fines or orders requiring that we change our practices, which could adversely affect our business.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The GDPR, UK GDPR, and other laws and regulations addressing privacy, data protection and cybersecurity may increase our responsibility and liability in relation to personal data that we may process, and we may be required to put in place additional mechanisms in an effort to comply with them.</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actual or perceived failure to adequately comply with applicable laws and regulations or other actual or asserted obligations relating to privacy, data protection and cybersecurity, or to protect personal data and other data we process or maintain, could result in regulatory enforcement actions against us, including fines, imprisonment of company officials and public censure, claims for damages by affected individuals, other lawsuits or reputational and damage, all of which could materially affect our business, financial condition, results of operations, and growth prospects.</w:t>
      </w:r>
    </w:p>
    <w:p>
      <w:pPr>
        <w:spacing w:after="0" w:line="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Inadequate funding for the FDA, the Securities and Exchange Commission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Changes in the leadership of the FDA and other federal agencies under the Trump administration, including return-to-office policy, hiring freeze, layoffs, and other policies implemented by the Department of Government Efficiency, may lead to changes in the operations of the FDA and other agencies, which may have a material impact on the industry and our clinical development plans.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If a prolonged government shutdown occurs or if the FDA’s normal operations are disrupted,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may include the following:</w:t>
      </w:r>
    </w:p>
    <w:p>
      <w:pPr>
        <w:spacing w:after="0" w:line="70" w:lineRule="exact"/>
        <w:rPr>
          <w:sz w:val="20"/>
          <w:szCs w:val="20"/>
          <w:color w:val="auto"/>
        </w:rPr>
      </w:pPr>
    </w:p>
    <w:p>
      <w:pPr>
        <w:jc w:val="both"/>
        <w:ind w:left="620" w:hanging="308"/>
        <w:spacing w:after="0" w:line="257"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76" w:lineRule="exact"/>
        <w:rPr>
          <w:rFonts w:ascii="Times New Roman" w:cs="Times New Roman" w:eastAsia="Times New Roman" w:hAnsi="Times New Roman"/>
          <w:sz w:val="17"/>
          <w:szCs w:val="17"/>
          <w:color w:val="auto"/>
        </w:rPr>
      </w:pPr>
    </w:p>
    <w:p>
      <w:pPr>
        <w:jc w:val="both"/>
        <w:ind w:left="620" w:hanging="308"/>
        <w:spacing w:after="0" w:line="258"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hanging="308"/>
        <w:spacing w:after="0" w:line="286"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criminal laws that prohibit executing a scheme to defraud any healthcare benefit program or making, or causing to be made, false statements relating to healthcare matters;</w:t>
      </w:r>
    </w:p>
    <w:p>
      <w:pPr>
        <w:spacing w:after="0" w:line="49"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FCPA, the U.K. Bribery Act of 2010, and other local anti-corruption laws that apply to our international activities;</w:t>
      </w:r>
    </w:p>
    <w:p>
      <w:pPr>
        <w:spacing w:after="0" w:line="113" w:lineRule="exact"/>
        <w:rPr>
          <w:rFonts w:ascii="Times New Roman" w:cs="Times New Roman" w:eastAsia="Times New Roman" w:hAnsi="Times New Roman"/>
          <w:sz w:val="17"/>
          <w:szCs w:val="17"/>
          <w:color w:val="auto"/>
        </w:rPr>
      </w:pPr>
    </w:p>
    <w:p>
      <w:pPr>
        <w:jc w:val="both"/>
        <w:ind w:left="620" w:hanging="308"/>
        <w:spacing w:after="0" w:line="258"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4" w:lineRule="exact"/>
        <w:rPr>
          <w:rFonts w:ascii="Times New Roman" w:cs="Times New Roman" w:eastAsia="Times New Roman" w:hAnsi="Times New Roman"/>
          <w:sz w:val="17"/>
          <w:szCs w:val="17"/>
          <w:color w:val="auto"/>
        </w:rPr>
      </w:pPr>
    </w:p>
    <w:p>
      <w:pPr>
        <w:jc w:val="both"/>
        <w:ind w:left="620" w:hanging="308"/>
        <w:spacing w:after="0" w:line="258"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4" w:lineRule="exact"/>
        <w:rPr>
          <w:rFonts w:ascii="Times New Roman" w:cs="Times New Roman" w:eastAsia="Times New Roman" w:hAnsi="Times New Roman"/>
          <w:sz w:val="17"/>
          <w:szCs w:val="17"/>
          <w:color w:val="auto"/>
        </w:rPr>
      </w:pPr>
    </w:p>
    <w:p>
      <w:pPr>
        <w:jc w:val="both"/>
        <w:ind w:left="620" w:hanging="308"/>
        <w:spacing w:after="0" w:line="258"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w:t>
      </w:r>
    </w:p>
    <w:p>
      <w:pPr>
        <w:spacing w:after="0" w:line="74" w:lineRule="exact"/>
        <w:rPr>
          <w:rFonts w:ascii="Times New Roman" w:cs="Times New Roman" w:eastAsia="Times New Roman" w:hAnsi="Times New Roman"/>
          <w:sz w:val="17"/>
          <w:szCs w:val="17"/>
          <w:color w:val="auto"/>
        </w:rPr>
      </w:pPr>
    </w:p>
    <w:p>
      <w:pPr>
        <w:jc w:val="both"/>
        <w:ind w:left="620" w:hanging="308"/>
        <w:spacing w:after="0" w:line="255"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GDPR, the UK GDPR, and state laws and regulations, including general legislation such as the CCPA, and sector- or subject matter-specific laws and regulations, also govern the privacy and security of health information in some circumstances, many of which differ from each other in significant ways. Many state laws in the U.S. are not preempted by HIPAA, thus complicating compliance efforts. There are ambiguities as to what is required to comply with these state and other laws and regulations and if we fail or are alleged to comply with an applicable requirement of any of these laws or regulations, we could be subject to claims, demands, and litigation initiated by private individuals or entities, regulatory investigations and other proceedings, and fines, penalties, and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alleged or found to be in violation of any of these laws or any other governmental regulations that may apply to us, we may be subject to significant consequences,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and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or any contract manufacturers and suppliers we engage, fails to comply with environmental, health and safety laws and regulations, we could become subject to fines or penalties or incur costs that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activities may be subject to the FCPA and similar anti-bribery and anti-corruption laws of other countries. Compliance with these legal requirements could limit our ability to compete in foreign markets and subject us to liability if we violate them.</w:t>
      </w:r>
    </w:p>
    <w:p>
      <w:pPr>
        <w:spacing w:after="0" w:line="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7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activities may be subject to United States and certain foreign export controls, trade sanctions, and import laws and regulations. Compliance with these legal requirements could limit our ability to compete in foreign markets and subject us to liability if we violate them.</w:t>
      </w:r>
    </w:p>
    <w:p>
      <w:pPr>
        <w:spacing w:after="0" w:line="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 with the conflict in Ukraine. The impact of these measures, as well as potential responses to them by Russia, is currently unknown and they could adversely affect our business, supply chain, business partners or customers.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escalation in conflicts in Ukraine and the Middle East,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Reliance on Third Parties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product candidates are complex and can be difficult to manufacture.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product candidates are complex and can be difficult to manufacture due to the advanced linker-payload architecture. Problems with the manufacturing process, including even minor deviations from the normal process, could result in product defects or manufacturing failures that result in lot failures, product recalls, product liability claims, and insufficient inventory, negative impact on our sales and results of operations and make us a less attractive collaborator for potential partners or subject us to liability for any contamination or injury or failure to comply with applicable laws. We may encounter problems achieving adequate quantities and quality of clinical-grade materials that meet FDA, EMA or other applicable standards or specifications with consistent and acceptable production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yields and costs. There can be no assurance that manufacturing issues will not occur in the future.</w:t>
      </w:r>
    </w:p>
    <w:p>
      <w:pPr>
        <w:spacing w:after="0" w:line="1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currently dependent on single-source suppliers for our product candidates and their components, any issues with any such suppliers, including increases in costs or expenses or delays in supply, could harm our business.</w:t>
      </w:r>
    </w:p>
    <w:p>
      <w:pPr>
        <w:spacing w:after="0" w:line="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currently rely on third parties to manufacture or supply our product candidates and their components and raw materials, many of which are sole source manufacturers and suppliers. For the near term, Hangzhou DAC will continue to manufacture the CPT113 linker-payload and WuXi Biologics will continue to manufacture the antibodies underlying our ADC product candidates. A subsidiary of WuXi Biologics will carry forward majority of the IND-enabling CMC, including antibody development, bioconjugation and fill and finish.</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Although we have arrangements in place for the manufacture and supply of our product candidates and its key components, our manufacturers or suppliers could discontinue the manufacturing or supply at any time. Our manufacturers or suppliers may not be able to meet our demand whether because of acts of nature, the nature of our agreements with those manufacturers or suppliers or our relative importance to them as a customer, and our manufacturers and suppliers may decide in the future to discontinue or reduce the level of business they conduct with us either entirely or for a particular territory. The loss of any of the foregoing would require significant time and effort to locate and qualify an alternative source of supply, including efforts involved in the technology transfer. These third parties could also seek to renegotiate our arrangements and require that we pay more for the manufacture or supply. Any contractual disputes between us and our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manufacturers or suppliers, or the loss of manufacturing ability by such parties could similarly require significant time, effort and expense and materially harm our business.</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we might not be able to identify and qualify additional or replacement suppliers for our product candidates, its key components or the key raw materials used in the manufacture of our product candidates on a timely basis or at all or without incurring significant additional costs. We cannot guarantee that we will be able to establish alternative relationships on similar terms, without delay or at all. We may also face delays in our clinical trials or regulatory delays or be required to seek additional regulatory clearances or approvals if we experience any delay or deficiency in the quality of products obtained from suppliers or if we have to replace our suppliers.</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Furthermore, there is a risk of contamination during manufacturing. Any contamination could materially harm our ability to produce products and product candidates on schedule and could cause reputational damage. Some of the raw materials could be difficult to procure and may be subject to contamination or recall. A material shortage, contamination, recall or restriction in the manufacture of any product candidates could adversely impact or disrupt the production of clinical material, which could materially harm our development timelines and our business, financial condition, results of operations and prospects.</w:t>
      </w:r>
    </w:p>
    <w:p>
      <w:pPr>
        <w:spacing w:after="0" w:line="6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third parties having accurately generated, collected, interpreted and reported data from certain preclinical studies that were previously conducted for our product candidates.</w:t>
      </w:r>
    </w:p>
    <w:p>
      <w:pPr>
        <w:spacing w:after="0" w:line="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have relied on third parties, including WuXi Biologics and its affiliates, to conduct certain preclinical studies and clinical trials. We are dependent on these third parties having conducted their research and development in accordance with the applicable protocols, legal and regulatory requirements, and scientific standards; having accurately reported the results of all preclinical studies and clinical trials conducted with respect to such product candidates and having correctly collected and interpreted the data from these studies and trials. These risks also apply to any additional product candidates that we may acquire or in-license in the future. If these activities were not compliant, accurate or correct, the clinical development, regulatory approval or commercialization of our product candidates will be adversely affected.</w:t>
      </w:r>
    </w:p>
    <w:p>
      <w:pPr>
        <w:spacing w:after="0" w:line="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preclinical studies and clinical trials and for the manufacture, production, storage and distribution of our products and product candidates and certain commercialization activities for our products.</w:t>
      </w:r>
    </w:p>
    <w:p>
      <w:pPr>
        <w:spacing w:after="0" w:line="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rely on, and expect that we will continue to rely on, WuXi Biologics or its affiliates and other third parties to assist in managing, monitoring and otherwise carrying out preclinical studies and clinical trials of our products and product candidates and other third parties for the manufacture, production, storage and distribution of our products and product candidates and certain commercialization activities for our products, including government pricing, reporting and chargeback and rebate processing, pharmacovigilance and adverse event reporting. We have less control over the activities of third parties than we would otherwise have if we relied entirely upon our own staff and we are exposed to different risks, including all the risks associated with such third parties’ businesses and financial condition, than if we performed such functions ourselves. There can be no assurance that these third parties will perform services for us in accordance with our timelines, standards and expectations. If these third parties do not successfully carry out their duties under their agreements or otherwise fail to comply with regulatory requirements, we may experience delays in our research and development activities, be unable to obtain and maintain regulatory approval, be unable to commercialize our products and be required to issue product recalls. In addition, if any of our relationships with these third parties terminate, we may not be able to enter into alternative arrangements on a timely basis or on commercially reasonable terms, and even if successful in entering into alternative arrangements, we may experience significant delays during the transition. This risk may be heightened by our use of single-source supplier arrangements. Furthermore, if a third-party manufacturer cannot maintain a compliance status acceptable to the FDA, or if the EMA or a comparable regulatory authority in another jurisdiction does not approve these facilities for the manufacture of our products and product candidates or if it withdraws any such approval in the future, we may need to find alternative manufacturing facilities, which would be time-consuming, costly and uncertain and significantly impact our ability to develop, obtain regulatory approval for, source adequate supply of or market our products and product candidates.</w:t>
      </w:r>
    </w:p>
    <w:p>
      <w:pPr>
        <w:spacing w:after="0" w:line="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on in-license agreements for patent rights with respect to our product candidates and may in the future acquire additional third-party intellectual property rights on which we may similarly rely. We face risks with respect to such reliance, including the risk that we could lose these rights that are important to our business if we fail to comply with our obligations under these licenses.</w:t>
      </w:r>
    </w:p>
    <w:p>
      <w:pPr>
        <w:spacing w:after="0" w:line="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rely on third-party license agreements pursuant to which we have non-exclusive and exclusive rights to technology that is incorporated into our development programs and product candidates. For example, under our License Agreement with WuXi Biologics, we have been granted worldwide development and commercialization rights to the ADC Therapies, which includes rights to use the linker-payloads that WuXi Biologics has licensed from Hangzhou DAC. These license agreements impose diligence, milestone payment, royalty payment and other obligations on us.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Termination of the License Agreement or reduction or elimination of our licensed rights may require us to negotiate new or reinstated licenses with less favorable terms or to cease all development and commercialization of our current product candidates. In addition, delay in appointing or finding a suitable replacement provider, if one exists, could make it difficult for us to operate our business for that period. If any such events were to occur, they could have a material adverse effect on our business prospects, financial condition and results of operations.</w:t>
      </w:r>
    </w:p>
    <w:p>
      <w:pPr>
        <w:spacing w:after="0" w:line="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Moreover, the growth of our business may depend in part on our ability to acquire, in-license or use additional third-party intellectual property rights.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Licenses to additional third-party intellectual property, technology and materials that may be required for the development and commercialization of our product candidates or technology may not be available at all or on commercially reasonable terms. In that event, we may be required to expend significant time and resources to redesign our product candidates or to develop or license replacement technology, all of which may not be feasible on a technical or commercial basis. If we are unable to do so, we may be unable to develop or commercialize our future product candidates or technologies, which could materially harm our business, financial condition, results of operations and growth prospects.</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current and any potential future licensors might conclude that we have materially breached our license agreements and might therefore terminate the relevant license agreements, thereby removing our ability to develop and commercialize products and technology covered by such license agreements. If any of our current or future in-bound license agreements are terminated, or if the underlying patents fail to provide the intended exclusivity, competitors would have the freedom to seek regulatory approval of, and to market, products that are covered by such license agreements and underlying patents, which might be identical to our products or product candidates. This could have a material adverse effect on our competitive position, business, financial conditions, results of operations and growth prospects. Our business also would suffer if any current or future licensors fail to abide by the terms of the license or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Any licensor of ours may have relied on third-party consultants or collaborators or on funds from third parties, such as the United States government, such that such licensor is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6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spacing w:after="0" w:line="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do not have the ability to independently conduct all of our preclinical studies and clinical trials. We have relied and expect to continue to rely on third parties, such as CROs, clinical data management organizations, medical institutions and clinical investigators, to conduct, supervise and monitor our preclinical studies and clinical trials of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with contractual obligations, (iii) experience regulatory compliance issues,</w:t>
      </w:r>
    </w:p>
    <w:p>
      <w:pPr>
        <w:spacing w:after="0" w:line="4" w:lineRule="exact"/>
        <w:rPr>
          <w:sz w:val="20"/>
          <w:szCs w:val="20"/>
          <w:color w:val="auto"/>
        </w:rPr>
      </w:pPr>
    </w:p>
    <w:p>
      <w:pPr>
        <w:jc w:val="both"/>
        <w:ind w:firstLine="3"/>
        <w:spacing w:after="0" w:line="257" w:lineRule="auto"/>
        <w:tabs>
          <w:tab w:leader="none" w:pos="29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this would delay our drug development activities.</w:t>
      </w:r>
    </w:p>
    <w:p>
      <w:pPr>
        <w:spacing w:after="0" w:line="7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Our reliance on these third parties for such drug development activities will reduce our control over these activities but will not relieve us of our regulatory responsibilities. For example, we will remain responsible for ensuring that each of our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clinical trials and post the results of certain completed clinical trials on a government-sponsored database, ClinicalTrials.gov, within certain timeframes. Failure to do so can result in fines, adverse publicity and civil and criminal sanctions.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product candidates that we may develop in the future and will not be able to, or may be delayed in our efforts to, successfully commercialize such product candidates, if approved.</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form or seek strategic alliances or collaborations in the future. Such alliances and collaborations may inhibit future opportunities, or we may not realize the benefits of such collaborations or alliances.</w:t>
      </w:r>
    </w:p>
    <w:p>
      <w:pPr>
        <w:spacing w:after="0" w:line="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may form or seek strategic alliances, joint ventures or collaborations or enter into licensing arrangements with third parties that we believe will complement or augment our development and commercialization efforts with respect to any product candidates that we may develop. We are at risk that any such future collaborations may not be successful. Factors that may affect the success of our collaborations include the following:</w:t>
      </w:r>
    </w:p>
    <w:p>
      <w:pPr>
        <w:spacing w:after="0" w:line="64" w:lineRule="exact"/>
        <w:rPr>
          <w:sz w:val="20"/>
          <w:szCs w:val="20"/>
          <w:color w:val="auto"/>
        </w:rPr>
      </w:pPr>
    </w:p>
    <w:p>
      <w:pPr>
        <w:ind w:left="620" w:hanging="308"/>
        <w:spacing w:after="0" w:line="286"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collaboration partners may incur financial and cash flow difficulties that force them to limit or reduce their efforts under their collaboration agreement with us;</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collaboration partners may be pursuing alternative technologies or developing alternative products that are competitive to our technology and products, either on their own or in partnership with others;</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collaboration partners may terminate their collaboration with us, which could make it difficult for us to attract new partners or adversely affect perception of us in the business and financial communities; and</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collaboration partners may pursue higher priority programs or change the focus of their development programs, which could affect their commitment to us.</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any future collaboration agreements we may enter into, are generally subject to termination by the counterparty on short notice upon the occurrence of certain circumstances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operations and company culture. We cannot be certain that, following a strategic transaction or license, we will achieve the revenues or specific net income that justifies such transaction.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we cannot maintain successful collaborations, our business, financial condition, and operating results may be adversely affected.</w:t>
      </w:r>
    </w:p>
    <w:p>
      <w:pPr>
        <w:spacing w:after="0" w:line="10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4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49" w:lineRule="exact"/>
        <w:rPr>
          <w:sz w:val="20"/>
          <w:szCs w:val="20"/>
          <w:color w:val="auto"/>
        </w:rPr>
      </w:pPr>
    </w:p>
    <w:p>
      <w:pPr>
        <w:ind w:left="620" w:hanging="308"/>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operating expenses and cash requirements;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additional indebtedness or contingent liabilities;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our equity securities;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assimilation of operations, intellectual property, and products of an acquired company, including difficulties associated with integrating new personnel;</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our management’s attention from our existing programs and initiatives in pursuing such a strategic transaction;</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key employees, the loss of key personnel and uncertainties in our ability to maintain key business relationships;</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and uncertainties associated with the other party to such a transaction, including the prospects of that party and their existing products or product candidates and regulatory approvals; and</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generate revenue from acquired technology and/or products sufficient to meet our objectives in undertaking the acquisition or even to offset the associated acquisition and maintenance costs.</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drug development programs and the potential commercialization of any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the ADC Therapies or any future product candidates or bring them to market, if approved, and generate product revenue.</w:t>
      </w:r>
    </w:p>
    <w:p>
      <w:pPr>
        <w:spacing w:after="0" w:line="6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enter into collaborations with third parties for the development and commercialization for any product candidates. If those collaborations are not successful, we may not be able to capitalize on the market potential of these product candidates.</w:t>
      </w:r>
    </w:p>
    <w:p>
      <w:pPr>
        <w:spacing w:after="0" w:line="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we enter into any collaboration arrangements with any third parties, we will likely have limited control over the amount and timing of resources that our collaborators dedicate to the development or commercialization of any product candidates. Our ability to generate revenues from these arrangements will depend on our collaborators’ abilities and efforts to successfully perform the functions assigned to them in these arrangements. Collaborations involving any product candidates would pose numerous risks to us, including the following:</w:t>
      </w:r>
    </w:p>
    <w:p>
      <w:pPr>
        <w:spacing w:after="0" w:line="67" w:lineRule="exact"/>
        <w:rPr>
          <w:sz w:val="20"/>
          <w:szCs w:val="20"/>
          <w:color w:val="auto"/>
        </w:rPr>
      </w:pPr>
    </w:p>
    <w:p>
      <w:pPr>
        <w:ind w:left="620" w:hanging="308"/>
        <w:spacing w:after="0" w:line="286"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determining the efforts and resources that they will apply to these collaborations and may not perform their obligations as expected;</w:t>
      </w:r>
    </w:p>
    <w:p>
      <w:pPr>
        <w:spacing w:after="0" w:line="49" w:lineRule="exact"/>
        <w:rPr>
          <w:rFonts w:ascii="Times New Roman" w:cs="Times New Roman" w:eastAsia="Times New Roman" w:hAnsi="Times New Roman"/>
          <w:sz w:val="17"/>
          <w:szCs w:val="17"/>
          <w:color w:val="auto"/>
        </w:rPr>
      </w:pPr>
    </w:p>
    <w:p>
      <w:pPr>
        <w:jc w:val="both"/>
        <w:ind w:left="620" w:hanging="308"/>
        <w:spacing w:after="0" w:line="264"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67"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9"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spacing w:after="0" w:line="6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collaborator with marketing and distribution rights to multiple products may not commit sufficient resources to the marketing and distribution of any product candidate that we may develop, if approved, relative to other products;</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grant exclusive rights to our collaborators that would prevent us from collaborating with others;</w:t>
      </w:r>
    </w:p>
    <w:p>
      <w:pPr>
        <w:spacing w:after="0" w:line="113"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and, if terminated, may result in a need for additional capital to pursue further development or commercialization of the applicable product candidates;</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 agreements may not lead to development or commercialization of any product candidates that we may develop in the most efficient manner or at all;</w:t>
      </w:r>
    </w:p>
    <w:p>
      <w:pPr>
        <w:spacing w:after="0" w:line="49"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any product candidates that we may develop in the future;</w:t>
      </w:r>
    </w:p>
    <w:p>
      <w:pPr>
        <w:spacing w:after="0" w:line="6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own or co-own intellectual property covering our products that results from us collaborating with them, and in such cases, we would not have the exclusive right to develop or commercialize such intellectual property; and</w:t>
      </w:r>
    </w:p>
    <w:p>
      <w:pPr>
        <w:spacing w:after="0" w:line="49" w:lineRule="exact"/>
        <w:rPr>
          <w:rFonts w:ascii="Times New Roman" w:cs="Times New Roman" w:eastAsia="Times New Roman" w:hAnsi="Times New Roman"/>
          <w:sz w:val="17"/>
          <w:szCs w:val="17"/>
          <w:color w:val="auto"/>
        </w:rPr>
      </w:pPr>
    </w:p>
    <w:p>
      <w:pPr>
        <w:ind w:left="620" w:hanging="308"/>
        <w:spacing w:after="0" w:line="263"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collaborator’s sales and marketing activities or other operations may not be in compliance with applicable laws, resulting in civil or criminal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For example, on June 27, 2022, EOC elected to terminate the EOC License Agreement, effective immediately, due to alleged material breaches by us. See Note 7 to our annual Financial Statements for the year ended December 31, 2024 included herein for more information about the EOC License Agreement, its termination, and resulting arbitration (including the arbitration panel’s final award in our favor).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Employee Matters, Managing Our Growth and Other Risks Related to our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is highly dependent on our ability to attract and retain highly skilled executive officers, key scientific personnel and employees.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or key scientific personnel could be detrimental to us if we cannot recruit suitable replacements in a timely manner. Any leadership transitions, as well as future other senior management changes, could disrupt and have a detrimental effect on our business. We may need to hire additional personnel in connection with future clinical development and commercial activities. We could in the future have difficulty attracting and retaining experienced personnel and may be required to expend significant financial resources in our employee recruitment and retention efforts.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spacing w:after="0" w:line="2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successfully establish and maintain sales or marketing capabilities or enter into agreements with third parties to sell or market product candidates that we may develop in the future, when approved, we may not be able to successfully sell or market our product candidates that obtain regulatory approval.</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order to commercialize any product candidate that we may develop, when approved, we must build and maintain marketing, sales, distribution, managerial and other non-technical capabilities or make arrangements with third parties to perform these services for each of the territories in which we may have approval to sell or market our product(s). There are risks involved with establishing and maintaining both our own commercial capabilities and entering into arrangements with third parties to perform these services and we may not be successful in accomplishing these required tasks, which may negatively impact the successful commercialization of our product(s).</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or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sales will suffer, and we may incur significant additional losses.</w:t>
      </w:r>
    </w:p>
    <w:p>
      <w:pPr>
        <w:spacing w:after="0" w:line="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 order to successfully implement our plans and strategies, from time to time we may need to grow the size of our organization, and we may experience difficulties in managing this growth.</w:t>
      </w:r>
    </w:p>
    <w:p>
      <w:pPr>
        <w:spacing w:after="0" w:line="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Following the FYARRO Divestiture, we have 18 full-time or part-time employees. </w:t>
      </w:r>
      <w:r>
        <w:rPr>
          <w:rFonts w:ascii="Times New Roman" w:cs="Times New Roman" w:eastAsia="Times New Roman" w:hAnsi="Times New Roman"/>
          <w:sz w:val="17"/>
          <w:szCs w:val="17"/>
          <w:color w:val="231F20"/>
        </w:rPr>
        <w:t>In order to successfully implement our plans and strategies, from time to time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we may need additional managerial, operational, development, financial and other personnel. </w:t>
      </w:r>
      <w:r>
        <w:rPr>
          <w:rFonts w:ascii="Times New Roman" w:cs="Times New Roman" w:eastAsia="Times New Roman" w:hAnsi="Times New Roman"/>
          <w:sz w:val="17"/>
          <w:szCs w:val="17"/>
          <w:color w:val="000000"/>
        </w:rPr>
        <w:t>In order to successfully implement our plans and strategies, from</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time to time we may need additional managerial, operational, development, sales, marketing, financial and other personnel. Future growth would impose significant added responsibilities on members of management, including:</w:t>
      </w:r>
    </w:p>
    <w:p>
      <w:pPr>
        <w:spacing w:after="0" w:line="67" w:lineRule="exact"/>
        <w:rPr>
          <w:sz w:val="20"/>
          <w:szCs w:val="20"/>
          <w:color w:val="auto"/>
        </w:rPr>
      </w:pPr>
    </w:p>
    <w:p>
      <w:pPr>
        <w:ind w:left="620" w:hanging="308"/>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recruiting, integrating, maintaining and motivating additional employees;</w:t>
      </w:r>
    </w:p>
    <w:p>
      <w:pPr>
        <w:spacing w:after="0" w:line="113" w:lineRule="exact"/>
        <w:rPr>
          <w:rFonts w:ascii="Times New Roman" w:cs="Times New Roman" w:eastAsia="Times New Roman" w:hAnsi="Times New Roman"/>
          <w:sz w:val="17"/>
          <w:szCs w:val="17"/>
          <w:color w:val="auto"/>
        </w:rPr>
      </w:pPr>
    </w:p>
    <w:p>
      <w:pPr>
        <w:jc w:val="both"/>
        <w:ind w:left="620" w:hanging="308"/>
        <w:spacing w:after="0" w:line="279"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internal development efforts effectively, including the clinical, FDA, EMA and other comparable foreign regulatory agencies’ review process for any product candidates we may develop, while complying with any contractual obligations to contractors and other third parties that we may have; and</w:t>
      </w:r>
    </w:p>
    <w:p>
      <w:pPr>
        <w:spacing w:after="0" w:line="26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our operational, financial and management controls, reporting systems and procedures.</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future financial performance and our ability to successfully develop and commercialize any product candidates we may develop,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any product candidates that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If we are not able to effectively expand our organization by hiring new employees and/or engaging additional third-party service providers, we may not be able to successfully implement the tasks necessary to develop product candidates that we may develop and, accordingly, may not achieve our research, development and commercialization goals.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or use or other processing of, or destruction of our proprietary or confidential data, employee data, or personal data, which could result in additional costs, loss of revenue, significant liabilities, harm to our brand and material disruption of our operations.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systems and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These risks may be heightened due to the increasing number of our and our vendors’ and contractors’ personnel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remotely. Further geopolitical events such as wars and conflicts may increase the cybersecurity threats we and the third parties we work with face. Any disruption or security breach or incident resulting in a loss, destruction, unavailability, or unauthorized alteration, dissemination, or other processing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have prevented or will prevent significant breakdowns or breaches in systems or other cyber incidents that cause loss, destruction, unavailability, or unauthorized alteration, dissemination, or other processing of, or damage to, our data that could have a material adverse effect upon our reputation, business, operations or financial condition. For example, any such event that were to occur and cause interruptions in our operations could result in a material disruption of our programs and the development of our product candidates could be delayed. In addition, the loss, unauthorized alteration, or unavailability of clinical trial data for our product candidates could result in delays in our regulatory approval efforts and significantly increase our costs to recover or reproduce the data. Furthermore, interruptions or other disruptions of our internal information technology systems or security breaches could result in the loss, misappropriation, and/or unauthorized access, use, disclosure, or other processing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or is perceived to lead to unauthorized access, use, disclosure, or other processing of individually identifiable health information or personal information, including such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such information, which could result in significant legal and financial exposure and reputational damages that could potentially have an adverse effect on our business.</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Some federal, state and foreign governmental requirements include obligations of companies to notify individuals of security breaches involving particular information, which could result from breaches experienced by us or by our vendors, contractors or organizations with which we have relationships. Notifications and follow-up actions related to a security incident could impact our reputation and cause us to incur significant costs, including legal expenses and remediation costs. We expect to incur significant costs in an effort to detect and prevent security incidents, and we may face increased costs and requirements to expend substantial resources in the event of an actual or perceived security breach or incident. We also rely on third parties to manufacture our product candidates, and similar events relating to their computer systems could also have a material adverse effect on our business. Any disruption or security incident resulting or perceived to result, in any loss, destruction, or unauthorized alteration or other processing of, or damage to, our data (including personal information and other information relating to individuals, and our confidential or proprietary information or that of third parties), we could be exposed to claims, demands, litigation and governmental investigations and other proceedings, the further development and commercialization of our product candidates could be delayed, and we could be subject to significant fines, penalties, and other liabilities.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utilize our net operating loss (“NOL”) carryforwards and certain other tax attributes to offset future taxable income may be limited.</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NOL carryforwards may be unavailable to offset future taxable income because of restrictions under United States tax law. Our federal NOLs generated in tax years beginning before January 1, 2018 are only permitted to be carried forward for 20 taxable years under applicable United States federal tax law, and therefore could expire unused. Our federal NOLs generated in tax years beginning after December 31, 2017 may be carried forward indefinitely, but the deductibility of such NOLs is generally limited to 80% of our current year taxable income.</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231F20"/>
        </w:rPr>
        <w:t>As of December 31, 2024, after consideration of the NOLs that have been estimated to expire unused under Section 382 of the Internal Revenue Code of 1986, as amended (the “Code”), we had federal NOL carryforwards of approximately $207.0 million, $44.1 million of which will begin to expire in 2030, and the remaining $162.8 million do not expire. We also have state NOL carryforwards of approximately $118.2 million available as of December 31, 2024, of which $87.3 million will begin to expire in 2037.</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We expect that the portion of our consolidated NOLs and other tax attributes that are allocable to Aadi Subsidiary will generally remain with Aadi Subsidiary and will no longer constitute tax attributes of Whitehawk following the FYARRO Divestiture.</w:t>
      </w:r>
    </w:p>
    <w:p>
      <w:pPr>
        <w:spacing w:after="0" w:line="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Sections 382 and 383 of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changes in our stock ownership, some of which may be outside our control. To the extent such limitations will cause NOL and research and development credit carryforwards to expire unused, these tax attributes have been removed from our deferred tax assets.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Moreover, due to suspensions on the use of NOLs or other regulatory changes by certain jurisdictions, our NOLs could expire or otherwise be unavailable to offset future income tax liabilities. For example, in June 2024, California enacted legislation that limits the use of state NOLs for tax years beginning on or after January 1, 2024 and before January 1, 2027.</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laws could materially adversely affect our financial condition.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Legislation or other changes in United States and international tax laws could increase our tax liability and adversely affect after-tax profitability. For example, beginning in 2022, the legislation commonly known as the Tax Cuts and Jobs Act of 2017, or the Tax Act, requires U.S. research and experimental expenditures to be capitalized and amortized ratably over a five-year period. Any such expenditures attributable to research conducted outside of the United States must be capitalized and amortized over a 15-year period. Further, in August 2022, the United States enacted the Inflation Reduction Act, which implemented a number of changes, including a 1% excise tax on stock buybacks and an alternative minimum tax on adjusted financial statement income. Such enacted and other proposed changes, as well as regulations and legal decisions interpreting and applying these changes, may have significant impacts on our effective tax rate, cash tax expenses and net deferred tax assets in future periods.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1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on our ability to protect and strengthen our intellectual property and our proprietary technologies, including our ability to obtain patent term extension for our product or any future product candidates.</w:t>
      </w:r>
    </w:p>
    <w:p>
      <w:pPr>
        <w:spacing w:after="0" w:line="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or product candidates could have a material adverse effect on our financial condition and results of operations.</w:t>
      </w:r>
    </w:p>
    <w:p>
      <w:pPr>
        <w:spacing w:after="0" w:line="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cannot be certain that the claims in our licensed United States pending patent applications, corresponding international patent applications and patent applications in certain foreign territories, will be considered patentable by the United States Patent and Trademark Office (the “USPTO”), courts in the United States or by the patent offices and courts in foreign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countries, nor can we be certain that the claims in our issued patent will not be found invalid or unenforceable if challenged.</w:t>
      </w:r>
    </w:p>
    <w:p>
      <w:pPr>
        <w:spacing w:after="0" w:line="11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The patent application process is subject to numerous risks and uncertainties, and there can be no assurance that we or any of our current or potential future collaborators will be successful in protecting our product candidates by obtaining and defending patents. These risks and uncertainties include the following:</w:t>
      </w:r>
    </w:p>
    <w:p>
      <w:pPr>
        <w:spacing w:after="0" w:line="49" w:lineRule="exact"/>
        <w:rPr>
          <w:sz w:val="20"/>
          <w:szCs w:val="20"/>
          <w:color w:val="auto"/>
        </w:rPr>
      </w:pPr>
    </w:p>
    <w:p>
      <w:pPr>
        <w:jc w:val="both"/>
        <w:ind w:left="620" w:hanging="308"/>
        <w:spacing w:after="0" w:line="269"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 applications may not result in any patents being issued;</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clinical trials encounter delays, the period of time during which we could market our current or future product candidates under patent protection would be reduced;</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patents may be challenged, invalidated, modified, narrowed, revoked, circumvented, found to be unenforceable, found to be not infringed or otherwise may not provide any competitive advantage;</w:t>
      </w:r>
    </w:p>
    <w:p>
      <w:pPr>
        <w:spacing w:after="0" w:line="49"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product or potential product candidates or design around any of our owned, co-owned, or licensed patents;</w:t>
      </w:r>
    </w:p>
    <w:p>
      <w:pPr>
        <w:spacing w:after="0" w:line="6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spacing w:after="0" w:line="49"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spacing w:after="0" w:line="6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countries other than the United States may have patent laws less favorable to patentees than those upheld by United States courts, allowing foreign competitors a better opportunity to create, develop and market competing products or product candidates.</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spacing w:after="0" w:line="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spacing w:after="0" w:line="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spacing w:after="0" w:line="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product or product candidates will be protectable or remain protected by valid and enforceable patents.</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or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 to our competitive advantage.</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9" w:lineRule="exact"/>
        <w:rPr>
          <w:sz w:val="20"/>
          <w:szCs w:val="20"/>
          <w:color w:val="auto"/>
        </w:rPr>
      </w:pPr>
    </w:p>
    <w:p>
      <w:pPr>
        <w:ind w:left="620" w:hanging="308"/>
        <w:spacing w:after="0" w:line="286"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develop products that are similar to any product candidates but that are not covered by the claims of the patents that we own or license;</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or collaborators might not have been the first to make the inventions covered by the issued patents or patent application that we own or license;</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or collaborators might not have been the first to file patent applications covering certain of our inventions;</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our intellectual property rights;</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the pending patent applications we own or license will not lead to issued patents;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patents that we own or license may be held invalid or unenforceable, as a result of legal challenges by our competitors;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hanging="308"/>
        <w:spacing w:after="0" w:line="286"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have an adverse effect on our business; and</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a patent in order to maintain certain trade secrets or know-how, and a third party may subsequently file a patent covering such intellectual property.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Should any of these events occur, it could significantly harm our business, financial condition, results of operations and prospects.</w:t>
      </w:r>
    </w:p>
    <w:p>
      <w:pPr>
        <w:spacing w:after="0" w:line="1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products or product candidates. There may be third-party patents or patent applications with claims to materials, formulations, methods of manufacture or methods for treatment related to the use or manufacture of our product or product candidates.</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the biopharmaceutical industry expands and more patents are issued, the risk increases that our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product or any of our product candidates,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product or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 Moreover, we 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spacing w:after="0" w:line="80" w:lineRule="exact"/>
        <w:rPr>
          <w:sz w:val="20"/>
          <w:szCs w:val="20"/>
          <w:color w:val="auto"/>
        </w:rPr>
      </w:pPr>
    </w:p>
    <w:p>
      <w:pPr>
        <w:ind w:left="620" w:hanging="308"/>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costly litigation that may cause negative publicity;</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the time and attention of our technical personnel and management;</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development delays;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us from commercializing any of our product candidates until the asserted patent expires or is held finally invalid or not infringed in a court of law;</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develop non-infringing technology, which may not be possible on a cost-effective basis;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us to significant liability to third parties; 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hanging="308"/>
        <w:spacing w:after="0" w:line="286"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Although no third party has asserted a claim of patent infringement against us as of the date of this Proxy Statement, others may hold proprietary rights that could prevent our product candidates that we may develop from being marketed. For example, various patent offices periodically grant mode of action patents and a third party may have or obtain a patent with claims covering modes of action relevant to our product candidates. While these mode of action patents may be difficult to enforce, the third party may assert a claim of patent infringement directed at any product candidates we may develop.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or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 or product candidates or processes to avoid infringement, if necessary. Accordingly, an adverse determination in a judicial or administrative proceeding, or the failure to obtain necessary licenses, could prevent or delay us from developing and commercializing our product candidates, which could harm our business, financial condition and operating results. In addition, intellectual property litigation, regardless of our outcome, may cause negative publicity and could prohibit us from marketing or otherwise commercializing our product candidates and technology.</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obtaining or maintaining necessary rights to our product or product candidates that we may develop in the future through acquisitions and in-licenses.</w:t>
      </w:r>
    </w:p>
    <w:p>
      <w:pPr>
        <w:spacing w:after="0" w:line="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or product candidates that we may develop in the future.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spacing w:after="0" w:line="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 patent litigation in the United States, defendant counterclaims alleging invalidity and/or unenforceability are commonplace.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product or any product candidates that we may develop. Such a loss of patent protection would have a material adverse impact on our business, financial condition, results of operations and prospects.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a defendant were to prevail on a legal assertion of invalidity and/or unenforceability, we may lose at least part, and perhaps all, of the patent protection on such product or product candidate. 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products or product candidates. Such a loss of patent protection would have a material adverse impact on our business.</w:t>
      </w:r>
    </w:p>
    <w:p>
      <w:pPr>
        <w:spacing w:after="0" w:line="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litigation may lead to unfavorable publicity that harms our reputation and causes the market price of our common shares to decline.</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7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Derivation proceedings provoked by third parties or brought by us or declared by the USPTO may be necessary to determine the priority of inventions with respect to our patents or patent applications or those of our licensors. 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Patent reform legislation could increase the uncertainties and costs surrounding the prosecution of our patent applications or those of our licensors and the enforcement or defense of our issued patents or those of our licensors.</w:t>
      </w:r>
    </w:p>
    <w:p>
      <w:pPr>
        <w:spacing w:after="0" w:line="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file any patent application related to our product or product candidates or invent any of the inventions claimed in the patents or patent applications.</w:t>
      </w:r>
    </w:p>
    <w:p>
      <w:pPr>
        <w:spacing w:after="0" w:line="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United States patent law, or laws in other countries, could diminish the value of patents in general, thereby impairing our ability to protect our product or product candidates.</w:t>
      </w:r>
    </w:p>
    <w:p>
      <w:pPr>
        <w:spacing w:after="0" w:line="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inventorship or ownership of our patents and other intellectual property.</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 terms may be inadequate to protect our competitive position on our product or product candidates that we may develop for an adequate amount of time.</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or product candidates that we may develop in the future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obtain patent term extension for our product or product candidates that we may develop in the future, our business may be materially harmed.</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Depending upon the timing, duration and specifics of FDA regulatory approval of our product candidates that we may develop, one 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rights throughout the world.</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Filing, prosecuting and defending patents on our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patent applications and we may not timely file foreign patent applications.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Further, the complexity and uncertainty of European patent laws have increased in recent years.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 is a new court system, there is no precedent for the court, increasing the uncertainty of any litigation. Patents granted before the implementation of the UPC will have the option of opting out of the jurisdiction of the UPC and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these changes.</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or product candidates, and our patents, the patents of our licensors,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6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spacing w:after="0" w:line="7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ineffective and could result in substantial costs and diversion of resources and could adversely affect our financial condition or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would be harmed.</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and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we or our employees, consultants or advisors have wrongfully used or disclosed alleged confidential information or trade secrets.</w:t>
      </w:r>
    </w:p>
    <w:p>
      <w:pPr>
        <w:spacing w:after="0" w:line="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entered into and will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or product candidates and technology. Failure to defend against any such claim could subject us to significant liability for monetary damages or prevent or delay our developmental and commercialization efforts, which could adversely affect our business.</w:t>
      </w:r>
    </w:p>
    <w:p>
      <w:pPr>
        <w:spacing w:after="0" w:line="7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is common in the pharmaceutical industry, in addition to our employees, we engage the services of consultants to assist us in the development of our product or any future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defending against these claims, litigation could result in substantial costs and be a distraction to our management team and other employees.</w:t>
      </w:r>
    </w:p>
    <w:p>
      <w:pPr>
        <w:spacing w:after="0" w:line="1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rights to develop and commercialize our technology and product candidates that we may develop may be subject, in part, to the terms and conditions of licenses granted to us by others.</w:t>
      </w:r>
    </w:p>
    <w:p>
      <w:pPr>
        <w:spacing w:after="0" w:line="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entered into license agreements with third parties and we may enter into additional license agreements in the future with others to advance our research or allow commercialization of our product or product candidates that we may develop in the future.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harm our business, financial condition, results of operations, and prospects significantly. We cannot provide any assurances that third-party patents do not exist which might be enforced against our current technology, manufacturing methods, product or future methods or product candidates resulting in either an injunction prohibiting our manufacture, sales or future sales, or, with respect to our future sales, an obligation on our part to pay royalties and/or other forms of compensation to third parties, which could be significant.</w:t>
      </w:r>
    </w:p>
    <w:p>
      <w:pPr>
        <w:spacing w:after="0" w:line="7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Disputes may arise between us and our licensors regarding intellectual property subject to a license agreement, including:</w:t>
      </w:r>
    </w:p>
    <w:p>
      <w:pPr>
        <w:spacing w:after="0" w:line="114" w:lineRule="exact"/>
        <w:rPr>
          <w:sz w:val="20"/>
          <w:szCs w:val="20"/>
          <w:color w:val="auto"/>
        </w:rPr>
      </w:pPr>
    </w:p>
    <w:p>
      <w:pPr>
        <w:ind w:left="620" w:hanging="308"/>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rights granted under the license agreement and other interpretation-related issues;</w:t>
      </w:r>
    </w:p>
    <w:p>
      <w:pPr>
        <w:spacing w:after="0" w:line="113" w:lineRule="exact"/>
        <w:rPr>
          <w:rFonts w:ascii="Times New Roman" w:cs="Times New Roman" w:eastAsia="Times New Roman" w:hAnsi="Times New Roman"/>
          <w:sz w:val="17"/>
          <w:szCs w:val="17"/>
          <w:color w:val="auto"/>
        </w:rPr>
      </w:pPr>
    </w:p>
    <w:p>
      <w:pPr>
        <w:ind w:left="620" w:hanging="308"/>
        <w:spacing w:after="0" w:line="263" w:lineRule="auto"/>
        <w:tabs>
          <w:tab w:leader="none" w:pos="6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the extent to which our technology and processes infringe on intellectual property of the licensor that is not subject to the licensing agreement;</w:t>
      </w:r>
    </w:p>
    <w:p>
      <w:pPr>
        <w:spacing w:after="0" w:line="3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to sublicense patents and other rights to third parties;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diligence obligations under the license agreement and what activities satisfy those diligence obligations; our right to transfer or assign the license;</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inventorship and ownership of inventions and know-how resulting from the joint creation or use of intellectual property by us and our licensors and partners; and</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priority of invention of patented technology.</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and commercialize the affected product or product candidates, which could have a material adverse effect on our business, financial conditions, results of operations, and prospects.</w:t>
      </w:r>
    </w:p>
    <w:p>
      <w:pPr>
        <w:spacing w:after="0" w:line="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patent protection and patent prosecution for our product candidates that we may develop in the future may be dependent on third parties.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While we normally seek to obtain the right to control prosecution, maintenance and enforcement of the patents relating to our product or product candidates that we may develop in the future, there may be times when the filing and prosecution activities for patents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product or product candidates that we may develop in the future, we could lose our rights to the intellectual property or our exclusivity with respect to those rights, our ability to develop and commercialize our product or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subject to the risks associated with doing business in China.</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 result of our reliance on WuXi Biologics and Hangzhou DAC, both located in China, our results of operations, financial condition, and prospects are subject to a significant degree to economic, political, and legal developments in China including government control over capital investments or changes in tax regulations that are applicable to us. China’s economy differs from the economies of most developed countries in many respects, including with respect to the amount of government involvement, level of development, growth rate and control of foreign exchange, and allocation of resources. Since we rely on an entity located in China, our business is subject to the risks associated with doing business in China, including:</w:t>
      </w:r>
    </w:p>
    <w:p>
      <w:pPr>
        <w:spacing w:after="0" w:line="83" w:lineRule="exact"/>
        <w:rPr>
          <w:sz w:val="20"/>
          <w:szCs w:val="20"/>
          <w:color w:val="auto"/>
        </w:rPr>
      </w:pPr>
    </w:p>
    <w:p>
      <w:pPr>
        <w:ind w:left="1220" w:hanging="599"/>
        <w:spacing w:after="0"/>
        <w:tabs>
          <w:tab w:leader="none" w:pos="122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7"/>
          <w:szCs w:val="17"/>
          <w:color w:val="auto"/>
        </w:rPr>
        <w:t>adverse political and economic conditions, particularly those potentially negatively affecting the trade relationship between the United States and</w:t>
      </w:r>
    </w:p>
    <w:p>
      <w:pPr>
        <w:spacing w:after="0" w:line="12"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Times New Roman" w:cs="Times New Roman" w:eastAsia="Times New Roman" w:hAnsi="Times New Roman"/>
          <w:sz w:val="17"/>
          <w:szCs w:val="17"/>
          <w:color w:val="auto"/>
        </w:rPr>
        <w:t>China;</w:t>
      </w:r>
    </w:p>
    <w:p>
      <w:pPr>
        <w:spacing w:after="0" w:line="114" w:lineRule="exact"/>
        <w:rPr>
          <w:rFonts w:ascii="Arial" w:cs="Arial" w:eastAsia="Arial" w:hAnsi="Arial"/>
          <w:sz w:val="19"/>
          <w:szCs w:val="19"/>
          <w:color w:val="auto"/>
        </w:rPr>
      </w:pPr>
    </w:p>
    <w:p>
      <w:pPr>
        <w:ind w:left="1220" w:hanging="599"/>
        <w:spacing w:after="0"/>
        <w:tabs>
          <w:tab w:leader="none" w:pos="122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trade protection measures, such as tariff increases, and import and export licensing and control requirements;</w:t>
      </w:r>
    </w:p>
    <w:p>
      <w:pPr>
        <w:spacing w:after="0" w:line="103" w:lineRule="exact"/>
        <w:rPr>
          <w:rFonts w:ascii="Times New Roman" w:cs="Times New Roman" w:eastAsia="Times New Roman" w:hAnsi="Times New Roman"/>
          <w:sz w:val="19"/>
          <w:szCs w:val="19"/>
          <w:color w:val="auto"/>
        </w:rPr>
      </w:pPr>
    </w:p>
    <w:p>
      <w:pPr>
        <w:ind w:left="1220" w:hanging="599"/>
        <w:spacing w:after="0"/>
        <w:tabs>
          <w:tab w:leader="none" w:pos="122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potentially negative consequences from changes in tax laws;</w:t>
      </w:r>
    </w:p>
    <w:p>
      <w:pPr>
        <w:spacing w:after="0" w:line="116" w:lineRule="exact"/>
        <w:rPr>
          <w:rFonts w:ascii="Times New Roman" w:cs="Times New Roman" w:eastAsia="Times New Roman" w:hAnsi="Times New Roman"/>
          <w:sz w:val="19"/>
          <w:szCs w:val="19"/>
          <w:color w:val="auto"/>
        </w:rPr>
      </w:pPr>
    </w:p>
    <w:p>
      <w:pPr>
        <w:ind w:left="620" w:firstLine="1"/>
        <w:spacing w:after="0" w:line="258" w:lineRule="auto"/>
        <w:tabs>
          <w:tab w:leader="none" w:pos="1227"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difficulties associated with the Chinese legal system, including increased costs and uncertainties associated with enforcing contractual obligations in China;</w:t>
      </w:r>
    </w:p>
    <w:p>
      <w:pPr>
        <w:spacing w:after="0" w:line="82" w:lineRule="exact"/>
        <w:rPr>
          <w:rFonts w:ascii="Times New Roman" w:cs="Times New Roman" w:eastAsia="Times New Roman" w:hAnsi="Times New Roman"/>
          <w:sz w:val="19"/>
          <w:szCs w:val="19"/>
          <w:color w:val="auto"/>
        </w:rPr>
      </w:pPr>
    </w:p>
    <w:p>
      <w:pPr>
        <w:ind w:left="1220" w:hanging="599"/>
        <w:spacing w:after="0"/>
        <w:tabs>
          <w:tab w:leader="none" w:pos="122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historically lower protection of intellectual property rights;</w:t>
      </w:r>
    </w:p>
    <w:p>
      <w:pPr>
        <w:spacing w:after="0" w:line="116" w:lineRule="exact"/>
        <w:rPr>
          <w:rFonts w:ascii="Times New Roman" w:cs="Times New Roman" w:eastAsia="Times New Roman" w:hAnsi="Times New Roman"/>
          <w:sz w:val="19"/>
          <w:szCs w:val="19"/>
          <w:color w:val="auto"/>
        </w:rPr>
      </w:pPr>
    </w:p>
    <w:p>
      <w:pPr>
        <w:ind w:left="1220" w:hanging="599"/>
        <w:spacing w:after="0"/>
        <w:tabs>
          <w:tab w:leader="none" w:pos="122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requirements relating to China’s data security rules and regulations;</w:t>
      </w:r>
    </w:p>
    <w:p>
      <w:pPr>
        <w:spacing w:after="0" w:line="116" w:lineRule="exact"/>
        <w:rPr>
          <w:rFonts w:ascii="Times New Roman" w:cs="Times New Roman" w:eastAsia="Times New Roman" w:hAnsi="Times New Roman"/>
          <w:sz w:val="19"/>
          <w:szCs w:val="19"/>
          <w:color w:val="auto"/>
        </w:rPr>
      </w:pPr>
    </w:p>
    <w:p>
      <w:pPr>
        <w:ind w:left="1220" w:hanging="599"/>
        <w:spacing w:after="0"/>
        <w:tabs>
          <w:tab w:leader="none" w:pos="122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requirements relating to China personal information protection laws;</w:t>
      </w:r>
    </w:p>
    <w:p>
      <w:pPr>
        <w:spacing w:after="0" w:line="103" w:lineRule="exact"/>
        <w:rPr>
          <w:rFonts w:ascii="Times New Roman" w:cs="Times New Roman" w:eastAsia="Times New Roman" w:hAnsi="Times New Roman"/>
          <w:sz w:val="19"/>
          <w:szCs w:val="19"/>
          <w:color w:val="auto"/>
        </w:rPr>
      </w:pPr>
    </w:p>
    <w:p>
      <w:pPr>
        <w:ind w:left="1220" w:hanging="599"/>
        <w:spacing w:after="0"/>
        <w:tabs>
          <w:tab w:leader="none" w:pos="122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changes and volatility in currency exchange rates;</w:t>
      </w:r>
    </w:p>
    <w:p>
      <w:pPr>
        <w:spacing w:after="0" w:line="116" w:lineRule="exact"/>
        <w:rPr>
          <w:rFonts w:ascii="Times New Roman" w:cs="Times New Roman" w:eastAsia="Times New Roman" w:hAnsi="Times New Roman"/>
          <w:sz w:val="19"/>
          <w:szCs w:val="19"/>
          <w:color w:val="auto"/>
        </w:rPr>
      </w:pPr>
    </w:p>
    <w:p>
      <w:pPr>
        <w:ind w:left="1220" w:hanging="599"/>
        <w:spacing w:after="0"/>
        <w:tabs>
          <w:tab w:leader="none" w:pos="122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unexpected or unfavorable changes in regulatory requirements; and</w:t>
      </w:r>
    </w:p>
    <w:p>
      <w:pPr>
        <w:spacing w:after="0" w:line="103" w:lineRule="exact"/>
        <w:rPr>
          <w:rFonts w:ascii="Times New Roman" w:cs="Times New Roman" w:eastAsia="Times New Roman" w:hAnsi="Times New Roman"/>
          <w:sz w:val="19"/>
          <w:szCs w:val="19"/>
          <w:color w:val="auto"/>
        </w:rPr>
      </w:pPr>
    </w:p>
    <w:p>
      <w:pPr>
        <w:ind w:left="1220" w:hanging="599"/>
        <w:spacing w:after="0"/>
        <w:tabs>
          <w:tab w:leader="none" w:pos="122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difficulties in managing foreign relationships and operations generally.</w:t>
      </w:r>
    </w:p>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WuXi Biologics is identified in the proposed U.S. legislation known as the BIOSECURE Act as a biotechnology “company of concern.” The current version of the BIOSECURE Act introduced in the House of Representatives would prohibit federal agencies from entering into procurement contracts with, as well as providing grants and loans to, an entity that uses biotechnology equipment or services from a biotechnology company of concern, and includes a grandfathering provision allowing biotechnology equipment and services provided or produced by named “biotechnology companies of concern” under a contract or agreement entered into before the effective date until January 1, 2032. The pathway and timing for the BIOSECURE Act or its provisions to become law are uncertain, although the bill was passed in the House of Representatives on September 9, 2024. Depending on whether the BIOSECURE Act becomes law, what the final language of the BIOSECURE Act includes, and how the law is interpreted by U.S. federal agencies, we could be potentially restricted from pursuing U.S. federal government business or grants in the future if we continue to use WuXi Biologics (Hong Kong) or other parties identified as “biotechnology companies of concern” beyond the grandfathering period. Foreign CMOs may be the target of U.S. legislation, including the proposed BIOSECURE Act, trade restrictions and other foreign regulatory requirements which could increase the cost or reduce the supply of material available to us, delay the procurement or supply of such material, restrict or even prohibit our ability to work with such CMOs, or have an adverse effect on our ability to secure significant commitments from governments to purchase potential therapies.</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example, the biopharmaceutical industry in China is strictly regulated by the Chinese government. Changes to Chinese regulations or government policies affecting biopharmaceutical companies are unpredictable and may have a material adverse effect on our partners, licensors, suppliers, manufacturers or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United States and the UK, could also negatively impact our ability to manufacture our product candidates for our planned clinical trials or have an adverse effect on our ability to secure government funding, which could adversely affect our financial condition and cause us to delay our clinical development programs. Furthermore, if the BIOSECURE Act is passed and one or more of our manufacturers or suppliers in China, including WuXi Biologics, is deemed to be a biotechnology company of concern, our operations and financial condition may be negatively impacted as a result of any delays or increased costs arising from the trade restrictions and other foreign regulatory requirements affecting such third parties. In addition, while we may work to establish relationships with CROs and CMOs outside of China, moving to those suppliers in the event of a geopolitical instability affecting our collaborators in China could introduce delays into the development program.</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U.S.-China trade relations may adversely impact our supply chain operations and business.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U.S. and Chinese governments have taken certain actions that change trade policies, including tariffs that affect certain products which are manufactured in China and mutual exchange of certain types of data. Due to our reliance on WuXi Biologics and Hangzhou DAC to supply and manufacture our product candidates and their components, we are reliant on collaborating with a company with significant operations in China. It is unknown whether and to what extent new tariffs, laws or regulations will be adopted that increase the cost or feasibility of importing and/or exporting products, components and information from China to the United States and vice versa. Further, the effect of any such new tariffs or actions on our industry and customers is unknown and difficult to predict. As additional new tariffs, legislation and/or regulations are implemented, or if existing trade agreements are renegotiated or if China or other affected countries take retaliatory trade actions, such changes could have a material adverse effect on our clinical development plans, business, financial condition, results of operations or cash flows.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and legal proceedings may substantially increase our costs and harm our business.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described in Note 13 (Commitments and contingencies) to the consolidated financial statements in Part I, Item 1 of this Annual Report on Form 10-K, we have been, are, and may in the future become, party to lawsuits and legal proceedings including, without limitation, actions and proceedings in the ordinary course of business relating to our collaboration partners,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For example, in June 2022, EOC filed a Request for Arbitration with the International Chamber of Commerce’s International Court of Arbitration against us. In the Request for Arbitration, EOC claimed that we breached certain provisions of the EOC License Agreement, including failing to provide certain manufacturing information to EOC. As a result, we became party to a lengthy arbitration process and, although we were found not liable for any damages to EOC in the arbitration panel’s final award in September 2024, we nevertheless experienced management distraction and incurred significant legal fees to defend ourselves.</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expense of defending against litigation and legal proceedings may be significant and there can be no assurance that we will be successful in any defense. Further, the amount of time that may be required to resolve such lawsuits or legal proceedings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 Litigation and legal proceedings are subject to inherent uncertainties, and an adverse result in such matters that may arise from time to time could have a material adverse effect on our business, results of operations, and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is volatile.</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market price of our common stock could be subject to significant fluctuations. From the completion of our reverse merger with Aerpio Pharmaceuticals, Inc. on August 26, 2021 through March 25, 2025, the closing price for our common stock ranged from a low of $1.32 to a high of $33.00 per share.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67" w:lineRule="exact"/>
        <w:rPr>
          <w:sz w:val="20"/>
          <w:szCs w:val="20"/>
          <w:color w:val="auto"/>
        </w:rPr>
      </w:pPr>
    </w:p>
    <w:p>
      <w:pPr>
        <w:ind w:left="620" w:hanging="308"/>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current, and any future, nonclinical or clinical trials of the ADC Therapies or any of our product candidates that we may develop;</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regulatory approvals for ADC Therapies or for any other product candidates that we may develop, and delays or failures to obtain such approvals;</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ADC Products or any product candidates that we may develop, if approved, for marketing and commercialization, to achieve commercial success;</w:t>
      </w:r>
    </w:p>
    <w:p>
      <w:pPr>
        <w:spacing w:after="0" w:line="4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inability to obtain adequate supply of the ADC Therapies or any of our product candidates that we may develop or the inability to do so at acceptable prices;</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into, or termination of, key agreements, including key licensing, supply or collaboration agreements;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regulatory authority decisions;</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of material developments in, or conclusion of, disputes or litigation to enforce or defend any of our intellectual property rights or defend against the intellectual property rights of others;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or regulations applicable to the ADC Therapies or any of our product candidates that we may develop;</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commercial partners or competitors of new commercial products, clinical progress (or the lack thereof), significant contracts, commercial relationships, or capital commitments;</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meet or exceed financial and development projections we may provide to the public;</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meet or exceed the financial and development projections of the investment community;</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perception of the pharmaceutical industry by the public, legislatures, regulators and the investment community;</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 and other factors unrelated to our operating performance or the operating performance of our competitors, including turmoil in the global banking system, deteriorating market conditions due to investor concerns regarding inflation and conflicts in Ukraine and the Middle East;</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publicity relating to our markets, including with respect to other products and potential products in such markets;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technological innovations or new therapies competing with our products and potential products;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significant acquisitions, strategic collaborations, joint ventures or capital commitments by us or our competitors;</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or other developments relating to proprietary rights, including patents, litigation matters, and our ability to obtain patent protection for our technologies;</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hiring or loss of key employees;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lawsuits, including patent or stockholder litigation;</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securities or industry analysts do not publish research or reports about our business, or if they issue an adverse or misleading opinion regarding our business and stock;</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 valuations of similar companies;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and industry-specific economic conditions potentially affecting our research and development expenditures;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or our stockholders in the future, or the anticipation thereof;</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volume of our common stock;</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 care payment systems;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regulatory decisions;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volume of our common stock; and</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period-to-period fluctuations in our financial results.</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spacing w:after="0" w:line="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We rely heavily on direct management oversight of transactions, along with the use of legal and outsourced accounting professionals. Although we may implement, document, and modify policies and procedures to maintain effective internal controls, we may identify significant deficiencies and material weaknesses or fail to remediate previously identified deficiencies in our internal controls.</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can be no assurance that we will be able to comply with the continued listing standards of Nasdaq.</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If Nasdaq delists our shares of common stock from trading on its exchange for failure to meet Nasdaq’s listing standards, we and our stockholders could face significant material adverse consequences including:</w:t>
      </w:r>
    </w:p>
    <w:p>
      <w:pPr>
        <w:spacing w:after="0" w:line="49" w:lineRule="exact"/>
        <w:rPr>
          <w:sz w:val="20"/>
          <w:szCs w:val="20"/>
          <w:color w:val="auto"/>
        </w:rPr>
      </w:pPr>
    </w:p>
    <w:p>
      <w:pPr>
        <w:ind w:left="620" w:hanging="308"/>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availability of market quotations for our securities;</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liquidity for our securities;</w:t>
      </w:r>
    </w:p>
    <w:p>
      <w:pPr>
        <w:spacing w:after="0" w:line="11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49"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amount of new and analyst coverage; and</w:t>
      </w:r>
    </w:p>
    <w:p>
      <w:pPr>
        <w:spacing w:after="0" w:line="11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decreased ability to issue additional securities or obtain additional financing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of a substantial number of shares of our common stock in the public market, including by our existing stockholders, could cause our stock price to fall.</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these sales and others may have on the prevailing market price of our common stock.</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February 12, 2024, we filed a universal shelf registration statement on Form S-3 (File No. 333-277018) (the “Shelf Registration Statement”), which became effective on April 30, 2024. No securities have yet been sold under the Shelf Registration Statement. We have established, and may in the future establish, “at-the-market” programs pursuant to which we may offer and sell shares of our common stock pursuant to the Shelf Registration Statement. Further, pursuant to the Registration Rights Agreement dated March 4, 2025, we have agreed to file a registration statement on Form S-3 to register the shares of common stock (including those subject to Pre-Funded Warrants) issued and sold in the PIPE Financing that closed on March 4, 2025.</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directors and employees may sell our stock through 10b5-1 trading plans or in the market during open windows under our insider trading policy without such plans in place. Sales of our common stock by our officers, directors, holders of 5% or more of our capital stock and their respective affiliates, and employees could be perceived negatively by investors or cause downward pressure on our common stock and cause a reduction in the price of our common stock as a result. We have also registered shares of our common stock that we may issue under our employee equity incentive plans. These shares will be able to be sold freely in the public market upon issuance.</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principal stockholders and management own a significant percentage of our common stock and will be able to exert significant control over matters subject to stockholder approval.</w:t>
      </w:r>
    </w:p>
    <w:p>
      <w:pPr>
        <w:spacing w:after="0" w:line="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Our executive officers, directors, holders of 5% or more of our capital stock and their respective affiliates beneficially own a significant portion of our outstanding voting stock.</w:t>
      </w:r>
    </w:p>
    <w:p>
      <w:pPr>
        <w:spacing w:after="0" w:line="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w:t>
      </w:r>
    </w:p>
    <w:p>
      <w:pPr>
        <w:spacing w:after="0" w:line="6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Unfavorable market and global economic conditions as a result of multiple global events, adverse developments affecting the financial services industry, the conflicts in Ukraine and the Middle East, increasing interest rates, the implementation of tariffs, and general economic downturns, could adversely affect our business, financial condition or results of operations.</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While the potential economic impact brought by multiple adverse global circumstances, such as conflicts in Ukraine and the Middle East, potential uncertainty related to Taiwan and its relationship with China, increasing interest rates, the implementation of tariffs, adverse developments affecting the financial services industry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any of our future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the Middle East, Russia, Belarus or Ukraine, but we do not and cannot know if the current uncertainties in these geopolitical areas, which are unfolding in real-time,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and on March 27, 2023, First-Citizens Bank &amp; Trust Company assumed all of SVB’s customer deposits and certain other liabilities and acquired substantially all of SVB’s loans and certain other assets from the FDIC. Similarly, on March 12, 2023, Signature Bank and Silvergate Capital Corp. were each swept into receivership. While we only had a minimal amount of our cash directly at SVB and, since that date, the FDIC has stated that all depositors of SVB would be made whole, and First-Citizens Bank &amp; Trust Company has assumed our deposits from SVB, there is no guarantee that the federal government would guarantee all depositors as they did with SVB depositors in the event of further bank closures and continued instability in the global banking system may adversely impact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operations and performance may be affected by political or civil unrest or military action, including the current conflicts in Ukraine and the Middle East,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December 31, 2024, we had cash, cash equivalents and short-term investments of </w:t>
      </w:r>
      <w:r>
        <w:rPr>
          <w:rFonts w:ascii="Times New Roman" w:cs="Times New Roman" w:eastAsia="Times New Roman" w:hAnsi="Times New Roman"/>
          <w:sz w:val="17"/>
          <w:szCs w:val="17"/>
          <w:color w:val="231F20"/>
        </w:rPr>
        <w:t>$47.2 million</w:t>
      </w:r>
      <w:r>
        <w:rPr>
          <w:rFonts w:ascii="Times New Roman" w:cs="Times New Roman" w:eastAsia="Times New Roman" w:hAnsi="Times New Roman"/>
          <w:sz w:val="17"/>
          <w:szCs w:val="17"/>
          <w:color w:val="auto"/>
        </w:rPr>
        <w:t>, consisting of U.S. government treasury bills, commercial paper, and corporate debt securities. Any default by the U.S. government or credit downgrade of the securities we hold could impact the liquidity or valuation of our investments.</w:t>
      </w:r>
    </w:p>
    <w:p>
      <w:pPr>
        <w:spacing w:after="0" w:line="6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or the third parties upon whom we depend, may be adversely affected by earthquakes, wildfires (such as the Pacific Palisades fire, which burned near but did not reach our former headquarters) and other natural disasters, and our business continuity and disaster recovery plans may not adequately protect us from a serious disaster.</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Any unplanned event, such as flood, fire, explosion, earthquake, extreme weather condition, medical epidemics, such as the COVID-19 pandemic, power shortage, telecommunication failure, cyberattacks, geopolitical tensions, including those related to the conflicts in Ukraine and the Middle East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a “smaller reporting company” under applicable securities regulations. A smaller reporting company is a company that (i) as of the last business day of its most recently completed second fiscal quarter has an aggregate market value of the company’s voting stock held by non-affiliates, or public float, of less than $250 million or (ii) for the most recently completed fiscal year has less than $100 million in revenue and as of the last business day of its most recently completed second fiscal quarter has less than $700 million in public float.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anticipate that we will pay any cash dividends in the foreseeable future.</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spacing w:after="0" w:line="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under Delaware law could make an acquisition of us more difficult and may prevent attempts our stockholders to replace or remove our management.</w:t>
      </w:r>
    </w:p>
    <w:p>
      <w:pPr>
        <w:spacing w:after="0" w:line="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7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w:t>
      </w:r>
    </w:p>
    <w:p>
      <w:pPr>
        <w:spacing w:after="0" w:line="2" w:lineRule="exact"/>
        <w:rPr>
          <w:sz w:val="20"/>
          <w:szCs w:val="20"/>
          <w:color w:val="auto"/>
        </w:rPr>
      </w:pPr>
    </w:p>
    <w:p>
      <w:pPr>
        <w:jc w:val="both"/>
        <w:ind w:firstLine="3"/>
        <w:spacing w:after="0" w:line="252" w:lineRule="auto"/>
        <w:tabs>
          <w:tab w:leader="none" w:pos="30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w:t>
      </w:r>
    </w:p>
    <w:p>
      <w:pPr>
        <w:spacing w:after="0" w:line="1" w:lineRule="exact"/>
        <w:rPr>
          <w:rFonts w:ascii="Times New Roman" w:cs="Times New Roman" w:eastAsia="Times New Roman" w:hAnsi="Times New Roman"/>
          <w:sz w:val="17"/>
          <w:szCs w:val="17"/>
          <w:color w:val="auto"/>
        </w:rPr>
      </w:pPr>
    </w:p>
    <w:p>
      <w:pPr>
        <w:jc w:val="both"/>
        <w:ind w:firstLine="3"/>
        <w:spacing w:after="0" w:line="255" w:lineRule="auto"/>
        <w:tabs>
          <w:tab w:leader="none" w:pos="30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have established policies and processes for assessing, identifying, and managing material risk from cybersecurity threats, and have </w:t>
      </w:r>
      <w:r>
        <w:rPr>
          <w:rFonts w:ascii="Times New Roman" w:cs="Times New Roman" w:eastAsia="Times New Roman" w:hAnsi="Times New Roman"/>
          <w:sz w:val="17"/>
          <w:szCs w:val="17"/>
          <w:color w:val="211D1E"/>
        </w:rPr>
        <w:t>integrated these processes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1D1E"/>
        </w:rPr>
        <w:t xml:space="preserve">into our overall risk management systems and processes. </w:t>
      </w:r>
      <w:r>
        <w:rPr>
          <w:rFonts w:ascii="Times New Roman" w:cs="Times New Roman" w:eastAsia="Times New Roman" w:hAnsi="Times New Roman"/>
          <w:sz w:val="17"/>
          <w:szCs w:val="17"/>
          <w:color w:val="000000"/>
        </w:rPr>
        <w:t>We r</w:t>
      </w:r>
      <w:r>
        <w:rPr>
          <w:rFonts w:ascii="Times New Roman" w:cs="Times New Roman" w:eastAsia="Times New Roman" w:hAnsi="Times New Roman"/>
          <w:sz w:val="17"/>
          <w:szCs w:val="17"/>
          <w:color w:val="211D1E"/>
        </w:rPr>
        <w:t xml:space="preserve">outinely assess material risks from cybersecurity threats, including </w:t>
      </w:r>
      <w:r>
        <w:rPr>
          <w:rFonts w:ascii="Times New Roman" w:cs="Times New Roman" w:eastAsia="Times New Roman" w:hAnsi="Times New Roman"/>
          <w:sz w:val="17"/>
          <w:szCs w:val="17"/>
          <w:color w:val="000000"/>
        </w:rPr>
        <w:t>any potential unauthorized</w:t>
      </w:r>
      <w:r>
        <w:rPr>
          <w:rFonts w:ascii="Times New Roman" w:cs="Times New Roman" w:eastAsia="Times New Roman" w:hAnsi="Times New Roman"/>
          <w:sz w:val="17"/>
          <w:szCs w:val="17"/>
          <w:color w:val="211D1E"/>
        </w:rPr>
        <w:t xml:space="preserve"> </w:t>
      </w:r>
      <w:r>
        <w:rPr>
          <w:rFonts w:ascii="Times New Roman" w:cs="Times New Roman" w:eastAsia="Times New Roman" w:hAnsi="Times New Roman"/>
          <w:sz w:val="17"/>
          <w:szCs w:val="17"/>
          <w:color w:val="000000"/>
        </w:rPr>
        <w:t>occurrence on or conducted through our information systems that may result in adverse effects on the confidentiality, integrity, or availability of our information systems or any information residing therein.</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adhere to industry-leading frameworks to safeguard our systems and data. The primary framework we follow is the HITRUST Common Security Framework (CSF). The HITRUST CSF provides a comprehensive, scalable, and technology-neutral approach to regulatory compliance and risk management. It encompasses information security risk management controls, including risk assessment, mitigation, and evaluation. Our processes for assessing, identifying, and managing material cybersecurity risks align with HITRUST CSF guidelines.</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211D1E"/>
        </w:rPr>
        <w:t>We conduct monthly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211D1E"/>
        </w:rPr>
        <w:t>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Chief Financial Officer, who reports to our Chief Executive Officer, to manage the risk assessment and mitigation processes.</w:t>
      </w:r>
    </w:p>
    <w:p>
      <w:pPr>
        <w:spacing w:after="0" w:line="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211D1E"/>
        </w:rPr>
        <w:t>As part of our overall risk management system, we monitor and test our safeguards and train our employees on these safeguards, in collaboration with our human resources and information technology departments. Personnel at all levels and departments are made aware of our cybersecurity policies through trainings.</w:t>
      </w:r>
    </w:p>
    <w:p>
      <w:pPr>
        <w:spacing w:after="0" w:line="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211D1E"/>
        </w:rPr>
        <w:t>We engage assessors, consultants, and auditors in connection with our risk assessment processes. These service providers assist us in designing and implementing our cybersecurity policies and procedures, as well as to monitor and test our safeguards. We require each third-party service provider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pacing w:after="0" w:line="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211D1E"/>
        </w:rPr>
        <w:t xml:space="preserve">Although we have designed our cybersecurity program and governance procedures above to mitigate cybersecurity risks, we face unknown cybersecurity risks, threats and attacks. To date, these risks, threats or attacks have not had a material impact on our operations, business strategy or financial results, but we cannot provide assurance that they will not have a material impact in the future. See the section entitled "Risk Factors" included elsewhere in this Annual Report for further information. For further information, please refer to Item 1A, “Risk Factors”, in this Annual Report on Form 10-K, including the risk factors entitled “Risks Related to Employee Matters, Managing Our Growth and Other Risks Related to our Business: </w:t>
      </w:r>
      <w:r>
        <w:rPr>
          <w:rFonts w:ascii="Times New Roman" w:cs="Times New Roman" w:eastAsia="Times New Roman" w:hAnsi="Times New Roman"/>
          <w:sz w:val="17"/>
          <w:szCs w:val="17"/>
          <w:i w:val="1"/>
          <w:iCs w:val="1"/>
          <w:color w:val="211D1E"/>
        </w:rPr>
        <w:t>Our internal computer systems, or those of any of our CROs,</w:t>
      </w:r>
      <w:r>
        <w:rPr>
          <w:rFonts w:ascii="Times New Roman" w:cs="Times New Roman" w:eastAsia="Times New Roman" w:hAnsi="Times New Roman"/>
          <w:sz w:val="17"/>
          <w:szCs w:val="17"/>
          <w:color w:val="211D1E"/>
        </w:rPr>
        <w:t xml:space="preserve"> </w:t>
      </w:r>
      <w:r>
        <w:rPr>
          <w:rFonts w:ascii="Times New Roman" w:cs="Times New Roman" w:eastAsia="Times New Roman" w:hAnsi="Times New Roman"/>
          <w:sz w:val="17"/>
          <w:szCs w:val="17"/>
          <w:i w:val="1"/>
          <w:iCs w:val="1"/>
          <w:color w:val="211D1E"/>
        </w:rPr>
        <w:t>manufacturers, other contractors or consultants or potential future collaborators, may fail or suffer security or data privacy breaches or other unauthorized or improper access to, or use or other processing of, or destruction of our proprietary or confidential data, employee data, or personal data, which could result in additional costs, loss of revenue, significant liabilities, harm to our brand and material disruption of our operations.</w:t>
      </w:r>
      <w:r>
        <w:rPr>
          <w:rFonts w:ascii="Times New Roman" w:cs="Times New Roman" w:eastAsia="Times New Roman" w:hAnsi="Times New Roman"/>
          <w:sz w:val="17"/>
          <w:szCs w:val="17"/>
          <w:color w:val="211D1E"/>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One of the key functions of our board of directors is informed oversight of our risk management process, including risks from cybersecurity threats. Our board of directors is responsible for monitoring and assessing strategic risk exposure, and our executive officers, including our Chief Financial Officer and General Counsel, are responsible for the day-to-day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management of the material risks we face. Our board of directors administers its cybersecurity risk oversight function directly as a whole, as well as through its audit committee.</w:t>
      </w:r>
    </w:p>
    <w:p>
      <w:pPr>
        <w:spacing w:after="0" w:line="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Chief Financial Officer and Senior Director of Information Technology are primarily responsible for assessing and managing our material risks from cybersecurity threats with assistance from third-party service providers. Our Senior Director of Information Technology leads our internal team and has over 20 years of cybersecurity experience, including the last 10 years in leadership positions, enabling him to build and transform successful cybersecurity programs and initiatives across several enterprises. His active associations include Veteran Volunteer Instructor for US Cyber Army Command (ARCYBER), Information Systems Security Association (ISSA), and Forum of Incident Response and Security Teams (FIRST), and has held many technical certifications including Strategic Planning, Policy, and Leadership (GSTRT), Certified Information Systems Security Professional (CISSP) and Certified Cloud Security Professional (CCSP). Our third-party vendors include assessors, consultants, and auditors holding (but not limited to) the following relevant certifications: Certified Information Systems Security Architecture Professional (CISSP-ISSAP), Certified in the Governance of Enterprise IT (CGEIT), Certified Data Privacy Solutions Engineer (CDPSE), and Certified Ethical Hacker (CEH).</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Our Chief Financial Officer and Senior Director, Information Technology </w:t>
      </w:r>
      <w:r>
        <w:rPr>
          <w:rFonts w:ascii="Times New Roman" w:cs="Times New Roman" w:eastAsia="Times New Roman" w:hAnsi="Times New Roman"/>
          <w:sz w:val="17"/>
          <w:szCs w:val="17"/>
          <w:color w:val="211D1E"/>
        </w:rPr>
        <w:t>oversee our cybersecurity policies and processes, including those described in “Risk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1D1E"/>
        </w:rPr>
        <w:t>Management and Strategy” above. The processes by which o</w:t>
      </w:r>
      <w:r>
        <w:rPr>
          <w:rFonts w:ascii="Times New Roman" w:cs="Times New Roman" w:eastAsia="Times New Roman" w:hAnsi="Times New Roman"/>
          <w:sz w:val="17"/>
          <w:szCs w:val="17"/>
          <w:color w:val="000000"/>
        </w:rPr>
        <w:t>ur Chief Financial Officer and Senior Director, Information Technology</w:t>
      </w:r>
      <w:r>
        <w:rPr>
          <w:rFonts w:ascii="Times New Roman" w:cs="Times New Roman" w:eastAsia="Times New Roman" w:hAnsi="Times New Roman"/>
          <w:sz w:val="17"/>
          <w:szCs w:val="17"/>
          <w:color w:val="211D1E"/>
        </w:rPr>
        <w:t xml:space="preserve"> are informed about and monitor the prevention, detection, mitigation, and remediation of cybersecurity incidents include company incident management and data protection policies, and applicable cybersecurity incident response playbooks.</w:t>
      </w:r>
    </w:p>
    <w:p>
      <w:pPr>
        <w:spacing w:after="0" w:line="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Our Chief Financial Officer and Senior Director, Information Technology </w:t>
      </w:r>
      <w:r>
        <w:rPr>
          <w:rFonts w:ascii="Times New Roman" w:cs="Times New Roman" w:eastAsia="Times New Roman" w:hAnsi="Times New Roman"/>
          <w:sz w:val="17"/>
          <w:szCs w:val="17"/>
          <w:color w:val="211D1E"/>
        </w:rPr>
        <w:t>provide periodic briefings to the audit committee regarding our cybersecurity risks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1D1E"/>
        </w:rPr>
        <w:t>activities, including any recent cybersecurity incidents and related responses, cybersecurity systems testing, activities of third parties, and the like. Our audit committee provides regular updates to the board of directors on such reports.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of March 25, 2025, our corporate headquarters consist of office space in Morristown, New Jersey that we license from KAKEN, which acquired the office space from us as part of the FYARRO Divestiture. Prior to March 2025, our corporate headquarters consisted of 2,760 square feet of leased office space in Pacific Palisades, California. Our Pacific Palisades lease expired on February 28, 2025.</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We believe our existing facilities are adequate to meet our current needs, and that suitable additional alternative spaces will be available in the future on commercially reasonable terms for our future growth.</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3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For discussion of legal proceedings, see Note 13 (Commitments and contingencies) to the consolidated financial statements in Part II, Item 8 of this Annual Report on Form 10-K.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Information</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Our common stock trades on the Nasdaq Capital Market, commencing on August 27, 2021. Prior to March 19, 2025, our common stock traded under the symbol “AADI” and currently trades under the symbol "WHWK".</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24, 2025, there were 81 stockholders of record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never declared nor paid any cash dividends to stockholders. We do not intend to pay cash dividends on our common stock for the foreseeable future, and currently intend to retain any future earnings to fund our operations and the development and growth of our business. The declaration of any future cash dividends, if any, would be at the discretion of our board of directors (subject to limitations imposed under applicable Delaware law) and would depend on our earnings, if any, our capital requirements and financial position, our general economic conditions and other pertinent conditions.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have been no unregistered sales of securities other than previously disclosed by us on Form 10-Q or Form 8-K.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There were no repurchases of shares of common stock made during the year ended </w:t>
      </w:r>
      <w:r>
        <w:rPr>
          <w:rFonts w:ascii="Times New Roman" w:cs="Times New Roman" w:eastAsia="Times New Roman" w:hAnsi="Times New Roman"/>
          <w:sz w:val="17"/>
          <w:szCs w:val="17"/>
          <w:color w:val="231F20"/>
        </w:rPr>
        <w:t>December 31, 2024</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The following discussion of our financial condition and results of operations should be read in conjunction with the audited consolidated financial statements and the related notes to those statements thereto appearing elsewhere in this Annual Report on Form 10-K filed with the SEC for the year ending </w:t>
      </w:r>
      <w:r>
        <w:rPr>
          <w:rFonts w:ascii="Times New Roman" w:cs="Times New Roman" w:eastAsia="Times New Roman" w:hAnsi="Times New Roman"/>
          <w:sz w:val="17"/>
          <w:szCs w:val="17"/>
          <w:i w:val="1"/>
          <w:iCs w:val="1"/>
          <w:color w:val="231F20"/>
        </w:rPr>
        <w:t>December 31, 2024</w:t>
      </w:r>
      <w:r>
        <w:rPr>
          <w:rFonts w:ascii="Times New Roman" w:cs="Times New Roman" w:eastAsia="Times New Roman" w:hAnsi="Times New Roman"/>
          <w:sz w:val="17"/>
          <w:szCs w:val="17"/>
          <w:i w:val="1"/>
          <w:iCs w:val="1"/>
          <w:color w:val="auto"/>
        </w:rPr>
        <w:t>.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Annual Report. You should read this Annual Report completely, including Part I, Item 1A (Risk Factors) of this Annual Report and the “Forward-Looking Statements” sections of this Annual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References in the following discussion to “we,” “our,” “us,” or “Whitehawk” refer to Whitehawk Therapeutics, Inc. and its subsidiaries.</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Throughout this document we refer to FYARRO (nab-sirolimus, sirolimus protein-bound particles for injectable suspension (albumin-bound)) as FYARRO in the context of commercialization for the treatment of advanced malignant perivascular epithelioid cell tumor (PEComa), investigational use, our clinical trials, regulatory matters such as orphan drug designation, and our former agreements with Bristol-Myers Squibb Company, Mirati Therapeutics, Inc. and EOC Pharma (Hong Kong) Limited, all further discussed throughout this document.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are an oncology therapeutics company applying advanced technologies to established tumor biology that are intended to efficiently deliver improved cancer treatments. We have deep experience in chemistry, formulation, and drug delivery, as well as research, clinical, and commercial pharmaceutical development, successfully taking product candidates from the clinic to approval, launch, and commercialization.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License Agreement and ADC Therapies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recently entered into an intellectual property license agreement (the “License Agreement”) with WuXi Biologics (Shanghai FX) Co., Ltd. (“WuXi Biologics”) for the development and global commercialization of a portfolio of three next generation antibody drug conjugates (“ADCs”) targeting clinically validated, broadly overexpressed tumor antigens in high potential cancer indications with significant unmet need. These ADCs are constructed utilizing an advanced linker-payload platform called CPT113 that has been shown to provide high stability in blood circulation and deliver targeted release of a Topoisomerase I (“TOPO1”) inhibitor payload into cancer cells.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These in-licensed assets originated through the collaborative efforts of WuXi Biologics, a leading global contract research, development and manufacturing organization (“CRDMO”), and Hangzhou DAC Biotechnology (“Hangzhou DAC”), a global leader in ADC innovation, where Hangzhou DAC’s CPT113 linker-payload has been conjugated to novel antibodies developed by WuXi Biologics against three tumor targets: Protein Tyrosine Kinase 7 (“PTK7”), Mucin 16 (“MUC16”) and Seizure-related Protein 6 (“SEZ6”). We believe the resulting ADCs will be able to target cancers expressing these respective tumor markers precisely and deliver the potent, cytotoxic TOPO1 inhibitor at the site of cancer. Each of these ADCs have demonstrated tumor cell binding, tumor cell line cytotoxicity,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antitumor activity in preclinical models mimicking tumor progression. We refer to these in-licensed ADC assets as the "ADC Therapies" herein.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anticipate submitting three investigational new drug (“IND”) applications with the U.S. Food and Drug Administration (“FDA”) in the coming 12 to 24 months, starting with HWK-007 for the treatment of solid tumors, including non-small cell lung cancer (“NSCLC”) and ovarian cancer, in the second half of 2025; HWK-016 for the treatment of cancers of female origin by the end of 2025; and HWK-206 for the treatment of cancers of neuroendocrine origin in mid-2026. With these three assets, we believe we have the ability to pursue multiple cancer indications with high potential in large addressable patient populations, including and beyond those indications currently expected to be targeted in the upcoming Phase 1 trials.</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track record of strong execution of novel drug formulation, research, clinical development, and commercialization in oncology, combined with our deep understanding of ADCs positions us to unlock the high potential of this differentiated ADC portfolio. Our management team has extensive experience in the discovery, development, and commercialization of cancer therapeutics, including in senior roles at leading oncology companies. We are supported by our board of directors and specialized scientific advisors, who contribute their deep understanding of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Furthermore, our investor base includes top life science investors. We believe that our team is well positioned to execute on our strategy to develop and, if approved, commercialize the ADC Therapies and future pipeline assets to ultimately bring broad benefit to cancer patients worldwide.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Legacy FYARRO Business</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For the periods presented and through the FYARRO Divestiture (as defined below), our lead drug product was FYARRO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(sirolimus protein-bound particles for injectable suspension (albumin-bound); nab-sirolimus), which combines two established technologies: nanoparticle albumin-bound (nab) technology and the anti-cancer agent, sirolimus. Nab-sirolimus is a potent inhibitor of the mTOR biological pathway with demonstrated anti-cancer activity in advanced malignant perivascular epithelioid cell tumor (“PEComa”), a rare cancer. We exclusively licensed FYARRO, previously called ABI-009, nab-sirolimus, from Abraxis BioScience, LLC, a wholly owned subsidiary of Celgene Corporation, which is a wholly owned subsidiary of Bristol-Myers Squibb Company (“BMS”). We refer to the development, production and commercial sale of FYARRO herein as the “FYARRO Business”. On February 22, 2022, we launched FYARRO in the United States for treatment of advanced malignant PEComa. For the fiscal year ended </w:t>
      </w:r>
      <w:r>
        <w:rPr>
          <w:rFonts w:ascii="Times New Roman" w:cs="Times New Roman" w:eastAsia="Times New Roman" w:hAnsi="Times New Roman"/>
          <w:sz w:val="17"/>
          <w:szCs w:val="17"/>
          <w:color w:val="231F20"/>
        </w:rPr>
        <w:t>December 31, 2024</w:t>
      </w:r>
      <w:r>
        <w:rPr>
          <w:rFonts w:ascii="Times New Roman" w:cs="Times New Roman" w:eastAsia="Times New Roman" w:hAnsi="Times New Roman"/>
          <w:sz w:val="17"/>
          <w:szCs w:val="17"/>
          <w:color w:val="auto"/>
        </w:rPr>
        <w:t>, we recorded net revenue from product sales of $26.0 million and net loss of $63.7 million compared to the fiscal year ended December 31, 2023, where we recorded net revenue from product sales of $24.4 million and net loss of $65.8 million. See “Results of Consolidated Operations” for further discussion of our results.</w:t>
      </w:r>
    </w:p>
    <w:p>
      <w:pPr>
        <w:spacing w:after="0" w:line="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December 19, 2024, we entered into a Stock Purchase Agreement (the “Divestiture Agreement”) with KAKEN INVESTMENTS INC., a Delaware corporation (“KAKEN”), KAKEN PHARMACEUTICAL CO., LTD (“Guarantor”), and Aadi Subsidiary, Inc., a Delaware corporation and our former wholly owned subsidiary and the operating company for the FYARRO Business (“Aadi Subsidiary”). Under the Divestiture Agreement, KAKEN acquired 100% of the outstanding shares of capital stock of Aadi Subsidiary from us at the closing for a cash payment of $102.4 million (following applicable purchase price adjustments under the Divestiture Agreement) (the "FYARRO Divestiture"). The divestiture transaction closed on March 25, 2025 and, as a result, we no longer operate the FYARRO Business.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Developments</w:t>
      </w:r>
    </w:p>
    <w:p>
      <w:pPr>
        <w:spacing w:after="0" w:line="114" w:lineRule="exact"/>
        <w:rPr>
          <w:sz w:val="20"/>
          <w:szCs w:val="20"/>
          <w:color w:val="auto"/>
        </w:rPr>
      </w:pPr>
    </w:p>
    <w:p>
      <w:pPr>
        <w:jc w:val="both"/>
        <w:ind w:left="940" w:hanging="319"/>
        <w:spacing w:after="0" w:line="258" w:lineRule="auto"/>
        <w:tabs>
          <w:tab w:leader="none" w:pos="936" w:val="left"/>
        </w:tabs>
        <w:numPr>
          <w:ilvl w:val="0"/>
          <w:numId w:val="5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i w:val="1"/>
          <w:iCs w:val="1"/>
          <w:color w:val="auto"/>
        </w:rPr>
        <w:t>License Agreement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December 19, 2024, we entered into the License Agreement with WuXi Biologics for exclusive rights to certain patents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know-how pertaining to WuXi Biologics’ preclinical ADC Therapies leveraging Hangzhou DAC linker-payload technology targeting each of MUC16, PTK7 and SEZ6. Under the License Agreement, we paid WuXi Biologics a non-refundable, partial upfront payment of $6.0 million on December 19, 2024 and we expect to pay an additional non-refundable, upfront payment of $38.0 million prior to April 17, 2025, in each case, for the rights and licenses granted to us by WuXi Biologics. In accordance with the License Agreement, WuXi Biologics is eligible to receive from us (a) up to an aggregate of $265.0 million upon the achievement of certain development milestones, and (b) up to an aggregate of $540.0 million upon the achievement of certain commercial milestones, across all ADC Therapies programs. WuXi Biologics is also entitled to running royalties during the agreed upon royalty term ranging from low-single-digit to upper-single-digit percentages of annual net sales of licensed products in the territory.</w:t>
      </w:r>
    </w:p>
    <w:p>
      <w:pPr>
        <w:spacing w:after="0" w:line="70" w:lineRule="exact"/>
        <w:rPr>
          <w:rFonts w:ascii="Times New Roman" w:cs="Times New Roman" w:eastAsia="Times New Roman" w:hAnsi="Times New Roman"/>
          <w:sz w:val="17"/>
          <w:szCs w:val="17"/>
          <w:i w:val="1"/>
          <w:iCs w:val="1"/>
          <w:color w:val="auto"/>
        </w:rPr>
      </w:pPr>
    </w:p>
    <w:p>
      <w:pPr>
        <w:jc w:val="both"/>
        <w:ind w:left="940" w:hanging="319"/>
        <w:spacing w:after="0" w:line="264" w:lineRule="auto"/>
        <w:tabs>
          <w:tab w:leader="none" w:pos="93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PIPE Financing</w:t>
      </w:r>
      <w:r>
        <w:rPr>
          <w:rFonts w:ascii="Times New Roman" w:cs="Times New Roman" w:eastAsia="Times New Roman" w:hAnsi="Times New Roman"/>
          <w:sz w:val="17"/>
          <w:szCs w:val="17"/>
          <w:color w:val="auto"/>
        </w:rPr>
        <w:t>. On December 19, 2024, we entered into subscription agreements for a private investment in public equity financing (the "2025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PIPE Financing") with certain investors (the "2025 PIPE Investors") for the sale of (i) 21,592,000 shares of our common stock, par value $0.0001 per share, at a purchase price of $2.40 per share, and (ii) 20,076,500 pre-funded warrants, at a purchase price of $2.3999 per pre-funded Warrant, for aggregate gross proceeds of $100.0 million. The 2025 PIPE Financing was approved by our stockholders on February 28, 2025 and closed on March 4, 2025.</w:t>
      </w:r>
    </w:p>
    <w:p>
      <w:pPr>
        <w:spacing w:after="0" w:line="273" w:lineRule="exact"/>
        <w:rPr>
          <w:rFonts w:ascii="Times New Roman" w:cs="Times New Roman" w:eastAsia="Times New Roman" w:hAnsi="Times New Roman"/>
          <w:sz w:val="17"/>
          <w:szCs w:val="17"/>
          <w:color w:val="auto"/>
        </w:rPr>
      </w:pPr>
    </w:p>
    <w:p>
      <w:pPr>
        <w:jc w:val="both"/>
        <w:ind w:left="940" w:hanging="319"/>
        <w:spacing w:after="0" w:line="261" w:lineRule="auto"/>
        <w:tabs>
          <w:tab w:leader="none" w:pos="936" w:val="left"/>
        </w:tabs>
        <w:numPr>
          <w:ilvl w:val="0"/>
          <w:numId w:val="5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i w:val="1"/>
          <w:iCs w:val="1"/>
          <w:color w:val="auto"/>
        </w:rPr>
        <w:t>Divestiture of FYARRO</w:t>
      </w:r>
      <w:r>
        <w:rPr>
          <w:rFonts w:ascii="Times New Roman" w:cs="Times New Roman" w:eastAsia="Times New Roman" w:hAnsi="Times New Roman"/>
          <w:sz w:val="17"/>
          <w:szCs w:val="17"/>
          <w:color w:val="auto"/>
        </w:rPr>
        <w:t>. On December 19, 2024, we entered into the Divestiture Agreement with KAKEN for the sale to KAKEN of 100%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outstanding shares of capital stock of Aadi Subsidiary and thereby all of our assets related to its FYARRO (sirolimus protein-bound particles for injectable suspension) (albumin-bound) program (the “FYARRO Business”). Per the terms and subject to the conditions of the Divestiture Agreement, we received $102.4 million (following applicable purchase price adjustments under the Divestiture Agreement) from KAKEN in cash at the closing of the FYARRO Divestiture on March 25, 2025. As part of the FYARRO Divestiture, KAKEN acquired the rights to the Aadi Bioscience, Inc. name and any related trademark rights.</w:t>
      </w:r>
    </w:p>
    <w:p>
      <w:pPr>
        <w:spacing w:after="0" w:line="63" w:lineRule="exact"/>
        <w:rPr>
          <w:rFonts w:ascii="Times New Roman" w:cs="Times New Roman" w:eastAsia="Times New Roman" w:hAnsi="Times New Roman"/>
          <w:sz w:val="17"/>
          <w:szCs w:val="17"/>
          <w:i w:val="1"/>
          <w:iCs w:val="1"/>
          <w:color w:val="auto"/>
        </w:rPr>
      </w:pPr>
    </w:p>
    <w:p>
      <w:pPr>
        <w:ind w:left="940" w:hanging="319"/>
        <w:spacing w:after="0" w:line="294" w:lineRule="auto"/>
        <w:tabs>
          <w:tab w:leader="none" w:pos="936" w:val="left"/>
        </w:tabs>
        <w:numPr>
          <w:ilvl w:val="0"/>
          <w:numId w:val="5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Company Name Change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March 18, 2025, in connection with the FYARRO Divestiture, we changed our name from "Aadi Bioscience, Inc."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"Whitehawk Therapeutics, Inc." and our common stock is now traded under the symbol "WHWK".</w:t>
      </w:r>
    </w:p>
    <w:p>
      <w:pPr>
        <w:spacing w:after="0" w:line="36" w:lineRule="exact"/>
        <w:rPr>
          <w:rFonts w:ascii="Times New Roman" w:cs="Times New Roman" w:eastAsia="Times New Roman" w:hAnsi="Times New Roman"/>
          <w:sz w:val="17"/>
          <w:szCs w:val="17"/>
          <w:b w:val="1"/>
          <w:bCs w:val="1"/>
          <w:i w:val="1"/>
          <w:iCs w:val="1"/>
          <w:color w:val="auto"/>
        </w:rPr>
      </w:pPr>
    </w:p>
    <w:p>
      <w:pPr>
        <w:ind w:left="940" w:hanging="319"/>
        <w:spacing w:after="0" w:line="294" w:lineRule="auto"/>
        <w:tabs>
          <w:tab w:leader="none" w:pos="936" w:val="left"/>
        </w:tabs>
        <w:numPr>
          <w:ilvl w:val="0"/>
          <w:numId w:val="5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New Member of the Board. </w:t>
      </w:r>
      <w:r>
        <w:rPr>
          <w:rFonts w:ascii="Times New Roman" w:cs="Times New Roman" w:eastAsia="Times New Roman" w:hAnsi="Times New Roman"/>
          <w:sz w:val="17"/>
          <w:szCs w:val="17"/>
          <w:color w:val="auto"/>
        </w:rPr>
        <w:t>On December 19, 2024, our board of directors appointed Baiteng Zhao, Ph.D. as a new member of the board. Dr. Zhao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co-founded ProfoundBio, a clinical stage next-gen ADC developer, 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940"/>
        <w:spacing w:after="0" w:line="269" w:lineRule="auto"/>
        <w:rPr>
          <w:sz w:val="20"/>
          <w:szCs w:val="20"/>
          <w:color w:val="auto"/>
        </w:rPr>
      </w:pPr>
      <w:r>
        <w:rPr>
          <w:rFonts w:ascii="Times New Roman" w:cs="Times New Roman" w:eastAsia="Times New Roman" w:hAnsi="Times New Roman"/>
          <w:sz w:val="17"/>
          <w:szCs w:val="17"/>
          <w:color w:val="auto"/>
        </w:rPr>
        <w:t>2018 and served as the Chairman and CEO of the company until it was acquired by Genmab for $1.8 billion in May 2024. Prior to ProfoundBio, Dr. Zhao worked at Seagen (now part of Pfizer) for more than eight years and was responsible for the modeling and simulation strategies for the development pipeline and supported preclinical and clinical development of ADC drug candidates.</w:t>
      </w:r>
    </w:p>
    <w:p>
      <w:pPr>
        <w:spacing w:after="0" w:line="58" w:lineRule="exact"/>
        <w:rPr>
          <w:sz w:val="20"/>
          <w:szCs w:val="20"/>
          <w:color w:val="auto"/>
        </w:rPr>
      </w:pPr>
    </w:p>
    <w:p>
      <w:pPr>
        <w:ind w:left="940" w:hanging="319"/>
        <w:spacing w:after="0" w:line="294" w:lineRule="auto"/>
        <w:tabs>
          <w:tab w:leader="none" w:pos="936" w:val="left"/>
        </w:tabs>
        <w:numPr>
          <w:ilvl w:val="0"/>
          <w:numId w:val="5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i w:val="1"/>
          <w:iCs w:val="1"/>
          <w:color w:val="auto"/>
        </w:rPr>
        <w:t>Employee Matters</w:t>
      </w:r>
      <w:r>
        <w:rPr>
          <w:rFonts w:ascii="Times New Roman" w:cs="Times New Roman" w:eastAsia="Times New Roman" w:hAnsi="Times New Roman"/>
          <w:sz w:val="17"/>
          <w:szCs w:val="17"/>
          <w:color w:val="auto"/>
        </w:rPr>
        <w:t>. In connection with the FYARRO Divestiture, 16 employees remained with Aadi Subsidiary, Inc. and transferred to KAKEN.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Following the FYARRO Divestiture, we have 18 full-time or part-time employees.</w:t>
      </w:r>
    </w:p>
    <w:p>
      <w:pPr>
        <w:spacing w:after="0" w:line="42" w:lineRule="exact"/>
        <w:rPr>
          <w:rFonts w:ascii="Times New Roman" w:cs="Times New Roman" w:eastAsia="Times New Roman" w:hAnsi="Times New Roman"/>
          <w:sz w:val="17"/>
          <w:szCs w:val="17"/>
          <w:i w:val="1"/>
          <w:iCs w:val="1"/>
          <w:color w:val="auto"/>
        </w:rPr>
      </w:pPr>
    </w:p>
    <w:p>
      <w:pPr>
        <w:jc w:val="both"/>
        <w:ind w:left="940"/>
        <w:spacing w:after="0" w:line="269"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On February 18, 2025, we appointed David Dornan, PhD, as our Chief Scientific Officer. Dr. Dornan brings more than two decades of experience in oncology drug discovery and development, with deep expertise in ADCs and other targeted cancer therapies. Prior to joining us, Dr. Dornan served as Chief Scientific Officer at Elevation Oncology and Bolt Biotherapeutics.</w:t>
      </w:r>
    </w:p>
    <w:p>
      <w:pPr>
        <w:spacing w:after="0" w:line="63" w:lineRule="exact"/>
        <w:rPr>
          <w:rFonts w:ascii="Times New Roman" w:cs="Times New Roman" w:eastAsia="Times New Roman" w:hAnsi="Times New Roman"/>
          <w:sz w:val="17"/>
          <w:szCs w:val="17"/>
          <w:i w:val="1"/>
          <w:iCs w:val="1"/>
          <w:color w:val="auto"/>
        </w:rPr>
      </w:pPr>
    </w:p>
    <w:p>
      <w:pPr>
        <w:jc w:val="both"/>
        <w:ind w:left="940"/>
        <w:spacing w:after="0" w:line="269"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As of October 1, 2024, Neil Desai, Ph.D., our former Executive Chairman, and Loretta Itri, our former Chief Medical Officer, ceased their respective employments with us. Dr. Desai continues to serve as a member of our Board. Dr. Itri will provide consulting services to us for up to ten hours per month during the term of her agreement.</w:t>
      </w:r>
    </w:p>
    <w:p>
      <w:pPr>
        <w:spacing w:after="0" w:line="57" w:lineRule="exact"/>
        <w:rPr>
          <w:rFonts w:ascii="Times New Roman" w:cs="Times New Roman" w:eastAsia="Times New Roman" w:hAnsi="Times New Roman"/>
          <w:sz w:val="17"/>
          <w:szCs w:val="17"/>
          <w:i w:val="1"/>
          <w:iCs w:val="1"/>
          <w:color w:val="auto"/>
        </w:rPr>
      </w:pPr>
    </w:p>
    <w:p>
      <w:pPr>
        <w:jc w:val="both"/>
        <w:ind w:left="940" w:hanging="319"/>
        <w:spacing w:after="0" w:line="261" w:lineRule="auto"/>
        <w:tabs>
          <w:tab w:leader="none" w:pos="93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Arbitration Win</w:t>
      </w:r>
      <w:r>
        <w:rPr>
          <w:rFonts w:ascii="Times New Roman" w:cs="Times New Roman" w:eastAsia="Times New Roman" w:hAnsi="Times New Roman"/>
          <w:sz w:val="17"/>
          <w:szCs w:val="17"/>
          <w:color w:val="auto"/>
        </w:rPr>
        <w:t>. On September 26, 2024, we received the arbitration panel's Final Award in our arbitration against EOC Pharma (Hong Kong)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Limited ("EOC"). EOC had claimed that we breached certain provisions of our license agreement with EOC, dated December 8, 2020 (the “EOC License Agreement”), including failing to provide certain manufacturing information to EOC and, as a result, EOC sought monetary damages against us. In the arbitration panel's Final Award, it found and concluded, among other things, that we did not breach the EOC License Agreement and accordingly we are not liable for any damages to EOC. See Note 7 to the consolidated financial statements and "EOC License Agreement" below for more information about the EOC License Agreement, its termination and the arbitration proceedings.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FYARRO Business Agreements</w:t>
      </w:r>
    </w:p>
    <w:p>
      <w:pPr>
        <w:spacing w:after="0" w:line="1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Former BMS License Agreement. </w:t>
      </w:r>
      <w:r>
        <w:rPr>
          <w:rFonts w:ascii="Times New Roman" w:cs="Times New Roman" w:eastAsia="Times New Roman" w:hAnsi="Times New Roman"/>
          <w:sz w:val="17"/>
          <w:szCs w:val="17"/>
          <w:color w:val="auto"/>
        </w:rPr>
        <w:t>We had exclusive rights for certain patents and a non-exclusive license for certain technology and know-how pertaining to ABI-009 (which we refer to as FYARRO) pursuant to an amended and restated license agreement, dated November 15, 2019, as amended August 31, 2021 (the “BMS License Agreement”) with Abraxis BioScience, LLC, a wholly owned subsidiary of Celgene Corporation, which is a wholly owned subsidiary of BMS. Under the BMS License Agreement, BMS is entitled to receive certain development milestone payments, royalties on net sales from licensed products under the agreement and any sublicense fees. Under the terms of this agreement</w:t>
      </w:r>
      <w:r>
        <w:rPr>
          <w:rFonts w:ascii="Times New Roman" w:cs="Times New Roman" w:eastAsia="Times New Roman" w:hAnsi="Times New Roman"/>
          <w:sz w:val="17"/>
          <w:szCs w:val="17"/>
          <w:color w:val="231F20"/>
        </w:rPr>
        <w:t>, we recorded royalties on net product sales of</w:t>
      </w:r>
      <w:r>
        <w:rPr>
          <w:rFonts w:ascii="Times New Roman" w:cs="Times New Roman" w:eastAsia="Times New Roman" w:hAnsi="Times New Roman"/>
          <w:sz w:val="17"/>
          <w:szCs w:val="17"/>
          <w:color w:val="auto"/>
        </w:rPr>
        <w:t xml:space="preserve"> $1.9 million </w:t>
      </w:r>
      <w:r>
        <w:rPr>
          <w:rFonts w:ascii="Times New Roman" w:cs="Times New Roman" w:eastAsia="Times New Roman" w:hAnsi="Times New Roman"/>
          <w:sz w:val="17"/>
          <w:szCs w:val="17"/>
          <w:color w:val="231F20"/>
        </w:rPr>
        <w:t>and $1.8 million for the years ended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December 31, 2024 and 2023, respectively. </w:t>
      </w:r>
      <w:r>
        <w:rPr>
          <w:rFonts w:ascii="Times New Roman" w:cs="Times New Roman" w:eastAsia="Times New Roman" w:hAnsi="Times New Roman"/>
          <w:sz w:val="17"/>
          <w:szCs w:val="17"/>
          <w:color w:val="000000"/>
        </w:rPr>
        <w:t>No payments related to milestones under this agreement were paid during the years ended December 31, 2024 or 2023.</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See Note 7 to the consolidated financial statements for more information about the BMS License Agreement.</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30, 2021, we and BMS entered into Amendment No. 1 (the “Amendment”) to the BMS License Agreement. Under the terms of the Amendment, we paid BMS $5.8 million, representing 50% of the previously outstanding payment obligation under the agreement, following the effective time of our 2021 private investment in public equity (PIPE) financing ("2021 PIPE Financing") that occurred in connection with the closing of the reverse merger of Aerpio Pharmaceuticals, Inc. whereby Aspen Merger Subsidiary, Inc., our wholly-owned subsidiary (“Merger Sub”), merged with and into Aadi Subsidiary (formerly known as Aadi Bioscience, Inc., with Aadi Subsidiary surviving as our wholly-owned subsidiary (the “Merger”). Pursuant to the terms of the amendment, the remaining portion of the previously outstanding payment obligation ($5.8 million), was paid by the third anniversary of the effective time of the 2021 PIPE Financing (i.e., August 26, 2024). As part of its purchase of the FYARRO Business, KAKEN acquired Aadi Subsidiary and our rights and responsibilities under the BMS License Agreement.</w:t>
      </w:r>
    </w:p>
    <w:p>
      <w:pPr>
        <w:spacing w:after="0" w:line="2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Former EOC License Agreement. </w:t>
      </w:r>
      <w:r>
        <w:rPr>
          <w:rFonts w:ascii="Times New Roman" w:cs="Times New Roman" w:eastAsia="Times New Roman" w:hAnsi="Times New Roman"/>
          <w:sz w:val="17"/>
          <w:szCs w:val="17"/>
          <w:color w:val="auto"/>
        </w:rPr>
        <w:t>In December 2020, we entered into the license agreement ("EOC License Agreement") with EOC Pharma (Hong Kong) Limited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("EOC") under which we received $14.0 million in January 2021 in non-refundable upfront consideration as partial payment for the rights and licenses granted to EOC by us for the further development and commercialization of FYARRO in the People’s Republic of China, Hong Kong Special Administration Region, Macao Special Administrative Region and Taiwan (the “Licensed Territory”).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27, 2022, we received written notice from EOC that EOC elected to terminate the EOC License Agreement, effective immediately. On June 27, 2022, EOC filed a Request for Arbitration with the International Chamber of Commerce’s International Court of Arbitration against us. On September 26, 2024, the arbitration panel issued a Final Award which, among other things, found and concluded that we did not breach the EOC License Agreement and accordingly we are not liable for any damages to EOC. See Note 7 to the consolidated financial statements for more information about the EOC License Agreement, its termination and the arbitration proceedings.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i w:val="1"/>
          <w:iCs w:val="1"/>
          <w:color w:val="auto"/>
        </w:rPr>
        <w:t xml:space="preserve">Former Mirati Collaboration. </w:t>
      </w:r>
      <w:r>
        <w:rPr>
          <w:rFonts w:ascii="Times New Roman" w:cs="Times New Roman" w:eastAsia="Times New Roman" w:hAnsi="Times New Roman"/>
          <w:sz w:val="17"/>
          <w:szCs w:val="17"/>
          <w:color w:val="auto"/>
        </w:rPr>
        <w:t>In October 2022, we entered into a collaboration and supply agreement with Mirati to evaluate the combination of Mirati’s adagrasib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FYARRO in KRAS</w:t>
      </w:r>
      <w:r>
        <w:rPr>
          <w:rFonts w:ascii="Times New Roman" w:cs="Times New Roman" w:eastAsia="Times New Roman" w:hAnsi="Times New Roman"/>
          <w:sz w:val="22"/>
          <w:szCs w:val="22"/>
          <w:color w:val="auto"/>
          <w:vertAlign w:val="superscript"/>
        </w:rPr>
        <w:t>G12C</w:t>
      </w:r>
      <w:r>
        <w:rPr>
          <w:rFonts w:ascii="Times New Roman" w:cs="Times New Roman" w:eastAsia="Times New Roman" w:hAnsi="Times New Roman"/>
          <w:sz w:val="17"/>
          <w:szCs w:val="17"/>
          <w:color w:val="auto"/>
        </w:rPr>
        <w:t xml:space="preserve"> mutant NSCLC and other solid tumors. In May 2024, we announced the mutually agreed upon termination of the collaboration and supply agreement with Mirati. Enrollment in the Phase 1/2 study has been closed and the study is winding down. Under the terms of the agreement, Mirati was responsible for sponsoring and operating the Phase 1/2 study and we supplied study drug and jointly shared the cost of the study, which will continue during the winding down process.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Negative Global or National Events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Businesses have been and will continue to be impacted by a number of challenging global and national events and circumstances that continue to evolve, including the recent turmoil in the global banking system, public health epidemics, such as the COVID-19 pandemic, extreme weather conditions, increased economic uncertainty, inflation, rising interest rates, the implementation of tariffs (and, as applicable, their subsequent modification or removal), and geopolitical instability, including the conflicts in Ukraine,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developed, we took numerous steps to help ensure the health and safety of our employees. While we have resumed normal operations, any resurgence of the COVID-19 pandemic may cause us to reinstitute certain measures to protect employee safety, including staggered work hours or reduced in-person staffing, that could result in additional disruption and/or delays in our ability to conduct development activities.</w:t>
      </w:r>
    </w:p>
    <w:p>
      <w:pPr>
        <w:spacing w:after="0" w:line="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At this point, the extent to which these global or national events and circumstances may affect our future business, operations and development timelines and plans, including the resulting impact on our expenditures and capital needs, remains uncertain. We will continue to evaluate the impact that these events could have on our operations, financial position, results of operations and cash flows in fiscal year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Key Trends and Factors Affecting Comparability Between Periods</w:t>
      </w:r>
    </w:p>
    <w:p>
      <w:pPr>
        <w:spacing w:after="0" w:line="120" w:lineRule="exact"/>
        <w:rPr>
          <w:sz w:val="20"/>
          <w:szCs w:val="20"/>
          <w:color w:val="auto"/>
        </w:rPr>
      </w:pPr>
    </w:p>
    <w:p>
      <w:pPr>
        <w:jc w:val="both"/>
        <w:ind w:left="940" w:hanging="473"/>
        <w:spacing w:after="0" w:line="264" w:lineRule="auto"/>
        <w:tabs>
          <w:tab w:leader="none" w:pos="93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sale of FYARRO was launched on February 22, 2022, for the treatment of patients with advanced malignant PEComa. We recorded net product sales of $26.0 million and $24.4 million during the years ended December 31, 2024 and 2023, respectively. As a result of the FYARRO Divestiture, we no longer commercialize FYARRO as of March 25, 2025. As the commercial sale of FYARRO constituted our sole source of revenue, we do not expect to generate further revenue for the foreseeable future.</w:t>
      </w:r>
    </w:p>
    <w:p>
      <w:pPr>
        <w:spacing w:after="0" w:line="67" w:lineRule="exact"/>
        <w:rPr>
          <w:rFonts w:ascii="Times New Roman" w:cs="Times New Roman" w:eastAsia="Times New Roman" w:hAnsi="Times New Roman"/>
          <w:sz w:val="17"/>
          <w:szCs w:val="17"/>
          <w:color w:val="auto"/>
        </w:rPr>
      </w:pPr>
    </w:p>
    <w:p>
      <w:pPr>
        <w:jc w:val="both"/>
        <w:ind w:left="940" w:hanging="473"/>
        <w:spacing w:after="0" w:line="264" w:lineRule="auto"/>
        <w:tabs>
          <w:tab w:leader="none" w:pos="93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had built a cross-functional commercial team consisting of marketing, market access and commercial operations. Expenses related to our commercialization of FYARRO, including personnel expenses, sales support, and marketing are included in selling, general and administrative expenses for the years ended December 31, 2024 and 2023. We expect these expenses to decrease, as compared to prior periods, due to our workforce reductions in 2024 and the FYARRO Divestiture.</w:t>
      </w:r>
    </w:p>
    <w:p>
      <w:pPr>
        <w:spacing w:after="0" w:line="67" w:lineRule="exact"/>
        <w:rPr>
          <w:rFonts w:ascii="Times New Roman" w:cs="Times New Roman" w:eastAsia="Times New Roman" w:hAnsi="Times New Roman"/>
          <w:sz w:val="17"/>
          <w:szCs w:val="17"/>
          <w:color w:val="auto"/>
        </w:rPr>
      </w:pPr>
    </w:p>
    <w:p>
      <w:pPr>
        <w:jc w:val="both"/>
        <w:ind w:left="940" w:hanging="473"/>
        <w:spacing w:after="0" w:line="269" w:lineRule="auto"/>
        <w:tabs>
          <w:tab w:leader="none" w:pos="93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increase our investment in research and development related to the ADC Therapies. We will continue to incur significant research and development and other expenses related to such ongoing operations. Under the License Agreement, we paid $6.0 million to WuXi Biologics in the fourth quarter of 2024 and expect to pay $38.0 million to WuXi Biologics in the second quarter of 2025.</w:t>
      </w:r>
    </w:p>
    <w:p>
      <w:pPr>
        <w:spacing w:after="0" w:line="6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BMS License Agreement, as described above, we made a payment of $5.8 million to BMS on August 26,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As of </w:t>
      </w:r>
      <w:r>
        <w:rPr>
          <w:rFonts w:ascii="Times New Roman" w:cs="Times New Roman" w:eastAsia="Times New Roman" w:hAnsi="Times New Roman"/>
          <w:sz w:val="17"/>
          <w:szCs w:val="17"/>
          <w:color w:val="231F20"/>
        </w:rPr>
        <w:t>December 31, 2024, we had $47.2 million of cash, cash equivalents and short-term investments. Upon the completion of the strategic transactions announced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in December 2024, we added approximately $202.4 million to our cash, cash equivalents and short-term investments as of March 26, 2025, which includes $102.4 million received from the FYARRO Divestiture and $100.0 million received from the 2025 PIPE Financing. We expect to pay $38 million in April 2025 to Wuxi Biologics for the in-licensing of the ADC Therapies. Based on our current plans, we believe our existing cash, cash equivalents and short-term investments will enable us to conduct our planned operations into 2028.</w:t>
      </w:r>
    </w:p>
    <w:p>
      <w:pPr>
        <w:spacing w:after="0" w:line="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We have incurred net losses in each year since inception and as of </w:t>
      </w:r>
      <w:r>
        <w:rPr>
          <w:rFonts w:ascii="Times New Roman" w:cs="Times New Roman" w:eastAsia="Times New Roman" w:hAnsi="Times New Roman"/>
          <w:sz w:val="17"/>
          <w:szCs w:val="17"/>
          <w:color w:val="231F20"/>
        </w:rPr>
        <w:t>December 31, 2024</w:t>
      </w:r>
      <w:r>
        <w:rPr>
          <w:rFonts w:ascii="Times New Roman" w:cs="Times New Roman" w:eastAsia="Times New Roman" w:hAnsi="Times New Roman"/>
          <w:sz w:val="17"/>
          <w:szCs w:val="17"/>
          <w:color w:val="auto"/>
        </w:rPr>
        <w:t xml:space="preserve"> we had an accumulated deficit of $332.7 million. These losses have resulted principally from costs incurred in connection with research and development activities, selling, general and administrative costs associated with our operations, and costs associated with the Merger,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FYARRO Divestiture, 2025 PIPE Financing, and the in-licensing of the ADC Therapies. We expect to continue to incur significant expenses and operating losses for the foreseeable future due to the cost of research and development, including conducting preclinical and clinical trials of the ADC Therapies and identifying and designing product candidates and the regulatory approval process for any product candidates we may develop.</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consolidated balance sheets and statements of operations and comprehensive loss presented herein. The following discussion and analysis are based on our consolidated financial statements contained in this Annual Report, which we have prepared in accordance with U.S. generally accepted accounting principles (“GAAP”). You should read the discussion and analysis together with such consolidated financial statements and the related notes thereto.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Statements of Operations and Comprehensive Loss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Sales, Net</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FYARRO was approved by the FDA in November 2021 for treating adult patients with locally advanced unresectable or metastatic malignant PEComa.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63" w:lineRule="exact"/>
        <w:rPr>
          <w:sz w:val="20"/>
          <w:szCs w:val="20"/>
          <w:color w:val="auto"/>
        </w:rPr>
      </w:pPr>
    </w:p>
    <w:p>
      <w:pPr>
        <w:ind w:left="940" w:hanging="473"/>
        <w:spacing w:after="0" w:line="291" w:lineRule="auto"/>
        <w:tabs>
          <w:tab w:leader="none" w:pos="77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Distribution Fees</w:t>
      </w:r>
      <w:r>
        <w:rPr>
          <w:rFonts w:ascii="Times New Roman" w:cs="Times New Roman" w:eastAsia="Times New Roman" w:hAnsi="Times New Roman"/>
          <w:sz w:val="17"/>
          <w:szCs w:val="17"/>
          <w:color w:val="auto"/>
        </w:rPr>
        <w:t>: Distribution fees include distribution service fees paid to the SDs and SP based on a contractually fixed percentage of the wholesale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acquisition cost (“WAC”). Distribution fees are recorded as an offset to product sales based on contractual terms at the time the sale is recognized.</w:t>
      </w:r>
    </w:p>
    <w:p>
      <w:pPr>
        <w:spacing w:after="0" w:line="41" w:lineRule="exact"/>
        <w:rPr>
          <w:rFonts w:ascii="Times New Roman" w:cs="Times New Roman" w:eastAsia="Times New Roman" w:hAnsi="Times New Roman"/>
          <w:sz w:val="17"/>
          <w:szCs w:val="17"/>
          <w:color w:val="auto"/>
        </w:rPr>
      </w:pPr>
    </w:p>
    <w:p>
      <w:pPr>
        <w:ind w:left="940" w:hanging="473"/>
        <w:spacing w:after="0" w:line="260" w:lineRule="auto"/>
        <w:tabs>
          <w:tab w:leader="none" w:pos="7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Rebates</w:t>
      </w:r>
      <w:r>
        <w:rPr>
          <w:rFonts w:ascii="Times New Roman" w:cs="Times New Roman" w:eastAsia="Times New Roman" w:hAnsi="Times New Roman"/>
          <w:sz w:val="17"/>
          <w:szCs w:val="17"/>
          <w:color w:val="auto"/>
        </w:rPr>
        <w:t>: Allowance for rebates include mandated discounts under the Medicaid Drug Rebate Program and TRICARE program. Rebates are amounts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owed after the final dispensing of the 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w:t>
      </w:r>
    </w:p>
    <w:p>
      <w:pPr>
        <w:spacing w:after="0" w:line="68" w:lineRule="exact"/>
        <w:rPr>
          <w:rFonts w:ascii="Times New Roman" w:cs="Times New Roman" w:eastAsia="Times New Roman" w:hAnsi="Times New Roman"/>
          <w:sz w:val="17"/>
          <w:szCs w:val="17"/>
          <w:color w:val="auto"/>
        </w:rPr>
      </w:pPr>
    </w:p>
    <w:p>
      <w:pPr>
        <w:ind w:left="940" w:hanging="473"/>
        <w:spacing w:after="0" w:line="265" w:lineRule="auto"/>
        <w:tabs>
          <w:tab w:leader="none" w:pos="84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Chargebacks</w:t>
      </w:r>
      <w:r>
        <w:rPr>
          <w:rFonts w:ascii="Times New Roman" w:cs="Times New Roman" w:eastAsia="Times New Roman" w:hAnsi="Times New Roman"/>
          <w:sz w:val="17"/>
          <w:szCs w:val="17"/>
          <w:color w:val="auto"/>
        </w:rPr>
        <w:t>: Chargebacks are discounts and fees that relate to contracts with government and other entities purchasing from the SDs and SP at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discounted price. The SDs and SP charge 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w:t>
      </w:r>
    </w:p>
    <w:p>
      <w:pPr>
        <w:spacing w:after="0" w:line="63" w:lineRule="exact"/>
        <w:rPr>
          <w:rFonts w:ascii="Times New Roman" w:cs="Times New Roman" w:eastAsia="Times New Roman" w:hAnsi="Times New Roman"/>
          <w:sz w:val="17"/>
          <w:szCs w:val="17"/>
          <w:color w:val="auto"/>
        </w:rPr>
      </w:pPr>
    </w:p>
    <w:p>
      <w:pPr>
        <w:jc w:val="both"/>
        <w:ind w:left="940" w:hanging="473"/>
        <w:spacing w:after="0" w:line="262" w:lineRule="auto"/>
        <w:tabs>
          <w:tab w:leader="none" w:pos="90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Co-Payment Assistance</w:t>
      </w:r>
      <w:r>
        <w:rPr>
          <w:rFonts w:ascii="Times New Roman" w:cs="Times New Roman" w:eastAsia="Times New Roman" w:hAnsi="Times New Roman"/>
          <w:sz w:val="17"/>
          <w:szCs w:val="17"/>
          <w:color w:val="auto"/>
        </w:rPr>
        <w:t>: We offer co-payment assistance to commercially insured patients meeting certain eligibility requirements. Co-payment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assistance is accrued at the time of product sale to the SDs and SP based on estimated patient participation and average co-pay benefit to be paid per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66" w:lineRule="exact"/>
        <w:rPr>
          <w:rFonts w:ascii="Times New Roman" w:cs="Times New Roman" w:eastAsia="Times New Roman" w:hAnsi="Times New Roman"/>
          <w:sz w:val="17"/>
          <w:szCs w:val="17"/>
          <w:color w:val="auto"/>
        </w:rPr>
      </w:pPr>
    </w:p>
    <w:p>
      <w:pPr>
        <w:ind w:left="940" w:hanging="473"/>
        <w:spacing w:after="0" w:line="260" w:lineRule="auto"/>
        <w:tabs>
          <w:tab w:leader="none" w:pos="80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Product Returns</w:t>
      </w:r>
      <w:r>
        <w:rPr>
          <w:rFonts w:ascii="Times New Roman" w:cs="Times New Roman" w:eastAsia="Times New Roman" w:hAnsi="Times New Roman"/>
          <w:sz w:val="17"/>
          <w:szCs w:val="17"/>
          <w:color w:val="auto"/>
        </w:rPr>
        <w:t>: Consistent with industry practice, we offer the SDs and SP limited product return rights for damages, shipment errors, and expiring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on-hand channel inventory data and sell-through data obtained from the SDs and SP. In arriving at our estimate, we also consider historical product returns, the underlying product demand, and industry data specific to the specialty pharmaceutical distribution industry.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salaries and related benefits, including share-based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Research and development expenses, which consist primarily of costs associated with our product research and development efforts, are expensed as incurred. Research and development expenses consist primarily of: (i) employee related costs, including salaries, benefits and share-based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as a result of the ADC transaction. We will continue to incur significant research and development and other expenses related to such ongoing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Goods Sold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Cost of goods sold consist primarily of royalties paid to BMS, costs incurred on sales of FYARRO and costs to manufacture and prepare the product for sales subsequent to the FDA approval in November 2021. Costs incurred prior to the FDA approval were expensed when incurred</w:t>
      </w:r>
      <w:r>
        <w:rPr>
          <w:rFonts w:ascii="Times New Roman" w:cs="Times New Roman" w:eastAsia="Times New Roman" w:hAnsi="Times New Roman"/>
          <w:sz w:val="17"/>
          <w:szCs w:val="17"/>
          <w:i w:val="1"/>
          <w:iCs w:val="1"/>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net consists of interest income earned on cash, cash equivalents and short-term investments.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During the years ended </w:t>
      </w:r>
      <w:r>
        <w:rPr>
          <w:rFonts w:ascii="Times New Roman" w:cs="Times New Roman" w:eastAsia="Times New Roman" w:hAnsi="Times New Roman"/>
          <w:sz w:val="17"/>
          <w:szCs w:val="17"/>
          <w:color w:val="231F20"/>
        </w:rPr>
        <w:t>December 31, 2024</w:t>
      </w:r>
      <w:r>
        <w:rPr>
          <w:rFonts w:ascii="Times New Roman" w:cs="Times New Roman" w:eastAsia="Times New Roman" w:hAnsi="Times New Roman"/>
          <w:sz w:val="17"/>
          <w:szCs w:val="17"/>
          <w:color w:val="auto"/>
        </w:rPr>
        <w:t xml:space="preserve"> and 2023, we recognized no income tax expense on the statements of operations and comprehensive loss. Since our formation in 2011, we have not recorded any U.S. federal or state income tax benefits for the net losses we have incurred in each year or our earned tax credits, due to our uncertainty of realizing a benefit from those items.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results of operations for the periods indicated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00" w:type="dxa"/>
            <w:vAlign w:val="bottom"/>
          </w:tcPr>
          <w:p>
            <w:pPr>
              <w:spacing w:after="0"/>
              <w:rPr>
                <w:sz w:val="15"/>
                <w:szCs w:val="15"/>
                <w:color w:val="auto"/>
              </w:rPr>
            </w:pPr>
          </w:p>
        </w:tc>
        <w:tc>
          <w:tcPr>
            <w:tcW w:w="27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5"/>
                <w:szCs w:val="15"/>
                <w:color w:val="auto"/>
              </w:rPr>
            </w:pPr>
          </w:p>
        </w:tc>
      </w:tr>
      <w:tr>
        <w:trPr>
          <w:trHeight w:val="193"/>
        </w:trPr>
        <w:tc>
          <w:tcPr>
            <w:tcW w:w="79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r>
      <w:tr>
        <w:trPr>
          <w:trHeight w:val="22"/>
        </w:trPr>
        <w:tc>
          <w:tcPr>
            <w:tcW w:w="7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9"/>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Product sales, net</w:t>
            </w:r>
          </w:p>
        </w:tc>
        <w:tc>
          <w:tcPr>
            <w:tcW w:w="98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25,983</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24,354</w:t>
            </w:r>
          </w:p>
        </w:tc>
      </w:tr>
      <w:tr>
        <w:trPr>
          <w:trHeight w:val="21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25,983</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24,354</w:t>
            </w:r>
          </w:p>
        </w:tc>
      </w:tr>
      <w:tr>
        <w:trPr>
          <w:trHeight w:val="199"/>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36,749</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44,549</w:t>
            </w:r>
          </w:p>
        </w:tc>
      </w:tr>
      <w:tr>
        <w:trPr>
          <w:trHeight w:val="219"/>
        </w:trPr>
        <w:tc>
          <w:tcPr>
            <w:tcW w:w="7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48,929</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Cost of goods sold</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3,024</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2,809</w:t>
            </w:r>
          </w:p>
        </w:tc>
      </w:tr>
      <w:tr>
        <w:trPr>
          <w:trHeight w:val="21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93,441</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96,287</w:t>
            </w:r>
          </w:p>
        </w:tc>
      </w:tr>
      <w:tr>
        <w:trPr>
          <w:trHeight w:val="212"/>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(67,458)</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(71,933)</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 net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6,168</w:t>
            </w:r>
          </w:p>
        </w:tc>
      </w:tr>
      <w:tr>
        <w:trPr>
          <w:trHeight w:val="212"/>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before income tax expense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(63,691)</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(65,765)</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980" w:type="dxa"/>
            <w:vAlign w:val="bottom"/>
            <w:tcBorders>
              <w:top w:val="single" w:sz="8" w:color="auto"/>
              <w:bottom w:val="single" w:sz="8" w:color="auto"/>
            </w:tcBorders>
          </w:tcPr>
          <w:p>
            <w:pPr>
              <w:jc w:val="right"/>
              <w:ind w:right="78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(63,691)</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(65,765)</w:t>
            </w:r>
          </w:p>
        </w:tc>
      </w:tr>
      <w:tr>
        <w:trPr>
          <w:trHeight w:val="20"/>
        </w:trPr>
        <w:tc>
          <w:tcPr>
            <w:tcW w:w="7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Comparison of Years Ended </w:t>
      </w:r>
      <w:r>
        <w:rPr>
          <w:rFonts w:ascii="Times New Roman" w:cs="Times New Roman" w:eastAsia="Times New Roman" w:hAnsi="Times New Roman"/>
          <w:sz w:val="17"/>
          <w:szCs w:val="17"/>
          <w:b w:val="1"/>
          <w:bCs w:val="1"/>
          <w:color w:val="231F20"/>
        </w:rPr>
        <w:t>December 31, 2024 and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Sales, Net</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 xml:space="preserve">Our product sales, net consist of sales of FYARRO. Product sales, net for the years ended </w:t>
      </w:r>
      <w:r>
        <w:rPr>
          <w:rFonts w:ascii="Times New Roman" w:cs="Times New Roman" w:eastAsia="Times New Roman" w:hAnsi="Times New Roman"/>
          <w:sz w:val="17"/>
          <w:szCs w:val="17"/>
          <w:color w:val="231F20"/>
        </w:rPr>
        <w:t>December 31, 2024 and 2023</w:t>
      </w:r>
      <w:r>
        <w:rPr>
          <w:rFonts w:ascii="Times New Roman" w:cs="Times New Roman" w:eastAsia="Times New Roman" w:hAnsi="Times New Roman"/>
          <w:sz w:val="17"/>
          <w:szCs w:val="17"/>
          <w:color w:val="auto"/>
        </w:rPr>
        <w:t xml:space="preserve"> were $26.0 million and $24.4 million, respectively. The increase in product sales, net of $1.6 million compared to the same period in the prior year was primarily driven by stronger demand.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Selling, general and administrative expenses for the year ended </w:t>
      </w:r>
      <w:r>
        <w:rPr>
          <w:rFonts w:ascii="Times New Roman" w:cs="Times New Roman" w:eastAsia="Times New Roman" w:hAnsi="Times New Roman"/>
          <w:sz w:val="17"/>
          <w:szCs w:val="17"/>
          <w:color w:val="231F20"/>
        </w:rPr>
        <w:t>December 31, 2024</w:t>
      </w:r>
      <w:r>
        <w:rPr>
          <w:rFonts w:ascii="Times New Roman" w:cs="Times New Roman" w:eastAsia="Times New Roman" w:hAnsi="Times New Roman"/>
          <w:sz w:val="17"/>
          <w:szCs w:val="17"/>
          <w:color w:val="auto"/>
        </w:rPr>
        <w:t>, were $36.7 million, compared to $44.5 million for the year ended December 31, 2023. The $7.8 million decrease was primarily driven by a reduction of $5.5 million of commercial and marketing expense, $3.2 million of personnel expenses, $0.8 million of legal costs and other expenses, offset by an increase of $1.7 million related to consulting and insurance expense.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our research and development expenses for the periods indicated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00" w:type="dxa"/>
            <w:vAlign w:val="bottom"/>
          </w:tcPr>
          <w:p>
            <w:pPr>
              <w:spacing w:after="0"/>
              <w:rPr>
                <w:sz w:val="15"/>
                <w:szCs w:val="15"/>
                <w:color w:val="auto"/>
              </w:rPr>
            </w:pPr>
          </w:p>
        </w:tc>
        <w:tc>
          <w:tcPr>
            <w:tcW w:w="27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5"/>
                <w:szCs w:val="15"/>
                <w:color w:val="auto"/>
              </w:rPr>
            </w:pPr>
          </w:p>
        </w:tc>
      </w:tr>
      <w:tr>
        <w:trPr>
          <w:trHeight w:val="193"/>
        </w:trPr>
        <w:tc>
          <w:tcPr>
            <w:tcW w:w="79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r>
      <w:tr>
        <w:trPr>
          <w:trHeight w:val="22"/>
        </w:trPr>
        <w:tc>
          <w:tcPr>
            <w:tcW w:w="79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Personnel expense</w:t>
            </w:r>
          </w:p>
        </w:tc>
        <w:tc>
          <w:tcPr>
            <w:tcW w:w="102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22,961</w:t>
            </w:r>
          </w:p>
        </w:tc>
      </w:tr>
      <w:tr>
        <w:trPr>
          <w:trHeight w:val="219"/>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Consultants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3,657</w:t>
            </w: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External clinical development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23,557</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15,341</w:t>
            </w:r>
          </w:p>
        </w:tc>
      </w:tr>
      <w:tr>
        <w:trPr>
          <w:trHeight w:val="219"/>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Clinical drug product manufacturing</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6,215</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5,516</w:t>
            </w: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w:t>
            </w:r>
          </w:p>
        </w:tc>
      </w:tr>
      <w:tr>
        <w:trPr>
          <w:trHeight w:val="212"/>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 expense</w:t>
            </w:r>
          </w:p>
        </w:tc>
        <w:tc>
          <w:tcPr>
            <w:tcW w:w="102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51,030</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48,929</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Research and development expenses for the year ended </w:t>
      </w:r>
      <w:r>
        <w:rPr>
          <w:rFonts w:ascii="Times New Roman" w:cs="Times New Roman" w:eastAsia="Times New Roman" w:hAnsi="Times New Roman"/>
          <w:sz w:val="17"/>
          <w:szCs w:val="17"/>
          <w:color w:val="231F20"/>
        </w:rPr>
        <w:t>December 31, 2024</w:t>
      </w:r>
      <w:r>
        <w:rPr>
          <w:rFonts w:ascii="Times New Roman" w:cs="Times New Roman" w:eastAsia="Times New Roman" w:hAnsi="Times New Roman"/>
          <w:sz w:val="17"/>
          <w:szCs w:val="17"/>
          <w:color w:val="auto"/>
        </w:rPr>
        <w:t>, were $51.0 million, compared to $48.9 million for the year ended December 31, 2023. The $2.1 million increase was primarily driven by a $8.2 million increase in expenses which consisted of a $6.0 million upfront payment to WuXi Biologics, clinical development expenses related to the EEC and NET trials, and $0.7 million in clinical drug product manufacturing, offset by a $6.8 million reduction in expenses related to personnel expenses, consultants, and other expenses.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Charges</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Restructuring charges for the year ended December 31, 2024 were $2.6 million. The increase in restructuring expense was due to a restructuring plan to reduce our workforce by 32% in response to our announcement on August 20, 2024 that we halted the registration-intended PRECISION1 trial of nab-sirolimus in patients with solid tumors harboring </w:t>
      </w:r>
      <w:r>
        <w:rPr>
          <w:rFonts w:ascii="Times New Roman" w:cs="Times New Roman" w:eastAsia="Times New Roman" w:hAnsi="Times New Roman"/>
          <w:sz w:val="17"/>
          <w:szCs w:val="17"/>
          <w:i w:val="1"/>
          <w:iCs w:val="1"/>
          <w:color w:val="auto"/>
        </w:rPr>
        <w:t>TSC1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TSC2</w:t>
      </w:r>
      <w:r>
        <w:rPr>
          <w:rFonts w:ascii="Times New Roman" w:cs="Times New Roman" w:eastAsia="Times New Roman" w:hAnsi="Times New Roman"/>
          <w:sz w:val="17"/>
          <w:szCs w:val="17"/>
          <w:color w:val="auto"/>
        </w:rPr>
        <w:t xml:space="preserve"> inactivating alterations.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Goods Sold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Cost of goods sold for the years ended December 31, 2024 and 2023 was $3.0 million and $2.8 million, respectively. This increase is primarily driven by an increase of costs incurred on sales of FYARRO and costs to manufacture and prepare the product for sale.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our other income, net: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00" w:type="dxa"/>
            <w:vAlign w:val="bottom"/>
          </w:tcPr>
          <w:p>
            <w:pPr>
              <w:spacing w:after="0"/>
              <w:rPr>
                <w:sz w:val="15"/>
                <w:szCs w:val="15"/>
                <w:color w:val="auto"/>
              </w:rPr>
            </w:pPr>
          </w:p>
        </w:tc>
        <w:tc>
          <w:tcPr>
            <w:tcW w:w="2780" w:type="dxa"/>
            <w:vAlign w:val="bottom"/>
            <w:gridSpan w:val="4"/>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5"/>
                <w:szCs w:val="15"/>
                <w:color w:val="auto"/>
              </w:rPr>
            </w:pPr>
          </w:p>
        </w:tc>
      </w:tr>
      <w:tr>
        <w:trPr>
          <w:trHeight w:val="193"/>
        </w:trPr>
        <w:tc>
          <w:tcPr>
            <w:tcW w:w="7900" w:type="dxa"/>
            <w:vAlign w:val="bottom"/>
          </w:tcPr>
          <w:p>
            <w:pPr>
              <w:spacing w:after="0"/>
              <w:rPr>
                <w:sz w:val="16"/>
                <w:szCs w:val="16"/>
                <w:color w:val="auto"/>
              </w:rPr>
            </w:pP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r>
      <w:tr>
        <w:trPr>
          <w:trHeight w:val="22"/>
        </w:trPr>
        <w:tc>
          <w:tcPr>
            <w:tcW w:w="79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loss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3,925</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6,400</w:t>
            </w: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12"/>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income, net</w:t>
            </w:r>
          </w:p>
        </w:tc>
        <w:tc>
          <w:tcPr>
            <w:tcW w:w="1060" w:type="dxa"/>
            <w:vAlign w:val="bottom"/>
            <w:tcBorders>
              <w:bottom w:val="single" w:sz="8" w:color="auto"/>
            </w:tcBorders>
          </w:tcPr>
          <w:p>
            <w:pPr>
              <w:jc w:val="right"/>
              <w:ind w:right="866"/>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6,168</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Other income, net for the year ended </w:t>
      </w:r>
      <w:r>
        <w:rPr>
          <w:rFonts w:ascii="Times New Roman" w:cs="Times New Roman" w:eastAsia="Times New Roman" w:hAnsi="Times New Roman"/>
          <w:sz w:val="17"/>
          <w:szCs w:val="17"/>
          <w:color w:val="231F20"/>
        </w:rPr>
        <w:t>December 31, 2024</w:t>
      </w:r>
      <w:r>
        <w:rPr>
          <w:rFonts w:ascii="Times New Roman" w:cs="Times New Roman" w:eastAsia="Times New Roman" w:hAnsi="Times New Roman"/>
          <w:sz w:val="17"/>
          <w:szCs w:val="17"/>
          <w:color w:val="auto"/>
        </w:rPr>
        <w:t>, was $3.8 million of income, compared to $6.2 million of income for the year ended December 31, 2023. The change was primarily driven by a decrease in short-term investments held during the year ended December 31, 2024 compared to the year ended December 31, 2023.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As of December 31, 2024, we had $47.2 million of cash, cash equivalents and short-term investments. </w:t>
      </w:r>
      <w:r>
        <w:rPr>
          <w:rFonts w:ascii="Times New Roman" w:cs="Times New Roman" w:eastAsia="Times New Roman" w:hAnsi="Times New Roman"/>
          <w:sz w:val="17"/>
          <w:szCs w:val="17"/>
          <w:color w:val="231F20"/>
        </w:rPr>
        <w:t>Upon the completion of the strategic transactions announced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in December 2024, we added approximately $202.4 million to our cash, cash equivalents and short-term investments as of March 26, 2025, which includes $102.4 million received from the FYARRO Divestiture and $100.0 million received from the 2025 PIPE Financing. We expect to pay $38 million in April 2025 to Wuxi Biologics for the in-licensing of the ADC Therapies. </w:t>
      </w:r>
      <w:r>
        <w:rPr>
          <w:rFonts w:ascii="Times New Roman" w:cs="Times New Roman" w:eastAsia="Times New Roman" w:hAnsi="Times New Roman"/>
          <w:sz w:val="17"/>
          <w:szCs w:val="17"/>
          <w:color w:val="000000"/>
        </w:rPr>
        <w:t>Based on our current plans, we believe our existing cash, cash equivalents and short-term investments will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enable us to conduct our planned operations into 2028.</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incurred net losses in each year since inception and as of December 31, 2024, we had an accumulated deficit of $332.7 million. Our net losses were $63.7 million and $65.8 million for the years ended December 31, 2024 and 2023, respectively. These losses have resulted principally from costs incurred in connection with research and development activities and selling, general and administrative costs associated with our operations. We expect to continue to incur significant expenses and operating losses for the foreseeable future due to the cost of research and development, including conducting preclinical studies and clinical trials of the ADC Therapies, identifying and designing product candidates and the regulatory approval process for any product candidates we may develop.</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March 17, 2022, we entered into a Sales Agreement (the “Sales Agreement”) with Cowen and Company, LLC (“Cowen”), with respect to an “at the market offering” pursuant to which we may offer and sell, from time to time at our sole discretion,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As of December 31, 2024, no shares of common stock had been sold under the Sales Agreement.</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shares of our common stock to be offered and sold under the Sales Agreement will be issued and sold pursuant to our shelf registration statement on the Form S-3 (File No. 333-277018) (the “Shelf Registration Statement”), which was filed with the SEC on February 12, 2024 and which became effective April 30, 2024. No securities have yet been sold under the Shelf Registration Statement. We filed a prospectus supplement with the SEC on May 3, 2024 in connection with the offer and sale of the shares pursuant to the Sales Agreement. The prospectus supplement offers up to an aggregate of $13.5 million in shares of our common stock. We will be required to file another prospectus supplement in the event we want to offer more than $13.5 million in shares of our common stock in accordance with the Sales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Shelf Registration Statement allows us to sell from time to time up to $150.0 million of common stock, preferred stock, debt securities, warrants, or units comprised of any combination of these securities, for our own account in one or more offerings and is intended to provide us flexibility to conduct registered sales of our securities, subject to market conditions and our future capital needs. The terms of any offering thereunder will be established at the time of such offering and will be described in a prospectus supplement filed with the SEC prior to the completion of any such offering.</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22, 2022, we entered into the Purchase Agreement on a private investment in public equity financing (the "2022 PIPE Financing") with certain investors (the "2022 PIPE Investors") for the sale of 3,373,526 shares of our common stock for a price of $12.50 per share and Pre-Funded Warrants to purchase an aggregate of 2,426,493 shares of our common stock, at a purchase price of $12.4999 per Pre-Funded Warrant. The Pre-Funded Warrants are exercisable at an exercise price of $0.0001 and will be exercisable until exercised in full. The 2022 PIPE Financing closed on September 26, 2022. Aggregated net proceeds, after deducting certain expenses incurred of $0.3 million related to the issuance of the shares were $72.2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flows for the years presented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00" w:type="dxa"/>
            <w:vAlign w:val="bottom"/>
          </w:tcPr>
          <w:p>
            <w:pPr>
              <w:spacing w:after="0"/>
              <w:rPr>
                <w:sz w:val="15"/>
                <w:szCs w:val="15"/>
                <w:color w:val="auto"/>
              </w:rPr>
            </w:pPr>
          </w:p>
        </w:tc>
        <w:tc>
          <w:tcPr>
            <w:tcW w:w="27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5"/>
                <w:szCs w:val="15"/>
                <w:color w:val="auto"/>
              </w:rPr>
            </w:pPr>
          </w:p>
        </w:tc>
      </w:tr>
      <w:tr>
        <w:trPr>
          <w:trHeight w:val="193"/>
        </w:trPr>
        <w:tc>
          <w:tcPr>
            <w:tcW w:w="79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r>
      <w:tr>
        <w:trPr>
          <w:trHeight w:val="22"/>
        </w:trPr>
        <w:tc>
          <w:tcPr>
            <w:tcW w:w="7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8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(59,550)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(59,663)</w:t>
            </w:r>
          </w:p>
        </w:tc>
      </w:tr>
      <w:tr>
        <w:trPr>
          <w:trHeight w:val="219"/>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25,202</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83,206</w:t>
            </w: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212"/>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98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(34,218)</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23,869</w:t>
            </w:r>
          </w:p>
        </w:tc>
      </w:tr>
      <w:tr>
        <w:trPr>
          <w:trHeight w:val="20"/>
        </w:trPr>
        <w:tc>
          <w:tcPr>
            <w:tcW w:w="7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our clinical programs and other operating and general administrative activities, including operating as a public company, and may fluctuate significantly from quarter-to-quarter and year-to-year.</w:t>
      </w:r>
    </w:p>
    <w:p>
      <w:pPr>
        <w:spacing w:after="0" w:line="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For the year ended December 31, 2024, cash used in operating activities was $59.6 million and resulted from (i) our net loss of $63.7 million, (ii) a $6.1 million net increase in cash used to fund changes in net operating assets and liabilities, and (iii) net non-cash adjustments totaling $10.2 million, which were primarily related to share-based compensation expense, discount amortization on short-term investments, lease expense, and depreciation expense.</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For the year ended December 31, 2023, cash used in operating activities was $59.7 million and resulted from (i) our net loss of $65.8 million, (ii) a $3.4 million net increase in cash used to fund changes in net operating assets and liabilities, and (iii) net non-cash adjustments totaling $9.5 million, which were primarily related to share-based compensation expense, discount amortization on short-term investments, lease expense, and depreciation and amortization expense.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Cash provided by investing activities for the year ended December 31, 2024 was $25.2 million related to maturities of short-term investments of $63.3 million, offset by purchases of short-term investments of $36.5 million and fixed assets of $1.7 million.</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Cash provided by investing activities for the year ended December 31, 2023 was $83.2 million related to maturities of short-term investments of $151.6 million, offset by purchases of short-term investments of $64.4 million and fixed assets of $4.0 million.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Cash provided by financing activities for the year ended December 31, 2024 was $0.1 million and related to the issuance of common stock under the employee stock purchase plan, offset by financing costs related to the Sales Agreement.</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Cash provided by financing activities for the year ended December 31, 2023 was $0.3 million and related to the issuance of common stock under the employee stock purchase plan and exercise of stock options, offset by financing costs related to the Sales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April 2022, we entered into a sublease for 10,615 square feet of office space in Morristown, New Jersey. The term of the lease is seventy-three months unless terminated sooner. In connection with the FYARRO Divestiture, KAKEN assumed our sublease for the NJ office space, but we agreed to co-inhabit the office with KAKEN during a transition period.</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August 2021, we entered into an amendment to extend the lease of our 2,760 square feet of office space in Pacific Palisades, California. We </w:t>
      </w:r>
      <w:r>
        <w:rPr>
          <w:rFonts w:ascii="Times New Roman" w:cs="Times New Roman" w:eastAsia="Times New Roman" w:hAnsi="Times New Roman"/>
          <w:sz w:val="17"/>
          <w:szCs w:val="17"/>
          <w:color w:val="231F20"/>
        </w:rPr>
        <w:t>exercised an option,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under our prior lease agreement, to extend the term for an additional period of three (3) years and six (6) months, until February 28, 2025, with an option to renew for an additional three (3) years in accordance with the terms of the Pacific Palisades Lease. Included in the renewal were nine months of rent abatement and a rent escalation clause. In February 2025, we did not exercise our option to renew the lease.</w:t>
      </w:r>
    </w:p>
    <w:p>
      <w:pPr>
        <w:spacing w:after="0" w:line="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Rent expense is being recorded on a straight-line basis. Rent expense related to the Pacific Palisades and Morristown leases was $0.5 million and $0.5 million for the years ended December 31, 2024 and 2023, respectively. See Note 6 to the consolidated financial statements for details related to future lease payments.</w:t>
      </w:r>
    </w:p>
    <w:p>
      <w:pPr>
        <w:spacing w:after="0" w:line="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January 2022, we entered into a Negotiated Purchase Order Terms and Conditions for Clinical and Commercial Product, as amended effective as of August 1, 2022, March 31, 2024, and July 31, 2024 (the “Fresenius Agreement”) with Fresenius Kabi, LLC (“Fresenius Kabi”), pursuant to which Fresenius Kabi manufactured FYARRO for us and we purchased FYARRO as a finished drug product from Fresenius Kabi, on a purchase order basis. The Fresenius Agreement contained specific activities such as non-cancellable commitments, minimum purchase commitments, or binding annual forecasts. Under the Fresenius Agreement, which was effective through September 30, 2024, we purchased FYARRO for either clinical or commercial purposes for use in the United States and Canada. As a result of the FYARRO Divestiture, all of our rights and obligations under the Fresenius Agreement transferred to KAKEN.</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also have contracts with various organizations to conduct research and development activities, including clinical trial organizations to manage clinical trial activities and manufacturing companies to manufacture the drug product used in the clinical trials. The scope of the services under these research and development contracts can be modified and the contracts cancelled by us upon written notice. In the event of cancellation, we would be liable for the cost and expenses incurred to date as well as any close out costs of the service arrangement.</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19, 2024, we entered into the License Agreement with WuXi Biologics for exclusive rights to certain patents and know-how pertaining to WuXi Biologics’ preclinical ADC Therapies leveraging Hangzhou DAC linker-payload technology targeting each of MUC16, PTK7 and SEZ6. Under the License Agreement, we expect to pay an additional non-refundable, upfront payment of $38.0 million prior to April 17, 2025, in each case, for the rights and licenses granted to us by WuXi Biologics.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U.S. generally accepted accounting principles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spacing w:after="0" w:line="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Our significant accounting policies are described in more detail in the notes to our consolidated financial statements appearing elsewhere in this Annual Report on Form 10-K.</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We believe the following accounting judgments and estimates involve the most significant levels of estimation uncertainty and also have had, or are reasonably likely to have, a material impact on our financial condition or results of operations.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recognize revenue when a customer obtains control of promised goods or services, in an amount that reflects the consideration which the entity expects to receive in exchange for those goods or services. To determine revenue recognition for arrangements that we determine are within the scope of ASC Topic 606, Revenue from Contracts with Customer (“Topic 606”), the following five steps are performed: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Product Sales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sell our product primarily through a limited number of specialty distributors (SDs) and specialty pharmacy (SP) customers. The delivery of our product represents a single performance obligation for these transactions, and we record net product sales when control is transferred to the customer, which occurs upon receipt by the customer. The transaction price for net product sales represents the amount we expect to receive, which is net of estimated distribution fees, government-mandated rebates, chargebacks, co-payment assistance, and estimated product returns. Accruals are established for these deductions, and actual amounts incurred are offset against applicable accruals. We reflect these accruals as either a reduction in the related account receivable from the distributor or as an accrued liability, depending on the nature of the sales deduction. Sales deductions are based on management's estimates that consider channel mix and experience to date.</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Estimates are assessed periodically and updated to reflect current information. These estimates involve a substantial degree of judgment, in particular, for government-mandated rebates and chargebacks, such as for the Medicaid and 340B programs.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Research and Development Costs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231F20"/>
        </w:rPr>
        <w:t>We accrue and expense research and development expenditures as incurred, which include costs related to clinical trial activities. We estimate costs of research and development activities conducted by service providers, which include, the conduct of preclinical studies, contract manufacturing activities and clinical activities based upon estimates of the services received and related expenses incurred that have yet to be invoiced by the Clinical Research Organizations ("CROs</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professional service providers, and other vendors providing clinical trial services (collectively, the “service providers”) </w:t>
      </w:r>
      <w:r>
        <w:rPr>
          <w:rFonts w:ascii="Times New Roman" w:cs="Times New Roman" w:eastAsia="Times New Roman" w:hAnsi="Times New Roman"/>
          <w:sz w:val="17"/>
          <w:szCs w:val="17"/>
          <w:color w:val="231F20"/>
        </w:rPr>
        <w:t>and include these costs in the accrued and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other current liabilities or prepaid expenses, as applicable, on the balance sheets and within research and development expense on the consolidated statements of operations and comprehensive loss. The diverse nature of services being provided under CRO and other vendor arrangements, the different terms and milestone arrangements that exist for each type of service and the lack of timely information related to certain clinical activities complicates the estimation of accruals for services rendered by CROs and other vendors in connection with clinical trials. In estimating the duration of a clinical study, we evaluate the start-up, treatment and wrap-up periods, payment arrangements and services rendered attributable to each clinical trial and fluctuations are regularly tested against payment plans and trial completion assumptions.</w:t>
      </w:r>
    </w:p>
    <w:p>
      <w:pPr>
        <w:spacing w:after="0" w:line="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231F20"/>
        </w:rPr>
        <w:t>We estimate these costs based on factors such as estimates of the work completed and budget provided and in accordance with agreements established with our collaboration partners and third-party service providers. We make significant judgments and estimates in determining the accrued liabilities and prepaid expense balances in each reporting period. As actual costs become known, we adjust our estimates and related accounts on the balance sheet. We have not experienced any material differences between accrued costs and actual costs incurred since our inception.</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231F20"/>
        </w:rPr>
        <w:t>Our expenses related to clinical trials are based on estimates of patient enrollment and related expenses at clinical investigator sites as well as estimates for the services received and efforts expended pursuant to contracts with multiple research institutions and CROs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recognize all share-based payments to employees, including grants of employee stock options, employee stock purchase plan, and restricted stock units in the consolidated statements of operations and comprehensive loss based on their fair values. All of our share-based awards, to employees, non-employees, officers, and directors, are subject only to service-based vesting conditions. Options granted during the year have a minimum contractual term of ten years.</w:t>
      </w:r>
    </w:p>
    <w:p>
      <w:pPr>
        <w:spacing w:after="0" w:line="64"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7"/>
          <w:szCs w:val="17"/>
          <w:color w:val="auto"/>
        </w:rPr>
        <w:t>Compensation expense related to awards to employees is calculated on a straight-line basis by recognizing the grant date fair value over the associated service period of the award, which is generally the vesting term. For the years ended December 31, 2024 and 2023, we recognized share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expense in the statements of operations and comprehensive loss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00" w:type="dxa"/>
            <w:vAlign w:val="bottom"/>
          </w:tcPr>
          <w:p>
            <w:pPr>
              <w:spacing w:after="0"/>
              <w:rPr>
                <w:sz w:val="15"/>
                <w:szCs w:val="15"/>
                <w:color w:val="auto"/>
              </w:rPr>
            </w:pPr>
          </w:p>
        </w:tc>
        <w:tc>
          <w:tcPr>
            <w:tcW w:w="27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5"/>
                <w:szCs w:val="15"/>
                <w:color w:val="auto"/>
              </w:rPr>
            </w:pPr>
          </w:p>
        </w:tc>
      </w:tr>
      <w:tr>
        <w:trPr>
          <w:trHeight w:val="193"/>
        </w:trPr>
        <w:tc>
          <w:tcPr>
            <w:tcW w:w="79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r>
      <w:tr>
        <w:trPr>
          <w:trHeight w:val="22"/>
        </w:trPr>
        <w:tc>
          <w:tcPr>
            <w:tcW w:w="79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02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6,782</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7,450</w:t>
            </w:r>
          </w:p>
        </w:tc>
      </w:tr>
      <w:tr>
        <w:trPr>
          <w:trHeight w:val="21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4,057</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4,504</w:t>
            </w: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10,839</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As of December 31, 2024, total unrecognized compensation cost related to stock options was $9.9 million which we expect to recognize over a weighted average period of 1.8 years. As of December 31, 2024, there was $0.4 million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unrecognized compensation cost related to restricted stock units, which is expected to be recognized over a weighted average period of 3.2 years. The intrinsic value of all outstanding stock options and restricted stock units as of December 31, 2024 was $1.8 million and $0.8 million, respectively.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2 to the consolidated financial statements for a discussion of recent accounting pronouncements.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by this Item.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11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7"/>
          <w:szCs w:val="17"/>
          <w:color w:val="auto"/>
        </w:rPr>
        <w:t>Beginning on the following page are the consolidated financial statements with applicable notes and the related Report of Independent Registered Public Accounting Firm.</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95"/>
        </w:trPr>
        <w:tc>
          <w:tcPr>
            <w:tcW w:w="79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320" w:type="dxa"/>
            <w:vAlign w:val="bottom"/>
          </w:tcPr>
          <w:p>
            <w:pPr>
              <w:spacing w:after="0"/>
              <w:rPr>
                <w:sz w:val="17"/>
                <w:szCs w:val="17"/>
                <w:color w:val="auto"/>
              </w:rPr>
            </w:pPr>
          </w:p>
        </w:tc>
      </w:tr>
      <w:tr>
        <w:trPr>
          <w:trHeight w:val="895"/>
        </w:trPr>
        <w:tc>
          <w:tcPr>
            <w:tcW w:w="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4900" w:type="dxa"/>
            <w:vAlign w:val="bottom"/>
            <w:gridSpan w:val="5"/>
          </w:tcPr>
          <w:p>
            <w:pPr>
              <w:jc w:val="center"/>
              <w:ind w:left="214"/>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3320" w:type="dxa"/>
            <w:vAlign w:val="bottom"/>
          </w:tcPr>
          <w:p>
            <w:pPr>
              <w:spacing w:after="0"/>
              <w:rPr>
                <w:sz w:val="24"/>
                <w:szCs w:val="24"/>
                <w:color w:val="auto"/>
              </w:rPr>
            </w:pPr>
          </w:p>
        </w:tc>
      </w:tr>
      <w:tr>
        <w:trPr>
          <w:trHeight w:val="309"/>
        </w:trPr>
        <w:tc>
          <w:tcPr>
            <w:tcW w:w="20" w:type="dxa"/>
            <w:vAlign w:val="bottom"/>
          </w:tcPr>
          <w:p>
            <w:pPr>
              <w:spacing w:after="0"/>
              <w:rPr>
                <w:sz w:val="24"/>
                <w:szCs w:val="24"/>
                <w:color w:val="auto"/>
              </w:rPr>
            </w:pPr>
          </w:p>
        </w:tc>
        <w:tc>
          <w:tcPr>
            <w:tcW w:w="79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(BDO USA, P.C., San Diego, CA, PCAOB ID#243)</w:t>
            </w:r>
          </w:p>
        </w:tc>
        <w:tc>
          <w:tcPr>
            <w:tcW w:w="3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0"/>
        </w:trPr>
        <w:tc>
          <w:tcPr>
            <w:tcW w:w="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2024 and 2023</w:t>
            </w:r>
          </w:p>
        </w:tc>
        <w:tc>
          <w:tcPr>
            <w:tcW w:w="3460" w:type="dxa"/>
            <w:vAlign w:val="bottom"/>
            <w:gridSpan w:val="3"/>
          </w:tcPr>
          <w:p>
            <w:pPr>
              <w:spacing w:after="0"/>
              <w:rPr>
                <w:sz w:val="17"/>
                <w:szCs w:val="17"/>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199"/>
        </w:trPr>
        <w:tc>
          <w:tcPr>
            <w:tcW w:w="20" w:type="dxa"/>
            <w:vAlign w:val="bottom"/>
          </w:tcPr>
          <w:p>
            <w:pPr>
              <w:spacing w:after="0"/>
              <w:rPr>
                <w:sz w:val="17"/>
                <w:szCs w:val="17"/>
                <w:color w:val="auto"/>
              </w:rPr>
            </w:pPr>
          </w:p>
        </w:tc>
        <w:tc>
          <w:tcPr>
            <w:tcW w:w="7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Operations and Comprehensive Loss for the Years ended December 31, 2024 and 2023</w:t>
            </w:r>
          </w:p>
        </w:tc>
        <w:tc>
          <w:tcPr>
            <w:tcW w:w="3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199"/>
        </w:trPr>
        <w:tc>
          <w:tcPr>
            <w:tcW w:w="20" w:type="dxa"/>
            <w:vAlign w:val="bottom"/>
          </w:tcPr>
          <w:p>
            <w:pPr>
              <w:spacing w:after="0"/>
              <w:rPr>
                <w:sz w:val="17"/>
                <w:szCs w:val="17"/>
                <w:color w:val="auto"/>
              </w:rPr>
            </w:pPr>
          </w:p>
        </w:tc>
        <w:tc>
          <w:tcPr>
            <w:tcW w:w="79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December 31, 2024 and 2023</w:t>
            </w:r>
          </w:p>
        </w:tc>
        <w:tc>
          <w:tcPr>
            <w:tcW w:w="3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199"/>
        </w:trPr>
        <w:tc>
          <w:tcPr>
            <w:tcW w:w="20" w:type="dxa"/>
            <w:vAlign w:val="bottom"/>
          </w:tcPr>
          <w:p>
            <w:pPr>
              <w:spacing w:after="0"/>
              <w:rPr>
                <w:sz w:val="17"/>
                <w:szCs w:val="17"/>
                <w:color w:val="auto"/>
              </w:rPr>
            </w:pPr>
          </w:p>
        </w:tc>
        <w:tc>
          <w:tcPr>
            <w:tcW w:w="61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2024 and 2023</w:t>
            </w:r>
          </w:p>
        </w:tc>
        <w:tc>
          <w:tcPr>
            <w:tcW w:w="640" w:type="dxa"/>
            <w:vAlign w:val="bottom"/>
            <w:tcBorders>
              <w:top w:val="single" w:sz="8" w:color="0000FF"/>
            </w:tcBorders>
          </w:tcPr>
          <w:p>
            <w:pPr>
              <w:spacing w:after="0"/>
              <w:rPr>
                <w:sz w:val="17"/>
                <w:szCs w:val="17"/>
                <w:color w:val="auto"/>
              </w:rPr>
            </w:pPr>
          </w:p>
        </w:tc>
        <w:tc>
          <w:tcPr>
            <w:tcW w:w="1080" w:type="dxa"/>
            <w:vAlign w:val="bottom"/>
          </w:tcPr>
          <w:p>
            <w:pPr>
              <w:spacing w:after="0"/>
              <w:rPr>
                <w:sz w:val="17"/>
                <w:szCs w:val="17"/>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199"/>
        </w:trPr>
        <w:tc>
          <w:tcPr>
            <w:tcW w:w="20" w:type="dxa"/>
            <w:vAlign w:val="bottom"/>
          </w:tcPr>
          <w:p>
            <w:pPr>
              <w:spacing w:after="0"/>
              <w:rPr>
                <w:sz w:val="17"/>
                <w:szCs w:val="17"/>
                <w:color w:val="auto"/>
              </w:rPr>
            </w:pPr>
          </w:p>
        </w:tc>
        <w:tc>
          <w:tcPr>
            <w:tcW w:w="79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3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985"/>
        </w:trPr>
        <w:tc>
          <w:tcPr>
            <w:tcW w:w="20" w:type="dxa"/>
            <w:vAlign w:val="bottom"/>
          </w:tcPr>
          <w:p>
            <w:pPr>
              <w:spacing w:after="0"/>
              <w:rPr>
                <w:sz w:val="24"/>
                <w:szCs w:val="24"/>
                <w:color w:val="auto"/>
              </w:rPr>
            </w:pPr>
          </w:p>
        </w:tc>
        <w:tc>
          <w:tcPr>
            <w:tcW w:w="3000" w:type="dxa"/>
            <w:vAlign w:val="bottom"/>
            <w:tcBorders>
              <w:top w:val="single" w:sz="8" w:color="0000FF"/>
            </w:tcBorders>
            <w:gridSpan w:val="2"/>
          </w:tcPr>
          <w:p>
            <w:pPr>
              <w:spacing w:after="0"/>
              <w:rPr>
                <w:sz w:val="24"/>
                <w:szCs w:val="24"/>
                <w:color w:val="auto"/>
              </w:rPr>
            </w:pPr>
          </w:p>
        </w:tc>
        <w:tc>
          <w:tcPr>
            <w:tcW w:w="318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114</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Whitehawk Therapeutics,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Morristown, New Jersey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We have audited the accompanying consolidated balance sheets of Whitehawk Therapeutics, Inc. (the “Company”) as of December 31, 2024 and 2023, the related consolidated statements of operations and,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the years then ended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in conformity with accounting principles generally accepted in the United States of America.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Revenue Allowances for Chargebacks and Government Rebates</w:t>
      </w:r>
    </w:p>
    <w:p>
      <w:pPr>
        <w:spacing w:after="0" w:line="2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As described in Note 2 to the consolidated financial statements, revenue from product sales is recognized net of estimates for variable consideration consisting of chargebacks, government rebates, distribution fees, co-payment assistance, and product returns. This variable consideration is recorded in the same period that the related revenue is recognized and creates variability for the consideration that the Company expects to receive. Liabilities related to government rebates and chargebacks involve the use of assumptions and judgments that include consideration of historical claims experience and channel mix.</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identified the estimate for the allowance for government rebates and chargebacks as a critical audit matter. Auditing the estimate for the allowance for government rebates and chargebacks involved especially challenging auditor judgment due to the nature and extent of audit effort required to address these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ind w:left="620" w:hanging="308"/>
        <w:spacing w:after="0" w:line="270" w:lineRule="auto"/>
        <w:tabs>
          <w:tab w:leader="none" w:pos="61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reasonableness of management’s estimate of the allowance for government rebates and chargebacks by developing an independent estimate utilizing actual product sales and actual rebates and chargeback claims received.</w:t>
      </w:r>
    </w:p>
    <w:p>
      <w:pPr>
        <w:spacing w:after="0" w:line="178"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completeness and accuracy of the historical rebate and chargeback claims received.</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BDO USA, P.C.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2017.</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California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WHITEHAWK THERAPEUTICS, INC.</w:t>
      </w:r>
    </w:p>
    <w:p>
      <w:pPr>
        <w:spacing w:after="0" w:line="1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data and par value)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3"/>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62,888</w:t>
            </w:r>
          </w:p>
        </w:tc>
      </w:tr>
      <w:tr>
        <w:trPr>
          <w:trHeight w:val="219"/>
        </w:trPr>
        <w:tc>
          <w:tcPr>
            <w:tcW w:w="8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investments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45,957</w:t>
            </w: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5,488</w:t>
            </w:r>
          </w:p>
        </w:tc>
      </w:tr>
      <w:tr>
        <w:trPr>
          <w:trHeight w:val="219"/>
        </w:trPr>
        <w:tc>
          <w:tcPr>
            <w:tcW w:w="8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6,427</w:t>
            </w: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3,826</w:t>
            </w:r>
          </w:p>
        </w:tc>
      </w:tr>
      <w:tr>
        <w:trPr>
          <w:trHeight w:val="212"/>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124,586</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4,802</w:t>
            </w:r>
          </w:p>
        </w:tc>
      </w:tr>
      <w:tr>
        <w:trPr>
          <w:trHeight w:val="21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w:t>
            </w:r>
          </w:p>
        </w:tc>
      </w:tr>
      <w:tr>
        <w:trPr>
          <w:trHeight w:val="212"/>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70,319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132,423</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8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8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w:t>
            </w:r>
          </w:p>
        </w:tc>
        <w:tc>
          <w:tcPr>
            <w:tcW w:w="8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5,898</w:t>
            </w: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14,306</w:t>
            </w:r>
          </w:p>
        </w:tc>
      </w:tr>
      <w:tr>
        <w:trPr>
          <w:trHeight w:val="219"/>
        </w:trPr>
        <w:tc>
          <w:tcPr>
            <w:tcW w:w="8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liabilities, current portion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Due to licensor payable (Note 7)</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5,757</w:t>
            </w:r>
          </w:p>
        </w:tc>
      </w:tr>
      <w:tr>
        <w:trPr>
          <w:trHeight w:val="212"/>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17,074</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26,395</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r>
      <w:tr>
        <w:trPr>
          <w:trHeight w:val="219"/>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27,228</w:t>
            </w:r>
          </w:p>
        </w:tc>
      </w:tr>
      <w:tr>
        <w:trPr>
          <w:trHeight w:val="21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13)</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5"/>
        </w:trPr>
        <w:tc>
          <w:tcPr>
            <w:tcW w:w="8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Preferred stock, $0.0001 par value, 10,000,000 shares authorized; no shares issued and outstanding as of</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8"/>
        </w:trPr>
        <w:tc>
          <w:tcPr>
            <w:tcW w:w="8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December 31, 2024 and 2023</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 $0.0001 par value, 300,000,000 shares authorized; 24,680,708 and 24,554,205 shares issued and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8"/>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outstanding as of December 31, 2024 and 2023, respectively</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8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385,114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374,129</w:t>
            </w: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9"/>
        </w:trPr>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Accumulated deficit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(332,654)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(268,963)</w:t>
            </w: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52,478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105,195</w:t>
            </w:r>
          </w:p>
        </w:tc>
      </w:tr>
      <w:tr>
        <w:trPr>
          <w:trHeight w:val="212"/>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70,319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132,423</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WHITEHAWK THERAPEUTICS,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data and earnings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3"/>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Product sales, net</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25,983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24,354</w:t>
            </w: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24,354</w:t>
            </w:r>
          </w:p>
        </w:tc>
      </w:tr>
      <w:tr>
        <w:trPr>
          <w:trHeight w:val="19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44,549</w:t>
            </w:r>
          </w:p>
        </w:tc>
      </w:tr>
      <w:tr>
        <w:trPr>
          <w:trHeight w:val="219"/>
        </w:trPr>
        <w:tc>
          <w:tcPr>
            <w:tcW w:w="8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48,929</w:t>
            </w: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Cost of goods sold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2,809</w:t>
            </w: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93,441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96,287</w:t>
            </w:r>
          </w:p>
        </w:tc>
      </w:tr>
      <w:tr>
        <w:trPr>
          <w:trHeight w:val="212"/>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(71,933)</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8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Foreign exchange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w:t>
            </w:r>
          </w:p>
        </w:tc>
      </w:tr>
      <w:tr>
        <w:trPr>
          <w:trHeight w:val="219"/>
        </w:trPr>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other income (expense), net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6,168</w:t>
            </w:r>
          </w:p>
        </w:tc>
      </w:tr>
      <w:tr>
        <w:trPr>
          <w:trHeight w:val="212"/>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before income tax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(65,765)</w:t>
            </w:r>
          </w:p>
        </w:tc>
      </w:tr>
      <w:tr>
        <w:trPr>
          <w:trHeight w:val="219"/>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86"/>
        </w:trPr>
        <w:tc>
          <w:tcPr>
            <w:tcW w:w="820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Net loss</w:t>
            </w:r>
          </w:p>
        </w:tc>
        <w:tc>
          <w:tcPr>
            <w:tcW w:w="340" w:type="dxa"/>
            <w:vAlign w:val="bottom"/>
            <w:tcBorders>
              <w:top w:val="single" w:sz="8" w:color="auto"/>
              <w:bottom w:val="single" w:sz="8" w:color="auto"/>
            </w:tcBorders>
          </w:tcPr>
          <w:p>
            <w:pPr>
              <w:jc w:val="right"/>
              <w:ind w:right="15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(63,691)</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(65,765)</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5"/>
        </w:trPr>
        <w:tc>
          <w:tcPr>
            <w:tcW w:w="82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Other comprehensive loss: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9"/>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Unrealized (loss) income on available-for-sale debt securities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3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(63,702)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(65,623)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200" w:type="dxa"/>
            <w:vAlign w:val="bottom"/>
          </w:tcPr>
          <w:p>
            <w:pPr>
              <w:ind w:left="120"/>
              <w:spacing w:after="0" w:line="190" w:lineRule="exact"/>
              <w:rPr>
                <w:sz w:val="20"/>
                <w:szCs w:val="20"/>
                <w:color w:val="auto"/>
              </w:rPr>
            </w:pPr>
            <w:r>
              <w:rPr>
                <w:rFonts w:ascii="Times New Roman" w:cs="Times New Roman" w:eastAsia="Times New Roman" w:hAnsi="Times New Roman"/>
                <w:sz w:val="17"/>
                <w:szCs w:val="17"/>
                <w:color w:val="auto"/>
              </w:rPr>
              <w:t>Net loss per share, basic and diluted</w:t>
            </w:r>
          </w:p>
        </w:tc>
        <w:tc>
          <w:tcPr>
            <w:tcW w:w="340" w:type="dxa"/>
            <w:vAlign w:val="bottom"/>
            <w:tcBorders>
              <w:bottom w:val="single" w:sz="8" w:color="auto"/>
            </w:tcBorders>
          </w:tcPr>
          <w:p>
            <w:pPr>
              <w:jc w:val="right"/>
              <w:ind w:right="154"/>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(2.36)</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74"/>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(2.44)</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5"/>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 average number of common shares outstanding, basic and diluted</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27,029,942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26,917,967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WHITEHAWK THERAPEUTICS, INC.</w:t>
      </w:r>
    </w:p>
    <w:p>
      <w:pPr>
        <w:spacing w:after="0" w:line="11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including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5"/>
        </w:trPr>
        <w:tc>
          <w:tcPr>
            <w:tcW w:w="3580" w:type="dxa"/>
            <w:vAlign w:val="bottom"/>
          </w:tcPr>
          <w:p>
            <w:pPr>
              <w:spacing w:after="0"/>
              <w:rPr>
                <w:sz w:val="23"/>
                <w:szCs w:val="23"/>
                <w:color w:val="auto"/>
              </w:rPr>
            </w:pPr>
          </w:p>
        </w:tc>
        <w:tc>
          <w:tcPr>
            <w:tcW w:w="196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58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restart"/>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Additional Paid-In</w:t>
            </w:r>
          </w:p>
        </w:tc>
        <w:tc>
          <w:tcPr>
            <w:tcW w:w="1460" w:type="dxa"/>
            <w:vAlign w:val="bottom"/>
            <w:gridSpan w:val="3"/>
            <w:vMerge w:val="restart"/>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 (Loss)</w:t>
            </w: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restart"/>
          </w:tcPr>
          <w:p>
            <w:pPr>
              <w:jc w:val="right"/>
              <w:ind w:right="24"/>
              <w:spacing w:after="0" w:line="121" w:lineRule="exact"/>
              <w:rPr>
                <w:sz w:val="20"/>
                <w:szCs w:val="20"/>
                <w:color w:val="auto"/>
              </w:rPr>
            </w:pPr>
            <w:r>
              <w:rPr>
                <w:rFonts w:ascii="Times New Roman" w:cs="Times New Roman" w:eastAsia="Times New Roman" w:hAnsi="Times New Roman"/>
                <w:sz w:val="13"/>
                <w:szCs w:val="13"/>
                <w:b w:val="1"/>
                <w:bCs w:val="1"/>
                <w:color w:val="auto"/>
              </w:rPr>
              <w:t>Total Stockholders'</w:t>
            </w:r>
          </w:p>
        </w:tc>
        <w:tc>
          <w:tcPr>
            <w:tcW w:w="0" w:type="dxa"/>
            <w:vAlign w:val="bottom"/>
          </w:tcPr>
          <w:p>
            <w:pPr>
              <w:spacing w:after="0"/>
              <w:rPr>
                <w:sz w:val="1"/>
                <w:szCs w:val="1"/>
                <w:color w:val="auto"/>
              </w:rPr>
            </w:pPr>
          </w:p>
        </w:tc>
      </w:tr>
      <w:tr>
        <w:trPr>
          <w:trHeight w:val="22"/>
        </w:trPr>
        <w:tc>
          <w:tcPr>
            <w:tcW w:w="3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0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580" w:type="dxa"/>
            <w:vAlign w:val="bottom"/>
          </w:tcPr>
          <w:p>
            <w:pPr>
              <w:spacing w:after="0"/>
              <w:rPr>
                <w:sz w:val="15"/>
                <w:szCs w:val="15"/>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4"/>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2022</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24,435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361,689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(203,198)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158,378</w:t>
            </w:r>
          </w:p>
        </w:tc>
        <w:tc>
          <w:tcPr>
            <w:tcW w:w="0" w:type="dxa"/>
            <w:vAlign w:val="bottom"/>
          </w:tcPr>
          <w:p>
            <w:pPr>
              <w:spacing w:after="0"/>
              <w:rPr>
                <w:sz w:val="1"/>
                <w:szCs w:val="1"/>
                <w:color w:val="auto"/>
              </w:rPr>
            </w:pPr>
          </w:p>
        </w:tc>
      </w:tr>
      <w:tr>
        <w:trPr>
          <w:trHeight w:val="155"/>
        </w:trPr>
        <w:tc>
          <w:tcPr>
            <w:tcW w:w="358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Issuance of common stock upon exercise of stock</w:t>
            </w:r>
          </w:p>
        </w:tc>
        <w:tc>
          <w:tcPr>
            <w:tcW w:w="9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24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78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3"/>
                <w:szCs w:val="13"/>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202"/>
        </w:trPr>
        <w:tc>
          <w:tcPr>
            <w:tcW w:w="3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options</w:t>
            </w: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11,954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11,954</w:t>
            </w:r>
          </w:p>
        </w:tc>
        <w:tc>
          <w:tcPr>
            <w:tcW w:w="0" w:type="dxa"/>
            <w:vAlign w:val="bottom"/>
          </w:tcPr>
          <w:p>
            <w:pPr>
              <w:spacing w:after="0"/>
              <w:rPr>
                <w:sz w:val="1"/>
                <w:szCs w:val="1"/>
                <w:color w:val="auto"/>
              </w:rPr>
            </w:pPr>
          </w:p>
        </w:tc>
      </w:tr>
      <w:tr>
        <w:trPr>
          <w:trHeight w:val="155"/>
        </w:trPr>
        <w:tc>
          <w:tcPr>
            <w:tcW w:w="358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Issuance of shares under the employee stock purchase</w:t>
            </w:r>
          </w:p>
        </w:tc>
        <w:tc>
          <w:tcPr>
            <w:tcW w:w="9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24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408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3"/>
                <w:szCs w:val="13"/>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408</w:t>
            </w:r>
          </w:p>
        </w:tc>
        <w:tc>
          <w:tcPr>
            <w:tcW w:w="0" w:type="dxa"/>
            <w:vAlign w:val="bottom"/>
          </w:tcPr>
          <w:p>
            <w:pPr>
              <w:spacing w:after="0"/>
              <w:rPr>
                <w:sz w:val="1"/>
                <w:szCs w:val="1"/>
                <w:color w:val="auto"/>
              </w:rPr>
            </w:pPr>
          </w:p>
        </w:tc>
      </w:tr>
      <w:tr>
        <w:trPr>
          <w:trHeight w:val="202"/>
        </w:trPr>
        <w:tc>
          <w:tcPr>
            <w:tcW w:w="3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plan</w:t>
            </w: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Unrealized gain on investments, net of tax</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0" w:type="dxa"/>
            <w:vAlign w:val="bottom"/>
          </w:tcPr>
          <w:p>
            <w:pPr>
              <w:spacing w:after="0"/>
              <w:rPr>
                <w:sz w:val="1"/>
                <w:szCs w:val="1"/>
                <w:color w:val="auto"/>
              </w:rPr>
            </w:pPr>
          </w:p>
        </w:tc>
      </w:tr>
      <w:tr>
        <w:trPr>
          <w:trHeight w:val="203"/>
        </w:trPr>
        <w:tc>
          <w:tcPr>
            <w:tcW w:w="3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(65,765)</w:t>
            </w:r>
          </w:p>
        </w:tc>
        <w:tc>
          <w:tcPr>
            <w:tcW w:w="0" w:type="dxa"/>
            <w:vAlign w:val="bottom"/>
          </w:tcPr>
          <w:p>
            <w:pPr>
              <w:spacing w:after="0"/>
              <w:rPr>
                <w:sz w:val="1"/>
                <w:szCs w:val="1"/>
                <w:color w:val="auto"/>
              </w:rPr>
            </w:pPr>
          </w:p>
        </w:tc>
      </w:tr>
      <w:tr>
        <w:trPr>
          <w:trHeight w:val="20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24,554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374,129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(268,963)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105,195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80" w:type="dxa"/>
            <w:vAlign w:val="bottom"/>
            <w:vMerge w:val="continue"/>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10,839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10,839</w:t>
            </w:r>
          </w:p>
        </w:tc>
        <w:tc>
          <w:tcPr>
            <w:tcW w:w="0" w:type="dxa"/>
            <w:vAlign w:val="bottom"/>
          </w:tcPr>
          <w:p>
            <w:pPr>
              <w:spacing w:after="0"/>
              <w:rPr>
                <w:sz w:val="1"/>
                <w:szCs w:val="1"/>
                <w:color w:val="auto"/>
              </w:rPr>
            </w:pPr>
          </w:p>
        </w:tc>
      </w:tr>
      <w:tr>
        <w:trPr>
          <w:trHeight w:val="158"/>
        </w:trPr>
        <w:tc>
          <w:tcPr>
            <w:tcW w:w="358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5"/>
                <w:szCs w:val="15"/>
                <w:color w:val="auto"/>
              </w:rPr>
              <w:t>Issuance of common stock in conjunction with</w:t>
            </w:r>
          </w:p>
        </w:tc>
        <w:tc>
          <w:tcPr>
            <w:tcW w:w="9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58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Issuance of shares under the employee stock purchase</w:t>
            </w:r>
          </w:p>
        </w:tc>
        <w:tc>
          <w:tcPr>
            <w:tcW w:w="9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94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24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146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3"/>
                <w:szCs w:val="13"/>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0" w:type="dxa"/>
            <w:vAlign w:val="bottom"/>
          </w:tcPr>
          <w:p>
            <w:pPr>
              <w:spacing w:after="0"/>
              <w:rPr>
                <w:sz w:val="1"/>
                <w:szCs w:val="1"/>
                <w:color w:val="auto"/>
              </w:rPr>
            </w:pPr>
          </w:p>
        </w:tc>
      </w:tr>
      <w:tr>
        <w:trPr>
          <w:trHeight w:val="202"/>
        </w:trPr>
        <w:tc>
          <w:tcPr>
            <w:tcW w:w="3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plan</w:t>
            </w: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Unrealized loss on investments, net of tax</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3"/>
        </w:trPr>
        <w:tc>
          <w:tcPr>
            <w:tcW w:w="3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(63,691)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(63,691)</w:t>
            </w:r>
          </w:p>
        </w:tc>
        <w:tc>
          <w:tcPr>
            <w:tcW w:w="0" w:type="dxa"/>
            <w:vAlign w:val="bottom"/>
          </w:tcPr>
          <w:p>
            <w:pPr>
              <w:spacing w:after="0"/>
              <w:rPr>
                <w:sz w:val="1"/>
                <w:szCs w:val="1"/>
                <w:color w:val="auto"/>
              </w:rPr>
            </w:pPr>
          </w:p>
        </w:tc>
      </w:tr>
      <w:tr>
        <w:trPr>
          <w:trHeight w:val="227"/>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2024</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24,681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385,114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(332,654)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52,478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WHITEHAWK THERAPEUTICS, INC.</w:t>
      </w:r>
    </w:p>
    <w:p>
      <w:pPr>
        <w:spacing w:after="0" w:line="1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3"/>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8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(63,691)</w:t>
            </w:r>
          </w:p>
        </w:tc>
        <w:tc>
          <w:tcPr>
            <w:tcW w:w="8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(65,765)</w:t>
            </w:r>
          </w:p>
        </w:tc>
      </w:tr>
      <w:tr>
        <w:trPr>
          <w:trHeight w:val="219"/>
        </w:trPr>
        <w:tc>
          <w:tcPr>
            <w:tcW w:w="8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11,954</w:t>
            </w:r>
          </w:p>
        </w:tc>
      </w:tr>
      <w:tr>
        <w:trPr>
          <w:trHeight w:val="21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premiums and discounts on short-term investments,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(3,136)</w:t>
            </w:r>
          </w:p>
        </w:tc>
      </w:tr>
      <w:tr>
        <w:trPr>
          <w:trHeight w:val="219"/>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interest expense</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lease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19"/>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(3,626)</w:t>
            </w:r>
          </w:p>
        </w:tc>
      </w:tr>
      <w:tr>
        <w:trPr>
          <w:trHeight w:val="21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(3,265)</w:t>
            </w:r>
          </w:p>
        </w:tc>
      </w:tr>
      <w:tr>
        <w:trPr>
          <w:trHeight w:val="219"/>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3,603</w:t>
            </w:r>
          </w:p>
        </w:tc>
      </w:tr>
      <w:tr>
        <w:trPr>
          <w:trHeight w:val="21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non-current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r>
      <w:tr>
        <w:trPr>
          <w:trHeight w:val="219"/>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liabilities,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1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19"/>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(59,663)</w:t>
            </w:r>
          </w:p>
        </w:tc>
      </w:tr>
      <w:tr>
        <w:trPr>
          <w:trHeight w:val="21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(3,972)</w:t>
            </w:r>
          </w:p>
        </w:tc>
      </w:tr>
      <w:tr>
        <w:trPr>
          <w:trHeight w:val="219"/>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Purchases of short-term investments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(64,439)</w:t>
            </w:r>
          </w:p>
        </w:tc>
      </w:tr>
      <w:tr>
        <w:trPr>
          <w:trHeight w:val="21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Maturities of short-term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63,338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151,617</w:t>
            </w:r>
          </w:p>
        </w:tc>
      </w:tr>
      <w:tr>
        <w:trPr>
          <w:trHeight w:val="212"/>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83,206</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Issuance of common stock upon exercise of stock options</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1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issuance under employee stock purchase plan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r>
      <w:tr>
        <w:trPr>
          <w:trHeight w:val="219"/>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Deferred offering costs paid for financing</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21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23,869</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62,952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39,083</w:t>
            </w:r>
          </w:p>
        </w:tc>
      </w:tr>
      <w:tr>
        <w:trPr>
          <w:trHeight w:val="212"/>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year</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28,734</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62,952</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WHITEHAWK THERAPEUTICS, INC.</w:t>
      </w:r>
    </w:p>
    <w:p>
      <w:pPr>
        <w:spacing w:after="0" w:line="1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3"/>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9"/>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paid during the period</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transaction costs included in accounts payable and accrued liabilities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accrued for purchases of property and equipment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Nature of Organization and Operations</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Whitehawk Therapeutics, Inc. is an oncology therapeutics company applying advanced technologies to established tumor biology that are intended to efficiently deliver improved cancer treatments. The Company has a deep experience in chemistry, formulation, and drug delivery, as well as research, clinical, and commercial pharmaceutical development, and taking product candidates from the clinic to approval, launch, and commercialization.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ADC Business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19, 2024, the Company entered into an intellectual property license agreement (the “WuXi License Agreement”) with WuXi Biologics (Shanghai FX) Co., Ltd. (“WuXi Biologics”) for the development and global commercialization of a portfolio of three next generation antibody drug conjugates (“ADCs”) targeting clinically validated, broadly overexpressed tumor antigens in high potential cancer indications with significant unmet need. Refer to Note 13 for further information on the ADC license agreement and its terms.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FYARRO Business</w:t>
      </w:r>
      <w:r>
        <w:rPr>
          <w:rFonts w:ascii="Times New Roman" w:cs="Times New Roman" w:eastAsia="Times New Roman" w:hAnsi="Times New Roman"/>
          <w:sz w:val="17"/>
          <w:szCs w:val="17"/>
          <w:b w:val="1"/>
          <w:bCs w:val="1"/>
          <w:color w:val="auto"/>
        </w:rPr>
        <w:t>.</w:t>
      </w:r>
    </w:p>
    <w:p>
      <w:pPr>
        <w:spacing w:after="0" w:line="1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For the periods presented and through the FYARRO Divestiture (as defined below), the Company's lead drug product was FYARRO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(sirolimus protein-bound particles for injectable suspension (albumin-bound); nab-sirolimus), which combines two established technologies - nanoparticle albumin-bound (nab) technology and the anti-cancer agent, sirolimus. The Company exclusively licensed FYARRO, previously called ABI-009, nab-sirolimus, from Abraxis BioScience, LLC, a wholly owned subsidiary of Celgene Corporation, which is a wholly owned subsidiary of Bristol-Myers Squibb Company (“BMS”). The Company refers to the development, production and commercial sale of FYARRO herein as the “FYARRO Business”. On February 22, 2022, the Company launched FYARRO in the United States for treatment of advanced malignant perivascular epithelioid cell tumor PEComa.</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December 19, 2024, the Company entered into a Stock Purchase Agreement (the “Divestiture Agreement”) with KAKEN INVESTMENTS INC., a Delaware corporation (“KAKEN”), KAKEN PHARMACEUTICAL CO., LTD, and Aadi Subsidiary, Inc., a Delaware corporation and the Company's former wholly owned subsidiary and the operating company for the FYARRO Business (“Aadi Subsidiary”). Under the Divestiture Agreement, KAKEN acquired 100% of the outstanding shares of capital stock of Aadi Subsidiary from the Company for a cash payment of $102.4 million (following applicable purchase price adjustments under the Divestiture Agreement) (the "FYARRO Divestiture"). The FYARRO Divestiture closed on March 25, 2025 and, as a result, the Company no longer operates the FYARRO Business.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Company Name Change</w:t>
      </w:r>
      <w:r>
        <w:rPr>
          <w:rFonts w:ascii="Times New Roman" w:cs="Times New Roman" w:eastAsia="Times New Roman" w:hAnsi="Times New Roman"/>
          <w:sz w:val="17"/>
          <w:szCs w:val="17"/>
          <w:i w:val="1"/>
          <w:iCs w:val="1"/>
          <w:color w:val="auto"/>
        </w:rPr>
        <w:t>.</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In connection with the FYARRO Divestiture, the Company changed the Company's name from "Aadi Bioscience, Inc." to "Whitehawk Therapeutics, Inc." and the Company's common stock is now traded under the symbol "WHWK".</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Merger with Aerpio Pharmaceuticals, Inc.</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August 26, 2021 (the “Closing Date”), Aadi Bioscience, Inc., a Delaware corporation (f/k/a Aerpio Pharmaceuticals, Inc.), completed its business combination with Aadi Subsidiary, Inc. (f/k/a Aadi Bioscience, Inc., or “Private Aadi”), in accordance with the terms of the Agreement and Plan of Merger and Reorganization, dated May 16, 2021, by and among Aadi, Aspen Merger Subsidiary, Inc. (“Merger Sub”) and Private Aadi (the “Merger Agreement”), pursuant to which Merger Sub merged with and into Private Aadi, with Private Aadi surviving as a wholly owned subsidiary of the Company (the “Merger”).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Liquidity</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231F20"/>
        </w:rPr>
        <w:t>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Commencing in February 2022, the Company began to realize revenues from its planned principal operations commencing with the commercial sale of FYARRO.</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The Company has experienced net losses since its inception and expects to continue to incur net losses into the foreseeable future. As of and for the year ended December 31, 2024, the Company had an accumulated deficit of $332.7 million and a net loss of $63.7 million. </w:t>
      </w:r>
      <w:r>
        <w:rPr>
          <w:rFonts w:ascii="Times New Roman" w:cs="Times New Roman" w:eastAsia="Times New Roman" w:hAnsi="Times New Roman"/>
          <w:sz w:val="17"/>
          <w:szCs w:val="17"/>
          <w:color w:val="231F20"/>
        </w:rPr>
        <w:t>To date, these operating losses have been funded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primarily from outside sources of invested capital through the issuance of convertible promissory notes, grant funding, the sale of securities, and proceeds from license agreements.</w:t>
      </w:r>
    </w:p>
    <w:p>
      <w:pPr>
        <w:spacing w:after="0" w:line="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231F20"/>
        </w:rPr>
        <w:t xml:space="preserve">The Company had cash, cash equivalents and short term investments of $47.2 million </w:t>
      </w:r>
      <w:r>
        <w:rPr>
          <w:rFonts w:ascii="Times New Roman" w:cs="Times New Roman" w:eastAsia="Times New Roman" w:hAnsi="Times New Roman"/>
          <w:sz w:val="17"/>
          <w:szCs w:val="17"/>
          <w:color w:val="000000"/>
        </w:rPr>
        <w:t>at December 31, 2024.</w:t>
      </w:r>
      <w:r>
        <w:rPr>
          <w:rFonts w:ascii="Times New Roman" w:cs="Times New Roman" w:eastAsia="Times New Roman" w:hAnsi="Times New Roman"/>
          <w:sz w:val="17"/>
          <w:szCs w:val="17"/>
          <w:color w:val="231F20"/>
        </w:rPr>
        <w:t xml:space="preserve"> Upon the completion of the strategic transactions announced in December 2024, the Company added approximately $202.4 million to its cash, cash equivalents and short-term investments as of March 26, 2025, which includes $102.4 million received from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231F20"/>
        </w:rPr>
        <w:t xml:space="preserve">the FYARRO Divestiture and $100.0 million received from the 2025 PIPE Financing. The Company expects to pay $38 million in April 2025 to Wuxi Biologics for the in-licensing of the ADC Therapies. </w:t>
      </w:r>
      <w:r>
        <w:rPr>
          <w:rFonts w:ascii="Times New Roman" w:cs="Times New Roman" w:eastAsia="Times New Roman" w:hAnsi="Times New Roman"/>
          <w:sz w:val="17"/>
          <w:szCs w:val="17"/>
          <w:color w:val="000000"/>
        </w:rPr>
        <w:t>Management believes the Company’s cash, cash equivalents and short-term investments will provide sufficient funds to</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enable the Company to meet its obligations for at least twelve months from the filing date of this report. If the Company is unable to achieve and maintain profitability, it will need additional financing to support its continuing operations and pursue its strategic objectives. Additional financing may be achieved through a combination of equity offerings and debt financing. The Company may be unable to raise additional funds or enter into such other agreements when needed on favorable terms or at all.</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March 17, 2022, the Company entered into a Sales Agreement (the “Sales Agreement”) with Cowen and Company, LLC (“Cowen”), pursuant to which the Company may offer and sell, from time to time at the Company’s sole discretion, shares of its common stock having an aggregate offering price of up to $75.0 million through Cowen as its sales agent for an at-the-marketing-offering. Any sales under the Sales Agreement may result in dilution to existing shareholders. As of December 31, 2024, no shares of common stock had been sold under this Sales Agreement.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consolidated financial statements, and the related disclosures, have been prepared in accordance with accounting principles generally accepted in the United States ("GAAP") and U.S. Securities and Exchange Commission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All adjustments are of a normal recurring nature. The Company’s consolidated financial statements are stated in U.S. dollars. Certain prior year amounts have been reclassified to conform to the current year presentation.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and Uncertainties</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is a preclinical-stage biopharmaceutical company, has a limited operating history and has three preclinical products in development. The Company's ability to generate revenue and achieve profitability depends significantly on the ability to achieve several objectives relating to the discovery, development and commercialization of the ADC Therapies and any other product candidates that may be developed in the future.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Loss</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Comprehensive loss is defined as the change in equity during a period from transactions and other events and circumstances from non-owner sources, including unrealized gains and losses on short-term investments. Comprehensive loss has been reflected in the consolidated statements of operations and comprehensive loss for all periods presented.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impact the reported amounts of assets, liabilities, revenues and expenses, and the disclosure of contingent assets and liabilities in the Company’s consolidated financial statements and accompanying notes. In the opinion of management, all adjustments that are considered necessary for fair presentation have been included. The most significant estimates in the Company’s consolidated financial statements relate to gross-to-net accruals, share-based compensation expense and accrued research and development costs. Although these estimates are based on the Company’s knowledge of current events and actions it may undertake in the future, actual results may materially differ from these estimates and assumptions.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Charges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Restructuring charges consist primarily of employee severance, contract termination costs and other costs. Liabilities for costs associated with a restructuring activity are recognized when the liability is incurred and are measured at fair value. For one-time employee terminations benefits, the Company recognizes the liability in full on the communication date when future services are not required or amortizes the liability ratably over the service period, if required. The fair value of termination benefits reflects the Company’s estimate of expected utilization of certain Company-funded post-employment benefits. One-time termination benefits include severance and continuation of health insurance coverage for certain employees.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Concentrat</w:t>
      </w:r>
      <w:r>
        <w:rPr>
          <w:rFonts w:ascii="Times New Roman" w:cs="Times New Roman" w:eastAsia="Times New Roman" w:hAnsi="Times New Roman"/>
          <w:sz w:val="17"/>
          <w:szCs w:val="17"/>
          <w:b w:val="1"/>
          <w:bCs w:val="1"/>
          <w:i w:val="1"/>
          <w:iCs w:val="1"/>
          <w:color w:val="000000"/>
        </w:rPr>
        <w:t>ion of Credit Risk</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Financial instruments, which potentially subject the Company to concentration of credit risk, consist primarily of cash and cash equivalents and available-for-sale marketable debt securities.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While the Company has not experienced any losses in such deposits, the 2023 failure of Silicon Valley Bank, at which the Company holds cash and cash equivalents in multiple accounts, exposed the Company to credit risk prior to the resolution by the Federal Deposit Insurance Corporation in a manner that fully protected all depositors. The Company has not experienced any losses on deposits since inception.</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accounts receivable are derived from customers located in the United States. The Company performs ongoing credit evaluations of its customers and maintains allowances for potential credit losses on customers’ accounts when deemed necessary. The Company does not typically require collateral from its customers. Credit losses historically have not been material. The Company continuously monitors customer payments and maintains an allowance for credit losses based on its assessment of various factors including historical experience, age of the receivable balances, and other current economic conditions or other factors that may affect customers’ ability to pay.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Customer Concentration</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 xml:space="preserve">For the year ended </w:t>
      </w:r>
      <w:r>
        <w:rPr>
          <w:rFonts w:ascii="Times New Roman" w:cs="Times New Roman" w:eastAsia="Times New Roman" w:hAnsi="Times New Roman"/>
          <w:sz w:val="17"/>
          <w:szCs w:val="17"/>
          <w:color w:val="231F20"/>
        </w:rPr>
        <w:t>December 31, 2024, two customers represented</w:t>
      </w:r>
      <w:r>
        <w:rPr>
          <w:rFonts w:ascii="Times New Roman" w:cs="Times New Roman" w:eastAsia="Times New Roman" w:hAnsi="Times New Roman"/>
          <w:sz w:val="17"/>
          <w:szCs w:val="17"/>
          <w:color w:val="auto"/>
        </w:rPr>
        <w:t xml:space="preserve"> 43% and 55% of the Company's revenue. For the year ended </w:t>
      </w:r>
      <w:r>
        <w:rPr>
          <w:rFonts w:ascii="Times New Roman" w:cs="Times New Roman" w:eastAsia="Times New Roman" w:hAnsi="Times New Roman"/>
          <w:sz w:val="17"/>
          <w:szCs w:val="17"/>
          <w:color w:val="231F20"/>
        </w:rPr>
        <w:t>December 31, 2023</w:t>
      </w:r>
      <w:r>
        <w:rPr>
          <w:rFonts w:ascii="Times New Roman" w:cs="Times New Roman" w:eastAsia="Times New Roman" w:hAnsi="Times New Roman"/>
          <w:sz w:val="17"/>
          <w:szCs w:val="17"/>
          <w:color w:val="auto"/>
        </w:rPr>
        <w:t>, two customers represented 51% and 48% of the Company’s revenue, respectively.</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 xml:space="preserve">Additionally, two customers accounted for 42% and 56% of net accounts receivable as of </w:t>
      </w:r>
      <w:r>
        <w:rPr>
          <w:rFonts w:ascii="Times New Roman" w:cs="Times New Roman" w:eastAsia="Times New Roman" w:hAnsi="Times New Roman"/>
          <w:sz w:val="17"/>
          <w:szCs w:val="17"/>
          <w:color w:val="231F20"/>
        </w:rPr>
        <w:t>December 31, 2024. T</w:t>
      </w:r>
      <w:r>
        <w:rPr>
          <w:rFonts w:ascii="Times New Roman" w:cs="Times New Roman" w:eastAsia="Times New Roman" w:hAnsi="Times New Roman"/>
          <w:sz w:val="17"/>
          <w:szCs w:val="17"/>
          <w:color w:val="auto"/>
        </w:rPr>
        <w:t xml:space="preserve">wo customers accounted for 44% and 56% </w:t>
      </w:r>
      <w:r>
        <w:rPr>
          <w:rFonts w:ascii="Times New Roman" w:cs="Times New Roman" w:eastAsia="Times New Roman" w:hAnsi="Times New Roman"/>
          <w:sz w:val="17"/>
          <w:szCs w:val="17"/>
          <w:color w:val="231F20"/>
        </w:rPr>
        <w:t>of net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accounts receivable as of </w:t>
      </w:r>
      <w:r>
        <w:rPr>
          <w:rFonts w:ascii="Times New Roman" w:cs="Times New Roman" w:eastAsia="Times New Roman" w:hAnsi="Times New Roman"/>
          <w:sz w:val="17"/>
          <w:szCs w:val="17"/>
          <w:color w:val="000000"/>
        </w:rPr>
        <w:t>December 31, 2023.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considers all highly liquid marketable securities purchased with original maturities of three months or less at the time of purchase date to be cash equivalents. Restricted cash consists of a letter of credit secured by restricted cash in connection with one of the Company's office leases and is included in other assets on the consolidated balance sheets. Refer to Note 6 for further information on the Company's leases.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within the consolidated balance sheets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5"/>
                <w:szCs w:val="15"/>
                <w:color w:val="auto"/>
              </w:rPr>
            </w:pPr>
          </w:p>
        </w:tc>
      </w:tr>
      <w:tr>
        <w:trPr>
          <w:trHeight w:val="193"/>
        </w:trPr>
        <w:tc>
          <w:tcPr>
            <w:tcW w:w="8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28,670</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62,888</w:t>
            </w:r>
          </w:p>
        </w:tc>
      </w:tr>
      <w:tr>
        <w:trPr>
          <w:trHeight w:val="238"/>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cash, non-current</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6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28,734</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62,952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Level 1: Observable inputs, such as quoted prices in active markets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Level 2: Inputs, other than the quoted prices in active markets that are observable either directly or indirectly</w:t>
      </w:r>
    </w:p>
    <w:p>
      <w:pPr>
        <w:spacing w:after="0" w:line="114" w:lineRule="exact"/>
        <w:rPr>
          <w:sz w:val="20"/>
          <w:szCs w:val="20"/>
          <w:color w:val="auto"/>
        </w:rPr>
      </w:pPr>
    </w:p>
    <w:p>
      <w:pPr>
        <w:ind w:left="940" w:hanging="617"/>
        <w:spacing w:after="0" w:line="286" w:lineRule="auto"/>
        <w:rPr>
          <w:sz w:val="20"/>
          <w:szCs w:val="20"/>
          <w:color w:val="auto"/>
        </w:rPr>
      </w:pPr>
      <w:r>
        <w:rPr>
          <w:rFonts w:ascii="Times New Roman" w:cs="Times New Roman" w:eastAsia="Times New Roman" w:hAnsi="Times New Roman"/>
          <w:sz w:val="17"/>
          <w:szCs w:val="17"/>
          <w:color w:val="auto"/>
        </w:rPr>
        <w:t>Level 3: Unobservable inputs in which there is little or no market data, which require the reporting entity to develop its own assumptions which reflect those that a market participant would use</w:t>
      </w:r>
    </w:p>
    <w:p>
      <w:pPr>
        <w:spacing w:after="0" w:line="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carrying amounts of cash equivalents, accounts receivable, accounts payable, accrued liabilities, and due to licensor payable are reasonable estimates of their fair value because of the short maturity of these items.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Short-Term Investments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invests in various types of securities, including United States government treasury bills, commercial paper, corporate debt securities, and government agency bonds. The Company classifies its investments as available-for-sale and records them at fair value based upon market prices at period end. Unrealized gains and losses that are deemed temporary in nature are recorded in accumulated other comprehensive income as a separate component of stockholders' equity. Dividend and interest income are recognized when earned. The Company recognizes purchase premiums and discounts as interest income using the interest method over the terms of the securities. Realized gains and losses are included in earnings and are derived using the specific identification method for determining the cost of investments sold. The Company classifies short-term investments with remaining maturities greater than one year as current assets because such short-term investments are available to fund the Company’s current operations.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net. There has been no allowance for expected credit losses recorded during any of the periods presented. See Note 4 for further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Accounts receivable are recorded net of customer allowances for chargebacks and allowance for credit losses. Allowance for chargebacks is based on contractual terms. The Company estimates the allowance for credit losses based on existing contractual payment terms, actual payment patterns of its individual customer circumstances and credit loss. Receivables are recorded to an allowance for credit loss when it is probable that amounts will not be collected based on terms of the customer contracts. Accounts receivable are net of $0.1 million and $0.2 million of customer allowances for chargebacks as of December 31, 2024 and December 31, 2023, respectively. There were no allowances for credit losses and no receivables were written off for the years ended December 31, 2024 and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Inventory is stated at the lower of cost or estimated net realizable value. The Company uses actual costing methodology determined on a first-in, first-out method. The Company capitalizes inventory costs associated with its products based upon regulatory approval when, based on management’s judgment, future commercialization is considered probable and the future economic benefit is expected to be realized; otherwise, such costs are expensed.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inventory are presented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920" w:type="dxa"/>
            <w:vAlign w:val="bottom"/>
          </w:tcPr>
          <w:p>
            <w:pPr>
              <w:spacing w:after="0"/>
              <w:rPr>
                <w:sz w:val="15"/>
                <w:szCs w:val="15"/>
                <w:color w:val="auto"/>
              </w:rPr>
            </w:pPr>
          </w:p>
        </w:tc>
      </w:tr>
      <w:tr>
        <w:trPr>
          <w:trHeight w:val="22"/>
        </w:trPr>
        <w:tc>
          <w:tcPr>
            <w:tcW w:w="8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3"/>
        </w:trPr>
        <w:tc>
          <w:tcPr>
            <w:tcW w:w="82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1"/>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80" w:type="dxa"/>
            <w:vAlign w:val="bottom"/>
          </w:tcPr>
          <w:p>
            <w:pPr>
              <w:spacing w:after="0"/>
              <w:rPr>
                <w:sz w:val="20"/>
                <w:szCs w:val="20"/>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4,640</w:t>
            </w:r>
          </w:p>
        </w:tc>
      </w:tr>
      <w:tr>
        <w:trPr>
          <w:trHeight w:val="25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9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w:t>
            </w:r>
          </w:p>
        </w:tc>
      </w:tr>
      <w:tr>
        <w:trPr>
          <w:trHeight w:val="238"/>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1,778</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w:t>
            </w:r>
          </w:p>
        </w:tc>
      </w:tr>
      <w:tr>
        <w:trPr>
          <w:trHeight w:val="26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5,311</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Property and equipment, consisting of computers and software, construction in process, furniture and fixtures, lab equipment, and leasehold improvements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property and equipment are presented as follows (in thousands).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920" w:type="dxa"/>
            <w:vAlign w:val="bottom"/>
          </w:tcPr>
          <w:p>
            <w:pPr>
              <w:spacing w:after="0"/>
              <w:rPr>
                <w:sz w:val="15"/>
                <w:szCs w:val="15"/>
                <w:color w:val="auto"/>
              </w:rPr>
            </w:pPr>
          </w:p>
        </w:tc>
      </w:tr>
      <w:tr>
        <w:trPr>
          <w:trHeight w:val="193"/>
        </w:trPr>
        <w:tc>
          <w:tcPr>
            <w:tcW w:w="8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Computers and software</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5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process</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6,590</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4,389</w:t>
            </w:r>
          </w:p>
        </w:tc>
      </w:t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Lab equipment</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5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1"/>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20" w:type="dxa"/>
            <w:vAlign w:val="bottom"/>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7,309</w:t>
            </w:r>
          </w:p>
        </w:tc>
        <w:tc>
          <w:tcPr>
            <w:tcW w:w="80" w:type="dxa"/>
            <w:vAlign w:val="bottom"/>
          </w:tcPr>
          <w:p>
            <w:pPr>
              <w:spacing w:after="0"/>
              <w:rPr>
                <w:sz w:val="20"/>
                <w:szCs w:val="20"/>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5,072</w:t>
            </w:r>
          </w:p>
        </w:tc>
      </w:tr>
      <w:tr>
        <w:trPr>
          <w:trHeight w:val="25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31"/>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6,846</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4,802</w:t>
            </w:r>
          </w:p>
        </w:tc>
      </w:tr>
      <w:tr>
        <w:trPr>
          <w:trHeight w:val="25"/>
        </w:trPr>
        <w:tc>
          <w:tcPr>
            <w:tcW w:w="8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Construction in process mainly consists of lab, production, and testing equipment. Depreciation expense on property, plant, and equipment amounted to $0.2 million and $0.2 million for the years ended December 31, 2024 and 2023, respectively.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at the commencement date of the lease based on the present value of lease payments over the expected lease term.</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w:t>
      </w:r>
      <w:r>
        <w:rPr>
          <w:rFonts w:ascii="Times New Roman" w:cs="Times New Roman" w:eastAsia="Times New Roman" w:hAnsi="Times New Roman"/>
          <w:sz w:val="17"/>
          <w:szCs w:val="17"/>
          <w:color w:val="231F20"/>
        </w:rPr>
        <w:t>consolidated statements of operations and comprehensive loss</w:t>
      </w:r>
      <w:r>
        <w:rPr>
          <w:rFonts w:ascii="Times New Roman" w:cs="Times New Roman" w:eastAsia="Times New Roman" w:hAnsi="Times New Roman"/>
          <w:sz w:val="17"/>
          <w:szCs w:val="17"/>
          <w:color w:val="auto"/>
        </w:rPr>
        <w:t>. For operating leases, lease cost is recognized on a straight-line basis over the lease term and variable 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Commitments and Contingencies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December 31, 2024 and 2023</w:t>
      </w:r>
      <w:r>
        <w:rPr>
          <w:rFonts w:ascii="Times New Roman" w:cs="Times New Roman" w:eastAsia="Times New Roman" w:hAnsi="Times New Roman"/>
          <w:sz w:val="17"/>
          <w:szCs w:val="17"/>
          <w:color w:val="231F20"/>
        </w:rPr>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 and Related Allowances</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Customers (“Topic 606”), the Company performs the following five steps: (i) identify the contract(s) with 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Net Sales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FYARRO was approved by the FDA in November 2021. On February 22, 2022, the Company launched sales of FYARRO to specialty distributors (“SDs”) and a specialty pharmacy (“SP”). The Company recognizes product sales when the SDs and SP obtain control of the product. Product sales are recorded at the net sales price, which includes provisions for the following allowances which are reflected either as a reduction to the related account receivable or as an accrued liability, depending on how the allowance is settled:</w:t>
      </w:r>
    </w:p>
    <w:p>
      <w:pPr>
        <w:spacing w:after="0" w:line="6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i w:val="1"/>
          <w:iCs w:val="1"/>
          <w:color w:val="auto"/>
        </w:rPr>
        <w:t>Distribution Fees</w:t>
      </w:r>
      <w:r>
        <w:rPr>
          <w:rFonts w:ascii="Times New Roman" w:cs="Times New Roman" w:eastAsia="Times New Roman" w:hAnsi="Times New Roman"/>
          <w:sz w:val="17"/>
          <w:szCs w:val="17"/>
          <w:color w:val="auto"/>
        </w:rPr>
        <w:t>: Distribution fees include distribution service fees paid to the SDs and SP based on a contractually fixed percentage of the wholesale acquisition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 (“WAC”). Distribution fees are recorded as an offset to product sales based on contractual terms at the time revenue from the sale is recognized.</w:t>
      </w:r>
    </w:p>
    <w:p>
      <w:pPr>
        <w:spacing w:after="0" w:line="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Rebates</w:t>
      </w:r>
      <w:r>
        <w:rPr>
          <w:rFonts w:ascii="Times New Roman" w:cs="Times New Roman" w:eastAsia="Times New Roman" w:hAnsi="Times New Roman"/>
          <w:sz w:val="17"/>
          <w:szCs w:val="17"/>
          <w:color w:val="auto"/>
        </w:rPr>
        <w:t>: Allowance for rebates includes mandated discounts under the Medicaid Drug Rebate Program and TRICARE program. Rebates are amounts owed after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final dispensing of the product to a benefit plan participant and are based 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Chargebacks: </w:t>
      </w:r>
      <w:r>
        <w:rPr>
          <w:rFonts w:ascii="Times New Roman" w:cs="Times New Roman" w:eastAsia="Times New Roman" w:hAnsi="Times New Roman"/>
          <w:sz w:val="17"/>
          <w:szCs w:val="17"/>
          <w:color w:val="auto"/>
        </w:rPr>
        <w:t>Chargebacks are discounts and fees that relate to contracts with government and other entities purchasing from the SDs and SP at a discounted price.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SDs and SP charge back to the Company the difference between the price initially paid by the SDs and SP and the discounted price paid to the SDs and SP by these entities. If actual future chargebacks vary from these estimates, the Company may need to adjust prior period accruals, which would affect product sales in the period of adjustment.</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Co-Payment Assistance: </w:t>
      </w:r>
      <w:r>
        <w:rPr>
          <w:rFonts w:ascii="Times New Roman" w:cs="Times New Roman" w:eastAsia="Times New Roman" w:hAnsi="Times New Roman"/>
          <w:sz w:val="17"/>
          <w:szCs w:val="17"/>
          <w:color w:val="auto"/>
        </w:rPr>
        <w:t>The Company offers co-payment assistance to commercially insured patients meeting certain eligibility requirements. Co-payment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assistance is accrued at the time of product sale to SDs and SP based on estimated patient participation and average co-pay benefit to be paid per a claim. The Company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spacing w:after="0" w:line="2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Product Returns: </w:t>
      </w:r>
      <w:r>
        <w:rPr>
          <w:rFonts w:ascii="Times New Roman" w:cs="Times New Roman" w:eastAsia="Times New Roman" w:hAnsi="Times New Roman"/>
          <w:sz w:val="17"/>
          <w:szCs w:val="17"/>
          <w:color w:val="auto"/>
        </w:rPr>
        <w:t>Consistent with industry practice, the Company offers the SDs and SP limited product return rights for damages, shipment errors, and expiring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w:t>
      </w:r>
    </w:p>
    <w:p>
      <w:pPr>
        <w:spacing w:after="0" w:line="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total amount deducted from gross product sales for the allowances described above for the years ended December 31, 2024 and 2023 was $6.5 million and $4.6 million,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changes in the accrued revenue allowances (in thousands):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5"/>
                <w:szCs w:val="15"/>
                <w:color w:val="auto"/>
              </w:rPr>
            </w:pPr>
          </w:p>
        </w:tc>
      </w:tr>
      <w:tr>
        <w:trPr>
          <w:trHeight w:val="193"/>
        </w:trPr>
        <w:tc>
          <w:tcPr>
            <w:tcW w:w="8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1,065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center"/>
              <w:ind w:left="338"/>
              <w:spacing w:after="0"/>
              <w:rPr>
                <w:sz w:val="20"/>
                <w:szCs w:val="20"/>
                <w:color w:val="auto"/>
              </w:rPr>
            </w:pPr>
            <w:r>
              <w:rPr>
                <w:rFonts w:ascii="Times New Roman" w:cs="Times New Roman" w:eastAsia="Times New Roman" w:hAnsi="Times New Roman"/>
                <w:sz w:val="17"/>
                <w:szCs w:val="17"/>
                <w:color w:val="auto"/>
                <w:w w:val="99"/>
              </w:rPr>
              <w:t>1,434</w:t>
            </w:r>
          </w:p>
        </w:tc>
      </w:tr>
      <w:tr>
        <w:trPr>
          <w:trHeight w:val="21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current period sales</w:t>
            </w:r>
          </w:p>
        </w:tc>
        <w:tc>
          <w:tcPr>
            <w:tcW w:w="9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6,473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center"/>
              <w:ind w:left="338"/>
              <w:spacing w:after="0"/>
              <w:rPr>
                <w:sz w:val="20"/>
                <w:szCs w:val="20"/>
                <w:color w:val="auto"/>
              </w:rPr>
            </w:pPr>
            <w:r>
              <w:rPr>
                <w:rFonts w:ascii="Times New Roman" w:cs="Times New Roman" w:eastAsia="Times New Roman" w:hAnsi="Times New Roman"/>
                <w:sz w:val="17"/>
                <w:szCs w:val="17"/>
                <w:color w:val="auto"/>
                <w:w w:val="99"/>
              </w:rPr>
              <w:t>4,648</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(6,127)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298"/>
              <w:spacing w:after="0"/>
              <w:rPr>
                <w:sz w:val="20"/>
                <w:szCs w:val="20"/>
                <w:color w:val="auto"/>
              </w:rPr>
            </w:pPr>
            <w:r>
              <w:rPr>
                <w:rFonts w:ascii="Times New Roman" w:cs="Times New Roman" w:eastAsia="Times New Roman" w:hAnsi="Times New Roman"/>
                <w:sz w:val="17"/>
                <w:szCs w:val="17"/>
                <w:color w:val="auto"/>
              </w:rPr>
              <w:t>(5,017)</w:t>
            </w:r>
          </w:p>
        </w:tc>
      </w:tr>
      <w:tr>
        <w:trPr>
          <w:trHeight w:val="212"/>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90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1,411</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center"/>
              <w:ind w:left="338"/>
              <w:spacing w:after="0"/>
              <w:rPr>
                <w:sz w:val="20"/>
                <w:szCs w:val="20"/>
                <w:color w:val="auto"/>
              </w:rPr>
            </w:pPr>
            <w:r>
              <w:rPr>
                <w:rFonts w:ascii="Times New Roman" w:cs="Times New Roman" w:eastAsia="Times New Roman" w:hAnsi="Times New Roman"/>
                <w:sz w:val="17"/>
                <w:szCs w:val="17"/>
                <w:color w:val="auto"/>
                <w:w w:val="99"/>
              </w:rPr>
              <w:t>1,065</w:t>
            </w:r>
          </w:p>
        </w:tc>
      </w:tr>
      <w:tr>
        <w:trPr>
          <w:trHeight w:val="20"/>
        </w:trPr>
        <w:tc>
          <w:tcPr>
            <w:tcW w:w="8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Goods Sold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Cost of goods sold consist primarily of royalties paid to BMS, costs incurred on sales of FYARRO and costs to manufacture and prepare the product for sales subsequent to the FDA approval in November 2021. Costs incurred prior to the FDA approval were expensed when incurred</w:t>
      </w:r>
      <w:r>
        <w:rPr>
          <w:rFonts w:ascii="Times New Roman" w:cs="Times New Roman" w:eastAsia="Times New Roman" w:hAnsi="Times New Roman"/>
          <w:sz w:val="17"/>
          <w:szCs w:val="17"/>
          <w:i w:val="1"/>
          <w:iCs w:val="1"/>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Research and development expenses consist of costs incurred in performing research and development activities, including salaries and benefits, materials and supplies, preclinical expenses, share-based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consolidated balance sheets and within research and development expenses in the consolidated statements of operations and comprehensive loss. These expenses are a significant component of the Company’s 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In-Process Research and Development (IPR&amp;D)</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231F20"/>
        </w:rPr>
        <w:t xml:space="preserve">Acquired in-process research and development expenses are recorded when incurred and reflect costs of externally-developed in-process research and development (“IPR&amp;D”) projects, acquired directly in a transaction other than a business combination, that do not have an alternative future use, including upfront and pre-commercialization milestone payments related to various collaborations and the costs of rights to IPR&amp;D projects. </w:t>
      </w:r>
      <w:r>
        <w:rPr>
          <w:rFonts w:ascii="Times New Roman" w:cs="Times New Roman" w:eastAsia="Times New Roman" w:hAnsi="Times New Roman"/>
          <w:sz w:val="17"/>
          <w:szCs w:val="17"/>
          <w:color w:val="000000"/>
        </w:rPr>
        <w:t>Refer to Note 13 for further information on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ADC license agreement and its terms.</w:t>
      </w:r>
    </w:p>
    <w:p>
      <w:pPr>
        <w:spacing w:after="0" w:line="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231F20"/>
        </w:rPr>
        <w:t>The Company recorded a $6.0 million upfront payment related to the WuXi Biologics license agreement as IPR&amp;D expense for the year ended December 31, 2024. The Company had no IPR&amp;D expense for the year ended December 31, 2023.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Company recognizes all share-based payments to employees, including grants of employee stock options and restricted stock units in the consolidated statements of operations and comprehensive loss based on their fair values. All of the Company’s share-based awards, to employees, non-employees, officers, and directors, are subject only to service-based vesting conditions. Compensation expense for awards to employees is calculated on a straight-line basis by recognizing the fair value over the associated service period of the award, which is generally the vesting term. </w:t>
      </w:r>
      <w:r>
        <w:rPr>
          <w:rFonts w:ascii="Times New Roman" w:cs="Times New Roman" w:eastAsia="Times New Roman" w:hAnsi="Times New Roman"/>
          <w:sz w:val="17"/>
          <w:szCs w:val="17"/>
          <w:color w:val="231F20"/>
        </w:rPr>
        <w:t>Options granted during the year have a maximum contractual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term of ten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Stock-based compensation expense for employee stock purchases under the Company’s 2021 Employee Stock Purchase Plan (the “2021 ESPP”) is recorded at the estimated fair value of the purchase as of the plan enrollment date and is recognized as an expense on a straight-line basis over the applicable six-month 2021 ESPP offering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allowance against deferred tax assets is recorded if, based upon the weight of all available evidence, it is more likely than not that some or all of the deferred tax assets will not be realized.</w:t>
      </w:r>
    </w:p>
    <w:p>
      <w:pPr>
        <w:spacing w:after="0" w:line="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Basic net loss per share is calculated by dividing the net loss attributable to common stockholders by the weighted-average number of common shares outstanding for the period. Basic and diluted weighted average shares of common stock outstanding for the years ended December 31, 2024 and 2023, includes the weighted average effect of 2,426,493 Pre-Funded Warrants (as defined below), which were issued in September 2022, for the purchase of shares of common stock, for which the remaining unfunded exercise price is $0.0001 per share.</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Diluted net loss per share is computed by dividing the net loss attributable to common stockholders by the weighted average number of common shares and common share equivalents outstanding for the period. Common stock equivalents are only included when their effect is dilutive. The Company’s potentially dilutive securities, which include outstanding stock options, restricted stock units, and warrants have been excluded from the computation of diluted net loss per share as they would be anti-dilutive.</w:t>
      </w:r>
    </w:p>
    <w:p>
      <w:pPr>
        <w:spacing w:after="0" w:line="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following table sets forth the outstanding potentially dilutive securities that have been excluded in the calculation of diluted net loss per share because their inclusion would be anti-dilutive: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15"/>
                <w:szCs w:val="15"/>
                <w:color w:val="auto"/>
              </w:rPr>
            </w:pPr>
          </w:p>
        </w:tc>
        <w:tc>
          <w:tcPr>
            <w:tcW w:w="3040" w:type="dxa"/>
            <w:vAlign w:val="bottom"/>
            <w:gridSpan w:val="3"/>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3"/>
        </w:trPr>
        <w:tc>
          <w:tcPr>
            <w:tcW w:w="8200" w:type="dxa"/>
            <w:vAlign w:val="bottom"/>
          </w:tcPr>
          <w:p>
            <w:pPr>
              <w:spacing w:after="0"/>
              <w:rPr>
                <w:sz w:val="16"/>
                <w:szCs w:val="16"/>
                <w:color w:val="auto"/>
              </w:rPr>
            </w:pPr>
          </w:p>
        </w:tc>
        <w:tc>
          <w:tcPr>
            <w:tcW w:w="148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2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2"/>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4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4,950,016</w:t>
            </w: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4,579,659</w:t>
            </w:r>
          </w:p>
        </w:tc>
      </w:tr>
      <w:tr>
        <w:trPr>
          <w:trHeight w:val="21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 to purchase common stock</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256,490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32,558</w:t>
            </w:r>
          </w:p>
        </w:tc>
      </w:tr>
      <w:tr>
        <w:trPr>
          <w:trHeight w:val="21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Warrants to purchase common stock</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29,167</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Adoption of New Accounting Standard</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adopted FASB ASU 2023-07, Segment Reporting (Topic 280) - Improvements to Reportable Segment Disclosures on December 28, 2024. This ASU requires interim and annual disclosure of significant segment expenses that are regularly provided to the chief operating decision-maker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This authoritative guidance is effective for annual periods beginning after December 15, 2023, and interim periods within fiscal years beginning after December 15, 2024. The requirements of this ASU are disclosure-related and did not have an impact on the Company’s consolidated financial position and results of operations. See Note 15, Segment Information, for the updated segment disclosures as a result of adopting this ASU.</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December 2023, the FASB also issued ASU 2023-09, Income Taxes (Topic 740) - Improvements to Income Tax Disclosures. The new standard requires a company to expand its existing income tax disclosures, specifically related to the rate reconciliation and income taxes paid. The standard is effective for the Company beginning in fiscal year 2025, with early adoption permitted. The Company does not expect to early adopt the new standard. The new standard is expected to be applied prospectively, but retrospective application is permitted. The Company is currently evaluating the impact of ASU 2023-09 on the consolidated financial statements and related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w:t>
      </w:r>
    </w:p>
    <w:p>
      <w:pPr>
        <w:spacing w:after="0" w:line="27" w:lineRule="exact"/>
        <w:rPr>
          <w:sz w:val="20"/>
          <w:szCs w:val="20"/>
          <w:color w:val="auto"/>
        </w:rPr>
      </w:pPr>
    </w:p>
    <w:p>
      <w:pPr>
        <w:jc w:val="both"/>
        <w:ind w:firstLine="3"/>
        <w:spacing w:after="0" w:line="259" w:lineRule="auto"/>
        <w:tabs>
          <w:tab w:leader="none" w:pos="27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Disaggregation of Income Statement Expenses”, which requires additional disclosure in the notes to the financial statements of the nature of certain expenses included in the income statement. The amendments are effective on a prospective basis, with the option to apply it retrospectively, for fiscal years beginning after December 15, 2026. The Company is currently evaluating the impact of adopting this new accounting guidance.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Fair Value Measurement</w:t>
      </w:r>
    </w:p>
    <w:p>
      <w:pPr>
        <w:spacing w:after="0" w:line="1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The following table sets forth the recurring fair value of the Company’s financial assets and liabilities, allocated into the Level 1, Level 2 and Level 3 hierarchy that were measured at fair value on a recurring basis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2024</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5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5"/>
                <w:szCs w:val="15"/>
                <w:color w:val="auto"/>
              </w:rPr>
            </w:pPr>
          </w:p>
        </w:tc>
        <w:tc>
          <w:tcPr>
            <w:tcW w:w="11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9"/>
        </w:trPr>
        <w:tc>
          <w:tcPr>
            <w:tcW w:w="5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Money market funds (1)</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27,485</w:t>
            </w:r>
          </w:p>
        </w:tc>
        <w:tc>
          <w:tcPr>
            <w:tcW w:w="80" w:type="dxa"/>
            <w:vAlign w:val="bottom"/>
          </w:tcPr>
          <w:p>
            <w:pPr>
              <w:spacing w:after="0"/>
              <w:rPr>
                <w:sz w:val="19"/>
                <w:szCs w:val="19"/>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27,485</w:t>
            </w:r>
          </w:p>
        </w:tc>
      </w:tr>
      <w:tr>
        <w:trPr>
          <w:trHeight w:val="21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government treasury bills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12,562</w:t>
            </w:r>
          </w:p>
        </w:tc>
      </w:tr>
      <w:tr>
        <w:trPr>
          <w:trHeight w:val="219"/>
        </w:trPr>
        <w:tc>
          <w:tcPr>
            <w:tcW w:w="5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paper</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w:t>
            </w:r>
          </w:p>
        </w:tc>
      </w:tr>
      <w:tr>
        <w:trPr>
          <w:trHeight w:val="21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 bonds</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w:t>
            </w:r>
          </w:p>
        </w:tc>
      </w:tr>
      <w:tr>
        <w:trPr>
          <w:trHeight w:val="212"/>
        </w:trPr>
        <w:tc>
          <w:tcPr>
            <w:tcW w:w="5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financial assets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40,047</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46,052</w:t>
            </w: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16"/>
        </w:trPr>
        <w:tc>
          <w:tcPr>
            <w:tcW w:w="5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5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5"/>
                <w:szCs w:val="15"/>
                <w:color w:val="auto"/>
              </w:rPr>
            </w:pPr>
          </w:p>
        </w:tc>
        <w:tc>
          <w:tcPr>
            <w:tcW w:w="11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9"/>
        </w:trPr>
        <w:tc>
          <w:tcPr>
            <w:tcW w:w="5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Money market funds (1)</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61,034</w:t>
            </w:r>
          </w:p>
        </w:tc>
        <w:tc>
          <w:tcPr>
            <w:tcW w:w="80" w:type="dxa"/>
            <w:vAlign w:val="bottom"/>
          </w:tcPr>
          <w:p>
            <w:pPr>
              <w:spacing w:after="0"/>
              <w:rPr>
                <w:sz w:val="19"/>
                <w:szCs w:val="19"/>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61,034</w:t>
            </w:r>
          </w:p>
        </w:tc>
      </w:tr>
      <w:tr>
        <w:trPr>
          <w:trHeight w:val="21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government treasury bills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19,458</w:t>
            </w:r>
          </w:p>
        </w:tc>
      </w:tr>
      <w:tr>
        <w:trPr>
          <w:trHeight w:val="219"/>
        </w:trPr>
        <w:tc>
          <w:tcPr>
            <w:tcW w:w="5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paper</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8,717</w:t>
            </w:r>
          </w:p>
        </w:tc>
      </w:tr>
      <w:tr>
        <w:trPr>
          <w:trHeight w:val="21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 bonds (2)</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13,447</w:t>
            </w:r>
          </w:p>
        </w:tc>
      </w:tr>
      <w:tr>
        <w:trPr>
          <w:trHeight w:val="219"/>
        </w:trPr>
        <w:tc>
          <w:tcPr>
            <w:tcW w:w="5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Government agency</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5,482</w:t>
            </w:r>
          </w:p>
        </w:tc>
      </w:tr>
      <w:tr>
        <w:trPr>
          <w:trHeight w:val="237"/>
        </w:trPr>
        <w:tc>
          <w:tcPr>
            <w:tcW w:w="5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financial assets</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108,138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1240" w:hanging="619"/>
        <w:spacing w:after="0"/>
        <w:tabs>
          <w:tab w:leader="none" w:pos="124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cash and cash equivalents in the accompanying consolidated balance sheets.</w:t>
      </w:r>
    </w:p>
    <w:p>
      <w:pPr>
        <w:spacing w:after="0" w:line="113" w:lineRule="exact"/>
        <w:rPr>
          <w:rFonts w:ascii="Times New Roman" w:cs="Times New Roman" w:eastAsia="Times New Roman" w:hAnsi="Times New Roman"/>
          <w:sz w:val="17"/>
          <w:szCs w:val="17"/>
          <w:color w:val="auto"/>
        </w:rPr>
      </w:pPr>
    </w:p>
    <w:p>
      <w:pPr>
        <w:ind w:right="2560" w:firstLine="621"/>
        <w:spacing w:after="0" w:line="376" w:lineRule="auto"/>
        <w:tabs>
          <w:tab w:leader="none" w:pos="123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Includes investments classified as cash and cash equivalent in the accompanying consolidated balance sheet. </w:t>
      </w:r>
      <w:r>
        <w:rPr>
          <w:rFonts w:ascii="Times New Roman" w:cs="Times New Roman" w:eastAsia="Times New Roman" w:hAnsi="Times New Roman"/>
          <w:sz w:val="17"/>
          <w:szCs w:val="17"/>
          <w:color w:val="231F20"/>
        </w:rPr>
        <w:t xml:space="preserve">As of </w:t>
      </w:r>
      <w:r>
        <w:rPr>
          <w:rFonts w:ascii="Times New Roman" w:cs="Times New Roman" w:eastAsia="Times New Roman" w:hAnsi="Times New Roman"/>
          <w:sz w:val="17"/>
          <w:szCs w:val="17"/>
          <w:color w:val="000000"/>
        </w:rPr>
        <w:t>December 31, 2024 and 2023,</w:t>
      </w:r>
      <w:r>
        <w:rPr>
          <w:rFonts w:ascii="Times New Roman" w:cs="Times New Roman" w:eastAsia="Times New Roman" w:hAnsi="Times New Roman"/>
          <w:sz w:val="17"/>
          <w:szCs w:val="17"/>
          <w:color w:val="231F20"/>
        </w:rPr>
        <w:t xml:space="preserve"> all marketable securities had a contractual maturity of less than one year.</w:t>
      </w:r>
    </w:p>
    <w:p>
      <w:pPr>
        <w:spacing w:after="0" w:line="1" w:lineRule="exact"/>
        <w:rPr>
          <w:rFonts w:ascii="Times New Roman" w:cs="Times New Roman" w:eastAsia="Times New Roman" w:hAnsi="Times New Roman"/>
          <w:sz w:val="17"/>
          <w:szCs w:val="17"/>
          <w:color w:val="auto"/>
        </w:rPr>
      </w:pPr>
    </w:p>
    <w:p>
      <w:pPr>
        <w:ind w:left="180" w:hanging="177"/>
        <w:spacing w:after="0"/>
        <w:tabs>
          <w:tab w:leader="none" w:pos="18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Short-Term Investments and Cash Equivalents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short-term investments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6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As of and for Year Ended December 31, 2024</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6"/>
        </w:trPr>
        <w:tc>
          <w:tcPr>
            <w:tcW w:w="3500" w:type="dxa"/>
            <w:vAlign w:val="bottom"/>
          </w:tcPr>
          <w:p>
            <w:pPr>
              <w:spacing w:after="0"/>
              <w:rPr>
                <w:sz w:val="17"/>
                <w:szCs w:val="17"/>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Maturity (In Years)</w:t>
            </w:r>
          </w:p>
        </w:tc>
        <w:tc>
          <w:tcPr>
            <w:tcW w:w="24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Unrealized Gains</w:t>
            </w:r>
          </w:p>
        </w:tc>
        <w:tc>
          <w:tcPr>
            <w:tcW w:w="16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7"/>
                <w:szCs w:val="17"/>
                <w:color w:val="auto"/>
              </w:rPr>
            </w:pPr>
          </w:p>
        </w:tc>
        <w:tc>
          <w:tcPr>
            <w:tcW w:w="12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
        </w:trPr>
        <w:tc>
          <w:tcPr>
            <w:tcW w:w="35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27,485</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government treasury bills</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Less than 1</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12,562</w:t>
            </w:r>
          </w:p>
        </w:tc>
      </w:tr>
      <w:tr>
        <w:trPr>
          <w:trHeight w:val="22"/>
        </w:trPr>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13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Less than 1</w:t>
            </w:r>
          </w:p>
        </w:tc>
        <w:tc>
          <w:tcPr>
            <w:tcW w:w="2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Less than 1</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4,261</w:t>
            </w:r>
          </w:p>
        </w:tc>
      </w:tr>
      <w:tr>
        <w:trPr>
          <w:trHeight w:val="22"/>
        </w:trPr>
        <w:tc>
          <w:tcPr>
            <w:tcW w:w="35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46,037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46,052</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6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As of and for Year Ended December 31, 2023</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Maturity (In Years)</w:t>
            </w:r>
          </w:p>
        </w:tc>
        <w:tc>
          <w:tcPr>
            <w:tcW w:w="24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Unrealized Gains</w:t>
            </w:r>
          </w:p>
        </w:tc>
        <w:tc>
          <w:tcPr>
            <w:tcW w:w="16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7"/>
                <w:szCs w:val="17"/>
                <w:color w:val="auto"/>
              </w:rPr>
            </w:pPr>
          </w:p>
        </w:tc>
        <w:tc>
          <w:tcPr>
            <w:tcW w:w="12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
        </w:trPr>
        <w:tc>
          <w:tcPr>
            <w:tcW w:w="35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61,034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61,034</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government treasury bills</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Less than 1</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19,458</w:t>
            </w:r>
          </w:p>
        </w:tc>
        <w:tc>
          <w:tcPr>
            <w:tcW w:w="0" w:type="dxa"/>
            <w:vAlign w:val="bottom"/>
          </w:tcPr>
          <w:p>
            <w:pPr>
              <w:spacing w:after="0"/>
              <w:rPr>
                <w:sz w:val="1"/>
                <w:szCs w:val="1"/>
                <w:color w:val="auto"/>
              </w:rPr>
            </w:pPr>
          </w:p>
        </w:tc>
      </w:tr>
      <w:tr>
        <w:trPr>
          <w:trHeight w:val="22"/>
        </w:trPr>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13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Less than 1</w:t>
            </w:r>
          </w:p>
        </w:tc>
        <w:tc>
          <w:tcPr>
            <w:tcW w:w="2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8,717</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Less than 1</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13,447</w:t>
            </w:r>
          </w:p>
        </w:tc>
        <w:tc>
          <w:tcPr>
            <w:tcW w:w="0" w:type="dxa"/>
            <w:vAlign w:val="bottom"/>
          </w:tcPr>
          <w:p>
            <w:pPr>
              <w:spacing w:after="0"/>
              <w:rPr>
                <w:sz w:val="1"/>
                <w:szCs w:val="1"/>
                <w:color w:val="auto"/>
              </w:rPr>
            </w:pPr>
          </w:p>
        </w:tc>
      </w:tr>
      <w:tr>
        <w:trPr>
          <w:trHeight w:val="22"/>
        </w:trPr>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agency</w:t>
            </w:r>
          </w:p>
        </w:tc>
        <w:tc>
          <w:tcPr>
            <w:tcW w:w="13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Less than 1</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5,482</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108,111</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108,138</w:t>
            </w:r>
          </w:p>
        </w:tc>
        <w:tc>
          <w:tcPr>
            <w:tcW w:w="0" w:type="dxa"/>
            <w:vAlign w:val="bottom"/>
          </w:tcPr>
          <w:p>
            <w:pPr>
              <w:spacing w:after="0"/>
              <w:rPr>
                <w:sz w:val="1"/>
                <w:szCs w:val="1"/>
                <w:color w:val="auto"/>
              </w:rPr>
            </w:pPr>
          </w:p>
        </w:tc>
      </w:tr>
      <w:tr>
        <w:trPr>
          <w:trHeight w:val="22"/>
        </w:trPr>
        <w:tc>
          <w:tcPr>
            <w:tcW w:w="35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5. Accrued Liabilities</w:t>
            </w: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500" w:type="dxa"/>
            <w:vAlign w:val="bottom"/>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35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Details of accrued liabilities are presented as follows (in thousands):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3"/>
        </w:trPr>
        <w:tc>
          <w:tcPr>
            <w:tcW w:w="3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5,157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2,504</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salaries and payroll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2,681</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w:t>
            </w:r>
          </w:p>
        </w:tc>
        <w:tc>
          <w:tcPr>
            <w:tcW w:w="0" w:type="dxa"/>
            <w:vAlign w:val="bottom"/>
          </w:tcPr>
          <w:p>
            <w:pPr>
              <w:spacing w:after="0"/>
              <w:rPr>
                <w:sz w:val="1"/>
                <w:szCs w:val="1"/>
                <w:color w:val="auto"/>
              </w:rPr>
            </w:pPr>
          </w:p>
        </w:tc>
      </w:tr>
      <w:tr>
        <w:trPr>
          <w:trHeight w:val="21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restructuring charges</w:t>
            </w: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bonus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3,081</w:t>
            </w:r>
          </w:p>
        </w:tc>
        <w:tc>
          <w:tcPr>
            <w:tcW w:w="0" w:type="dxa"/>
            <w:vAlign w:val="bottom"/>
          </w:tcPr>
          <w:p>
            <w:pPr>
              <w:spacing w:after="0"/>
              <w:rPr>
                <w:sz w:val="1"/>
                <w:szCs w:val="1"/>
                <w:color w:val="auto"/>
              </w:rPr>
            </w:pPr>
          </w:p>
        </w:tc>
      </w:tr>
      <w:tr>
        <w:trPr>
          <w:trHeight w:val="21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contract manufacturing</w:t>
            </w: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2,597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clinical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1,416</w:t>
            </w:r>
          </w:p>
        </w:tc>
        <w:tc>
          <w:tcPr>
            <w:tcW w:w="0" w:type="dxa"/>
            <w:vAlign w:val="bottom"/>
          </w:tcPr>
          <w:p>
            <w:pPr>
              <w:spacing w:after="0"/>
              <w:rPr>
                <w:sz w:val="1"/>
                <w:szCs w:val="1"/>
                <w:color w:val="auto"/>
              </w:rPr>
            </w:pPr>
          </w:p>
        </w:tc>
      </w:tr>
      <w:tr>
        <w:trPr>
          <w:trHeight w:val="21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other - sales related</w:t>
            </w: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0" w:type="dxa"/>
            <w:vAlign w:val="bottom"/>
          </w:tcPr>
          <w:p>
            <w:pPr>
              <w:spacing w:after="0"/>
              <w:rPr>
                <w:sz w:val="1"/>
                <w:szCs w:val="1"/>
                <w:color w:val="auto"/>
              </w:rPr>
            </w:pPr>
          </w:p>
        </w:tc>
      </w:tr>
      <w:tr>
        <w:trPr>
          <w:trHeight w:val="219"/>
        </w:trPr>
        <w:tc>
          <w:tcPr>
            <w:tcW w:w="35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Accrued other</w:t>
            </w:r>
          </w:p>
        </w:tc>
        <w:tc>
          <w:tcPr>
            <w:tcW w:w="1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accrued liabilities</w:t>
            </w:r>
          </w:p>
        </w:tc>
        <w:tc>
          <w:tcPr>
            <w:tcW w:w="1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14,647</w:t>
            </w: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14,306</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Operating Leases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231F20"/>
        </w:rPr>
        <w:t>In April 2019, the Company entered into a twenty-eight month facility lease agreement for office space in Pacific Palisades, California (the “Pacific Palisades Lease”). The Pacific Palisades Lease commenced on May 1, 2019, included four months of rent abatement and a rent escalation clause and was set to expire on August 31, 2021. In August 2021, the Company exercised its option to extend the term of the Pacific Palisades Lease for an additional three-year period and entered into an amendment to the lease agreement (the “Pacific Palisades Lease Amendment”). Pursuant to the Pacific Palisades Lease Amendment, the Company and the landlord agreed to extend the term for an additional period of three (3) years and six (6) months, until February 28, 2025, with an option to renew for an additional three (3) years in accordance with the terms of the lease. The Company did not exercise the option to renew. Included in the Pacific Palisades Lease Amendment were nine months of rent abatement and a rent escalation clause.</w:t>
      </w:r>
    </w:p>
    <w:p>
      <w:pPr>
        <w:spacing w:after="0" w:line="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231F20"/>
        </w:rPr>
        <w:t>In April 2022, the Company entered into a lease agreement for office space in Morristown, New Jersey (the “Morristown Lease”). The Morristown Lease has a term of seventy-three months, unless terminated sooner, and includes rent abatement for the first three months and the forty-seventh and forty-eighth calendar months after lease commencement. Included in the Morristown Lease are fixed rent escalations of approximately 2% on each anniversary year of the lease term.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information related to the Company’s leases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180" w:type="dxa"/>
            <w:vAlign w:val="bottom"/>
          </w:tcPr>
          <w:p>
            <w:pPr>
              <w:spacing w:after="0"/>
              <w:rPr>
                <w:sz w:val="16"/>
                <w:szCs w:val="16"/>
                <w:color w:val="auto"/>
              </w:rPr>
            </w:pP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4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4940" w:type="dxa"/>
            <w:vAlign w:val="bottom"/>
            <w:gridSpan w:val="2"/>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8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4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4940" w:type="dxa"/>
            <w:vAlign w:val="bottom"/>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219"/>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40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37"/>
        </w:trPr>
        <w:tc>
          <w:tcPr>
            <w:tcW w:w="4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40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358"/>
              <w:spacing w:after="0"/>
              <w:rPr>
                <w:sz w:val="20"/>
                <w:szCs w:val="20"/>
                <w:color w:val="auto"/>
              </w:rPr>
            </w:pPr>
            <w:r>
              <w:rPr>
                <w:rFonts w:ascii="Times New Roman" w:cs="Times New Roman" w:eastAsia="Times New Roman" w:hAnsi="Times New Roman"/>
                <w:sz w:val="17"/>
                <w:szCs w:val="17"/>
                <w:color w:val="auto"/>
              </w:rPr>
              <w:t>131</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41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180" w:type="dxa"/>
            <w:vAlign w:val="bottom"/>
            <w:tcBorders>
              <w:bottom w:val="single" w:sz="8" w:color="9A9A9A"/>
            </w:tcBorders>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Rent expense for the years ended December 31, 2024 and 2023 is presented on the following table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15"/>
                <w:szCs w:val="15"/>
                <w:color w:val="auto"/>
              </w:rPr>
            </w:pPr>
          </w:p>
        </w:tc>
        <w:tc>
          <w:tcPr>
            <w:tcW w:w="2580" w:type="dxa"/>
            <w:vAlign w:val="bottom"/>
            <w:gridSpan w:val="4"/>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5"/>
                <w:szCs w:val="15"/>
                <w:color w:val="auto"/>
              </w:rPr>
            </w:pPr>
          </w:p>
        </w:tc>
      </w:tr>
      <w:tr>
        <w:trPr>
          <w:trHeight w:val="193"/>
        </w:trPr>
        <w:tc>
          <w:tcPr>
            <w:tcW w:w="820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r>
      <w:tr>
        <w:trPr>
          <w:trHeight w:val="22"/>
        </w:trPr>
        <w:tc>
          <w:tcPr>
            <w:tcW w:w="8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3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rent expense</w:t>
            </w:r>
          </w:p>
        </w:tc>
        <w:tc>
          <w:tcPr>
            <w:tcW w:w="1000" w:type="dxa"/>
            <w:vAlign w:val="bottom"/>
            <w:tcBorders>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Cash paid for leases and included in operating cash flows for the years ended December 31, 2024 and 2023 is presented on the following table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included in operating cash flows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future minimum lease payments required under the operating leases as of December 31, 2024, are summarized below (in thousands):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Future Minimum Lease Payments: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2028</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minimum lease payments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1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4"/>
              <w:spacing w:after="0" w:line="190" w:lineRule="exact"/>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operating lease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Less: operating lease liabilities, current</w:t>
            </w: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1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4"/>
              <w:spacing w:after="0" w:line="190" w:lineRule="exact"/>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Remaining lease term (in years)</w:t>
            </w: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line="190" w:lineRule="exact"/>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Incremental borrowing 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Company includes option to renew the lease as part of the right of use lease asset and liability when it is reasonably certain the Company will exercise the option. In general, the Company is not reasonably certain to exercise such option.</w:t>
      </w:r>
    </w:p>
    <w:p>
      <w:pPr>
        <w:spacing w:after="0" w:line="45" w:lineRule="exact"/>
        <w:rPr>
          <w:sz w:val="20"/>
          <w:szCs w:val="20"/>
          <w:color w:val="auto"/>
        </w:rPr>
      </w:pPr>
    </w:p>
    <w:p>
      <w:pPr>
        <w:ind w:left="180" w:hanging="177"/>
        <w:spacing w:after="0"/>
        <w:tabs>
          <w:tab w:leader="none" w:pos="180" w:val="left"/>
        </w:tabs>
        <w:numPr>
          <w:ilvl w:val="0"/>
          <w:numId w:val="65"/>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auto"/>
        </w:rPr>
        <w:t>License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Bristol Myers Squibb Company License Agreement</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On April 9, 2014, the Company entered into a license agreement (as amended, the “BMS License Agreement”) with BMS for exclusive rights for certain patents and a non-exclusive license for certain technology and know-how pertaining to FYARRO.</w:t>
      </w:r>
    </w:p>
    <w:p>
      <w:pPr>
        <w:spacing w:after="0" w:line="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BMS License Agreement will remain in effect from the effective date of April 9, 2014 until expiration of all milestone and royalty payment obligations under the agreement, unless terminated by either of the parties upon giving advance notice as specified in the BMS License Agreement. Under the terms of the BMS License Agreement, BMS agreed to supply the Company with licensed products of FYARRO necessary for clinical or non-clinical development.</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Under the terms of the BMS License Agreement, BMS is entitled to receive royalties on net sales from licensed products under the agreement and any sublicense fees. During the years ended December 31, 2024 and 2023, royalties on net product sales were $1.9 million and $1.8 million, respectively. No payments related to sublicense fees were paid during the years ended December 31, 2024 and 2023.</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30, 2021, the Company and BMS entered into Amendment No. 1 (the “Amendment”) to the BMS License Agreement related to certain intellectual property rights of BMS pertaining to the compound known as FYARRO. Under the terms of the Amendment, the Company paid BMS $5.8 million representing 50% of the previously outstanding payment obligation under the terms of the BMS License Agreement, following the effective time of the Company's 2021 private investment in public equity financing (the “2021 PIPE Financing”). Pursuant to the terms of the Amendment, the remaining previously outstanding payment obligation of $5.8 million, was due on the third anniversary of the effective time of the 2021 PIPE Financing, or August 26, 2024 plus any accrued and unpaid interest due thereon (the “Balloon Payment”). The Balloon Payment shall accrue interest, beginning August 26, 2021 until paid in full, at a rate equal to 4.00% per annum based on the weighted average amount outstanding during the applicable calendar quarter, with interest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payable quarterly in arrears. In accordance with the terms of the Amendment, the Company paid the outstanding payment obligation of $5.8 million by the due date. In addition, under the Amendment the parties agreed to amend the royalty rates payable to BMS based on net sales of products subject to the BMS License Agreement.</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December 19, 2024, the Company entered into the Divestiture Agreement with KAKEN, KAKEN PHARMACEUTICAL CO., LTD, and Aadi Subsidiary. As part of its purchase of the FYARRO Business, KAKEN acquired the rights and responsibilities under the BMS License Agreement. Refer to Note 15 for more information on the sale of Aadi Subsidiary.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EOC License Agreement</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8, 2020, the Company entered into a license agreement (“EOC License Agreement”) with EOC Pharma (Hong Kong) Limited (“EOC”) under which the Company received $14.0 million in January 2021 in non-refundable upfront consideration as partial payment for the rights and licenses granted to EOC by the Company for the further development and commercialization of FYARRO in the People’s Republic of China, Hong Kong Special Administration Region, Macao Special Administrative Region and Taiwan (the “Licensed Territory”). In accordance with the BMS License Agreement, the Company is required to pay 20% of all sublicense fees to BMS.</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assessed the EOC License Agreement and concluded that EOC was a customer and identified the license of FYARRO provided to EOC as the sole performance obligation. The $14.0 million upfront payment received from EOC is non-refundable and non-creditable and is considered fixed consideration. The Company recognized revenue of $14.0 million in December 2020 when the EOC License Agreement was signed, and the $14.0 million upfront payment was received in January 2021.</w:t>
      </w:r>
    </w:p>
    <w:p>
      <w:pPr>
        <w:spacing w:after="0" w:line="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potential milestone payments and royalty payments under the EOC License Agreement were considered variable consideration and were constrained with respect to revenue recognition notification from EOC that the milestone and royalty payments had been achieved.</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was eligible to receive an additional $257.0 million in the aggregate upon achievement of certain development, regulatory, and sales milestones, as well as tiered royalties on net sales in the Licensed Territory. Under the terms of the EOC License Agreement, EOC was obligated to fund all research, development, regulatory, marketing and commercialization activities in the defined Licensed Territory. The Company earned $1.0 million in milestone revenue upon achievement of the FDA approval milestone on November 22, 2021. EOC paid the $1.0 million milestone payment in December 2021. In accordance with the BMS License Agreement, 20% of the $1.0 million payment, or $0.2 million, was accrued at December 21, 2021 and paid in January 2022.</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June 27, 2022, the Company received written notice from EOC that EOC elected to terminate the EOC License Agreement, effective immediately, due to alleged material breaches by the Company under such agreement. The Company disputed EOC’s allegations of material breach. On September 26, 2024, the arbitration panel issued a Final Award which, among other things, found and concluded that the Company did not breach the EOC License Agreement and accordingly it is not liable for any damages to EOC.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Stockholders' Equity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Preferred Stock</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As of December 31, 2024 and 2023, under the Company’s certificate of incorporation, as amended and restated, the Company has 10,000,000 shares of preferred stock, par value $0.0001 per share, in authorized capital with no shares outstanding.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and Pre-Funded Warrants</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of December 31, 2024 and 2023, the Company had 300,000,000 shares of authorized common stock with a par value of $0.0001 per share under the Company’s certificate of incorporation, as amended and restated. As of December 31, 2024 and 2023, the shares of common stock outstanding were 24,680,708 and 24,554,205, respectively.</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March 2022, the Company entered into a Sales Agreement (the "Sales Agreement") with Cowen and Company LLC ("Cowen"), with respect to an “at the market offering” program pursuant to which the Company may offer and sell, from time to time at its sole discretion, shares of common stock having aggregate gross proceeds of up to $75.0 million through Cowen as its sales agent. The Company will pay Cowen 3.0% of the aggregate gross proceeds from each sale of shares of common stock under the Sales Agreement. As of December 31, 2024, no shares of common stock had been sold pursuant to the Sales Agreement.</w:t>
      </w:r>
    </w:p>
    <w:p>
      <w:pPr>
        <w:spacing w:after="0" w:line="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On September 22, 2022, the Company entered into a securities purchase agreement (the "Purchase Agreement") for a private investment in public equity financing (the "2022 PIPE Financing") with certain investors (the "2022 PIPE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Investors") for the sale by the Company of (i) 3,373,526 shares of the Company’s common stock for a price of $12.50 per share and (ii) pre-funded warrants to purchase an aggregate of 2,426,493 shares of the Company's common stock (the "Pre-Funded Warrants") at a purchase price of $12.4999 per Pre-Funded Warrant. The Pre-Funded Warrants are exercisable at an exercise price of $0.0001 and will be exercisable until exercised in full. The holders of Pre-Funded Warrants may not exercise a Pre-Funded Warrant if the holder, together with its affiliates, would beneficially own more than 4.99% of the number of shares of the Company's common stock outstanding immediately after giving effect to such exercise; provided, that the holders of Pre-Funded Warrants may increase or decrease such percentages not in excess of 19.99% by providing at least 61 days’ prior notice to the Company. The 2022 PIPE Financing closed on September 26, 2022. Aggregate net proceeds, after deducting certain expenses incurred of $0.3 million related to the issuance of the shares, were $72.2 million.</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26, 2022, the Company and the 2022 PIPE Investors entered into a Registration Rights Agreement (the "2022 PIPE Registration Rights Agreement") providing for the registration for resale of the securities sold under the Purchase Agreement, including the shares issuable upon the exercise of the Pre-Funded Warrants, that are not then registered on an effective registration statement, pursuant to a registration statement filed with the SEC. The Pre-Funded Warrants meet the criteria to be classified within stockholders’ equity. As of December 31, 2024, all Pre-Funded Warrants are still outstanding.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holders of common stock are entitled to receive cash dividends, if and when declared by the board of directors of the Company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 the Company’s inception, no cash dividends have been declared or paid to the holders of common stock.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Liquidation</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winding-up of the Company, the holders of common stock are entitled to share ratably in the Company’s assets.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holders of common stock are entitled to one vote at all meetings of stockholders for each share of common stock held by such stockholders as of the record date.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Share-Based Compensation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2014 Plan (as amended and restated in February 2017, the “Private Aadi Plan”)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 connection with the Merger, the Company assumed the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Times New Roman" w:cs="Times New Roman" w:eastAsia="Times New Roman" w:hAnsi="Times New Roman"/>
          <w:sz w:val="17"/>
          <w:szCs w:val="17"/>
          <w:color w:val="231F20"/>
        </w:rPr>
        <w:t>The Private Aadi Plan allowed for the grant of incentive stock options, non-statutory stock options, stock appreciation rights,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restricted stock unit awards and other stock awards. In connection with the closing of the Merger and the adoption of the 2021 Plan (as defined below), no further awards will be issued under the Private Aadi Plan.</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231F20"/>
        </w:rPr>
        <w:t>The options that are granted from the Private Aadi Plan are exercisable at various dates as determined upon grant and will expire no more than ten years from their date of grant. The Private Aadi Plan stock options generally vest over a four-year term.</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2011 Plan and 2017 Plan</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connection with the closing of the Merger, the Company assumed the Aerpio 2011 Equity Incentive Plan (the “2011 Plan”) and the Aerpio 2017 Stock Option and Incentive Plan (the “2017 Plan,” and together with the 2011 Plan, the “Prior Plans”). No new awards will be granted under the Prior Plans effective as of the closing of the Merger and the adoption of the 2021 Plan (as defined below).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Plan</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At the closing of the Merger, the Company adopted the Aadi Bioscience, Inc. 2021 Equity Incentive Plan (the “2021 Plan”), which permits the award of stock options, stock appreciation rights, restricted stock, restricted stock units, performance units and performance grants to employees, members of the board of directors, and outside consultants.</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of common stock subject to stock options or similar awards granted under the Private Aadi Plan that were assumed in the Merger (provided that the maximum number of shares that may be added to the 2021 Plan pursuant to this sentence is 764,154 shares).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available for issuance under the 2021 Plan will include an annual increase, or the evergreen feature, on the first day of each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fiscal years, beginning with the Company’s fiscal year 2022, equal to the least of:</w:t>
      </w:r>
    </w:p>
    <w:p>
      <w:pPr>
        <w:spacing w:after="0" w:line="97" w:lineRule="exact"/>
        <w:rPr>
          <w:sz w:val="20"/>
          <w:szCs w:val="20"/>
          <w:color w:val="auto"/>
        </w:rPr>
      </w:pPr>
    </w:p>
    <w:p>
      <w:pPr>
        <w:ind w:left="920" w:hanging="453"/>
        <w:spacing w:after="0"/>
        <w:tabs>
          <w:tab w:leader="none" w:pos="9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2,070,784 shares of common stock;</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number of shares equal to 4% of the outstanding shares of common stock on the last day of the immediately preceding fiscal year; or</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number of shares as the board of directors or its designated committee may determine.</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As a result of the evergreen increase, a total of 987,228 shares of common stock were added to the 2021 Plan on January 1, 2025 and 982,168 shares of common stock were added to the 2021 Plan on January 1, 2024.</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 See Note 16 for information to the amendment and restatement of the 2021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Inducement Equity Incentive Plan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27, 2023 the Company adopted the 2023 Inducement Equity Incentive Plan (the “Inducement Plan”), pursuant to which the Company may from time to time make equity grants to new employees as a material inducement to their employment. The Company reserved 600,000 shares of common stock for issuance under the Inducement Plan. The only persons eligible to receive awards under the Inducement Plan are individuals who are new employees and satisfy the standards for inducement grants under applicable Nasdaq listing rules.</w:t>
      </w:r>
    </w:p>
    <w:p>
      <w:pPr>
        <w:spacing w:after="0" w:line="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As of December 31, 2024, 193,452, 15,036, 4,508,018, and 490,000 shares were outstanding under the Private Aadi Plan, 2017 Plan, 2021 Plan, and 2023 Inducement Plan, respectively. As of December 31, 2024, no shares were outstanding under the 2011 Plan.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stock option activity during the year ended December 31,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200" w:type="dxa"/>
            <w:vAlign w:val="bottom"/>
          </w:tcPr>
          <w:p>
            <w:pPr>
              <w:spacing w:after="0"/>
              <w:rPr>
                <w:sz w:val="13"/>
                <w:szCs w:val="13"/>
                <w:color w:val="auto"/>
              </w:rPr>
            </w:pPr>
          </w:p>
        </w:tc>
        <w:tc>
          <w:tcPr>
            <w:tcW w:w="128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0"/>
        </w:trPr>
        <w:tc>
          <w:tcPr>
            <w:tcW w:w="5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56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 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5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2"/>
                <w:szCs w:val="12"/>
                <w:color w:val="auto"/>
              </w:rPr>
            </w:pPr>
          </w:p>
        </w:tc>
        <w:tc>
          <w:tcPr>
            <w:tcW w:w="1280" w:type="dxa"/>
            <w:vAlign w:val="bottom"/>
          </w:tcPr>
          <w:p>
            <w:pPr>
              <w:jc w:val="center"/>
              <w:ind w:right="102"/>
              <w:spacing w:after="0" w:line="142" w:lineRule="exact"/>
              <w:rPr>
                <w:sz w:val="20"/>
                <w:szCs w:val="20"/>
                <w:color w:val="auto"/>
              </w:rPr>
            </w:pPr>
            <w:r>
              <w:rPr>
                <w:rFonts w:ascii="Times New Roman" w:cs="Times New Roman" w:eastAsia="Times New Roman" w:hAnsi="Times New Roman"/>
                <w:sz w:val="14"/>
                <w:szCs w:val="14"/>
                <w:b w:val="1"/>
                <w:bCs w:val="1"/>
                <w:color w:val="auto"/>
                <w:w w:val="95"/>
              </w:rPr>
              <w:t>Intrinsic Value</w:t>
            </w:r>
          </w:p>
        </w:tc>
        <w:tc>
          <w:tcPr>
            <w:tcW w:w="0" w:type="dxa"/>
            <w:vAlign w:val="bottom"/>
          </w:tcPr>
          <w:p>
            <w:pPr>
              <w:spacing w:after="0"/>
              <w:rPr>
                <w:sz w:val="1"/>
                <w:szCs w:val="1"/>
                <w:color w:val="auto"/>
              </w:rPr>
            </w:pPr>
          </w:p>
        </w:tc>
      </w:tr>
      <w:tr>
        <w:trPr>
          <w:trHeight w:val="188"/>
        </w:trPr>
        <w:tc>
          <w:tcPr>
            <w:tcW w:w="50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200" w:type="dxa"/>
            <w:vAlign w:val="bottom"/>
          </w:tcPr>
          <w:p>
            <w:pPr>
              <w:spacing w:after="0"/>
              <w:rPr>
                <w:sz w:val="16"/>
                <w:szCs w:val="16"/>
                <w:color w:val="auto"/>
              </w:rPr>
            </w:pPr>
          </w:p>
        </w:tc>
        <w:tc>
          <w:tcPr>
            <w:tcW w:w="12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17"/>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January 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4,579,659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9"/>
        </w:trPr>
        <w:tc>
          <w:tcPr>
            <w:tcW w:w="5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1,522,907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Exercised</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Cancelled/Forfeited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(1,091,446)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(61,104)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4,950,016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exercisable as of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2,830,913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as of December 31,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4,950,016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As of December 31, 2024, there was $9.9 million of unrecognized compensation cost related to stock options, which is expected to be recognized over a weighted average period of 1.8 years.</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No options were exercised during the year ended December 31, 2024. The total intrinsic value of the options exercised during the year ended December 31, 2023 was $0.2 million.</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As of December 31, 2024, 1,013,055 shares were reserved for issuance for new awards under the 2021 Plan. As of December 31, 2024, 110,000 shares were reserved for issuance for new awards under the 2023 Inducement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Restricted stock consists of restricted stock unit awards (RSUs) which have been granted to employees. The value of an RSU award is based on the Company’s stock price on the date of grant. Employee grants vest over four years. Forfeitures of RSUs are recognized as they occur. The shares underlying the RSU awards are not issued until the RSUs vest. Upon vesting, each RSU converts into one share of the Company’s common stock. The total fair value of RSUs that vested was $0.1 million for 2024. No RSUs vested in 2023.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with respect to the Company’s restricted stock units during the year ended December 31, 2024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2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3"/>
                <w:szCs w:val="13"/>
                <w:color w:val="auto"/>
              </w:rPr>
            </w:pPr>
          </w:p>
        </w:tc>
        <w:tc>
          <w:tcPr>
            <w:tcW w:w="17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7"/>
        </w:trPr>
        <w:tc>
          <w:tcPr>
            <w:tcW w:w="80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17"/>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2023</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0" w:type="dxa"/>
            <w:vAlign w:val="bottom"/>
          </w:tcPr>
          <w:p>
            <w:pPr>
              <w:spacing w:after="0"/>
              <w:rPr>
                <w:sz w:val="1"/>
                <w:szCs w:val="1"/>
                <w:color w:val="auto"/>
              </w:rPr>
            </w:pPr>
          </w:p>
        </w:tc>
      </w:tr>
      <w:tr>
        <w:trPr>
          <w:trHeight w:val="219"/>
        </w:trPr>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308,700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Vested/Issued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0" w:type="dxa"/>
            <w:vAlign w:val="bottom"/>
          </w:tcPr>
          <w:p>
            <w:pPr>
              <w:spacing w:after="0"/>
              <w:rPr>
                <w:sz w:val="1"/>
                <w:szCs w:val="1"/>
                <w:color w:val="auto"/>
              </w:rPr>
            </w:pPr>
          </w:p>
        </w:tc>
      </w:tr>
      <w:tr>
        <w:trPr>
          <w:trHeight w:val="219"/>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256,490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As of December 31, 2024, there was $0.4 million of unrecognized compensation cost related to restricted stock units, which is expected to be recognized over a weighted average period of 3.2 years.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Expense Summary</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Company recognized the following compensation cost related to employee and non-employee share-based compensation activity for the periods presented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1000" w:type="dxa"/>
            <w:vAlign w:val="bottom"/>
          </w:tcPr>
          <w:p>
            <w:pPr>
              <w:spacing w:after="0"/>
              <w:rPr>
                <w:sz w:val="15"/>
                <w:szCs w:val="15"/>
                <w:color w:val="auto"/>
              </w:rPr>
            </w:pPr>
          </w:p>
        </w:tc>
      </w:tr>
      <w:tr>
        <w:trPr>
          <w:trHeight w:val="193"/>
        </w:trPr>
        <w:tc>
          <w:tcPr>
            <w:tcW w:w="77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
        </w:trPr>
        <w:tc>
          <w:tcPr>
            <w:tcW w:w="77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00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7,450</w:t>
            </w:r>
          </w:p>
        </w:tc>
      </w:tr>
      <w:tr>
        <w:trPr>
          <w:trHeight w:val="21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4,504</w:t>
            </w:r>
          </w:p>
        </w:tc>
      </w:tr>
      <w:tr>
        <w:trPr>
          <w:trHeight w:val="237"/>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The Company uses the Black-Scholes option pricing model to determine the estimated fair value for share-based option awards. Option pricing and models require the input of various assumptions, including the option’s expected life, expected dividend yield, price volatility and risk-free interest rate of the underlying stock. </w:t>
      </w:r>
      <w:r>
        <w:rPr>
          <w:rFonts w:ascii="Times New Roman" w:cs="Times New Roman" w:eastAsia="Times New Roman" w:hAnsi="Times New Roman"/>
          <w:sz w:val="17"/>
          <w:szCs w:val="17"/>
          <w:color w:val="231F20"/>
        </w:rPr>
        <w:t>Forfeitures are recognized and accounted for as they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calculation was based on the following assumptions: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3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3"/>
        </w:trPr>
        <w:tc>
          <w:tcPr>
            <w:tcW w:w="6940" w:type="dxa"/>
            <w:vAlign w:val="bottom"/>
          </w:tcPr>
          <w:p>
            <w:pPr>
              <w:spacing w:after="0"/>
              <w:rPr>
                <w:sz w:val="16"/>
                <w:szCs w:val="16"/>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
        </w:trPr>
        <w:tc>
          <w:tcPr>
            <w:tcW w:w="69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1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grant date fair value (per share)</w:t>
            </w:r>
          </w:p>
        </w:tc>
        <w:tc>
          <w:tcPr>
            <w:tcW w:w="1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$1.41</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$6.83</w:t>
            </w:r>
          </w:p>
        </w:tc>
      </w:tr>
      <w:tr>
        <w:trPr>
          <w:trHeight w:val="219"/>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- 4.47%</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3.42% - 4.67%</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88.29%</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- 91.46%</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89.94% - 101.49%</w:t>
            </w:r>
          </w:p>
        </w:tc>
      </w:tr>
      <w:tr>
        <w:trPr>
          <w:trHeight w:val="219"/>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- 6.1</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5.2 - 6.1</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20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determines the assumptions used in the option pricing model in the following manner:</w:t>
      </w:r>
    </w:p>
    <w:p>
      <w:pPr>
        <w:spacing w:after="0" w:line="11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 </w:t>
      </w:r>
      <w:r>
        <w:rPr>
          <w:rFonts w:ascii="Times New Roman" w:cs="Times New Roman" w:eastAsia="Times New Roman" w:hAnsi="Times New Roman"/>
          <w:sz w:val="17"/>
          <w:szCs w:val="17"/>
          <w:color w:val="auto"/>
        </w:rPr>
        <w:t>For the determination of the risk-free interest rates, the Company utilizes the U.S. Treasury yield curve for instruments in effect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of measurement with a term commensurate with the expected term assumption.</w:t>
      </w:r>
    </w:p>
    <w:p>
      <w:pPr>
        <w:spacing w:after="0" w:line="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The Company based its estimate of expected volatility on a weighted average using the Company's limited historical stock price volatility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data, supplemented with the estimated and expected volatilities of a guideline group of publicly traded companies. For these analyses, the Company selected companies with comparable characteristics including enterprise value, risk profiles, and with historical share price information sufficient to meet the expected life of the share-based awards. The Company computes the historical volatility data using the daily closing prices for the selected companies’ shares during the equivalent period of the calculated expected term of its share-based awards. The Company will continue to apply this process until a sufficient amount of historical information regarding the volatility of its own stock price becomes available.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Expected Dividend </w:t>
      </w:r>
      <w:r>
        <w:rPr>
          <w:rFonts w:ascii="Times New Roman" w:cs="Times New Roman" w:eastAsia="Times New Roman" w:hAnsi="Times New Roman"/>
          <w:sz w:val="17"/>
          <w:szCs w:val="17"/>
          <w:color w:val="auto"/>
        </w:rPr>
        <w:t>– The expected dividend yield is assumed to be zero because the Company has never paid dividends and does not have current plans to pay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dividends on its common stock.</w:t>
      </w:r>
    </w:p>
    <w:p>
      <w:pPr>
        <w:spacing w:after="0" w:line="4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Company estimates the expected term of its stock options granted to employees and non-employee directors using the simplified method,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whereby, the expected term equals the average of the vesting term and the original contractual term of the option. The Company utilizes this method since it does not have sufficient historical exercise data to provide a reasonable basis upon which to estimate the expected term.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Merger Warrants to Purchase Common Stock</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had warrants outstanding for the purchase of 29,167 shares of the Company’s common stock at December 31, 2023, such warrants, however, expired on October 24, 2024. These warrants were assumed in the Merger and were issued by Aerpio in October 2019, for the purchase of 40,000 shares (after taking into account the reverse stock split of the Company's common stock at a ratio of 15:1 effected on August 26, 2021 immediately prior to the closing of the merger (the "Reverse Stock Split")) of the Company’s common stock at an exercise price of $7.29 per share (after taking into account the Reverse Stock Split). At the grant date, the fair value of these awards was determined using a Black-Scholes option pricing model. These warrants were fully vested as of the date of the Merger. No warrants were exercised during the year ended December 31,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Employee Stock Purchase Plan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August 17, 2021, a special meeting of the Company’s stockholders was held to approve the Merger and related matters, at which the Company's stockholders considered and approved the Company’s 2021 ESPP which permits participants to contribute up to 15% of their eligible compensation during defined rolling six-month offering periods to purchase the Company’s common stock. The purchase price of the shares will be 85% of the lower of the fair market value of the Company’s common stock on the first day of trading of the offering period or on the applicable purchase date. Upon approval of the 2021 ESPP by the stockholders, Aerpio’s Amended and Restated 2017 Employee Stock Purchase Plan terminated.</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An aggregate of 519,563 shares of common stock was initially reserved for issuance under the 2021 ESPP. The number of shares of common stock available for issuance under the 2021 ESPP is increased on the first day of each fiscal year beginning with the 2022 fiscal year in an amount equal to the least of:</w:t>
      </w:r>
    </w:p>
    <w:p>
      <w:pPr>
        <w:spacing w:after="0" w:line="49" w:lineRule="exact"/>
        <w:rPr>
          <w:sz w:val="20"/>
          <w:szCs w:val="20"/>
          <w:color w:val="auto"/>
        </w:rPr>
      </w:pPr>
    </w:p>
    <w:p>
      <w:pPr>
        <w:ind w:left="920" w:hanging="453"/>
        <w:spacing w:after="0"/>
        <w:tabs>
          <w:tab w:leader="none" w:pos="9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310,617 shares of common stock;</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percent (1%) of the outstanding shares of all classes of common stock on the last day of the immediately preceding fiscal year; or</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to be determined by the board of directors or its designated committee no later than the last day of the immediately preceding fiscal year.</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a result of the increase, a total of 246,807 shares of common stock were added to the 2021 ESPP on January 1, 2025</w:t>
      </w:r>
      <w:r>
        <w:rPr>
          <w:rFonts w:ascii="Arial" w:cs="Arial" w:eastAsia="Arial" w:hAnsi="Arial"/>
          <w:sz w:val="20"/>
          <w:szCs w:val="20"/>
          <w:color w:val="auto"/>
        </w:rPr>
        <w:t>.</w:t>
      </w:r>
      <w:r>
        <w:rPr>
          <w:rFonts w:ascii="Times New Roman" w:cs="Times New Roman" w:eastAsia="Times New Roman" w:hAnsi="Times New Roman"/>
          <w:sz w:val="17"/>
          <w:szCs w:val="17"/>
          <w:color w:val="auto"/>
        </w:rPr>
        <w:t xml:space="preserve"> On January 1, 2024, 245,542 shares of common stock were added to the 2021 ESPP.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The Company opened enrollment into the ESPP in May 2022.</w:t>
      </w:r>
    </w:p>
    <w:p>
      <w:pPr>
        <w:spacing w:after="0" w:line="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uses the Black-Scholes model to determine the estimated fair value for purchases under the 2021 ESPP. Black-Scholes models require the input of various assumptions, including the expected life, expected dividend yield, price volatility and risk-free interest rate of the underlying stock. The expected volatility used in calculating the estimated fair value for purchases under the 2021 ESPP is based on the historical volatility of the Company's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calculation was based on the following assumptions: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5"/>
                <w:szCs w:val="15"/>
                <w:color w:val="auto"/>
              </w:rPr>
            </w:pPr>
          </w:p>
        </w:tc>
      </w:tr>
      <w:tr>
        <w:trPr>
          <w:trHeight w:val="22"/>
        </w:trPr>
        <w:tc>
          <w:tcPr>
            <w:tcW w:w="3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93"/>
        </w:trPr>
        <w:tc>
          <w:tcPr>
            <w:tcW w:w="3600" w:type="dxa"/>
            <w:vAlign w:val="bottom"/>
            <w:shd w:val="clear" w:color="auto" w:fill="CCEEFF"/>
          </w:tcPr>
          <w:p>
            <w:pPr>
              <w:spacing w:after="0"/>
              <w:rPr>
                <w:sz w:val="16"/>
                <w:szCs w:val="16"/>
                <w:color w:val="auto"/>
              </w:rPr>
            </w:pPr>
          </w:p>
        </w:tc>
        <w:tc>
          <w:tcPr>
            <w:tcW w:w="5400" w:type="dxa"/>
            <w:vAlign w:val="bottom"/>
            <w:gridSpan w:val="3"/>
            <w:shd w:val="clear" w:color="auto" w:fill="CCEEFF"/>
          </w:tcPr>
          <w:p>
            <w:pPr>
              <w:jc w:val="center"/>
              <w:ind w:left="32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2"/>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Strike price (per share)</w:t>
            </w:r>
          </w:p>
        </w:tc>
        <w:tc>
          <w:tcPr>
            <w:tcW w:w="334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$4.00</w:t>
            </w:r>
          </w:p>
        </w:tc>
        <w:tc>
          <w:tcPr>
            <w:tcW w:w="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$5.98</w:t>
            </w: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4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- 5.41%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- 5.41%</w:t>
            </w:r>
          </w:p>
        </w:tc>
      </w:tr>
      <w:tr>
        <w:trPr>
          <w:trHeight w:val="219"/>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5400" w:type="dxa"/>
            <w:vAlign w:val="bottom"/>
            <w:gridSpan w:val="3"/>
          </w:tcPr>
          <w:p>
            <w:pPr>
              <w:jc w:val="center"/>
              <w:ind w:left="3238"/>
              <w:spacing w:after="0"/>
              <w:rPr>
                <w:sz w:val="20"/>
                <w:szCs w:val="20"/>
                <w:color w:val="auto"/>
              </w:rPr>
            </w:pPr>
            <w:r>
              <w:rPr>
                <w:rFonts w:ascii="Times New Roman" w:cs="Times New Roman" w:eastAsia="Times New Roman" w:hAnsi="Times New Roman"/>
                <w:sz w:val="17"/>
                <w:szCs w:val="17"/>
                <w:color w:val="auto"/>
              </w:rPr>
              <w:t>60.99% - 139.99%</w:t>
            </w:r>
          </w:p>
        </w:tc>
        <w:tc>
          <w:tcPr>
            <w:tcW w:w="80" w:type="dxa"/>
            <w:vAlign w:val="bottom"/>
          </w:tcPr>
          <w:p>
            <w:pPr>
              <w:spacing w:after="0"/>
              <w:rPr>
                <w:sz w:val="19"/>
                <w:szCs w:val="19"/>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60.99% - 176.11%</w:t>
            </w: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5400" w:type="dxa"/>
            <w:vAlign w:val="bottom"/>
            <w:gridSpan w:val="3"/>
            <w:shd w:val="clear" w:color="auto" w:fill="CCEEFF"/>
          </w:tcPr>
          <w:p>
            <w:pPr>
              <w:jc w:val="center"/>
              <w:ind w:left="3238"/>
              <w:spacing w:after="0"/>
              <w:rPr>
                <w:sz w:val="20"/>
                <w:szCs w:val="20"/>
                <w:color w:val="auto"/>
              </w:rPr>
            </w:pPr>
            <w:r>
              <w:rPr>
                <w:rFonts w:ascii="Times New Roman" w:cs="Times New Roman" w:eastAsia="Times New Roman" w:hAnsi="Times New Roman"/>
                <w:sz w:val="17"/>
                <w:szCs w:val="17"/>
                <w:color w:val="auto"/>
                <w:w w:val="93"/>
              </w:rPr>
              <w:t>0.5</w:t>
            </w:r>
          </w:p>
        </w:tc>
        <w:tc>
          <w:tcPr>
            <w:tcW w:w="8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w:t>
            </w: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3340" w:type="dxa"/>
            <w:vAlign w:val="bottom"/>
          </w:tcPr>
          <w:p>
            <w:pPr>
              <w:spacing w:after="0"/>
              <w:rPr>
                <w:sz w:val="19"/>
                <w:szCs w:val="19"/>
                <w:color w:val="auto"/>
              </w:rPr>
            </w:pPr>
          </w:p>
        </w:tc>
        <w:tc>
          <w:tcPr>
            <w:tcW w:w="2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872"/>
        </w:trPr>
        <w:tc>
          <w:tcPr>
            <w:tcW w:w="3600" w:type="dxa"/>
            <w:vAlign w:val="bottom"/>
          </w:tcPr>
          <w:p>
            <w:pPr>
              <w:spacing w:after="0"/>
              <w:rPr>
                <w:sz w:val="24"/>
                <w:szCs w:val="24"/>
                <w:color w:val="auto"/>
              </w:rPr>
            </w:pPr>
          </w:p>
        </w:tc>
        <w:tc>
          <w:tcPr>
            <w:tcW w:w="3340" w:type="dxa"/>
            <w:vAlign w:val="bottom"/>
          </w:tcPr>
          <w:p>
            <w:pPr>
              <w:jc w:val="right"/>
              <w:ind w:right="1098"/>
              <w:spacing w:after="0"/>
              <w:rPr>
                <w:sz w:val="20"/>
                <w:szCs w:val="20"/>
                <w:color w:val="auto"/>
              </w:rPr>
            </w:pPr>
            <w:r>
              <w:rPr>
                <w:rFonts w:ascii="Times New Roman" w:cs="Times New Roman" w:eastAsia="Times New Roman" w:hAnsi="Times New Roman"/>
                <w:sz w:val="17"/>
                <w:szCs w:val="17"/>
                <w:color w:val="auto"/>
              </w:rPr>
              <w:t>137</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95"/>
        </w:trPr>
        <w:tc>
          <w:tcPr>
            <w:tcW w:w="360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of December 31, 2024 and 2023, 810,743 and 659,146 shares of common stock were available for issuance under the 2021 ESPP, respectively. The Company had an outstanding liability of $37,000 and $0.1 million at December 31, 2024 and 2023, respectively, which will be recognized over six months. During the years ended December 31, 2024 and 2023, 93,945 and 77,565 shares were issued under the 2021 ESPP,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Employee Retirement Plan</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maintains a 401(k) plan (the “401k Plan”) created in 2015 for the benefit of its employees. All employees who have attained the age of 21 are eligible to participate in the 401k Plan as of the first entry date, as defined by the 401k Plan document, following the employment date. Each employee can contribute a percentage of compensation up to a maximum of the statutory limits per year. Company contributions are discretionary. Contributions of $0.6 million and $0.7 million were made during the years ended December 31, 2024 and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Income Taxes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Company recorded no income tax expense or benefit for the years ended December 31, 2024 and 2023. The Company continues to maintain a full valuation allowance.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statutory federal income tax with the provision for income taxes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6"/>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3"/>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tax at statutory rate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0" w:type="dxa"/>
            <w:vAlign w:val="bottom"/>
          </w:tcPr>
          <w:p>
            <w:pPr>
              <w:spacing w:after="0"/>
              <w:rPr>
                <w:sz w:val="1"/>
                <w:szCs w:val="1"/>
                <w:color w:val="auto"/>
              </w:rPr>
            </w:pPr>
          </w:p>
        </w:tc>
      </w:tr>
      <w:tr>
        <w:trPr>
          <w:trHeight w:val="21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income tax, net of federal benefit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permanent items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tax rate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 subsidiary</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53.6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Officers compensation</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credit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1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(78.1)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2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Significant components of the Company’s deferred tax assets and liabilities are as follows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5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49,184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43,686</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 tax credits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11,796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8,734</w:t>
            </w:r>
          </w:p>
        </w:tc>
        <w:tc>
          <w:tcPr>
            <w:tcW w:w="0" w:type="dxa"/>
            <w:vAlign w:val="bottom"/>
          </w:tcPr>
          <w:p>
            <w:pPr>
              <w:spacing w:after="0"/>
              <w:rPr>
                <w:sz w:val="1"/>
                <w:szCs w:val="1"/>
                <w:color w:val="auto"/>
              </w:rPr>
            </w:pPr>
          </w:p>
        </w:tc>
      </w:tr>
      <w:tr>
        <w:trPr>
          <w:trHeight w:val="21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Section 174 capitalized research expense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20,061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14,153</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Investment in subsidiary</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34,112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7,135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6,131</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122,288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72,704</w:t>
            </w:r>
          </w:p>
        </w:tc>
        <w:tc>
          <w:tcPr>
            <w:tcW w:w="0" w:type="dxa"/>
            <w:vAlign w:val="bottom"/>
          </w:tcPr>
          <w:p>
            <w:pPr>
              <w:spacing w:after="0"/>
              <w:rPr>
                <w:sz w:val="1"/>
                <w:szCs w:val="1"/>
                <w:color w:val="auto"/>
              </w:rPr>
            </w:pPr>
          </w:p>
        </w:tc>
      </w:tr>
      <w:tr>
        <w:trPr>
          <w:trHeight w:val="21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(121,898)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(72,144)</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gross deferred tax assets, net of valuation allowance</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390</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0" w:type="dxa"/>
            <w:vAlign w:val="bottom"/>
          </w:tcPr>
          <w:p>
            <w:pPr>
              <w:spacing w:after="0"/>
              <w:rPr>
                <w:sz w:val="1"/>
                <w:szCs w:val="1"/>
                <w:color w:val="auto"/>
              </w:rPr>
            </w:pPr>
          </w:p>
        </w:tc>
      </w:tr>
      <w:tr>
        <w:trPr>
          <w:trHeight w:val="19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0" w:type="dxa"/>
            <w:vAlign w:val="bottom"/>
          </w:tcPr>
          <w:p>
            <w:pPr>
              <w:spacing w:after="0"/>
              <w:rPr>
                <w:sz w:val="1"/>
                <w:szCs w:val="1"/>
                <w:color w:val="auto"/>
              </w:rPr>
            </w:pPr>
          </w:p>
        </w:tc>
      </w:tr>
      <w:tr>
        <w:trPr>
          <w:trHeight w:val="212"/>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gross deferred tax liabilities</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(390)</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assets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 in future periods.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Company has evaluated the available evidence supporting the realization of its gross deferred tax assets, including the amount and timing of future taxable income and has determined it is more likely than not that the assets will not be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realized. As a result, the Company has concluded that a full valuation allowance against its deferred tax asset is necessary at this time.</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December 31, 2024, the Company has federal and state net operating loss (“NOL”) carryforwards of $207.0 million and $118.2 million, respectively. Of the amount of federal and state NOL carryforwards, $162.8 million and $30.9 million, respectively, can be carried forward indefinitely. The remaining federal and state NOL carryforwards begin to expire in 2030 and 2037, respectively, unless previously utilized. The Company also has federal and state research credit carryforwards of approximately $12.1 million and $4.0 million, respectively, as of December 31, 2024. The federal and New Jersey research credit carryforwards will begin to expire in 2037 and 2027, respectively, unless previously utilized. The California research and development (“R&amp;D”) credit will carry forward indefinitely. The increase in the valuation allowance is $49.8 million and $19.4 million for the years ended December 31, 2024 and 2023, respectively.</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Pursuant to Section 382 and 383 of the Internal Revenue Code (“IRC”), utilization of the Company’s NOL carryforwards and R&amp;D credits may be subject to annual limitations in the event of any significant future changes in its ownership structure. These annual limitations may result in the expiration of NOL carryforwards and R&amp;D credits prior to utilization. The Company has completed an IRC section 382 analysis through December 31, 2023 and has identified ownership changes occurred on August 26, 2021 and February 28, 2017. These ownership changes will impose annual limits on the amounts of NOLs and R&amp;D credits available at the ownership change dates, however assuming the Company does not experience future ownership changes and there is adequate taxable income to absorb the existing NOLs and R&amp;D credits, none of these existing tax attributes are projected to expire before utilization. Future ownership changes occurring subsequent to December 31, 2023 may cause NOL and R&amp;D credit carryforwards to expire unused and, if so, such tax attributes will be removed from the deferred tax asset table above.</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During the year ended December 31, 2024, the Company recorded a deferred tax asset of $34.1 million for the excess of its tax over financial reporting basis in its subsidiary as the Company has assessed that it is probable the excess tax basis related to this investment will reverse within the next twelve months.</w:t>
      </w:r>
    </w:p>
    <w:p>
      <w:pPr>
        <w:spacing w:after="0" w:line="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Company recognizes a tax benefit from an uncertain tax position when it is more likely than not that the position will be sustained upon examination by tax authorities.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changes to the Company’s gross unrecognized tax benefits for the years ended December 31, 2024 and 2023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920" w:type="dxa"/>
            <w:vAlign w:val="bottom"/>
          </w:tcPr>
          <w:p>
            <w:pPr>
              <w:spacing w:after="0"/>
              <w:rPr>
                <w:sz w:val="15"/>
                <w:szCs w:val="15"/>
                <w:color w:val="auto"/>
              </w:rPr>
            </w:pPr>
          </w:p>
        </w:tc>
      </w:tr>
      <w:tr>
        <w:trPr>
          <w:trHeight w:val="193"/>
        </w:trPr>
        <w:tc>
          <w:tcPr>
            <w:tcW w:w="8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the beginning of year</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3,380</w:t>
            </w:r>
          </w:p>
        </w:tc>
      </w:tr>
      <w:tr>
        <w:trPr>
          <w:trHeight w:val="21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related to prior year positions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related to current year positions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w:t>
            </w:r>
          </w:p>
        </w:tc>
      </w:tr>
      <w:tr>
        <w:trPr>
          <w:trHeight w:val="212"/>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the end of year</w:t>
            </w:r>
          </w:p>
        </w:tc>
        <w:tc>
          <w:tcPr>
            <w:tcW w:w="92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5,371</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4,597</w:t>
            </w:r>
          </w:p>
        </w:tc>
      </w:tr>
      <w:tr>
        <w:trPr>
          <w:trHeight w:val="20"/>
        </w:trPr>
        <w:tc>
          <w:tcPr>
            <w:tcW w:w="8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Due to the existence of the valuation allowance, future recognition of previously unrecognized tax benefits will not impact the Company’s effective tax rate. The Company’s practice is to recognize interest and penalties related to income tax matters in income tax expense. The Company is subject to taxation in the United States federal and certain state jurisdictions. The Company’s tax years from inception are subject to examination by the United States federal and state authorities due to the carryforward of unutilized NOLs and R&amp;D credits. The Company does not anticipate the unrecognized tax benefits to change materially within the next twelve months.</w:t>
      </w:r>
    </w:p>
    <w:p>
      <w:pPr>
        <w:spacing w:after="0" w:line="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had no accrued interest and no penalties related to income tax matters in the Company’s balance sheet as of December 31, 2024 and has not recognized interest or penalties in the Company’s statement of operations and loss for the year ended December 31, 2024. Further, the Company is not currently under examination by any federal, state or local tax authority.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Commitments and Contingencies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From time to time, the Company could be subject to various legal proceedings and claims that arise in the ordinary course of its business activities. Regardless of the outcome, legal proceedings can have an adverse impact on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because of defense and settlement costs, diversion of management resources and other factors. As of December 31, 2024, the Company was not a party to any material legal proceedings and is not aware of any other proceedings or claims that it believes will have, individually or in the aggregate, a material adverse effect on its business, financial condition or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Commitments</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has ongoing contracts with vendors for clinical trials and contract manufacturing. These contracts are generally cancellable, with notice, at the Company’s option. The Company recorded accrued expenses of $3.6 million and $5.7 million for expenditures incurred by clinical and contract manufacturing vendors as of December 31, 2024 and 2023, respectively.</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December 31, 2024 the Company was party to a Negotiated Purchase Order Terms and Conditions for Clinical and Commercial Product, as amended effective as of August 1, 2022, March 31, 2024, and July 31, 2024 (the "Fresenius Agreement"), with Fresenius Kabi that contains specific activities including non-cancellable commitments, minimum purchase commitments, and binding annual forecasts. As of December 31, 2024, there were non-cancellable purchase commitments under the Fresenius Agreement related to the purchase of inventory for $2.7 million to be paid in 2025.</w:t>
      </w:r>
    </w:p>
    <w:p>
      <w:pPr>
        <w:spacing w:after="0" w:line="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December 19, 2024, the Company entered into the Divestiture Agreement) with KAKEN, KAKEN PHARMACEUTICAL CO., LTD, and Aadi Subsidiary. As part of its purchase of the FYARRO Business, KAKEN acquired the rights and responsibilities under the BMS License Agreement. Refer to Note 15 for more information on the sale of Aadi Subsidiary.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Mirati Collaboration</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In October 2022, the Company entered into a collaboration and supply agreement with Mirati Therapeutics, Inc. (“Mirati”) to evaluate the combination of Mirati’s adagrasib, a KRAS</w:t>
      </w:r>
      <w:r>
        <w:rPr>
          <w:rFonts w:ascii="Times New Roman" w:cs="Times New Roman" w:eastAsia="Times New Roman" w:hAnsi="Times New Roman"/>
          <w:sz w:val="22"/>
          <w:szCs w:val="22"/>
          <w:color w:val="auto"/>
          <w:vertAlign w:val="superscript"/>
        </w:rPr>
        <w:t>G12C</w:t>
      </w:r>
      <w:r>
        <w:rPr>
          <w:rFonts w:ascii="Times New Roman" w:cs="Times New Roman" w:eastAsia="Times New Roman" w:hAnsi="Times New Roman"/>
          <w:sz w:val="17"/>
          <w:szCs w:val="17"/>
          <w:color w:val="auto"/>
        </w:rPr>
        <w:t xml:space="preserve"> selective inhibitor, and FYARRO in KRAS</w:t>
      </w:r>
      <w:r>
        <w:rPr>
          <w:rFonts w:ascii="Times New Roman" w:cs="Times New Roman" w:eastAsia="Times New Roman" w:hAnsi="Times New Roman"/>
          <w:sz w:val="22"/>
          <w:szCs w:val="22"/>
          <w:color w:val="auto"/>
          <w:vertAlign w:val="superscript"/>
        </w:rPr>
        <w:t>G12C</w:t>
      </w:r>
      <w:r>
        <w:rPr>
          <w:rFonts w:ascii="Times New Roman" w:cs="Times New Roman" w:eastAsia="Times New Roman" w:hAnsi="Times New Roman"/>
          <w:sz w:val="17"/>
          <w:szCs w:val="17"/>
          <w:color w:val="auto"/>
        </w:rPr>
        <w:t xml:space="preserve"> mutant non-small cell lung cancer (NSCLC) and other solid tumors. In May 2024, the Company announced the mutually agreed upon termination of the collaboration and supply agreement with Mirati and the discontinuation of the Phase 1/2 study. Under the terms of the agreement, Mirati was responsible for sponsoring and operating the Phase 1/2 study and the Company supplied study drug and jointly shared the cost of the study, which will continue during the winding down process.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For the year ended December 31, 2024, the Company incurred $1.1 million in expenses related to the Mirati collaboration. For the year ended December 31, 2023, the Company incurred $0.9 million in expenses related to the Mirati collaboration.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WuXi Biologics License Agreement</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December 19, 2024, the Company entered into an Intellectual Property License Agreement (the “License Agreement”) with WuXi Biologics (Shanghai FX) Co., Ltd. (“WuXi Biologics”) for exclusive rights to certain patents and know-how pertaining to WuXi Biologics’ preclinical antibody drug conjugate programs leveraging Hangzhou DAC Biotechnology Co., Ltd.’s (“Hangzhou DAC”) linker-payload technology targeting each of Mucin-16 (“MUC16”), Protein Tyrosine Kinase 7 (“PTK7”) and Seizure Related 6 Homolog (“SEZ6”) (each an “ADC Therapy,” and collectively, the “ADC Therapies”). Under the License Agreement, the Company paid WuXi Biologics a non-refundable, partial upfront payment of $6.0 million on December 20, 2024. An additional non-refundable, upfront payment of $38.0 million is due within one-hundred twenty (120) days after the effective date of the License Agreement for the rights and licenses granted to the Company by WuXi Biologics. In accordance with the License Agreement, WuXi Biologics is eligible to receive from the Company (a) up to an aggregate of $265.0 million upon the achievement of certain development milestones, and (b) up to an aggregate of $540.0 million upon the achievement of certain commercial milestones, across all ADC Therapies. WuXi Biologics is also entitled to running royalties during the agreed upon royalty term ranging from low-single-digit to upper-single-digit percentages of annual net sales of licensed products in the territory.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Restructuring</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On August 21, 2024, the Company announced a restructuring plan to reduce the Company’s workforce by approximately 32% in response to the Company's announcement on August 20, 2024 that it planned to halt the registration-intended PRECISION1 trial of nab-sirolimus in patients with solid tumors harboring </w:t>
      </w:r>
      <w:r>
        <w:rPr>
          <w:rFonts w:ascii="Times New Roman" w:cs="Times New Roman" w:eastAsia="Times New Roman" w:hAnsi="Times New Roman"/>
          <w:sz w:val="17"/>
          <w:szCs w:val="17"/>
          <w:i w:val="1"/>
          <w:iCs w:val="1"/>
          <w:color w:val="auto"/>
        </w:rPr>
        <w:t xml:space="preserve">TSC1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TSC2 </w:t>
      </w:r>
      <w:r>
        <w:rPr>
          <w:rFonts w:ascii="Times New Roman" w:cs="Times New Roman" w:eastAsia="Times New Roman" w:hAnsi="Times New Roman"/>
          <w:sz w:val="17"/>
          <w:szCs w:val="17"/>
          <w:color w:val="auto"/>
        </w:rPr>
        <w:t>inactivating alterations. The Company recorded a total restructuring charge of $2.6 million, which consists of one-time termination benefits such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severance costs and related benefits. For the year ended December 31, 2024, the Company made cash payments related to the restructuring of $1.1 million. As of December 31, 2024, the $1.5 million of one-time termination benefits remain payable and are recorded within the accrued liabilities and other liabilities line items on the Company's balance sheet. Restructuring payments commenced in September 2024 and will extend through March 2026.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Segment Information</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applying technology to efficiently deliver improved therapies for people living with difficult-to-treat cancer, as well as research, clinical, and commercial pharmaceutical development. The CODM assesses performance for the Company's single operating segment and decides how to allocate resources primarily based on research and development expenses incurred, which is a component of the Company's consolidated net loss as reported on the consolidated statement of operations and comprehensive loss. The measure of segment assets is reported on the balance sheet as total consolidated assets. Further, segment depreciation expense and segment asset additions are consistent with consolidated amounts reported within the consolidated statement of cash flows given the Company's operations are aggregated within a single reportable segment. The Company's revenues are derived by FYARRO. All the assets and operations of the Company’s sole operating and reportable segment are located in the United States.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Significant segment expenses which are regularly reported to the CODM for purposes of making decisions regarding the allocation of resources are included within the table below and are reconciled to consolidated net loss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0" w:type="dxa"/>
            <w:vAlign w:val="bottom"/>
          </w:tcPr>
          <w:p>
            <w:pPr>
              <w:spacing w:after="0"/>
              <w:rPr>
                <w:sz w:val="15"/>
                <w:szCs w:val="15"/>
                <w:color w:val="auto"/>
              </w:rPr>
            </w:pPr>
          </w:p>
        </w:tc>
      </w:tr>
      <w:tr>
        <w:trPr>
          <w:trHeight w:val="193"/>
        </w:trPr>
        <w:tc>
          <w:tcPr>
            <w:tcW w:w="6640" w:type="dxa"/>
            <w:vAlign w:val="bottom"/>
          </w:tcPr>
          <w:p>
            <w:pPr>
              <w:spacing w:after="0"/>
              <w:rPr>
                <w:sz w:val="16"/>
                <w:szCs w:val="16"/>
                <w:color w:val="auto"/>
              </w:rPr>
            </w:pPr>
          </w:p>
        </w:tc>
        <w:tc>
          <w:tcPr>
            <w:tcW w:w="14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66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sales, net</w:t>
            </w:r>
          </w:p>
        </w:tc>
        <w:tc>
          <w:tcPr>
            <w:tcW w:w="1400" w:type="dxa"/>
            <w:vAlign w:val="bottom"/>
            <w:shd w:val="clear" w:color="auto" w:fill="CCEEFF"/>
          </w:tcPr>
          <w:p>
            <w:pPr>
              <w:jc w:val="right"/>
              <w:ind w:right="1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24,354</w:t>
            </w:r>
          </w:p>
        </w:tc>
      </w:tr>
      <w:tr>
        <w:trPr>
          <w:trHeight w:val="219"/>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1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FYARRO - research and development expenses</w:t>
            </w:r>
          </w:p>
        </w:tc>
        <w:tc>
          <w:tcPr>
            <w:tcW w:w="1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34,338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39,693</w:t>
            </w:r>
          </w:p>
        </w:tc>
      </w:tr>
      <w:tr>
        <w:trPr>
          <w:trHeight w:val="219"/>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FYARRO - contract manufacturing expenses</w:t>
            </w:r>
          </w:p>
        </w:tc>
        <w:tc>
          <w:tcPr>
            <w:tcW w:w="1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9,236</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 process research and development expenses</w:t>
            </w:r>
          </w:p>
        </w:tc>
        <w:tc>
          <w:tcPr>
            <w:tcW w:w="1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FYARRO - commercial and marketing expenses</w:t>
            </w:r>
          </w:p>
        </w:tc>
        <w:tc>
          <w:tcPr>
            <w:tcW w:w="1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7,881</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and accounting expenses (1)</w:t>
            </w:r>
          </w:p>
        </w:tc>
        <w:tc>
          <w:tcPr>
            <w:tcW w:w="1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12,216</w:t>
            </w:r>
          </w:p>
        </w:tc>
      </w:tr>
      <w:tr>
        <w:trPr>
          <w:trHeight w:val="219"/>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Legal expenses</w:t>
            </w:r>
          </w:p>
        </w:tc>
        <w:tc>
          <w:tcPr>
            <w:tcW w:w="1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8,709</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items (2)</w:t>
            </w:r>
          </w:p>
        </w:tc>
        <w:tc>
          <w:tcPr>
            <w:tcW w:w="1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21,244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18,784</w:t>
            </w:r>
          </w:p>
        </w:tc>
      </w:tr>
      <w:tr>
        <w:trPr>
          <w:trHeight w:val="21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(3,925)</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(6,400)</w:t>
            </w:r>
          </w:p>
        </w:tc>
      </w:tr>
      <w:tr>
        <w:trPr>
          <w:trHeight w:val="237"/>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400" w:type="dxa"/>
            <w:vAlign w:val="bottom"/>
            <w:tcBorders>
              <w:bottom w:val="single" w:sz="8" w:color="auto"/>
            </w:tcBorders>
            <w:shd w:val="clear" w:color="auto" w:fill="CCEEFF"/>
          </w:tcPr>
          <w:p>
            <w:pPr>
              <w:jc w:val="right"/>
              <w:ind w:right="1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(63,691)</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(65,765)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0" w:hanging="197"/>
        <w:spacing w:after="0"/>
        <w:tabs>
          <w:tab w:leader="none" w:pos="2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and accounting expenses primarily include shared-based compensation, insurance, salaries and wages, and other outside consulting services.</w:t>
      </w:r>
    </w:p>
    <w:p>
      <w:pPr>
        <w:spacing w:after="0" w:line="7"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primarily include other SGA departmental expenses, cost of sales, restructure costs, interest expense, and foreign exchange loss.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Subsequent Events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Divestiture of FYARRO</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19, 2024, the Company entered into the Divestiture Agreement with KAKEN, KAKEN PHARMACEUTICAL CO., LTD, and Aadi Subsidiary for the sale to KAKEN of 100% of the outstanding shares of capital stock of Aadi Subsidiary and thereby all of Whitehawk’s assets related to its FYARRO (sirolimus protein-bound particles for injectable suspension) (albumin-bound) program. Per the terms and subject to the conditions of the Divestiture Agreement, KAKEN paid to the Company a cash payment of $102.4 million (following applicable purchase price adjustments under the Divestiture Agreement) at the closing of the FYARRO Divestiture on March 25,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PIPE Financing</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December 19, 2024, the Company entered into the Subscription Agreement with PIPE Investors, pursuant to which the Company agreed to sell to the PIPE Investors (i) 21,592,000 shares of the Company’s common stock, par value $0.0001 per share, at a purchase price of $2.40 per share, and (ii) 20,076,500 Pre-Funded Warrants, at a purchase price of $2.3999 per Pre-Funded Warrant, for aggregate gross proceeds of $100.0 million. The PIPE financing closed on March 4, 2025.</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 and Restatement of the Company's 2021 Equity Incentive Plan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February 28, 2025 the Company’s stockholders approved the amendment and restatement of the Company’s 2021 Equity Incentive Plan (the “2021 Plan”) to (i) increase the number of shares available for future grant under the 2021 Plan from 2,000,284 shares to 8,300,284 shares and (ii) increase the 2021 Plan’s default annual automatic share reserve increase occurring on January 1 of each year from 4% of outstanding shares on the last day of the immediately preceding fiscal year to 5%. Upon stockholder approval, such amendment and restatement of the 2021 Plan became effective. See Note 9 for additional information on the 2021 Plan.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provide reasonable assurance that information required to be disclosed in our Company’s reports under the Exchange Act, is recorded, processed, summarized and reported within the time periods specified in the SEC’s rules and forms, and that such information is accumulated and communicated to management, including our Chief Executive Officer and President, and Chief Financial Officer,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Management necessarily was required to apply its judgment in evaluating the cost-benefit relationship of possible controls and procedures.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preparation of this Annual Report for the year ended December 31, 2024, an evaluation was performed under the supervision and with the participation of our management, including our Chief Executive Officer and President, and Chief Financial Officer, of the effectiveness of the design and operation of our disclosure controls and procedures (as defined in Rule 13a-15(e) under the Exchange Act) as of December 31, 2024. Based on that evaluation, our Chief Executive Officer and President, and Chief Financial Officer has concluded based upon the evaluation described above that, as of December 31, 2024, our disclosure controls and procedures were effective at the reasonable assurance level.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Report on Internal Control over Financial Reporting</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Management is responsible for establishing and maintaining adequate internal control over financial reporting for us. Internal control over financial reporting (as defined in Rule 13a-15(f) of the Exchange Act) is a process to provide reasonable assurance regarding the reliability of our financial reporting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Under the supervision of and with the participation of our principal executive and financial officer, our management conducted an evaluation of the effectiveness, as of December 31, 2024, of our internal control over financial reporting based on the framework in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issued by the Committee of Sponsoring Organizations of the Treadway Commission in 2013. Based on this evaluation, management concluded that our internal control over financial reporting was effective as of December 31, 2024.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identified in connection with the evaluation required by Rule 13a-15(d) and 15d-15(d) of the Exchange Act during the fourth quarter ended December 31, 2024 that have materially affected, or are reasonably likely to materially affect, our internal control over financial reporting.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44" w:lineRule="exact"/>
        <w:rPr>
          <w:sz w:val="20"/>
          <w:szCs w:val="20"/>
          <w:color w:val="auto"/>
        </w:rPr>
      </w:pPr>
    </w:p>
    <w:p>
      <w:pPr>
        <w:ind w:right="5560"/>
        <w:spacing w:after="0" w:line="418" w:lineRule="auto"/>
        <w:rPr>
          <w:sz w:val="20"/>
          <w:szCs w:val="20"/>
          <w:color w:val="auto"/>
        </w:rPr>
      </w:pPr>
      <w:r>
        <w:rPr>
          <w:rFonts w:ascii="Times New Roman" w:cs="Times New Roman" w:eastAsia="Times New Roman" w:hAnsi="Times New Roman"/>
          <w:sz w:val="17"/>
          <w:szCs w:val="17"/>
          <w:b w:val="1"/>
          <w:bCs w:val="1"/>
          <w:color w:val="auto"/>
        </w:rPr>
        <w:t xml:space="preserve">Item 9C. Disclosure Regarding Foreign Jurisdictions that Prevent Inspections </w:t>
      </w: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other information required by this item is omitted from this Annual Report on Form 10-K and is incorporated herein by reference from our definitive proxy statement relating to our 2025 Annual Meeting of Stockholders (the “Definitive Proxy Statement”).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have adopted a code of business conduct and ethics that applies to all of our employees, officers and directors, including those officers responsible for financial reporting. Our code of business conduct and ethics is available on our website, which is located at www.whitehawktx.com. We intend to disclose any amendments to the code, or any waivers of its requirements, on our website, or in a current report on Form 8-K as may be required by law.</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11 will be contained in the Definitive Proxy Statement and is incorporated herein by reference.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12 will be contained in the Definitive Proxy Statement and is incorporated herein by reference.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13 will be contained in the Definitive Proxy Statement and is incorporated herein by reference.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14 will be contained in the Definitive Proxy Statement and is incorporated herein by reference.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(a)(1) Financial Statements.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The consolidated financial statements required by this item are submitted in a separate section beginning on page </w:t>
      </w:r>
      <w:r>
        <w:rPr>
          <w:rFonts w:ascii="Times New Roman" w:cs="Times New Roman" w:eastAsia="Times New Roman" w:hAnsi="Times New Roman"/>
          <w:sz w:val="17"/>
          <w:szCs w:val="17"/>
          <w:u w:val="single" w:color="auto"/>
          <w:color w:val="0000FF"/>
        </w:rPr>
        <w:t>114</w:t>
      </w:r>
      <w:r>
        <w:rPr>
          <w:rFonts w:ascii="Times New Roman" w:cs="Times New Roman" w:eastAsia="Times New Roman" w:hAnsi="Times New Roman"/>
          <w:sz w:val="17"/>
          <w:szCs w:val="17"/>
          <w:color w:val="auto"/>
        </w:rPr>
        <w:t xml:space="preserve"> of this Annual Report.</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(a)(2) Financial Statement Schedules.</w:t>
      </w:r>
    </w:p>
    <w:p>
      <w:pPr>
        <w:spacing w:after="0" w:line="114" w:lineRule="exact"/>
        <w:rPr>
          <w:sz w:val="20"/>
          <w:szCs w:val="20"/>
          <w:color w:val="auto"/>
        </w:rPr>
      </w:pPr>
    </w:p>
    <w:p>
      <w:pPr>
        <w:ind w:left="620"/>
        <w:spacing w:after="0" w:line="286" w:lineRule="auto"/>
        <w:rPr>
          <w:sz w:val="20"/>
          <w:szCs w:val="20"/>
          <w:color w:val="auto"/>
        </w:rPr>
      </w:pPr>
      <w:r>
        <w:rPr>
          <w:rFonts w:ascii="Times New Roman" w:cs="Times New Roman" w:eastAsia="Times New Roman" w:hAnsi="Times New Roman"/>
          <w:sz w:val="17"/>
          <w:szCs w:val="17"/>
          <w:color w:val="auto"/>
        </w:rPr>
        <w:t>All schedules have been omitted because the information required to be set forth therein is not applicable or is shown in the financial statements or notes thereto.</w:t>
      </w:r>
    </w:p>
    <w:p>
      <w:pPr>
        <w:spacing w:after="0" w:line="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(a)(3) Exhibits.</w:t>
      </w:r>
    </w:p>
    <w:p>
      <w:pPr>
        <w:spacing w:after="0" w:line="114" w:lineRule="exact"/>
        <w:rPr>
          <w:sz w:val="20"/>
          <w:szCs w:val="20"/>
          <w:color w:val="auto"/>
        </w:rPr>
      </w:pPr>
    </w:p>
    <w:p>
      <w:pPr>
        <w:ind w:left="620"/>
        <w:spacing w:after="0" w:line="286" w:lineRule="auto"/>
        <w:rPr>
          <w:sz w:val="20"/>
          <w:szCs w:val="20"/>
          <w:color w:val="auto"/>
        </w:rPr>
      </w:pPr>
      <w:r>
        <w:rPr>
          <w:rFonts w:ascii="Times New Roman" w:cs="Times New Roman" w:eastAsia="Times New Roman" w:hAnsi="Times New Roman"/>
          <w:sz w:val="17"/>
          <w:szCs w:val="17"/>
          <w:color w:val="auto"/>
        </w:rPr>
        <w:t>The exhibits filed as part of this Annual Report are set forth on the Exhibit Index immediately preceding the signature page of this Annual Report. The Exhibit Index is incorporated herein by reference.</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Index</w:t>
      </w:r>
    </w:p>
    <w:p>
      <w:pPr>
        <w:sectPr>
          <w:pgSz w:w="11900" w:h="16838" w:orient="portrait"/>
          <w:cols w:equalWidth="0" w:num="1">
            <w:col w:w="11240"/>
          </w:cols>
          <w:pgMar w:left="320" w:top="123" w:right="339" w:bottom="1440" w:gutter="0" w:footer="0" w:header="0"/>
        </w:sectPr>
      </w:pP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8096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2.1</w:t>
      </w:r>
    </w:p>
    <w:p>
      <w:pPr>
        <w:spacing w:after="0" w:line="200" w:lineRule="exact"/>
        <w:rPr>
          <w:sz w:val="20"/>
          <w:szCs w:val="20"/>
          <w:color w:val="auto"/>
        </w:rPr>
      </w:pPr>
    </w:p>
    <w:p>
      <w:pPr>
        <w:spacing w:after="0" w:line="3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2.2</w:t>
      </w:r>
    </w:p>
    <w:p>
      <w:pPr>
        <w:spacing w:after="0" w:line="200" w:lineRule="exact"/>
        <w:rPr>
          <w:sz w:val="20"/>
          <w:szCs w:val="20"/>
          <w:color w:val="auto"/>
        </w:rPr>
      </w:pPr>
    </w:p>
    <w:p>
      <w:pPr>
        <w:spacing w:after="0" w:line="3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3.1</w:t>
      </w:r>
    </w:p>
    <w:p>
      <w:pPr>
        <w:spacing w:after="0" w:line="3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3.2</w:t>
      </w:r>
    </w:p>
    <w:p>
      <w:pPr>
        <w:spacing w:after="0" w:line="3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4.1*</w:t>
      </w: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4.2</w:t>
      </w:r>
    </w:p>
    <w:p>
      <w:pPr>
        <w:spacing w:after="0" w:line="3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4.3</w:t>
      </w:r>
    </w:p>
    <w:p>
      <w:pPr>
        <w:spacing w:after="0" w:line="3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3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3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10.3</w:t>
      </w:r>
    </w:p>
    <w:p>
      <w:pPr>
        <w:spacing w:after="0" w:line="200" w:lineRule="exact"/>
        <w:rPr>
          <w:sz w:val="20"/>
          <w:szCs w:val="20"/>
          <w:color w:val="auto"/>
        </w:rPr>
      </w:pPr>
    </w:p>
    <w:p>
      <w:pPr>
        <w:spacing w:after="0" w:line="3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10.4#</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10.5*#</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27940</wp:posOffset>
            </wp:positionV>
            <wp:extent cx="53397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39715" cy="8255"/>
                    </a:xfrm>
                    <a:prstGeom prst="rect">
                      <a:avLst/>
                    </a:prstGeom>
                    <a:noFill/>
                  </pic:spPr>
                </pic:pic>
              </a:graphicData>
            </a:graphic>
          </wp:anchor>
        </w:drawing>
      </w:r>
    </w:p>
    <w:p>
      <w:pPr>
        <w:spacing w:after="0" w:line="123" w:lineRule="exact"/>
        <w:rPr>
          <w:sz w:val="20"/>
          <w:szCs w:val="20"/>
          <w:color w:val="auto"/>
        </w:rPr>
      </w:pPr>
    </w:p>
    <w:p>
      <w:pPr>
        <w:jc w:val="both"/>
        <w:ind w:right="1500"/>
        <w:spacing w:after="0" w:line="269" w:lineRule="auto"/>
        <w:rPr>
          <w:rFonts w:ascii="Times New Roman" w:cs="Times New Roman" w:eastAsia="Times New Roman" w:hAnsi="Times New Roman"/>
          <w:sz w:val="17"/>
          <w:szCs w:val="17"/>
          <w:u w:val="single" w:color="auto"/>
          <w:color w:val="0000FF"/>
        </w:rPr>
      </w:pPr>
      <w:hyperlink r:id="rId177">
        <w:r>
          <w:rPr>
            <w:rFonts w:ascii="Times New Roman" w:cs="Times New Roman" w:eastAsia="Times New Roman" w:hAnsi="Times New Roman"/>
            <w:sz w:val="17"/>
            <w:szCs w:val="17"/>
            <w:u w:val="single" w:color="auto"/>
            <w:color w:val="0000FF"/>
          </w:rPr>
          <w:t>Agreement and Plan of Merger, dated May 16, 2021, by and among the registrant, Aadi Bioscience, Inc. and Aspen</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Merger Subsidiary, Inc. (incorporated by reference to Exhibit 2.1 to the Registrant’s Current Report on Form 8-K (File</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No. 001-38560) filed with the SEC on May 17, 2021).</w:t>
        </w:r>
      </w:hyperlink>
    </w:p>
    <w:p>
      <w:pPr>
        <w:spacing w:after="0" w:line="64" w:lineRule="exact"/>
        <w:rPr>
          <w:rFonts w:ascii="Times New Roman" w:cs="Times New Roman" w:eastAsia="Times New Roman" w:hAnsi="Times New Roman"/>
          <w:sz w:val="17"/>
          <w:szCs w:val="17"/>
          <w:u w:val="single" w:color="auto"/>
          <w:color w:val="0000FF"/>
        </w:rPr>
      </w:pPr>
    </w:p>
    <w:p>
      <w:pPr>
        <w:jc w:val="both"/>
        <w:ind w:right="1500"/>
        <w:spacing w:after="0" w:line="269" w:lineRule="auto"/>
        <w:rPr>
          <w:rFonts w:ascii="Times New Roman" w:cs="Times New Roman" w:eastAsia="Times New Roman" w:hAnsi="Times New Roman"/>
          <w:sz w:val="17"/>
          <w:szCs w:val="17"/>
          <w:u w:val="single" w:color="auto"/>
          <w:color w:val="0000FF"/>
        </w:rPr>
      </w:pPr>
      <w:hyperlink r:id="rId178">
        <w:r>
          <w:rPr>
            <w:rFonts w:ascii="Times New Roman" w:cs="Times New Roman" w:eastAsia="Times New Roman" w:hAnsi="Times New Roman"/>
            <w:sz w:val="17"/>
            <w:szCs w:val="17"/>
            <w:u w:val="single" w:color="auto"/>
            <w:color w:val="0000FF"/>
          </w:rPr>
          <w:t>Stock Purchase Agreement, dated December 19, 2024, among Aadi Bioscience, Inc., KAKEN INVESTMENTS INC.,</w:t>
        </w:r>
      </w:hyperlink>
      <w:r>
        <w:rPr>
          <w:rFonts w:ascii="Times New Roman" w:cs="Times New Roman" w:eastAsia="Times New Roman" w:hAnsi="Times New Roman"/>
          <w:sz w:val="17"/>
          <w:szCs w:val="17"/>
          <w:u w:val="single" w:color="auto"/>
          <w:color w:val="0000FF"/>
        </w:rPr>
        <w:t xml:space="preserve"> </w:t>
      </w:r>
      <w:hyperlink r:id="rId178">
        <w:r>
          <w:rPr>
            <w:rFonts w:ascii="Times New Roman" w:cs="Times New Roman" w:eastAsia="Times New Roman" w:hAnsi="Times New Roman"/>
            <w:sz w:val="17"/>
            <w:szCs w:val="17"/>
            <w:u w:val="single" w:color="auto"/>
            <w:color w:val="0000FF"/>
          </w:rPr>
          <w:t>KAKEN PHARMACEUTICAL CO., LTD., and Aadi Subsidiary, Inc. (incorporated by reference to Exhibit 2.1 to the</w:t>
        </w:r>
      </w:hyperlink>
      <w:r>
        <w:rPr>
          <w:rFonts w:ascii="Times New Roman" w:cs="Times New Roman" w:eastAsia="Times New Roman" w:hAnsi="Times New Roman"/>
          <w:sz w:val="17"/>
          <w:szCs w:val="17"/>
          <w:u w:val="single" w:color="auto"/>
          <w:color w:val="0000FF"/>
        </w:rPr>
        <w:t xml:space="preserve"> </w:t>
      </w:r>
      <w:hyperlink r:id="rId178">
        <w:r>
          <w:rPr>
            <w:rFonts w:ascii="Times New Roman" w:cs="Times New Roman" w:eastAsia="Times New Roman" w:hAnsi="Times New Roman"/>
            <w:sz w:val="17"/>
            <w:szCs w:val="17"/>
            <w:u w:val="single" w:color="auto"/>
            <w:color w:val="0000FF"/>
          </w:rPr>
          <w:t>Registrant’s Current Report on Form 8-K (File No. 001-38560) filed with the SEC on December 20, 2024).</w:t>
        </w:r>
      </w:hyperlink>
    </w:p>
    <w:p>
      <w:pPr>
        <w:spacing w:after="0" w:line="64" w:lineRule="exact"/>
        <w:rPr>
          <w:rFonts w:ascii="Times New Roman" w:cs="Times New Roman" w:eastAsia="Times New Roman" w:hAnsi="Times New Roman"/>
          <w:sz w:val="17"/>
          <w:szCs w:val="17"/>
          <w:u w:val="single" w:color="auto"/>
          <w:color w:val="0000FF"/>
        </w:rPr>
      </w:pPr>
    </w:p>
    <w:p>
      <w:pPr>
        <w:jc w:val="both"/>
        <w:ind w:right="1500"/>
        <w:spacing w:after="0" w:line="286" w:lineRule="auto"/>
        <w:rPr>
          <w:rFonts w:ascii="Times New Roman" w:cs="Times New Roman" w:eastAsia="Times New Roman" w:hAnsi="Times New Roman"/>
          <w:sz w:val="17"/>
          <w:szCs w:val="17"/>
          <w:u w:val="single" w:color="auto"/>
          <w:color w:val="0000FF"/>
        </w:rPr>
      </w:pPr>
      <w:hyperlink r:id="rId179">
        <w:r>
          <w:rPr>
            <w:rFonts w:ascii="Times New Roman" w:cs="Times New Roman" w:eastAsia="Times New Roman" w:hAnsi="Times New Roman"/>
            <w:sz w:val="17"/>
            <w:szCs w:val="17"/>
            <w:u w:val="single" w:color="auto"/>
            <w:color w:val="0000FF"/>
          </w:rPr>
          <w:t>Amended and Restated Certificate of Incorporation of the Registrant (incorporated by reference to Exhibit 3.1 to the</w:t>
        </w:r>
      </w:hyperlink>
      <w:r>
        <w:rPr>
          <w:rFonts w:ascii="Times New Roman" w:cs="Times New Roman" w:eastAsia="Times New Roman" w:hAnsi="Times New Roman"/>
          <w:sz w:val="17"/>
          <w:szCs w:val="17"/>
          <w:u w:val="single" w:color="auto"/>
          <w:color w:val="0000FF"/>
        </w:rPr>
        <w:t xml:space="preserve"> </w:t>
      </w:r>
      <w:hyperlink r:id="rId179">
        <w:r>
          <w:rPr>
            <w:rFonts w:ascii="Times New Roman" w:cs="Times New Roman" w:eastAsia="Times New Roman" w:hAnsi="Times New Roman"/>
            <w:sz w:val="17"/>
            <w:szCs w:val="17"/>
            <w:u w:val="single" w:color="auto"/>
            <w:color w:val="0000FF"/>
          </w:rPr>
          <w:t>Registrant’s Current Report on Form 8-K (File No. 001-38560) filed with the SEC on March 18, 2025).</w:t>
        </w:r>
      </w:hyperlink>
    </w:p>
    <w:p>
      <w:pPr>
        <w:spacing w:after="0" w:line="49" w:lineRule="exact"/>
        <w:rPr>
          <w:sz w:val="20"/>
          <w:szCs w:val="20"/>
          <w:color w:val="auto"/>
        </w:rPr>
      </w:pPr>
    </w:p>
    <w:p>
      <w:pPr>
        <w:jc w:val="both"/>
        <w:ind w:right="1500"/>
        <w:spacing w:after="0" w:line="286" w:lineRule="auto"/>
        <w:rPr>
          <w:rFonts w:ascii="Times New Roman" w:cs="Times New Roman" w:eastAsia="Times New Roman" w:hAnsi="Times New Roman"/>
          <w:sz w:val="17"/>
          <w:szCs w:val="17"/>
          <w:u w:val="single" w:color="auto"/>
          <w:color w:val="0000FF"/>
        </w:rPr>
      </w:pPr>
      <w:hyperlink r:id="rId180">
        <w:r>
          <w:rPr>
            <w:rFonts w:ascii="Times New Roman" w:cs="Times New Roman" w:eastAsia="Times New Roman" w:hAnsi="Times New Roman"/>
            <w:sz w:val="17"/>
            <w:szCs w:val="17"/>
            <w:u w:val="single" w:color="auto"/>
            <w:color w:val="0000FF"/>
          </w:rPr>
          <w:t>Amended and Restated Bylaws of the Registrant (incorporated by reference to Exhibit 3.2 to the Registrant’s Current</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Report on Form 8-K (File No. 001-38560) filed with the SEC on March 18, 2025).</w:t>
        </w:r>
      </w:hyperlink>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Description of Registrant's Capital Stock.</w:t>
      </w:r>
    </w:p>
    <w:p>
      <w:pPr>
        <w:spacing w:after="0" w:line="114" w:lineRule="exact"/>
        <w:rPr>
          <w:sz w:val="20"/>
          <w:szCs w:val="20"/>
          <w:color w:val="auto"/>
        </w:rPr>
      </w:pPr>
    </w:p>
    <w:p>
      <w:pPr>
        <w:ind w:right="1740"/>
        <w:spacing w:after="0" w:line="286" w:lineRule="auto"/>
        <w:rPr>
          <w:rFonts w:ascii="Times New Roman" w:cs="Times New Roman" w:eastAsia="Times New Roman" w:hAnsi="Times New Roman"/>
          <w:sz w:val="17"/>
          <w:szCs w:val="17"/>
          <w:u w:val="single" w:color="auto"/>
          <w:color w:val="0000FF"/>
        </w:rPr>
      </w:pPr>
      <w:hyperlink r:id="rId181">
        <w:r>
          <w:rPr>
            <w:rFonts w:ascii="Times New Roman" w:cs="Times New Roman" w:eastAsia="Times New Roman" w:hAnsi="Times New Roman"/>
            <w:sz w:val="17"/>
            <w:szCs w:val="17"/>
            <w:u w:val="single" w:color="auto"/>
            <w:color w:val="0000FF"/>
          </w:rPr>
          <w:t>Form of Pre-Funded Warrant (incorporated by reference to Exhibit 4.1 to the Registrant's Current Report on Form 8-K</w:t>
        </w:r>
      </w:hyperlink>
      <w:r>
        <w:rPr>
          <w:rFonts w:ascii="Times New Roman" w:cs="Times New Roman" w:eastAsia="Times New Roman" w:hAnsi="Times New Roman"/>
          <w:sz w:val="17"/>
          <w:szCs w:val="17"/>
          <w:u w:val="single" w:color="auto"/>
          <w:color w:val="0000FF"/>
        </w:rPr>
        <w:t xml:space="preserve"> </w:t>
      </w:r>
      <w:hyperlink r:id="rId181">
        <w:r>
          <w:rPr>
            <w:rFonts w:ascii="Times New Roman" w:cs="Times New Roman" w:eastAsia="Times New Roman" w:hAnsi="Times New Roman"/>
            <w:sz w:val="17"/>
            <w:szCs w:val="17"/>
            <w:u w:val="single" w:color="auto"/>
            <w:color w:val="0000FF"/>
          </w:rPr>
          <w:t>(File No. 001-38560) filed with the SEC on September 22, 2022).</w:t>
        </w:r>
      </w:hyperlink>
    </w:p>
    <w:p>
      <w:pPr>
        <w:spacing w:after="0" w:line="49" w:lineRule="exact"/>
        <w:rPr>
          <w:sz w:val="20"/>
          <w:szCs w:val="20"/>
          <w:color w:val="auto"/>
        </w:rPr>
      </w:pPr>
    </w:p>
    <w:p>
      <w:pPr>
        <w:ind w:right="1720"/>
        <w:spacing w:after="0" w:line="286" w:lineRule="auto"/>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Form of Pre-Funded Warrant (incorporated by reference to Exhibit 4.1 to the Registrant’s Current Report on Form 8-K</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(File No. 001-38560) filed with the SEC on December 20, 2024).</w:t>
        </w:r>
      </w:hyperlink>
    </w:p>
    <w:p>
      <w:pPr>
        <w:spacing w:after="0" w:line="49" w:lineRule="exact"/>
        <w:rPr>
          <w:sz w:val="20"/>
          <w:szCs w:val="20"/>
          <w:color w:val="auto"/>
        </w:rPr>
      </w:pPr>
    </w:p>
    <w:p>
      <w:pPr>
        <w:jc w:val="both"/>
        <w:ind w:right="1500"/>
        <w:spacing w:after="0" w:line="269" w:lineRule="auto"/>
        <w:rPr>
          <w:rFonts w:ascii="Times New Roman" w:cs="Times New Roman" w:eastAsia="Times New Roman" w:hAnsi="Times New Roman"/>
          <w:sz w:val="17"/>
          <w:szCs w:val="17"/>
          <w:u w:val="single" w:color="auto"/>
          <w:color w:val="0000FF"/>
        </w:rPr>
      </w:pPr>
      <w:hyperlink r:id="rId183">
        <w:r>
          <w:rPr>
            <w:rFonts w:ascii="Times New Roman" w:cs="Times New Roman" w:eastAsia="Times New Roman" w:hAnsi="Times New Roman"/>
            <w:sz w:val="17"/>
            <w:szCs w:val="17"/>
            <w:u w:val="single" w:color="auto"/>
            <w:color w:val="0000FF"/>
          </w:rPr>
          <w:t>Form of Securities Purchase Agreement, dated September 22, 2022, by and among the Company and the Purchasers</w:t>
        </w:r>
      </w:hyperlink>
      <w:r>
        <w:rPr>
          <w:rFonts w:ascii="Times New Roman" w:cs="Times New Roman" w:eastAsia="Times New Roman" w:hAnsi="Times New Roman"/>
          <w:sz w:val="17"/>
          <w:szCs w:val="17"/>
          <w:u w:val="single" w:color="auto"/>
          <w:color w:val="0000FF"/>
        </w:rPr>
        <w:t xml:space="preserve"> </w:t>
      </w:r>
      <w:hyperlink r:id="rId183">
        <w:r>
          <w:rPr>
            <w:rFonts w:ascii="Times New Roman" w:cs="Times New Roman" w:eastAsia="Times New Roman" w:hAnsi="Times New Roman"/>
            <w:sz w:val="17"/>
            <w:szCs w:val="17"/>
            <w:u w:val="single" w:color="auto"/>
            <w:color w:val="0000FF"/>
          </w:rPr>
          <w:t>(incorporated by reference to Exhibit 10.1 to the Registrant's Current Report on Form 8-K (File No. 001-38560) filed</w:t>
        </w:r>
      </w:hyperlink>
      <w:r>
        <w:rPr>
          <w:rFonts w:ascii="Times New Roman" w:cs="Times New Roman" w:eastAsia="Times New Roman" w:hAnsi="Times New Roman"/>
          <w:sz w:val="17"/>
          <w:szCs w:val="17"/>
          <w:u w:val="single" w:color="auto"/>
          <w:color w:val="0000FF"/>
        </w:rPr>
        <w:t xml:space="preserve"> </w:t>
      </w:r>
      <w:hyperlink r:id="rId183">
        <w:r>
          <w:rPr>
            <w:rFonts w:ascii="Times New Roman" w:cs="Times New Roman" w:eastAsia="Times New Roman" w:hAnsi="Times New Roman"/>
            <w:sz w:val="17"/>
            <w:szCs w:val="17"/>
            <w:u w:val="single" w:color="auto"/>
            <w:color w:val="0000FF"/>
          </w:rPr>
          <w:t>with the SEC on September 22, 2022).</w:t>
        </w:r>
      </w:hyperlink>
    </w:p>
    <w:p>
      <w:pPr>
        <w:spacing w:after="0" w:line="64" w:lineRule="exact"/>
        <w:rPr>
          <w:rFonts w:ascii="Times New Roman" w:cs="Times New Roman" w:eastAsia="Times New Roman" w:hAnsi="Times New Roman"/>
          <w:sz w:val="17"/>
          <w:szCs w:val="17"/>
          <w:u w:val="single" w:color="auto"/>
          <w:color w:val="0000FF"/>
        </w:rPr>
      </w:pPr>
    </w:p>
    <w:p>
      <w:pPr>
        <w:jc w:val="both"/>
        <w:ind w:right="1500"/>
        <w:spacing w:after="0" w:line="269" w:lineRule="auto"/>
        <w:rPr>
          <w:rFonts w:ascii="Times New Roman" w:cs="Times New Roman" w:eastAsia="Times New Roman" w:hAnsi="Times New Roman"/>
          <w:sz w:val="17"/>
          <w:szCs w:val="17"/>
          <w:u w:val="single" w:color="auto"/>
          <w:color w:val="0000FF"/>
        </w:rPr>
      </w:pPr>
      <w:hyperlink r:id="rId184">
        <w:r>
          <w:rPr>
            <w:rFonts w:ascii="Times New Roman" w:cs="Times New Roman" w:eastAsia="Times New Roman" w:hAnsi="Times New Roman"/>
            <w:sz w:val="17"/>
            <w:szCs w:val="17"/>
            <w:u w:val="single" w:color="auto"/>
            <w:color w:val="0000FF"/>
          </w:rPr>
          <w:t>Form of Registration Rights Agreement, dated September 22, 2022, by and among the Company and the Purchasers</w:t>
        </w:r>
      </w:hyperlink>
      <w:r>
        <w:rPr>
          <w:rFonts w:ascii="Times New Roman" w:cs="Times New Roman" w:eastAsia="Times New Roman" w:hAnsi="Times New Roman"/>
          <w:sz w:val="17"/>
          <w:szCs w:val="17"/>
          <w:u w:val="single" w:color="auto"/>
          <w:color w:val="0000FF"/>
        </w:rPr>
        <w:t xml:space="preserve"> </w:t>
      </w:r>
      <w:hyperlink r:id="rId184">
        <w:r>
          <w:rPr>
            <w:rFonts w:ascii="Times New Roman" w:cs="Times New Roman" w:eastAsia="Times New Roman" w:hAnsi="Times New Roman"/>
            <w:sz w:val="17"/>
            <w:szCs w:val="17"/>
            <w:u w:val="single" w:color="auto"/>
            <w:color w:val="0000FF"/>
          </w:rPr>
          <w:t>(incorporated by reference to Exhibit 10.2 to the Registrant's Current Report on Form 8-K (File No. 001-38560) filed</w:t>
        </w:r>
      </w:hyperlink>
      <w:r>
        <w:rPr>
          <w:rFonts w:ascii="Times New Roman" w:cs="Times New Roman" w:eastAsia="Times New Roman" w:hAnsi="Times New Roman"/>
          <w:sz w:val="17"/>
          <w:szCs w:val="17"/>
          <w:u w:val="single" w:color="auto"/>
          <w:color w:val="0000FF"/>
        </w:rPr>
        <w:t xml:space="preserve"> </w:t>
      </w:r>
      <w:hyperlink r:id="rId184">
        <w:r>
          <w:rPr>
            <w:rFonts w:ascii="Times New Roman" w:cs="Times New Roman" w:eastAsia="Times New Roman" w:hAnsi="Times New Roman"/>
            <w:sz w:val="17"/>
            <w:szCs w:val="17"/>
            <w:u w:val="single" w:color="auto"/>
            <w:color w:val="0000FF"/>
          </w:rPr>
          <w:t>with the SEC on September 22, 2022).</w:t>
        </w:r>
      </w:hyperlink>
    </w:p>
    <w:p>
      <w:pPr>
        <w:spacing w:after="0" w:line="64" w:lineRule="exact"/>
        <w:rPr>
          <w:rFonts w:ascii="Times New Roman" w:cs="Times New Roman" w:eastAsia="Times New Roman" w:hAnsi="Times New Roman"/>
          <w:sz w:val="17"/>
          <w:szCs w:val="17"/>
          <w:u w:val="single" w:color="auto"/>
          <w:color w:val="0000FF"/>
        </w:rPr>
      </w:pPr>
    </w:p>
    <w:p>
      <w:pPr>
        <w:jc w:val="both"/>
        <w:ind w:right="1500"/>
        <w:spacing w:after="0" w:line="269" w:lineRule="auto"/>
        <w:rPr>
          <w:rFonts w:ascii="Times New Roman" w:cs="Times New Roman" w:eastAsia="Times New Roman" w:hAnsi="Times New Roman"/>
          <w:sz w:val="17"/>
          <w:szCs w:val="17"/>
          <w:u w:val="single" w:color="auto"/>
          <w:color w:val="0000FF"/>
        </w:rPr>
      </w:pPr>
      <w:hyperlink r:id="rId185">
        <w:r>
          <w:rPr>
            <w:rFonts w:ascii="Times New Roman" w:cs="Times New Roman" w:eastAsia="Times New Roman" w:hAnsi="Times New Roman"/>
            <w:sz w:val="17"/>
            <w:szCs w:val="17"/>
            <w:u w:val="single" w:color="auto"/>
            <w:color w:val="0000FF"/>
          </w:rPr>
          <w:t>Registration Rights Agreement dated August 26, 2021, by and between Aadi Bioscience, Inc. (formerly known as Aerpio</w:t>
        </w:r>
      </w:hyperlink>
      <w:r>
        <w:rPr>
          <w:rFonts w:ascii="Times New Roman" w:cs="Times New Roman" w:eastAsia="Times New Roman" w:hAnsi="Times New Roman"/>
          <w:sz w:val="17"/>
          <w:szCs w:val="17"/>
          <w:u w:val="single" w:color="auto"/>
          <w:color w:val="0000FF"/>
        </w:rPr>
        <w:t xml:space="preserve"> </w:t>
      </w:r>
      <w:hyperlink r:id="rId185">
        <w:r>
          <w:rPr>
            <w:rFonts w:ascii="Times New Roman" w:cs="Times New Roman" w:eastAsia="Times New Roman" w:hAnsi="Times New Roman"/>
            <w:sz w:val="17"/>
            <w:szCs w:val="17"/>
            <w:u w:val="single" w:color="auto"/>
            <w:color w:val="0000FF"/>
          </w:rPr>
          <w:t>Pharmaceuticals, Inc.) and certain purchasers listed therein (incorporated by reference to Exhibit 10.3 to the Registrant’s</w:t>
        </w:r>
      </w:hyperlink>
      <w:r>
        <w:rPr>
          <w:rFonts w:ascii="Times New Roman" w:cs="Times New Roman" w:eastAsia="Times New Roman" w:hAnsi="Times New Roman"/>
          <w:sz w:val="17"/>
          <w:szCs w:val="17"/>
          <w:u w:val="single" w:color="auto"/>
          <w:color w:val="0000FF"/>
        </w:rPr>
        <w:t xml:space="preserve"> </w:t>
      </w:r>
      <w:hyperlink r:id="rId185">
        <w:r>
          <w:rPr>
            <w:rFonts w:ascii="Times New Roman" w:cs="Times New Roman" w:eastAsia="Times New Roman" w:hAnsi="Times New Roman"/>
            <w:sz w:val="17"/>
            <w:szCs w:val="17"/>
            <w:u w:val="single" w:color="auto"/>
            <w:color w:val="0000FF"/>
          </w:rPr>
          <w:t>Current Report on Form 8-K (File No. 001-38560) filed with the SEC on August 27, 2021).</w:t>
        </w:r>
      </w:hyperlink>
    </w:p>
    <w:p>
      <w:pPr>
        <w:spacing w:after="0" w:line="64" w:lineRule="exact"/>
        <w:rPr>
          <w:rFonts w:ascii="Times New Roman" w:cs="Times New Roman" w:eastAsia="Times New Roman" w:hAnsi="Times New Roman"/>
          <w:sz w:val="17"/>
          <w:szCs w:val="17"/>
          <w:u w:val="single" w:color="auto"/>
          <w:color w:val="0000FF"/>
        </w:rPr>
      </w:pPr>
    </w:p>
    <w:p>
      <w:pPr>
        <w:jc w:val="both"/>
        <w:ind w:right="1500"/>
        <w:spacing w:after="0" w:line="269" w:lineRule="auto"/>
        <w:rPr>
          <w:rFonts w:ascii="Times New Roman" w:cs="Times New Roman" w:eastAsia="Times New Roman" w:hAnsi="Times New Roman"/>
          <w:sz w:val="17"/>
          <w:szCs w:val="17"/>
          <w:u w:val="single" w:color="auto"/>
          <w:color w:val="0000FF"/>
        </w:rPr>
      </w:pPr>
      <w:hyperlink r:id="rId186">
        <w:r>
          <w:rPr>
            <w:rFonts w:ascii="Times New Roman" w:cs="Times New Roman" w:eastAsia="Times New Roman" w:hAnsi="Times New Roman"/>
            <w:sz w:val="17"/>
            <w:szCs w:val="17"/>
            <w:u w:val="single" w:color="auto"/>
            <w:color w:val="0000FF"/>
          </w:rPr>
          <w:t>Executive Employment Agreement, dated October 28, 2021, by and between Aadi Bioscience, Inc. and Scott Giacobello</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(incorporated by reference to Exhibit 10.5 to the Registrant’s Annual Report on Form 10-K (File No. 001-38560) filed</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with the SEC on March 17, 2022).</w:t>
        </w:r>
      </w:hyperlink>
    </w:p>
    <w:p>
      <w:pPr>
        <w:spacing w:after="0" w:line="51"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7"/>
          <w:szCs w:val="17"/>
          <w:u w:val="single" w:color="auto"/>
          <w:color w:val="0000FF"/>
        </w:rPr>
        <w:t>Whitehawk Therapeutics, Inc. 2021 Equity Incentive Plan.</w:t>
      </w:r>
    </w:p>
    <w:p>
      <w:pPr>
        <w:spacing w:after="0" w:line="88"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7"/>
          <w:szCs w:val="17"/>
          <w:u w:val="single" w:color="auto"/>
          <w:color w:val="0000FF"/>
        </w:rPr>
        <w:t>Form of Stock Option Agreement under the Whitehawk Therapeutics, Inc. 2021 Equity Incentive Plan.</w:t>
      </w:r>
    </w:p>
    <w:p>
      <w:pPr>
        <w:spacing w:after="0" w:line="200"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740" w:space="640"/>
            <w:col w:w="9860"/>
          </w:cols>
          <w:pgMar w:left="320" w:top="123" w:right="339" w:bottom="1440" w:gutter="0" w:footer="0" w:header="0"/>
          <w:type w:val="continuous"/>
        </w:sectPr>
      </w:pPr>
    </w:p>
    <w:p>
      <w:pPr>
        <w:spacing w:after="0" w:line="200" w:lineRule="exact"/>
        <w:rPr>
          <w:rFonts w:ascii="Times New Roman" w:cs="Times New Roman" w:eastAsia="Times New Roman" w:hAnsi="Times New Roman"/>
          <w:sz w:val="17"/>
          <w:szCs w:val="17"/>
          <w:u w:val="single" w:color="auto"/>
          <w:color w:val="0000FF"/>
        </w:rPr>
      </w:pPr>
    </w:p>
    <w:p>
      <w:pPr>
        <w:spacing w:after="0" w:line="345" w:lineRule="exact"/>
        <w:rPr>
          <w:rFonts w:ascii="Times New Roman" w:cs="Times New Roman" w:eastAsia="Times New Roman" w:hAnsi="Times New Roman"/>
          <w:sz w:val="17"/>
          <w:szCs w:val="17"/>
          <w:u w:val="single" w:color="auto"/>
          <w:color w:val="0000FF"/>
        </w:rPr>
      </w:pPr>
    </w:p>
    <w:p>
      <w:pPr>
        <w:jc w:val="center"/>
        <w:ind w:right="-19"/>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10.7*#</w:t>
      </w:r>
    </w:p>
    <w:p>
      <w:pPr>
        <w:spacing w:after="0" w:line="3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10.8#</w:t>
      </w:r>
    </w:p>
    <w:p>
      <w:pPr>
        <w:spacing w:after="0" w:line="3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10.9#</w:t>
      </w:r>
    </w:p>
    <w:p>
      <w:pPr>
        <w:spacing w:after="0" w:line="200" w:lineRule="exact"/>
        <w:rPr>
          <w:sz w:val="20"/>
          <w:szCs w:val="20"/>
          <w:color w:val="auto"/>
        </w:rPr>
      </w:pPr>
    </w:p>
    <w:p>
      <w:pPr>
        <w:spacing w:after="0" w:line="3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500"/>
        <w:spacing w:after="0" w:line="286" w:lineRule="auto"/>
        <w:rPr>
          <w:sz w:val="20"/>
          <w:szCs w:val="20"/>
          <w:color w:val="auto"/>
        </w:rPr>
      </w:pPr>
      <w:r>
        <w:rPr>
          <w:rFonts w:ascii="Times New Roman" w:cs="Times New Roman" w:eastAsia="Times New Roman" w:hAnsi="Times New Roman"/>
          <w:sz w:val="17"/>
          <w:szCs w:val="17"/>
          <w:u w:val="single" w:color="auto"/>
          <w:color w:val="0000FF"/>
        </w:rPr>
        <w:t>2021 Employee Stock Purchase Plan (incorporated by reference to Exhibit 10.8 to the Registrant’s Current Report on Form 8-K (File No. 001-38560) filed with the SEC on August 27, 2021).</w:t>
      </w:r>
    </w:p>
    <w:p>
      <w:pPr>
        <w:spacing w:after="0" w:line="49" w:lineRule="exact"/>
        <w:rPr>
          <w:sz w:val="20"/>
          <w:szCs w:val="20"/>
          <w:color w:val="auto"/>
        </w:rPr>
      </w:pPr>
    </w:p>
    <w:p>
      <w:pPr>
        <w:jc w:val="both"/>
        <w:ind w:right="1500"/>
        <w:spacing w:after="0" w:line="286" w:lineRule="auto"/>
        <w:rPr>
          <w:rFonts w:ascii="Times New Roman" w:cs="Times New Roman" w:eastAsia="Times New Roman" w:hAnsi="Times New Roman"/>
          <w:sz w:val="17"/>
          <w:szCs w:val="17"/>
          <w:u w:val="single" w:color="auto"/>
          <w:color w:val="0000FF"/>
        </w:rPr>
      </w:pPr>
      <w:hyperlink r:id="rId188">
        <w:r>
          <w:rPr>
            <w:rFonts w:ascii="Times New Roman" w:cs="Times New Roman" w:eastAsia="Times New Roman" w:hAnsi="Times New Roman"/>
            <w:sz w:val="17"/>
            <w:szCs w:val="17"/>
            <w:u w:val="single" w:color="auto"/>
            <w:color w:val="0000FF"/>
          </w:rPr>
          <w:t>Aadi Bioscience, Inc. Amended and Restated 2014 Equity Incentive Plan (incorporated by reference to Exhibit 10.9 to</w:t>
        </w:r>
      </w:hyperlink>
      <w:r>
        <w:rPr>
          <w:rFonts w:ascii="Times New Roman" w:cs="Times New Roman" w:eastAsia="Times New Roman" w:hAnsi="Times New Roman"/>
          <w:sz w:val="17"/>
          <w:szCs w:val="17"/>
          <w:u w:val="single" w:color="auto"/>
          <w:color w:val="0000FF"/>
        </w:rPr>
        <w:t xml:space="preserve"> </w:t>
      </w:r>
      <w:hyperlink r:id="rId188">
        <w:r>
          <w:rPr>
            <w:rFonts w:ascii="Times New Roman" w:cs="Times New Roman" w:eastAsia="Times New Roman" w:hAnsi="Times New Roman"/>
            <w:sz w:val="17"/>
            <w:szCs w:val="17"/>
            <w:u w:val="single" w:color="auto"/>
            <w:color w:val="0000FF"/>
          </w:rPr>
          <w:t>the Registrant’s Current Report on Form 8-K (File No. 001-38560) filed with the SEC on August 27, 2021).</w:t>
        </w:r>
      </w:hyperlink>
    </w:p>
    <w:p>
      <w:pPr>
        <w:spacing w:after="0" w:line="49" w:lineRule="exact"/>
        <w:rPr>
          <w:sz w:val="20"/>
          <w:szCs w:val="20"/>
          <w:color w:val="auto"/>
        </w:rPr>
      </w:pPr>
    </w:p>
    <w:p>
      <w:pPr>
        <w:jc w:val="both"/>
        <w:ind w:right="1500"/>
        <w:spacing w:after="0" w:line="269" w:lineRule="auto"/>
        <w:rPr>
          <w:rFonts w:ascii="Times New Roman" w:cs="Times New Roman" w:eastAsia="Times New Roman" w:hAnsi="Times New Roman"/>
          <w:sz w:val="17"/>
          <w:szCs w:val="17"/>
          <w:u w:val="single" w:color="auto"/>
          <w:color w:val="0000FF"/>
        </w:rPr>
      </w:pPr>
      <w:hyperlink r:id="rId189">
        <w:r>
          <w:rPr>
            <w:rFonts w:ascii="Times New Roman" w:cs="Times New Roman" w:eastAsia="Times New Roman" w:hAnsi="Times New Roman"/>
            <w:sz w:val="17"/>
            <w:szCs w:val="17"/>
            <w:u w:val="single" w:color="auto"/>
            <w:color w:val="0000FF"/>
          </w:rPr>
          <w:t>Form of Stock Option Agreement under the Aadi Bioscience, Inc. Amended and Restated 2014 Equity Incentive Plan</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(incorporated by reference to Exhibit 10.10 to the Registrant’s Current Report on Form 8-K (File No. 001-38560) filed</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with the SEC on August 27, 2021).</w:t>
        </w:r>
      </w:hyperlink>
    </w:p>
    <w:p>
      <w:pPr>
        <w:spacing w:after="0" w:line="64" w:lineRule="exact"/>
        <w:rPr>
          <w:rFonts w:ascii="Times New Roman" w:cs="Times New Roman" w:eastAsia="Times New Roman" w:hAnsi="Times New Roman"/>
          <w:sz w:val="17"/>
          <w:szCs w:val="17"/>
          <w:u w:val="single" w:color="auto"/>
          <w:color w:val="0000FF"/>
        </w:rPr>
      </w:pPr>
    </w:p>
    <w:p>
      <w:pPr>
        <w:jc w:val="both"/>
        <w:ind w:right="1500"/>
        <w:spacing w:after="0" w:line="269" w:lineRule="auto"/>
        <w:rPr>
          <w:rFonts w:ascii="Times New Roman" w:cs="Times New Roman" w:eastAsia="Times New Roman" w:hAnsi="Times New Roman"/>
          <w:sz w:val="17"/>
          <w:szCs w:val="17"/>
          <w:u w:val="single" w:color="auto"/>
          <w:color w:val="0000FF"/>
        </w:rPr>
      </w:pPr>
      <w:hyperlink r:id="rId190">
        <w:r>
          <w:rPr>
            <w:rFonts w:ascii="Times New Roman" w:cs="Times New Roman" w:eastAsia="Times New Roman" w:hAnsi="Times New Roman"/>
            <w:sz w:val="17"/>
            <w:szCs w:val="17"/>
            <w:u w:val="single" w:color="auto"/>
            <w:color w:val="0000FF"/>
          </w:rPr>
          <w:t>Form of Indemnification Agreement between Aadi Bioscience, Inc. and each of its directors and executive officers</w:t>
        </w:r>
      </w:hyperlink>
      <w:r>
        <w:rPr>
          <w:rFonts w:ascii="Times New Roman" w:cs="Times New Roman" w:eastAsia="Times New Roman" w:hAnsi="Times New Roman"/>
          <w:sz w:val="17"/>
          <w:szCs w:val="17"/>
          <w:u w:val="single" w:color="auto"/>
          <w:color w:val="0000FF"/>
        </w:rPr>
        <w:t xml:space="preserve"> </w:t>
      </w:r>
      <w:hyperlink r:id="rId190">
        <w:r>
          <w:rPr>
            <w:rFonts w:ascii="Times New Roman" w:cs="Times New Roman" w:eastAsia="Times New Roman" w:hAnsi="Times New Roman"/>
            <w:sz w:val="17"/>
            <w:szCs w:val="17"/>
            <w:u w:val="single" w:color="auto"/>
            <w:color w:val="0000FF"/>
          </w:rPr>
          <w:t>(incorporated by reference to Exhibit 10.11 to the Registrant’s Current Report on Form 8-K (File No. 001-38560) filed</w:t>
        </w:r>
      </w:hyperlink>
      <w:r>
        <w:rPr>
          <w:rFonts w:ascii="Times New Roman" w:cs="Times New Roman" w:eastAsia="Times New Roman" w:hAnsi="Times New Roman"/>
          <w:sz w:val="17"/>
          <w:szCs w:val="17"/>
          <w:u w:val="single" w:color="auto"/>
          <w:color w:val="0000FF"/>
        </w:rPr>
        <w:t xml:space="preserve"> </w:t>
      </w:r>
      <w:hyperlink r:id="rId190">
        <w:r>
          <w:rPr>
            <w:rFonts w:ascii="Times New Roman" w:cs="Times New Roman" w:eastAsia="Times New Roman" w:hAnsi="Times New Roman"/>
            <w:sz w:val="17"/>
            <w:szCs w:val="17"/>
            <w:u w:val="single" w:color="auto"/>
            <w:color w:val="0000FF"/>
          </w:rPr>
          <w:t>with the SEC on August 27, 2021).</w:t>
        </w:r>
      </w:hyperlink>
    </w:p>
    <w:p>
      <w:pPr>
        <w:spacing w:after="0" w:line="102"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1220" w:space="160"/>
            <w:col w:w="9860"/>
          </w:cols>
          <w:pgMar w:left="320" w:top="123" w:right="339" w:bottom="1440" w:gutter="0" w:footer="0" w:header="0"/>
        </w:sectPr>
      </w:pPr>
    </w:p>
    <w:p>
      <w:pPr>
        <w:jc w:val="both"/>
        <w:ind w:left="1380" w:right="1500" w:hanging="1094"/>
        <w:spacing w:after="0" w:line="286" w:lineRule="auto"/>
        <w:tabs>
          <w:tab w:leader="none" w:pos="136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10.11#</w:t>
      </w:r>
      <w:r>
        <w:rPr>
          <w:sz w:val="20"/>
          <w:szCs w:val="20"/>
          <w:color w:val="auto"/>
        </w:rPr>
        <w:tab/>
      </w:r>
      <w:hyperlink r:id="rId191">
        <w:r>
          <w:rPr>
            <w:rFonts w:ascii="Times New Roman" w:cs="Times New Roman" w:eastAsia="Times New Roman" w:hAnsi="Times New Roman"/>
            <w:sz w:val="17"/>
            <w:szCs w:val="17"/>
            <w:u w:val="single" w:color="auto"/>
            <w:color w:val="0000FF"/>
          </w:rPr>
          <w:t>Senior Cash Incentive Bonus Plan. (incorporated by reference to Exhibit 10.15 in the Registrant’s Annual Report on</w:t>
        </w:r>
      </w:hyperlink>
      <w:r>
        <w:rPr>
          <w:rFonts w:ascii="Times New Roman" w:cs="Times New Roman" w:eastAsia="Times New Roman" w:hAnsi="Times New Roman"/>
          <w:sz w:val="17"/>
          <w:szCs w:val="17"/>
          <w:u w:val="single" w:color="auto"/>
          <w:color w:val="0000FF"/>
        </w:rPr>
        <w:t xml:space="preserve"> </w:t>
      </w:r>
      <w:hyperlink r:id="rId191">
        <w:r>
          <w:rPr>
            <w:rFonts w:ascii="Times New Roman" w:cs="Times New Roman" w:eastAsia="Times New Roman" w:hAnsi="Times New Roman"/>
            <w:sz w:val="17"/>
            <w:szCs w:val="17"/>
            <w:u w:val="single" w:color="auto"/>
            <w:color w:val="0000FF"/>
          </w:rPr>
          <w:t>Form 10-K (File No. 000-53057) filed with the SEC on March 15, 2017)</w:t>
        </w:r>
        <w:r>
          <w:rPr>
            <w:rFonts w:ascii="Times New Roman" w:cs="Times New Roman" w:eastAsia="Times New Roman" w:hAnsi="Times New Roman"/>
            <w:sz w:val="17"/>
            <w:szCs w:val="17"/>
            <w:color w:val="000000"/>
          </w:rPr>
          <w:t>.</w:t>
        </w:r>
      </w:hyperlink>
    </w:p>
    <w:p>
      <w:pPr>
        <w:spacing w:after="0" w:line="49" w:lineRule="exact"/>
        <w:rPr>
          <w:sz w:val="20"/>
          <w:szCs w:val="20"/>
          <w:color w:val="auto"/>
        </w:rPr>
      </w:pPr>
    </w:p>
    <w:p>
      <w:pPr>
        <w:jc w:val="both"/>
        <w:ind w:left="1380" w:right="1500" w:hanging="1094"/>
        <w:spacing w:after="0" w:line="269" w:lineRule="auto"/>
        <w:tabs>
          <w:tab w:leader="none" w:pos="13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10.12</w:t>
      </w:r>
      <w:r>
        <w:rPr>
          <w:sz w:val="20"/>
          <w:szCs w:val="20"/>
          <w:color w:val="auto"/>
        </w:rPr>
        <w:tab/>
      </w:r>
      <w:hyperlink r:id="rId192">
        <w:r>
          <w:rPr>
            <w:rFonts w:ascii="Times New Roman" w:cs="Times New Roman" w:eastAsia="Times New Roman" w:hAnsi="Times New Roman"/>
            <w:sz w:val="17"/>
            <w:szCs w:val="17"/>
            <w:u w:val="single" w:color="auto"/>
            <w:color w:val="0000FF"/>
          </w:rPr>
          <w:t>Sales Agreement, dated as of March 17, 2022, by and between Aadi Bioscience, Inc. and Cowen and Company, LLC</w:t>
        </w:r>
      </w:hyperlink>
      <w:r>
        <w:rPr>
          <w:rFonts w:ascii="Times New Roman" w:cs="Times New Roman" w:eastAsia="Times New Roman" w:hAnsi="Times New Roman"/>
          <w:sz w:val="17"/>
          <w:szCs w:val="17"/>
          <w:u w:val="single" w:color="auto"/>
          <w:color w:val="0000FF"/>
        </w:rPr>
        <w:t xml:space="preserve"> </w:t>
      </w:r>
      <w:hyperlink r:id="rId192">
        <w:r>
          <w:rPr>
            <w:rFonts w:ascii="Times New Roman" w:cs="Times New Roman" w:eastAsia="Times New Roman" w:hAnsi="Times New Roman"/>
            <w:sz w:val="17"/>
            <w:szCs w:val="17"/>
            <w:u w:val="single" w:color="auto"/>
            <w:color w:val="0000FF"/>
          </w:rPr>
          <w:t>(incorporated by reference to Exhibit 1.1 to the Registrant’s Current Report on Form 8-K (File No. 001-38560) filed with</w:t>
        </w:r>
      </w:hyperlink>
      <w:r>
        <w:rPr>
          <w:rFonts w:ascii="Times New Roman" w:cs="Times New Roman" w:eastAsia="Times New Roman" w:hAnsi="Times New Roman"/>
          <w:sz w:val="17"/>
          <w:szCs w:val="17"/>
          <w:u w:val="single" w:color="auto"/>
          <w:color w:val="0000FF"/>
        </w:rPr>
        <w:t xml:space="preserve"> </w:t>
      </w:r>
      <w:hyperlink r:id="rId192">
        <w:r>
          <w:rPr>
            <w:rFonts w:ascii="Times New Roman" w:cs="Times New Roman" w:eastAsia="Times New Roman" w:hAnsi="Times New Roman"/>
            <w:sz w:val="17"/>
            <w:szCs w:val="17"/>
            <w:u w:val="single" w:color="auto"/>
            <w:color w:val="0000FF"/>
          </w:rPr>
          <w:t>the SEC on March 17, 2022).</w:t>
        </w:r>
      </w:hyperlink>
    </w:p>
    <w:p>
      <w:pPr>
        <w:sectPr>
          <w:pgSz w:w="11900" w:h="16838" w:orient="portrait"/>
          <w:cols w:equalWidth="0" w:num="1">
            <w:col w:w="11240"/>
          </w:cols>
          <w:pgMar w:left="320" w:top="123" w:right="339" w:bottom="1440" w:gutter="0" w:footer="0" w:header="0"/>
          <w:type w:val="continuous"/>
        </w:sectPr>
      </w:pPr>
    </w:p>
    <w:p>
      <w:pPr>
        <w:spacing w:after="0" w:line="64" w:lineRule="exact"/>
        <w:rPr>
          <w:rFonts w:ascii="Times New Roman" w:cs="Times New Roman" w:eastAsia="Times New Roman" w:hAnsi="Times New Roman"/>
          <w:sz w:val="17"/>
          <w:szCs w:val="17"/>
          <w:u w:val="single" w:color="auto"/>
          <w:color w:val="0000FF"/>
        </w:rPr>
      </w:pPr>
    </w:p>
    <w:p>
      <w:pPr>
        <w:ind w:left="280"/>
        <w:spacing w:after="0"/>
        <w:rPr>
          <w:sz w:val="20"/>
          <w:szCs w:val="20"/>
          <w:color w:val="auto"/>
        </w:rPr>
      </w:pPr>
      <w:r>
        <w:rPr>
          <w:rFonts w:ascii="Times New Roman" w:cs="Times New Roman" w:eastAsia="Times New Roman" w:hAnsi="Times New Roman"/>
          <w:sz w:val="17"/>
          <w:szCs w:val="17"/>
          <w:color w:val="auto"/>
        </w:rPr>
        <w:t>10.13*#</w:t>
      </w:r>
    </w:p>
    <w:p>
      <w:pPr>
        <w:spacing w:after="0" w:line="114" w:lineRule="exact"/>
        <w:rPr>
          <w:rFonts w:ascii="Times New Roman" w:cs="Times New Roman" w:eastAsia="Times New Roman" w:hAnsi="Times New Roman"/>
          <w:sz w:val="17"/>
          <w:szCs w:val="17"/>
          <w:u w:val="single" w:color="auto"/>
          <w:color w:val="0000FF"/>
        </w:rPr>
      </w:pPr>
    </w:p>
    <w:p>
      <w:pPr>
        <w:ind w:left="280"/>
        <w:spacing w:after="0"/>
        <w:rPr>
          <w:sz w:val="20"/>
          <w:szCs w:val="20"/>
          <w:color w:val="auto"/>
        </w:rPr>
      </w:pPr>
      <w:r>
        <w:rPr>
          <w:rFonts w:ascii="Times New Roman" w:cs="Times New Roman" w:eastAsia="Times New Roman" w:hAnsi="Times New Roman"/>
          <w:sz w:val="17"/>
          <w:szCs w:val="17"/>
          <w:color w:val="auto"/>
        </w:rPr>
        <w:t>10.14#</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57"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7"/>
          <w:szCs w:val="17"/>
          <w:u w:val="single" w:color="auto"/>
          <w:color w:val="0000FF"/>
        </w:rPr>
        <w:t>Form of Restricted Stock Unit Award Agreement under the Whitehawk Therapeutics, Inc. 2021 Equity Incentive Plan.</w:t>
      </w:r>
    </w:p>
    <w:p>
      <w:pPr>
        <w:spacing w:after="0" w:line="114" w:lineRule="exact"/>
        <w:rPr>
          <w:rFonts w:ascii="Times New Roman" w:cs="Times New Roman" w:eastAsia="Times New Roman" w:hAnsi="Times New Roman"/>
          <w:sz w:val="17"/>
          <w:szCs w:val="17"/>
          <w:u w:val="single" w:color="auto"/>
          <w:color w:val="0000FF"/>
        </w:rPr>
      </w:pPr>
    </w:p>
    <w:p>
      <w:pPr>
        <w:jc w:val="both"/>
        <w:ind w:right="1500"/>
        <w:spacing w:after="0" w:line="269" w:lineRule="auto"/>
        <w:rPr>
          <w:rFonts w:ascii="Times New Roman" w:cs="Times New Roman" w:eastAsia="Times New Roman" w:hAnsi="Times New Roman"/>
          <w:sz w:val="17"/>
          <w:szCs w:val="17"/>
          <w:u w:val="single" w:color="auto"/>
          <w:color w:val="0000FF"/>
        </w:rPr>
      </w:pPr>
      <w:hyperlink r:id="rId193">
        <w:r>
          <w:rPr>
            <w:rFonts w:ascii="Times New Roman" w:cs="Times New Roman" w:eastAsia="Times New Roman" w:hAnsi="Times New Roman"/>
            <w:sz w:val="17"/>
            <w:szCs w:val="17"/>
            <w:u w:val="single" w:color="auto"/>
            <w:color w:val="0000FF"/>
          </w:rPr>
          <w:t>Executive Employment Agreement, dated September 29, 2023, by and between David J. Lennon and Aadi Bioscience,</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Inc. (incorporated by reference to Exhibit 10.2 to the Registrant's Current Report on Form 8-K with the SEC on October</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2, 2023).</w:t>
        </w:r>
      </w:hyperlink>
    </w:p>
    <w:p>
      <w:pPr>
        <w:spacing w:after="0" w:line="51"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840" w:space="540"/>
            <w:col w:w="9860"/>
          </w:cols>
          <w:pgMar w:left="320" w:top="123"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10.15*#</w:t>
      </w:r>
    </w:p>
    <w:p>
      <w:pPr>
        <w:spacing w:after="0" w:line="75" w:lineRule="exact"/>
        <w:rPr>
          <w:rFonts w:ascii="Times New Roman" w:cs="Times New Roman" w:eastAsia="Times New Roman" w:hAnsi="Times New Roman"/>
          <w:sz w:val="17"/>
          <w:szCs w:val="17"/>
          <w:u w:val="single" w:color="auto"/>
          <w:color w:val="0000FF"/>
        </w:rPr>
      </w:pPr>
    </w:p>
    <w:p>
      <w:pPr>
        <w:ind w:left="280"/>
        <w:spacing w:after="0"/>
        <w:rPr>
          <w:sz w:val="20"/>
          <w:szCs w:val="20"/>
          <w:color w:val="auto"/>
        </w:rPr>
      </w:pPr>
      <w:r>
        <w:rPr>
          <w:rFonts w:ascii="Times New Roman" w:cs="Times New Roman" w:eastAsia="Times New Roman" w:hAnsi="Times New Roman"/>
          <w:sz w:val="17"/>
          <w:szCs w:val="17"/>
          <w:color w:val="auto"/>
        </w:rPr>
        <w:t>10.16*#</w:t>
      </w:r>
    </w:p>
    <w:p>
      <w:pPr>
        <w:spacing w:after="0" w:line="114" w:lineRule="exact"/>
        <w:rPr>
          <w:rFonts w:ascii="Times New Roman" w:cs="Times New Roman" w:eastAsia="Times New Roman" w:hAnsi="Times New Roman"/>
          <w:sz w:val="17"/>
          <w:szCs w:val="17"/>
          <w:u w:val="single" w:color="auto"/>
          <w:color w:val="0000FF"/>
        </w:rPr>
      </w:pPr>
    </w:p>
    <w:p>
      <w:pPr>
        <w:ind w:left="280"/>
        <w:spacing w:after="0"/>
        <w:rPr>
          <w:sz w:val="20"/>
          <w:szCs w:val="20"/>
          <w:color w:val="auto"/>
        </w:rPr>
      </w:pPr>
      <w:r>
        <w:rPr>
          <w:rFonts w:ascii="Times New Roman" w:cs="Times New Roman" w:eastAsia="Times New Roman" w:hAnsi="Times New Roman"/>
          <w:sz w:val="17"/>
          <w:szCs w:val="17"/>
          <w:color w:val="auto"/>
        </w:rPr>
        <w:t>10.17#</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rPr>
          <w:sz w:val="20"/>
          <w:szCs w:val="20"/>
          <w:color w:val="auto"/>
        </w:rPr>
      </w:pPr>
      <w:r>
        <w:rPr>
          <w:rFonts w:ascii="Times New Roman" w:cs="Times New Roman" w:eastAsia="Times New Roman" w:hAnsi="Times New Roman"/>
          <w:sz w:val="17"/>
          <w:szCs w:val="17"/>
          <w:u w:val="single" w:color="auto"/>
          <w:color w:val="0000FF"/>
        </w:rPr>
        <w:t>Whitehawk Therapeutics, Inc. 2023 Inducement Equity Incentive Plan.</w:t>
      </w:r>
    </w:p>
    <w:p>
      <w:pPr>
        <w:spacing w:after="0" w:line="88"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7"/>
          <w:szCs w:val="17"/>
          <w:u w:val="single" w:color="auto"/>
          <w:color w:val="0000FF"/>
        </w:rPr>
        <w:t>Form of Whitehawk Therapeutics, Inc. 2023 Inducement Equity Incentive Plan Stock Option Agreement.</w:t>
      </w:r>
    </w:p>
    <w:p>
      <w:pPr>
        <w:spacing w:after="0" w:line="114" w:lineRule="exact"/>
        <w:rPr>
          <w:rFonts w:ascii="Times New Roman" w:cs="Times New Roman" w:eastAsia="Times New Roman" w:hAnsi="Times New Roman"/>
          <w:sz w:val="17"/>
          <w:szCs w:val="17"/>
          <w:u w:val="single" w:color="auto"/>
          <w:color w:val="0000FF"/>
        </w:rPr>
      </w:pPr>
    </w:p>
    <w:p>
      <w:pPr>
        <w:ind w:right="1500"/>
        <w:spacing w:after="0" w:line="286" w:lineRule="auto"/>
        <w:rPr>
          <w:rFonts w:ascii="Times New Roman" w:cs="Times New Roman" w:eastAsia="Times New Roman" w:hAnsi="Times New Roman"/>
          <w:sz w:val="17"/>
          <w:szCs w:val="17"/>
          <w:u w:val="single" w:color="auto"/>
          <w:color w:val="0000FF"/>
        </w:rPr>
      </w:pPr>
      <w:hyperlink r:id="rId194">
        <w:r>
          <w:rPr>
            <w:rFonts w:ascii="Times New Roman" w:cs="Times New Roman" w:eastAsia="Times New Roman" w:hAnsi="Times New Roman"/>
            <w:sz w:val="17"/>
            <w:szCs w:val="17"/>
            <w:u w:val="single" w:color="auto"/>
            <w:color w:val="0000FF"/>
          </w:rPr>
          <w:t>Amended and Restated Outside Director Compensation Plan (incorporated by reference to Exhibit 10.3 to the</w:t>
        </w:r>
      </w:hyperlink>
      <w:r>
        <w:rPr>
          <w:rFonts w:ascii="Times New Roman" w:cs="Times New Roman" w:eastAsia="Times New Roman" w:hAnsi="Times New Roman"/>
          <w:sz w:val="17"/>
          <w:szCs w:val="17"/>
          <w:u w:val="single" w:color="auto"/>
          <w:color w:val="0000FF"/>
        </w:rPr>
        <w:t xml:space="preserve"> </w:t>
      </w:r>
      <w:hyperlink r:id="rId194">
        <w:r>
          <w:rPr>
            <w:rFonts w:ascii="Times New Roman" w:cs="Times New Roman" w:eastAsia="Times New Roman" w:hAnsi="Times New Roman"/>
            <w:sz w:val="17"/>
            <w:szCs w:val="17"/>
            <w:u w:val="single" w:color="auto"/>
            <w:color w:val="0000FF"/>
          </w:rPr>
          <w:t>Registrant’s Quarterly Report on Form 10-Q (File No. 001-38560) filed with the SEC on August 7, 2024).</w:t>
        </w:r>
      </w:hyperlink>
    </w:p>
    <w:p>
      <w:pPr>
        <w:spacing w:after="0" w:line="36" w:lineRule="exact"/>
        <w:rPr>
          <w:sz w:val="20"/>
          <w:szCs w:val="20"/>
          <w:color w:val="auto"/>
        </w:rPr>
      </w:pPr>
    </w:p>
    <w:p>
      <w:pPr>
        <w:sectPr>
          <w:pgSz w:w="11900" w:h="16838" w:orient="portrait"/>
          <w:cols w:equalWidth="0" w:num="2">
            <w:col w:w="840" w:space="540"/>
            <w:col w:w="9860"/>
          </w:cols>
          <w:pgMar w:left="320" w:top="123" w:right="339" w:bottom="1440" w:gutter="0" w:footer="0" w:header="0"/>
          <w:type w:val="continuous"/>
        </w:sectPr>
      </w:pPr>
    </w:p>
    <w:p>
      <w:pPr>
        <w:jc w:val="both"/>
        <w:ind w:left="1380" w:right="1500" w:hanging="1094"/>
        <w:spacing w:after="0" w:line="269" w:lineRule="auto"/>
        <w:tabs>
          <w:tab w:leader="none" w:pos="13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10.18#</w:t>
      </w:r>
      <w:r>
        <w:rPr>
          <w:sz w:val="20"/>
          <w:szCs w:val="20"/>
          <w:color w:val="auto"/>
        </w:rPr>
        <w:tab/>
      </w:r>
      <w:hyperlink r:id="rId195">
        <w:r>
          <w:rPr>
            <w:rFonts w:ascii="Times New Roman" w:cs="Times New Roman" w:eastAsia="Times New Roman" w:hAnsi="Times New Roman"/>
            <w:sz w:val="17"/>
            <w:szCs w:val="17"/>
            <w:u w:val="single" w:color="auto"/>
            <w:color w:val="0000FF"/>
          </w:rPr>
          <w:t>Executive Employment Agreement, dated July 22, 2022, by and between Bryan E. Ball and Aadi Bioscience, Inc.</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(incorporated by reference to Exhibit 10.2 to the Registrant’s Quarterly Report on Form 10-Q (File No. 001-38560) filed</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with the SEC on August 7, 2024).</w:t>
        </w:r>
      </w:hyperlink>
    </w:p>
    <w:p>
      <w:pPr>
        <w:spacing w:after="0" w:line="64" w:lineRule="exact"/>
        <w:rPr>
          <w:rFonts w:ascii="Times New Roman" w:cs="Times New Roman" w:eastAsia="Times New Roman" w:hAnsi="Times New Roman"/>
          <w:sz w:val="17"/>
          <w:szCs w:val="17"/>
          <w:u w:val="single" w:color="auto"/>
          <w:color w:val="0000FF"/>
        </w:rPr>
      </w:pPr>
    </w:p>
    <w:p>
      <w:pPr>
        <w:jc w:val="both"/>
        <w:ind w:left="1380" w:right="1500" w:hanging="1094"/>
        <w:spacing w:after="0" w:line="286" w:lineRule="auto"/>
        <w:tabs>
          <w:tab w:leader="none" w:pos="13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10.19#</w:t>
      </w:r>
      <w:r>
        <w:rPr>
          <w:sz w:val="20"/>
          <w:szCs w:val="20"/>
          <w:color w:val="auto"/>
        </w:rPr>
        <w:tab/>
      </w:r>
      <w:hyperlink r:id="rId196">
        <w:r>
          <w:rPr>
            <w:rFonts w:ascii="Times New Roman" w:cs="Times New Roman" w:eastAsia="Times New Roman" w:hAnsi="Times New Roman"/>
            <w:sz w:val="17"/>
            <w:szCs w:val="17"/>
            <w:u w:val="single" w:color="auto"/>
            <w:color w:val="0000FF"/>
          </w:rPr>
          <w:t>Form of Retention Bonus Letters with executive officers (incorporated by reference to Exhibit 10.1 to the Registrant’s</w:t>
        </w:r>
      </w:hyperlink>
      <w:r>
        <w:rPr>
          <w:rFonts w:ascii="Times New Roman" w:cs="Times New Roman" w:eastAsia="Times New Roman" w:hAnsi="Times New Roman"/>
          <w:sz w:val="17"/>
          <w:szCs w:val="17"/>
          <w:u w:val="single" w:color="auto"/>
          <w:color w:val="0000FF"/>
        </w:rPr>
        <w:t xml:space="preserve"> </w:t>
      </w:r>
      <w:hyperlink r:id="rId196">
        <w:r>
          <w:rPr>
            <w:rFonts w:ascii="Times New Roman" w:cs="Times New Roman" w:eastAsia="Times New Roman" w:hAnsi="Times New Roman"/>
            <w:sz w:val="17"/>
            <w:szCs w:val="17"/>
            <w:u w:val="single" w:color="auto"/>
            <w:color w:val="0000FF"/>
          </w:rPr>
          <w:t>Current Report on Form 8-K (File No. 001-38560) filed with the SEC on September 19, 2024).</w:t>
        </w:r>
      </w:hyperlink>
    </w:p>
    <w:p>
      <w:pPr>
        <w:sectPr>
          <w:pgSz w:w="11900" w:h="16838" w:orient="portrait"/>
          <w:cols w:equalWidth="0" w:num="1">
            <w:col w:w="11240"/>
          </w:cols>
          <w:pgMar w:left="320" w:top="123" w:right="339" w:bottom="1440" w:gutter="0" w:footer="0" w:header="0"/>
          <w:type w:val="continuous"/>
        </w:sectPr>
      </w:pPr>
    </w:p>
    <w:p>
      <w:pPr>
        <w:spacing w:after="0" w:line="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10.20#</w:t>
      </w:r>
    </w:p>
    <w:p>
      <w:pPr>
        <w:spacing w:after="0" w:line="200" w:lineRule="exact"/>
        <w:rPr>
          <w:sz w:val="20"/>
          <w:szCs w:val="20"/>
          <w:color w:val="auto"/>
        </w:rPr>
      </w:pP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10.21#</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both"/>
        <w:ind w:right="1500"/>
        <w:spacing w:after="0" w:line="269" w:lineRule="auto"/>
        <w:rPr>
          <w:rFonts w:ascii="Times New Roman" w:cs="Times New Roman" w:eastAsia="Times New Roman" w:hAnsi="Times New Roman"/>
          <w:sz w:val="17"/>
          <w:szCs w:val="17"/>
          <w:u w:val="single" w:color="auto"/>
          <w:color w:val="0000FF"/>
        </w:rPr>
      </w:pPr>
      <w:hyperlink r:id="rId197">
        <w:r>
          <w:rPr>
            <w:rFonts w:ascii="Times New Roman" w:cs="Times New Roman" w:eastAsia="Times New Roman" w:hAnsi="Times New Roman"/>
            <w:sz w:val="17"/>
            <w:szCs w:val="17"/>
            <w:u w:val="single" w:color="auto"/>
            <w:color w:val="0000FF"/>
          </w:rPr>
          <w:t>Transition Agreement and Release by and between Neil Desai and Aadi Bioscience, Inc., dated October 16, 2024</w:t>
        </w:r>
      </w:hyperlink>
      <w:r>
        <w:rPr>
          <w:rFonts w:ascii="Times New Roman" w:cs="Times New Roman" w:eastAsia="Times New Roman" w:hAnsi="Times New Roman"/>
          <w:sz w:val="17"/>
          <w:szCs w:val="17"/>
          <w:u w:val="single" w:color="auto"/>
          <w:color w:val="0000FF"/>
        </w:rPr>
        <w:t xml:space="preserve"> </w:t>
      </w:r>
      <w:hyperlink r:id="rId197">
        <w:r>
          <w:rPr>
            <w:rFonts w:ascii="Times New Roman" w:cs="Times New Roman" w:eastAsia="Times New Roman" w:hAnsi="Times New Roman"/>
            <w:sz w:val="17"/>
            <w:szCs w:val="17"/>
            <w:u w:val="single" w:color="auto"/>
            <w:color w:val="0000FF"/>
          </w:rPr>
          <w:t>(incorporated by reference to Exhibit 10.3 to the Registrant’s Quarterly Report on Form 10-Q (File No. 001-38560) filed</w:t>
        </w:r>
      </w:hyperlink>
      <w:r>
        <w:rPr>
          <w:rFonts w:ascii="Times New Roman" w:cs="Times New Roman" w:eastAsia="Times New Roman" w:hAnsi="Times New Roman"/>
          <w:sz w:val="17"/>
          <w:szCs w:val="17"/>
          <w:u w:val="single" w:color="auto"/>
          <w:color w:val="0000FF"/>
        </w:rPr>
        <w:t xml:space="preserve"> </w:t>
      </w:r>
      <w:hyperlink r:id="rId197">
        <w:r>
          <w:rPr>
            <w:rFonts w:ascii="Times New Roman" w:cs="Times New Roman" w:eastAsia="Times New Roman" w:hAnsi="Times New Roman"/>
            <w:sz w:val="17"/>
            <w:szCs w:val="17"/>
            <w:u w:val="single" w:color="auto"/>
            <w:color w:val="0000FF"/>
          </w:rPr>
          <w:t>with the SEC on November 6, 2024).</w:t>
        </w:r>
      </w:hyperlink>
    </w:p>
    <w:p>
      <w:pPr>
        <w:spacing w:after="0" w:line="64" w:lineRule="exact"/>
        <w:rPr>
          <w:rFonts w:ascii="Times New Roman" w:cs="Times New Roman" w:eastAsia="Times New Roman" w:hAnsi="Times New Roman"/>
          <w:sz w:val="17"/>
          <w:szCs w:val="17"/>
          <w:u w:val="single" w:color="auto"/>
          <w:color w:val="0000FF"/>
        </w:rPr>
      </w:pPr>
    </w:p>
    <w:p>
      <w:pPr>
        <w:jc w:val="both"/>
        <w:ind w:right="1500"/>
        <w:spacing w:after="0" w:line="269" w:lineRule="auto"/>
        <w:rPr>
          <w:rFonts w:ascii="Times New Roman" w:cs="Times New Roman" w:eastAsia="Times New Roman" w:hAnsi="Times New Roman"/>
          <w:sz w:val="17"/>
          <w:szCs w:val="17"/>
          <w:u w:val="single" w:color="auto"/>
          <w:color w:val="0000FF"/>
        </w:rPr>
      </w:pPr>
      <w:hyperlink r:id="rId198">
        <w:r>
          <w:rPr>
            <w:rFonts w:ascii="Times New Roman" w:cs="Times New Roman" w:eastAsia="Times New Roman" w:hAnsi="Times New Roman"/>
            <w:sz w:val="17"/>
            <w:szCs w:val="17"/>
            <w:u w:val="single" w:color="auto"/>
            <w:color w:val="0000FF"/>
          </w:rPr>
          <w:t>Transition Agreement and Release by and between Loretta Itri and Aadi Bioscience, Inc., dated September 16, 2024</w:t>
        </w:r>
      </w:hyperlink>
      <w:r>
        <w:rPr>
          <w:rFonts w:ascii="Times New Roman" w:cs="Times New Roman" w:eastAsia="Times New Roman" w:hAnsi="Times New Roman"/>
          <w:sz w:val="17"/>
          <w:szCs w:val="17"/>
          <w:u w:val="single" w:color="auto"/>
          <w:color w:val="0000FF"/>
        </w:rPr>
        <w:t xml:space="preserve"> </w:t>
      </w:r>
      <w:hyperlink r:id="rId198">
        <w:r>
          <w:rPr>
            <w:rFonts w:ascii="Times New Roman" w:cs="Times New Roman" w:eastAsia="Times New Roman" w:hAnsi="Times New Roman"/>
            <w:sz w:val="17"/>
            <w:szCs w:val="17"/>
            <w:u w:val="single" w:color="auto"/>
            <w:color w:val="0000FF"/>
          </w:rPr>
          <w:t>(incorporated by reference to Exhibit 10.4 to the Registrant’s Quarterly Report on Form 10-Q (File No. 001-38560) filed</w:t>
        </w:r>
      </w:hyperlink>
      <w:r>
        <w:rPr>
          <w:rFonts w:ascii="Times New Roman" w:cs="Times New Roman" w:eastAsia="Times New Roman" w:hAnsi="Times New Roman"/>
          <w:sz w:val="17"/>
          <w:szCs w:val="17"/>
          <w:u w:val="single" w:color="auto"/>
          <w:color w:val="0000FF"/>
        </w:rPr>
        <w:t xml:space="preserve"> </w:t>
      </w:r>
      <w:hyperlink r:id="rId198">
        <w:r>
          <w:rPr>
            <w:rFonts w:ascii="Times New Roman" w:cs="Times New Roman" w:eastAsia="Times New Roman" w:hAnsi="Times New Roman"/>
            <w:sz w:val="17"/>
            <w:szCs w:val="17"/>
            <w:u w:val="single" w:color="auto"/>
            <w:color w:val="0000FF"/>
          </w:rPr>
          <w:t>with the SEC on November 6, 2024).</w:t>
        </w:r>
      </w:hyperlink>
    </w:p>
    <w:p>
      <w:pPr>
        <w:spacing w:after="0" w:line="51"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740" w:space="640"/>
            <w:col w:w="986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138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10.22</w:t>
            </w:r>
          </w:p>
        </w:tc>
        <w:tc>
          <w:tcPr>
            <w:tcW w:w="8380" w:type="dxa"/>
            <w:vAlign w:val="bottom"/>
            <w:tcBorders>
              <w:bottom w:val="single" w:sz="8" w:color="0000FF"/>
            </w:tcBorders>
            <w:gridSpan w:val="5"/>
          </w:tcPr>
          <w:p>
            <w:pPr>
              <w:spacing w:after="0"/>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Form of Voting and Support Agreement, dated as of December 19, 2024, among KAKEN INVESTMENTS INC., Aadi</w:t>
              </w:r>
            </w:hyperlink>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8380" w:type="dxa"/>
            <w:vAlign w:val="bottom"/>
            <w:tcBorders>
              <w:bottom w:val="single" w:sz="8" w:color="0000FF"/>
            </w:tcBorders>
            <w:gridSpan w:val="5"/>
          </w:tcPr>
          <w:p>
            <w:pPr>
              <w:spacing w:after="0" w:line="186"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Bioscience, Inc. and the stockholder of Aadi Bioscience, Inc. party thereto (incorporated by reference to Exhibit 10.1 to</w:t>
              </w:r>
            </w:hyperlink>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9860" w:type="dxa"/>
            <w:vAlign w:val="bottom"/>
            <w:gridSpan w:val="6"/>
          </w:tcPr>
          <w:p>
            <w:pPr>
              <w:spacing w:after="0" w:line="186"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the Registrant’s Current Report on Form 8-K (File No. 001-38560) filed with the SEC on December 20, 2024).</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jc w:val="right"/>
              <w:ind w:right="634"/>
              <w:spacing w:after="0"/>
              <w:rPr>
                <w:sz w:val="20"/>
                <w:szCs w:val="20"/>
                <w:color w:val="auto"/>
              </w:rPr>
            </w:pPr>
            <w:r>
              <w:rPr>
                <w:rFonts w:ascii="Times New Roman" w:cs="Times New Roman" w:eastAsia="Times New Roman" w:hAnsi="Times New Roman"/>
                <w:sz w:val="17"/>
                <w:szCs w:val="17"/>
                <w:color w:val="auto"/>
              </w:rPr>
              <w:t>10.23</w:t>
            </w:r>
          </w:p>
        </w:tc>
        <w:tc>
          <w:tcPr>
            <w:tcW w:w="1440" w:type="dxa"/>
            <w:vAlign w:val="bottom"/>
            <w:shd w:val="clear" w:color="auto" w:fill="0000FF"/>
          </w:tcPr>
          <w:p>
            <w:pPr>
              <w:spacing w:after="0" w:line="20" w:lineRule="exact"/>
              <w:rPr>
                <w:sz w:val="1"/>
                <w:szCs w:val="1"/>
                <w:color w:val="auto"/>
              </w:rPr>
            </w:pPr>
          </w:p>
        </w:tc>
        <w:tc>
          <w:tcPr>
            <w:tcW w:w="6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380" w:type="dxa"/>
            <w:vAlign w:val="bottom"/>
            <w:vMerge w:val="continue"/>
          </w:tcPr>
          <w:p>
            <w:pPr>
              <w:spacing w:after="0"/>
              <w:rPr>
                <w:sz w:val="24"/>
                <w:szCs w:val="24"/>
                <w:color w:val="auto"/>
              </w:rPr>
            </w:pPr>
          </w:p>
        </w:tc>
        <w:tc>
          <w:tcPr>
            <w:tcW w:w="8380" w:type="dxa"/>
            <w:vAlign w:val="bottom"/>
            <w:tcBorders>
              <w:bottom w:val="single" w:sz="8" w:color="0000FF"/>
            </w:tcBorders>
            <w:gridSpan w:val="5"/>
          </w:tcPr>
          <w:p>
            <w:pPr>
              <w:spacing w:after="0"/>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Subscription Agreement, dated December 19, 2024, and each purchaser identified on Exhibit A thereto (incorporated by</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8380" w:type="dxa"/>
            <w:vAlign w:val="bottom"/>
            <w:tcBorders>
              <w:bottom w:val="single" w:sz="8" w:color="0000FF"/>
            </w:tcBorders>
            <w:gridSpan w:val="5"/>
          </w:tcPr>
          <w:p>
            <w:pPr>
              <w:spacing w:after="0" w:line="186"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reference to Exhibit 10.2 to the Registrant’s Current Report on Form 8-K (File No. 001-38560) filed with the SEC on</w:t>
              </w:r>
            </w:hyperlink>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9860" w:type="dxa"/>
            <w:vAlign w:val="bottom"/>
            <w:gridSpan w:val="6"/>
          </w:tcPr>
          <w:p>
            <w:pPr>
              <w:spacing w:after="0" w:line="186"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December 20, 2024).</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jc w:val="right"/>
              <w:ind w:right="634"/>
              <w:spacing w:after="0"/>
              <w:rPr>
                <w:sz w:val="20"/>
                <w:szCs w:val="20"/>
                <w:color w:val="auto"/>
              </w:rPr>
            </w:pPr>
            <w:r>
              <w:rPr>
                <w:rFonts w:ascii="Times New Roman" w:cs="Times New Roman" w:eastAsia="Times New Roman" w:hAnsi="Times New Roman"/>
                <w:sz w:val="17"/>
                <w:szCs w:val="17"/>
                <w:color w:val="auto"/>
              </w:rPr>
              <w:t>10.24</w:t>
            </w:r>
          </w:p>
        </w:tc>
        <w:tc>
          <w:tcPr>
            <w:tcW w:w="1440" w:type="dxa"/>
            <w:vAlign w:val="bottom"/>
            <w:shd w:val="clear" w:color="auto" w:fill="0000FF"/>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380" w:type="dxa"/>
            <w:vAlign w:val="bottom"/>
            <w:vMerge w:val="continue"/>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Registration Rights Agreement, by and among the Company and the purchasers thereto (incorporated by reference to</w:t>
              </w:r>
            </w:hyperlink>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8360" w:type="dxa"/>
            <w:vAlign w:val="bottom"/>
            <w:tcBorders>
              <w:top w:val="single" w:sz="8" w:color="0000FF"/>
            </w:tcBorders>
            <w:gridSpan w:val="4"/>
          </w:tcPr>
          <w:p>
            <w:pPr>
              <w:spacing w:after="0" w:line="186"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Exhibit 10.1 to the Registrant’s Current Report on Form 8-K (File No. 001-38560) filed with the SEC on March 4, 2025).</w:t>
              </w:r>
            </w:hyperlink>
          </w:p>
        </w:tc>
        <w:tc>
          <w:tcPr>
            <w:tcW w:w="15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908"/>
        </w:trPr>
        <w:tc>
          <w:tcPr>
            <w:tcW w:w="1380" w:type="dxa"/>
            <w:vAlign w:val="bottom"/>
          </w:tcPr>
          <w:p>
            <w:pPr>
              <w:spacing w:after="0"/>
              <w:rPr>
                <w:sz w:val="24"/>
                <w:szCs w:val="24"/>
                <w:color w:val="auto"/>
              </w:rPr>
            </w:pPr>
          </w:p>
        </w:tc>
        <w:tc>
          <w:tcPr>
            <w:tcW w:w="7600" w:type="dxa"/>
            <w:vAlign w:val="bottom"/>
            <w:tcBorders>
              <w:top w:val="single" w:sz="8" w:color="0000FF"/>
            </w:tcBorders>
            <w:gridSpan w:val="2"/>
          </w:tcPr>
          <w:p>
            <w:pPr>
              <w:ind w:left="4120"/>
              <w:spacing w:after="0"/>
              <w:rPr>
                <w:sz w:val="20"/>
                <w:szCs w:val="20"/>
                <w:color w:val="auto"/>
              </w:rPr>
            </w:pPr>
            <w:r>
              <w:rPr>
                <w:rFonts w:ascii="Times New Roman" w:cs="Times New Roman" w:eastAsia="Times New Roman" w:hAnsi="Times New Roman"/>
                <w:sz w:val="17"/>
                <w:szCs w:val="17"/>
                <w:color w:val="auto"/>
              </w:rPr>
              <w:t>146</w:t>
            </w:r>
          </w:p>
        </w:tc>
        <w:tc>
          <w:tcPr>
            <w:tcW w:w="7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380" w:right="1080" w:hanging="1094"/>
        <w:spacing w:after="0" w:line="286" w:lineRule="auto"/>
        <w:tabs>
          <w:tab w:leader="none" w:pos="1360" w:val="left"/>
        </w:tabs>
        <w:rPr>
          <w:sz w:val="20"/>
          <w:szCs w:val="20"/>
          <w:color w:val="auto"/>
        </w:rPr>
      </w:pPr>
      <w:r>
        <w:rPr>
          <w:rFonts w:ascii="Times New Roman" w:cs="Times New Roman" w:eastAsia="Times New Roman" w:hAnsi="Times New Roman"/>
          <w:sz w:val="17"/>
          <w:szCs w:val="17"/>
          <w:color w:val="auto"/>
        </w:rPr>
        <w:t>10.25*+</w:t>
      </w:r>
      <w:r>
        <w:rPr>
          <w:sz w:val="20"/>
          <w:szCs w:val="20"/>
          <w:color w:val="auto"/>
        </w:rPr>
        <w:tab/>
      </w:r>
      <w:r>
        <w:rPr>
          <w:rFonts w:ascii="Times New Roman" w:cs="Times New Roman" w:eastAsia="Times New Roman" w:hAnsi="Times New Roman"/>
          <w:sz w:val="17"/>
          <w:szCs w:val="17"/>
          <w:u w:val="single" w:color="auto"/>
          <w:color w:val="0000FF"/>
        </w:rPr>
        <w:t>Intellectual Property License Agreement between Aadi Bioscience, Inc. and WuXi Biologics (Shanghai FX) Co., Ltd., dated December 19, 2024.</w:t>
      </w:r>
    </w:p>
    <w:p>
      <w:pPr>
        <w:spacing w:after="0" w:line="49" w:lineRule="exact"/>
        <w:rPr>
          <w:sz w:val="20"/>
          <w:szCs w:val="20"/>
          <w:color w:val="auto"/>
        </w:rPr>
      </w:pPr>
    </w:p>
    <w:p>
      <w:pPr>
        <w:ind w:left="1380" w:right="1080" w:hanging="1094"/>
        <w:spacing w:after="0" w:line="286" w:lineRule="auto"/>
        <w:tabs>
          <w:tab w:leader="none" w:pos="1360" w:val="left"/>
        </w:tabs>
        <w:rPr>
          <w:sz w:val="20"/>
          <w:szCs w:val="20"/>
          <w:color w:val="auto"/>
        </w:rPr>
      </w:pPr>
      <w:r>
        <w:rPr>
          <w:rFonts w:ascii="Times New Roman" w:cs="Times New Roman" w:eastAsia="Times New Roman" w:hAnsi="Times New Roman"/>
          <w:sz w:val="17"/>
          <w:szCs w:val="17"/>
          <w:color w:val="auto"/>
        </w:rPr>
        <w:t>10.26*#</w:t>
      </w:r>
      <w:r>
        <w:rPr>
          <w:sz w:val="20"/>
          <w:szCs w:val="20"/>
          <w:color w:val="auto"/>
        </w:rPr>
        <w:tab/>
      </w:r>
      <w:r>
        <w:rPr>
          <w:rFonts w:ascii="Times New Roman" w:cs="Times New Roman" w:eastAsia="Times New Roman" w:hAnsi="Times New Roman"/>
          <w:sz w:val="17"/>
          <w:szCs w:val="17"/>
          <w:u w:val="single" w:color="auto"/>
          <w:color w:val="0000FF"/>
        </w:rPr>
        <w:t>Executive Employment Agreement, dated February 18, 2025, by and between David Dornan, PhD and Aadi Bioscience, Inc.</w:t>
      </w:r>
    </w:p>
    <w:p>
      <w:pPr>
        <w:sectPr>
          <w:pgSz w:w="11900" w:h="16838" w:orient="portrait"/>
          <w:cols w:equalWidth="0" w:num="1">
            <w:col w:w="10820"/>
          </w:cols>
          <w:pgMar w:left="320" w:top="123" w:right="759" w:bottom="1440" w:gutter="0" w:footer="0" w:header="0"/>
        </w:sectPr>
      </w:pPr>
    </w:p>
    <w:p>
      <w:pPr>
        <w:spacing w:after="0" w:line="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19.1*</w:t>
      </w:r>
    </w:p>
    <w:p>
      <w:pPr>
        <w:spacing w:after="0" w:line="1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21.1*</w:t>
      </w:r>
    </w:p>
    <w:p>
      <w:pPr>
        <w:spacing w:after="0" w:line="1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23.1*</w:t>
      </w:r>
    </w:p>
    <w:p>
      <w:pPr>
        <w:spacing w:after="0" w:line="1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31.1*</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Whitehawk Therapeutics, Inc. Insider Trading Policy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List of Subsidiaries of Registrant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BDO USA P.C.</w:t>
      </w:r>
    </w:p>
    <w:p>
      <w:pPr>
        <w:spacing w:after="0" w:line="114"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7"/>
          <w:szCs w:val="17"/>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36" w:lineRule="exact"/>
        <w:rPr>
          <w:sz w:val="20"/>
          <w:szCs w:val="20"/>
          <w:color w:val="auto"/>
        </w:rPr>
      </w:pPr>
    </w:p>
    <w:p>
      <w:pPr>
        <w:sectPr>
          <w:pgSz w:w="11900" w:h="16838" w:orient="portrait"/>
          <w:cols w:equalWidth="0" w:num="2">
            <w:col w:w="660" w:space="720"/>
            <w:col w:w="9440"/>
          </w:cols>
          <w:pgMar w:left="320" w:top="123" w:right="759" w:bottom="1440" w:gutter="0" w:footer="0" w:header="0"/>
          <w:type w:val="continuous"/>
        </w:sectPr>
      </w:pPr>
    </w:p>
    <w:tbl>
      <w:tblPr>
        <w:tblLayout w:type="fixed"/>
        <w:tblInd w:w="20" w:type="dxa"/>
        <w:tblCellMar>
          <w:top w:w="0" w:type="dxa"/>
          <w:left w:w="0" w:type="dxa"/>
          <w:bottom w:w="0" w:type="dxa"/>
          <w:right w:w="0" w:type="dxa"/>
        </w:tblCellMar>
      </w:tblPr>
      <w:tr>
        <w:trPr>
          <w:trHeight w:val="197"/>
        </w:trPr>
        <w:tc>
          <w:tcPr>
            <w:tcW w:w="13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31.2*</w:t>
            </w:r>
          </w:p>
        </w:tc>
        <w:tc>
          <w:tcPr>
            <w:tcW w:w="8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 and 15d-14(a) under the Securities Exchange Act</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8360" w:type="dxa"/>
            <w:vAlign w:val="bottom"/>
            <w:gridSpan w:val="4"/>
          </w:tcPr>
          <w:p>
            <w:pPr>
              <w:spacing w:after="0" w:line="186" w:lineRule="exact"/>
              <w:rPr>
                <w:sz w:val="20"/>
                <w:szCs w:val="20"/>
                <w:color w:val="auto"/>
              </w:rPr>
            </w:pPr>
            <w:r>
              <w:rPr>
                <w:rFonts w:ascii="Times New Roman" w:cs="Times New Roman" w:eastAsia="Times New Roman" w:hAnsi="Times New Roman"/>
                <w:sz w:val="17"/>
                <w:szCs w:val="17"/>
                <w:color w:val="0000FF"/>
              </w:rPr>
              <w:t>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3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32.1**</w:t>
            </w:r>
          </w:p>
        </w:tc>
        <w:tc>
          <w:tcPr>
            <w:tcW w:w="224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360" w:type="dxa"/>
            <w:vAlign w:val="bottom"/>
            <w:vMerge w:val="continue"/>
          </w:tcPr>
          <w:p>
            <w:pPr>
              <w:spacing w:after="0"/>
              <w:rPr>
                <w:sz w:val="24"/>
                <w:szCs w:val="24"/>
                <w:color w:val="auto"/>
              </w:rPr>
            </w:pPr>
          </w:p>
        </w:tc>
        <w:tc>
          <w:tcPr>
            <w:tcW w:w="8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 1350, as Adopted Pursuant to Section 906 of</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8360" w:type="dxa"/>
            <w:vAlign w:val="bottom"/>
            <w:gridSpan w:val="4"/>
          </w:tcPr>
          <w:p>
            <w:pPr>
              <w:spacing w:after="0" w:line="186"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0" w:type="dxa"/>
            <w:vAlign w:val="bottom"/>
          </w:tcPr>
          <w:p>
            <w:pPr>
              <w:spacing w:after="0"/>
              <w:rPr>
                <w:sz w:val="1"/>
                <w:szCs w:val="1"/>
                <w:color w:val="auto"/>
              </w:rPr>
            </w:pPr>
          </w:p>
        </w:tc>
      </w:tr>
      <w:tr>
        <w:trPr>
          <w:trHeight w:val="20"/>
        </w:trPr>
        <w:tc>
          <w:tcPr>
            <w:tcW w:w="13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32.2**</w:t>
            </w:r>
          </w:p>
        </w:tc>
        <w:tc>
          <w:tcPr>
            <w:tcW w:w="2240" w:type="dxa"/>
            <w:vAlign w:val="bottom"/>
            <w:shd w:val="clear" w:color="auto" w:fill="0000F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360" w:type="dxa"/>
            <w:vAlign w:val="bottom"/>
            <w:vMerge w:val="continue"/>
          </w:tcPr>
          <w:p>
            <w:pPr>
              <w:spacing w:after="0"/>
              <w:rPr>
                <w:sz w:val="24"/>
                <w:szCs w:val="24"/>
                <w:color w:val="auto"/>
              </w:rPr>
            </w:pPr>
          </w:p>
        </w:tc>
        <w:tc>
          <w:tcPr>
            <w:tcW w:w="8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 1350, as Adopted Pursuant to Section 906 of</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8360" w:type="dxa"/>
            <w:vAlign w:val="bottom"/>
            <w:gridSpan w:val="4"/>
          </w:tcPr>
          <w:p>
            <w:pPr>
              <w:spacing w:after="0" w:line="186"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0" w:type="dxa"/>
            <w:vAlign w:val="bottom"/>
          </w:tcPr>
          <w:p>
            <w:pPr>
              <w:spacing w:after="0"/>
              <w:rPr>
                <w:sz w:val="1"/>
                <w:szCs w:val="1"/>
                <w:color w:val="auto"/>
              </w:rPr>
            </w:pPr>
          </w:p>
        </w:tc>
      </w:tr>
      <w:tr>
        <w:trPr>
          <w:trHeight w:val="20"/>
        </w:trPr>
        <w:tc>
          <w:tcPr>
            <w:tcW w:w="13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97.1</w:t>
            </w:r>
          </w:p>
        </w:tc>
        <w:tc>
          <w:tcPr>
            <w:tcW w:w="2240" w:type="dxa"/>
            <w:vAlign w:val="bottom"/>
            <w:shd w:val="clear" w:color="auto" w:fill="0000F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360" w:type="dxa"/>
            <w:vAlign w:val="bottom"/>
            <w:vMerge w:val="continue"/>
          </w:tcPr>
          <w:p>
            <w:pPr>
              <w:spacing w:after="0"/>
              <w:rPr>
                <w:sz w:val="24"/>
                <w:szCs w:val="24"/>
                <w:color w:val="auto"/>
              </w:rPr>
            </w:pPr>
          </w:p>
        </w:tc>
        <w:tc>
          <w:tcPr>
            <w:tcW w:w="8360" w:type="dxa"/>
            <w:vAlign w:val="bottom"/>
            <w:tcBorders>
              <w:bottom w:val="single" w:sz="8" w:color="0000FF"/>
            </w:tcBorders>
            <w:gridSpan w:val="4"/>
          </w:tcPr>
          <w:p>
            <w:pPr>
              <w:spacing w:after="0"/>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Aadi Bioscience, Inc. Compensation Recovery Policy (incorporated by reference to Exhibit 97.1 to the Registrant’s</w:t>
              </w:r>
            </w:hyperlink>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8360" w:type="dxa"/>
            <w:vAlign w:val="bottom"/>
            <w:gridSpan w:val="4"/>
          </w:tcPr>
          <w:p>
            <w:pPr>
              <w:spacing w:after="0" w:line="186"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Annual Report on Form 10-K (File No. 001-38560) filed with the SEC on March 13, 2024).</w:t>
              </w:r>
            </w:hyperlink>
          </w:p>
        </w:tc>
        <w:tc>
          <w:tcPr>
            <w:tcW w:w="0" w:type="dxa"/>
            <w:vAlign w:val="bottom"/>
          </w:tcPr>
          <w:p>
            <w:pPr>
              <w:spacing w:after="0"/>
              <w:rPr>
                <w:sz w:val="1"/>
                <w:szCs w:val="1"/>
                <w:color w:val="auto"/>
              </w:rPr>
            </w:pPr>
          </w:p>
        </w:tc>
      </w:tr>
      <w:tr>
        <w:trPr>
          <w:trHeight w:val="315"/>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6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auto"/>
              </w:rPr>
              <w:t>IXBRL Inline Instance Document</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IXBRL Inline Taxonomy Extension Schema Document</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IXBRL Inline Taxonomy Extension Calculation Linkbase Document</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IXBRL Inline Taxonomy Extension Definition Linkbase Document</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IXBRL Inline Taxonomy Extension Label Linkbase Document</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8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IXBRL Inline Taxonomy Extension Presentation Linkbase Document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380" w:right="1220" w:hanging="1360"/>
        <w:spacing w:after="0" w:line="286" w:lineRule="auto"/>
        <w:tabs>
          <w:tab w:leader="none" w:pos="13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w:t>
      </w:r>
    </w:p>
    <w:p>
      <w:pPr>
        <w:spacing w:after="0" w:line="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Filed herewith.</w:t>
      </w:r>
    </w:p>
    <w:p>
      <w:pPr>
        <w:spacing w:after="0" w:line="1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w:t>
        <w:tab/>
        <w:t>Indicates the exhibit is being furnished, not filed, with this report</w:t>
      </w:r>
    </w:p>
    <w:p>
      <w:pPr>
        <w:spacing w:after="0" w:line="1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Indicates a management contract or any compensatory plan, contract or arrangement.</w:t>
      </w:r>
    </w:p>
    <w:p>
      <w:pPr>
        <w:spacing w:after="0" w:line="1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7"/>
          <w:szCs w:val="17"/>
          <w:color w:val="auto"/>
        </w:rPr>
        <w:t>+</w:t>
        <w:tab/>
        <w:t>Portions of this exhibit have been omitted pursuant to Item 601(b)(10)(iv) of Regulation S-K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of 10-K Summary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37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20"/>
          </w:cols>
          <w:pgMar w:left="320" w:top="123" w:right="75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7"/>
          <w:szCs w:val="17"/>
          <w:b w:val="1"/>
          <w:bCs w:val="1"/>
          <w:color w:val="auto"/>
        </w:rPr>
        <w:t>.</w:t>
      </w:r>
    </w:p>
    <w:p>
      <w:pPr>
        <w:spacing w:after="0" w:line="8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WHITEHAWK THERAPEUTICS, INC.</w:t>
      </w:r>
    </w:p>
    <w:p>
      <w:pPr>
        <w:spacing w:after="0" w:line="277" w:lineRule="exact"/>
        <w:rPr>
          <w:sz w:val="20"/>
          <w:szCs w:val="20"/>
          <w:color w:val="auto"/>
        </w:rPr>
      </w:pPr>
    </w:p>
    <w:p>
      <w:pPr>
        <w:ind w:left="20"/>
        <w:spacing w:after="0"/>
        <w:tabs>
          <w:tab w:leader="none" w:pos="6020" w:val="left"/>
          <w:tab w:leader="none" w:pos="8180" w:val="left"/>
        </w:tabs>
        <w:rPr>
          <w:sz w:val="20"/>
          <w:szCs w:val="20"/>
          <w:color w:val="auto"/>
        </w:rPr>
      </w:pPr>
      <w:r>
        <w:rPr>
          <w:rFonts w:ascii="Times New Roman" w:cs="Times New Roman" w:eastAsia="Times New Roman" w:hAnsi="Times New Roman"/>
          <w:sz w:val="17"/>
          <w:szCs w:val="17"/>
          <w:color w:val="auto"/>
        </w:rPr>
        <w:t>Date: March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David J.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19685</wp:posOffset>
            </wp:positionV>
            <wp:extent cx="30257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David J. Lennon, Ph.D.</w:t>
      </w:r>
    </w:p>
    <w:p>
      <w:pPr>
        <w:spacing w:after="0" w:line="1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7"/>
          <w:szCs w:val="17"/>
          <w:b w:val="1"/>
          <w:bCs w:val="1"/>
          <w:color w:val="auto"/>
        </w:rPr>
        <w:t>Chief Executive Officer and President</w:t>
      </w:r>
    </w:p>
    <w:p>
      <w:pPr>
        <w:ind w:left="78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David J. Lennon, Ph.D., Scott Giacobello and Stephen Rodin, and each of them, as his or her true and lawful attorney-in-fact and agent with full power of substitution and resubstitution,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w:t>
      </w:r>
    </w:p>
    <w:p>
      <w:pPr>
        <w:spacing w:after="0" w:line="2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by the following persons on behalf of the Registrant and in the capacities and on the dates indicated.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00" w:type="dxa"/>
            <w:vAlign w:val="bottom"/>
          </w:tcPr>
          <w:p>
            <w:pPr>
              <w:spacing w:after="0"/>
              <w:rPr>
                <w:sz w:val="15"/>
                <w:szCs w:val="15"/>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2"/>
        </w:trPr>
        <w:tc>
          <w:tcPr>
            <w:tcW w:w="3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i w:val="1"/>
                <w:iCs w:val="1"/>
                <w:color w:val="auto"/>
              </w:rPr>
              <w:t>/s/ David J. Lennon</w:t>
            </w:r>
          </w:p>
        </w:tc>
        <w:tc>
          <w:tcPr>
            <w:tcW w:w="100" w:type="dxa"/>
            <w:vAlign w:val="bottom"/>
          </w:tcPr>
          <w:p>
            <w:pPr>
              <w:spacing w:after="0"/>
              <w:rPr>
                <w:sz w:val="21"/>
                <w:szCs w:val="21"/>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Chief Executive Officer and President and Director</w:t>
            </w: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27, 2025</w:t>
            </w:r>
          </w:p>
        </w:tc>
        <w:tc>
          <w:tcPr>
            <w:tcW w:w="0" w:type="dxa"/>
            <w:vAlign w:val="bottom"/>
          </w:tcPr>
          <w:p>
            <w:pPr>
              <w:spacing w:after="0"/>
              <w:rPr>
                <w:sz w:val="1"/>
                <w:szCs w:val="1"/>
                <w:color w:val="auto"/>
              </w:rPr>
            </w:pPr>
          </w:p>
        </w:tc>
      </w:tr>
      <w:tr>
        <w:trPr>
          <w:trHeight w:val="220"/>
        </w:trPr>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David J. Lennon, Ph.D.</w:t>
            </w: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/s/ Scott Giacobello</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Chief Financial Officer</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27, 2025</w:t>
            </w:r>
          </w:p>
        </w:tc>
        <w:tc>
          <w:tcPr>
            <w:tcW w:w="0" w:type="dxa"/>
            <w:vAlign w:val="bottom"/>
          </w:tcPr>
          <w:p>
            <w:pPr>
              <w:spacing w:after="0"/>
              <w:rPr>
                <w:sz w:val="1"/>
                <w:szCs w:val="1"/>
                <w:color w:val="auto"/>
              </w:rPr>
            </w:pPr>
          </w:p>
        </w:tc>
      </w:tr>
      <w:tr>
        <w:trPr>
          <w:trHeight w:val="52"/>
        </w:trPr>
        <w:tc>
          <w:tcPr>
            <w:tcW w:w="36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Scott Giacobello</w:t>
            </w:r>
          </w:p>
        </w:tc>
        <w:tc>
          <w:tcPr>
            <w:tcW w:w="100" w:type="dxa"/>
            <w:vAlign w:val="bottom"/>
            <w:vMerge w:val="continue"/>
          </w:tcPr>
          <w:p>
            <w:pPr>
              <w:spacing w:after="0"/>
              <w:rPr>
                <w:sz w:val="13"/>
                <w:szCs w:val="13"/>
                <w:color w:val="auto"/>
              </w:rPr>
            </w:pPr>
          </w:p>
        </w:tc>
        <w:tc>
          <w:tcPr>
            <w:tcW w:w="3760" w:type="dxa"/>
            <w:vAlign w:val="bottom"/>
            <w:gridSpan w:val="2"/>
            <w:vMerge w:val="continue"/>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1"/>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/s/ Caley Castelein</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Chairman</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27, 2025</w:t>
            </w:r>
          </w:p>
        </w:tc>
        <w:tc>
          <w:tcPr>
            <w:tcW w:w="0" w:type="dxa"/>
            <w:vAlign w:val="bottom"/>
          </w:tcPr>
          <w:p>
            <w:pPr>
              <w:spacing w:after="0"/>
              <w:rPr>
                <w:sz w:val="1"/>
                <w:szCs w:val="1"/>
                <w:color w:val="auto"/>
              </w:rPr>
            </w:pPr>
          </w:p>
        </w:tc>
      </w:tr>
      <w:tr>
        <w:trPr>
          <w:trHeight w:val="220"/>
        </w:trPr>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Caley Castelein, M.D.</w:t>
            </w: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/s/ Behzad Aghazadeh</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27, 2025</w:t>
            </w:r>
          </w:p>
        </w:tc>
        <w:tc>
          <w:tcPr>
            <w:tcW w:w="0" w:type="dxa"/>
            <w:vAlign w:val="bottom"/>
          </w:tcPr>
          <w:p>
            <w:pPr>
              <w:spacing w:after="0"/>
              <w:rPr>
                <w:sz w:val="1"/>
                <w:szCs w:val="1"/>
                <w:color w:val="auto"/>
              </w:rPr>
            </w:pPr>
          </w:p>
        </w:tc>
      </w:tr>
      <w:tr>
        <w:trPr>
          <w:trHeight w:val="220"/>
        </w:trPr>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Behzad Aghazadeh, Ph.D.</w:t>
            </w: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/s/ Anupam Dalal</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27, 2025</w:t>
            </w:r>
          </w:p>
        </w:tc>
        <w:tc>
          <w:tcPr>
            <w:tcW w:w="0" w:type="dxa"/>
            <w:vAlign w:val="bottom"/>
          </w:tcPr>
          <w:p>
            <w:pPr>
              <w:spacing w:after="0"/>
              <w:rPr>
                <w:sz w:val="1"/>
                <w:szCs w:val="1"/>
                <w:color w:val="auto"/>
              </w:rPr>
            </w:pPr>
          </w:p>
        </w:tc>
      </w:tr>
      <w:tr>
        <w:trPr>
          <w:trHeight w:val="220"/>
        </w:trPr>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Anupam Dalal, M.D.</w:t>
            </w: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/s/ Neil Desai</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27, 2025</w:t>
            </w:r>
          </w:p>
        </w:tc>
        <w:tc>
          <w:tcPr>
            <w:tcW w:w="0" w:type="dxa"/>
            <w:vAlign w:val="bottom"/>
          </w:tcPr>
          <w:p>
            <w:pPr>
              <w:spacing w:after="0"/>
              <w:rPr>
                <w:sz w:val="1"/>
                <w:szCs w:val="1"/>
                <w:color w:val="auto"/>
              </w:rPr>
            </w:pPr>
          </w:p>
        </w:tc>
      </w:tr>
      <w:tr>
        <w:trPr>
          <w:trHeight w:val="220"/>
        </w:trPr>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Neil Desai, Ph.D.</w:t>
            </w: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/s/ Karin Hehenberger</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27, 2025</w:t>
            </w:r>
          </w:p>
        </w:tc>
        <w:tc>
          <w:tcPr>
            <w:tcW w:w="0" w:type="dxa"/>
            <w:vAlign w:val="bottom"/>
          </w:tcPr>
          <w:p>
            <w:pPr>
              <w:spacing w:after="0"/>
              <w:rPr>
                <w:sz w:val="1"/>
                <w:szCs w:val="1"/>
                <w:color w:val="auto"/>
              </w:rPr>
            </w:pPr>
          </w:p>
        </w:tc>
      </w:tr>
      <w:tr>
        <w:trPr>
          <w:trHeight w:val="220"/>
        </w:trPr>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Karin Hehenberger, M.D., Ph.D.</w:t>
            </w: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/s/ Mohammad Hirmand</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27, 2025</w:t>
            </w:r>
          </w:p>
        </w:tc>
        <w:tc>
          <w:tcPr>
            <w:tcW w:w="0" w:type="dxa"/>
            <w:vAlign w:val="bottom"/>
          </w:tcPr>
          <w:p>
            <w:pPr>
              <w:spacing w:after="0"/>
              <w:rPr>
                <w:sz w:val="1"/>
                <w:szCs w:val="1"/>
                <w:color w:val="auto"/>
              </w:rPr>
            </w:pPr>
          </w:p>
        </w:tc>
      </w:tr>
      <w:tr>
        <w:trPr>
          <w:trHeight w:val="220"/>
        </w:trPr>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Mohammad Hirmand, M.D.</w:t>
            </w: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w w:val="99"/>
              </w:rPr>
              <w:t>/s/ Richard Maroun</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27, 2025</w:t>
            </w:r>
          </w:p>
        </w:tc>
        <w:tc>
          <w:tcPr>
            <w:tcW w:w="0" w:type="dxa"/>
            <w:vAlign w:val="bottom"/>
          </w:tcPr>
          <w:p>
            <w:pPr>
              <w:spacing w:after="0"/>
              <w:rPr>
                <w:sz w:val="1"/>
                <w:szCs w:val="1"/>
                <w:color w:val="auto"/>
              </w:rPr>
            </w:pPr>
          </w:p>
        </w:tc>
      </w:tr>
      <w:tr>
        <w:trPr>
          <w:trHeight w:val="220"/>
        </w:trPr>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Richard Maroun, J.D.</w:t>
            </w: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/s/ Emma Reeve</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27, 2025</w:t>
            </w:r>
          </w:p>
        </w:tc>
        <w:tc>
          <w:tcPr>
            <w:tcW w:w="0" w:type="dxa"/>
            <w:vAlign w:val="bottom"/>
          </w:tcPr>
          <w:p>
            <w:pPr>
              <w:spacing w:after="0"/>
              <w:rPr>
                <w:sz w:val="1"/>
                <w:szCs w:val="1"/>
                <w:color w:val="auto"/>
              </w:rPr>
            </w:pPr>
          </w:p>
        </w:tc>
      </w:tr>
      <w:tr>
        <w:trPr>
          <w:trHeight w:val="220"/>
        </w:trPr>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Emma Reeve</w:t>
            </w: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/s/ Baiteng Zhao, Ph.D.</w:t>
            </w: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March 27, 2025</w:t>
            </w:r>
          </w:p>
        </w:tc>
        <w:tc>
          <w:tcPr>
            <w:tcW w:w="0" w:type="dxa"/>
            <w:vAlign w:val="bottom"/>
          </w:tcPr>
          <w:p>
            <w:pPr>
              <w:spacing w:after="0"/>
              <w:rPr>
                <w:sz w:val="1"/>
                <w:szCs w:val="1"/>
                <w:color w:val="auto"/>
              </w:rPr>
            </w:pPr>
          </w:p>
        </w:tc>
      </w:tr>
      <w:tr>
        <w:trPr>
          <w:trHeight w:val="220"/>
        </w:trPr>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Baiteng Zhao, Ph.D.</w:t>
            </w: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5"/>
        </w:trPr>
        <w:tc>
          <w:tcPr>
            <w:tcW w:w="3680" w:type="dxa"/>
            <w:vAlign w:val="bottom"/>
          </w:tcPr>
          <w:p>
            <w:pPr>
              <w:spacing w:after="0"/>
              <w:rPr>
                <w:sz w:val="24"/>
                <w:szCs w:val="24"/>
                <w:color w:val="auto"/>
              </w:rPr>
            </w:pPr>
          </w:p>
        </w:tc>
        <w:tc>
          <w:tcPr>
            <w:tcW w:w="378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150" w:name="page151"/>
    <w:bookmarkEnd w:id="150"/>
    <w:p>
      <w:pPr>
        <w:spacing w:after="0" w:line="1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4.1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REGISTRANT’S SECURITIES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PURSUANT TO SECTION 12 OF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ACT OF 1934, AS AMENDED</w:t>
      </w:r>
    </w:p>
    <w:p>
      <w:pPr>
        <w:spacing w:after="0" w:line="3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common stock, par value $0.0001 per share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of Whitehawk Therapeutics,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us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we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our</w:t>
      </w:r>
      <w:r>
        <w:rPr>
          <w:rFonts w:ascii="Times New Roman" w:cs="Times New Roman" w:eastAsia="Times New Roman" w:hAnsi="Times New Roman"/>
          <w:sz w:val="17"/>
          <w:szCs w:val="17"/>
          <w:color w:val="auto"/>
        </w:rPr>
        <w:t>”), is registered under Section 12 of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The following description sets forth certain general terms and provisions of our Common Stock. These descriptions are in all respects subject to and qualified in their entirety by, and should be read in conjunction with, the applicable provisions of, our Amended and Restated Certificate of Incorporation (the “</w:t>
      </w:r>
      <w:r>
        <w:rPr>
          <w:rFonts w:ascii="Times New Roman" w:cs="Times New Roman" w:eastAsia="Times New Roman" w:hAnsi="Times New Roman"/>
          <w:sz w:val="17"/>
          <w:szCs w:val="17"/>
          <w:u w:val="single" w:color="auto"/>
          <w:color w:val="auto"/>
        </w:rPr>
        <w:t>Charter</w:t>
      </w:r>
      <w:r>
        <w:rPr>
          <w:rFonts w:ascii="Times New Roman" w:cs="Times New Roman" w:eastAsia="Times New Roman" w:hAnsi="Times New Roman"/>
          <w:sz w:val="17"/>
          <w:szCs w:val="17"/>
          <w:color w:val="auto"/>
        </w:rPr>
        <w:t>”) and our Amended and Restated Bylaws (the “</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(each of which is incorporated herein by reference and copies of which are incorporated by reference as exhibits to our most recent Annual Report on Form 10-K filed with the Securities and Exchange Commission) and the applicable provisions of the Delaware General Corporation Law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Capital Stock</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Our authorized capital stock consists of 300,000,000 shares of Common Stock and 10,000,000 shares of undesignated preferred stock, par value $0.0001 per share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holders of outstanding shares of Common Stock are entitled to receive dividends out of assets or funds legally available for the payment of dividends of such times and in such amounts as the Company’s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from time to time may determine.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Holders of Common Stock are entitled to one vote for each share held on all matters submitted to a vote of stockholders. There is no cumulative voting of the election of directors then standing for election.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Distributions on Liquidation</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Upon liquidation, dissolution or winding up of the Company, the assets legally available for distribution to stockholders are distributable ratably among the holders of our Common Stock after payment of liquidation preferences, if any, on any outstanding payment of other claims of creditors. Each outstanding share of Common Stock is duly and validly issued, fully paid and non-assessable.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Rights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not entitled to pre-emptive rights and is not subject to conversion or redemption.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Relationship to Preferred Stock</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Shares of Preferred Stock may be issued from time to time in one or more series, each of which will have such distinctive designation or title as shall be determined by our board of directors prior to the issuance of any shares thereof. Preferred Stock will have such voting powers, full or limited, or no voting powers, and such preferences and relative, participating, optional or other special rights and such qualifications, limitations or restrictions thereof, as shall be stated in such resolution or resolutions providing for the issue of such class or series of Preferred Stock as may be adopted from time to time by the board of directors prior to the issuance of any shares thereof. Subject to the terms of any Preferred Stock designation that we may adopt from time to time, the Board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the Charter or the resolution of the Board originally fixing the number of shares of such series. Except as may be otherwise specified by the terms of any series of Preferred Stock, if the number of shares of any series of Preferred Stock is so decreased, then the Company</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shall take all such steps as are necessary to cause the shares constituting such decrease to resume the status which they had prior to the adoption of the resolution originally fixing the number of shares of such series.</w:t>
      </w:r>
    </w:p>
    <w:p>
      <w:pPr>
        <w:spacing w:after="0" w:line="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While we do not currently have any plans for the issuance of Preferred Stock, the issuance of such Preferred Stock could adversely affect the rights of the holders of common stock and, therefore, reduce the value of the common stock. It is not possible to state the actual effect of the issuance of any shares of Preferred Stock on the rights of holders of the common stock until the Board determines the specific rights of the holders of the Preferred Stock; however, these effects may include:</w:t>
      </w:r>
    </w:p>
    <w:p>
      <w:pPr>
        <w:spacing w:after="0" w:line="313" w:lineRule="exact"/>
        <w:rPr>
          <w:sz w:val="20"/>
          <w:szCs w:val="20"/>
          <w:color w:val="auto"/>
        </w:rPr>
      </w:pPr>
    </w:p>
    <w:p>
      <w:pPr>
        <w:ind w:left="820" w:hanging="542"/>
        <w:spacing w:after="0"/>
        <w:tabs>
          <w:tab w:leader="none" w:pos="8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Restricting dividends on the common stock;</w:t>
      </w:r>
    </w:p>
    <w:p>
      <w:pPr>
        <w:spacing w:after="0" w:line="27" w:lineRule="exact"/>
        <w:rPr>
          <w:rFonts w:ascii="Times New Roman" w:cs="Times New Roman" w:eastAsia="Times New Roman" w:hAnsi="Times New Roman"/>
          <w:sz w:val="17"/>
          <w:szCs w:val="17"/>
          <w:color w:val="auto"/>
        </w:rPr>
      </w:pPr>
    </w:p>
    <w:p>
      <w:pPr>
        <w:ind w:left="820" w:hanging="542"/>
        <w:spacing w:after="0"/>
        <w:tabs>
          <w:tab w:leader="none" w:pos="8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Diluting the voting power of the common stock;</w:t>
      </w:r>
    </w:p>
    <w:p>
      <w:pPr>
        <w:spacing w:after="0" w:line="23" w:lineRule="exact"/>
        <w:rPr>
          <w:rFonts w:ascii="Times New Roman" w:cs="Times New Roman" w:eastAsia="Times New Roman" w:hAnsi="Times New Roman"/>
          <w:sz w:val="17"/>
          <w:szCs w:val="17"/>
          <w:color w:val="auto"/>
        </w:rPr>
      </w:pPr>
    </w:p>
    <w:p>
      <w:pPr>
        <w:ind w:left="820" w:hanging="542"/>
        <w:spacing w:after="0"/>
        <w:tabs>
          <w:tab w:leader="none" w:pos="8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Impairing the liquidation rights of the common stock; or</w:t>
      </w:r>
    </w:p>
    <w:p>
      <w:pPr>
        <w:spacing w:after="0" w:line="23" w:lineRule="exact"/>
        <w:rPr>
          <w:rFonts w:ascii="Times New Roman" w:cs="Times New Roman" w:eastAsia="Times New Roman" w:hAnsi="Times New Roman"/>
          <w:sz w:val="17"/>
          <w:szCs w:val="17"/>
          <w:color w:val="auto"/>
        </w:rPr>
      </w:pPr>
    </w:p>
    <w:p>
      <w:pPr>
        <w:ind w:left="820" w:hanging="542"/>
        <w:spacing w:after="0"/>
        <w:tabs>
          <w:tab w:leader="none" w:pos="8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Delaying or preventing a change in control of our company without further action by the stockholders.</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Other than in connection with shares of Preferred Stock (as explained above), which Preferred Stock is not currently designated nor contemplated by the Company, the Company does not believe that any provision of its Charter or Bylaws would delay, defer or prevent a change in control.</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No shares of Preferred Stock are issued and outstanding as of the date of our Annual Report on Form 10-K with which this Exhibit 4.1 is filed as an exhibit or incorporated by reference.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Pre-Funded Warrants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26, 2025, the Company had pre-funded warrants outstanding to purchase up to an aggregate of 22,076,537 shares of its Common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Exercisability</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pre-funded warrants are exercisable at any time after their original issuance. The pre-funded warrants will be exercisable, at the option of each holder, in whole or in part by delivering to the Company a duly executed exercise notice and by payment in full in immediately available funds for the number of shares of Common Stock purchased upon such exercise. As an alternative to payment in immediately available funds, the holder may, in its sole discretion, elect to exercise the warrant through a cashless exercise, in which case the holder would receive upon such exercise the net number of shares of Common Stock determined according to the formula set forth in the pre-funded warrant. No fractional Common Stock will be issued in connection with the exercise of a pre-funded warrant. In lieu of fractional shares, the Company will pay the holder an amount in cash equal to the fractional amount multiplied by the fair market value of any fractional shares.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Exercise Limitations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terms of the pre-funded warrants, the Company may not effect the exercise of any pre-funded warrant, and a holder will not be entitled to exercise any portion of any pre-funded warrant, which, upon giving effect to such exercise, would cause the aggregate number of shares of Common Stock beneficially owned by the holder (together with its affiliates) to exceed 4.99% of the number of shares of Common Stock outstanding immediately after giving effect to the exercise (or, upon election of the holder, 9.99% or 19.99%). However, any holder may increase or decrease such percentage to any other percentage not in excess of 19.99% upon at least 61 days’ prior notice from the holder to the Company.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Exercise Price</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exercise price per whole Common Stock purchasable upon the exercise of the pre-funded warrants is $0.0001 per warrant share. The exercise price of the pre-funded warrants is subject to appropriate adjustment in the event of certain share dividends and distributions, stock splits, stock combinations, reclassifications or similar events affecting the Company’s Common Stock.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Effects of our Charter and Bylaws and Delaware Law</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Certain provisions of Delaware law and our Charter and Bylaws may have an anti-takeover effect, for example, by permitting issuances that would dilute the stock ownership of a person seeking to effect a change in the composition of the Board or contemplating a tender offer or other transaction for the combination of the Company with another</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company. It is possible that these provisions could make it more difficult to accomplish or could deter transactions that stockholders may otherwise consider to be in their best interest or in our best interests, including transactions that might result in a premium over the price of our Common Stock.</w:t>
      </w:r>
    </w:p>
    <w:p>
      <w:pPr>
        <w:spacing w:after="0" w:line="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These provisions, summarized below, are expected to discourage coercive takeover practices and inadequate takeover bids. These provisions are also designed to encourage persons seeking to acquire control of us to first negotiate with our Board.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Delaware Anti-Takeover Statute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person deemed an “interested stockholder” from engaging in a “business combination” with a publicly held Delaware corporation for three years following the date such person becomes an interested stockholder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such as discouraging takeover attempts that might result in a premium over the price of our Common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Undesignated Preferred Stock</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ability to authorize undesignated Preferred Stock makes it possible for our board of directors to issue Preferred Stock with voting or other rights or preferences that could impede the success of any attempt to change control of our company. These and other provisions may have the effect of deterring hostile takeovers or delaying changes in control or management of our company.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Special Stockholder Meetings</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Charter provides that a special meeting of stockholders may be called only the chairperson of the Board, the chief executive officer of the Company, the president of the Company or the Board acting pursuant to a resolution adopted by a majority of the total number of authorized directorships, whether or not there exist any vacancies or other unfilled seats in previously authorized directorships.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Requirements for Advance Notification of Stockholder Nominations and Proposals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Our Bylaws establish advance notice procedures with respect to stockholder proposals and the nomination of candidates for election as directors, other than nominations made by or at the direction of the Board or a committee of the Board.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Elimination of Stockholder Action by Written Consent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Charter eliminates the right of stockholders to act by written consent without a meeting.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Classified Board; Election and Removal of Directors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Board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our Common Stock outstanding will be able to elect all of our directors.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Choice of Forum</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Bylaws provides that, unless we consent in writing to the selection of an alternative forum, the Court of Chancery of the State of Delaware (or, if the Court of Chancery does not have jurisdiction, then the United States District Court for the District of Delaware) will be the exclusive forum for any derivative action or proceeding brought on our behalf; any action asserting a breach of fiduciary duty; any action asserting a claim against us arising pursuant to the DGCL or our Charter or Bylaws; or any action asserting a claim against us that is governed by the internal affairs doctrine (the “</w:t>
      </w:r>
      <w:r>
        <w:rPr>
          <w:rFonts w:ascii="Times New Roman" w:cs="Times New Roman" w:eastAsia="Times New Roman" w:hAnsi="Times New Roman"/>
          <w:sz w:val="17"/>
          <w:szCs w:val="17"/>
          <w:u w:val="single" w:color="auto"/>
          <w:color w:val="auto"/>
        </w:rPr>
        <w:t>Delaware Forum Provision</w:t>
      </w:r>
      <w:r>
        <w:rPr>
          <w:rFonts w:ascii="Times New Roman" w:cs="Times New Roman" w:eastAsia="Times New Roman" w:hAnsi="Times New Roman"/>
          <w:sz w:val="17"/>
          <w:szCs w:val="17"/>
          <w:color w:val="auto"/>
        </w:rPr>
        <w:t>”). In addition, unless we consent in writing to the selection of an alternative forum, the federal district courts of the United States of America shall be the sole and exclusive forum for the resolution of any complaint asserting a cause of action arising under the Securities Act against any person in connection with any offering of our securities, including, without limitation and for the avoidance of doubt, any auditor, underwriter, expert, control person or other defendant.</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provisions of the DGCL, our Charter and our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transfer agent and registrar for our Common Stock is Equiniti Trust Company, LLC. The transfer agent and registrar’s address is 48 Wall Street, Floor 23, New York, NY 10005.</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Exchange Listing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listed on the Nasdaq Capital Market under the symbol “WHWK.”</w:t>
      </w:r>
    </w:p>
    <w:p>
      <w:pPr>
        <w:sectPr>
          <w:pgSz w:w="11900" w:h="16838" w:orient="portrait"/>
          <w:cols w:equalWidth="0" w:num="1">
            <w:col w:w="11240"/>
          </w:cols>
          <w:pgMar w:left="320" w:top="1440"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line="462" w:lineRule="auto"/>
        <w:rPr>
          <w:sz w:val="20"/>
          <w:szCs w:val="20"/>
          <w:color w:val="auto"/>
        </w:rPr>
      </w:pPr>
      <w:r>
        <w:rPr>
          <w:rFonts w:ascii="Times New Roman" w:cs="Times New Roman" w:eastAsia="Times New Roman" w:hAnsi="Times New Roman"/>
          <w:sz w:val="21"/>
          <w:szCs w:val="21"/>
          <w:b w:val="1"/>
          <w:bCs w:val="1"/>
          <w:color w:val="auto"/>
        </w:rPr>
        <w:t xml:space="preserve">WHITEHAWK THERAPEUTICS, INC. 2021 EQUITY INCENTIVE PLAN </w:t>
      </w:r>
      <w:r>
        <w:rPr>
          <w:rFonts w:ascii="Times New Roman" w:cs="Times New Roman" w:eastAsia="Times New Roman" w:hAnsi="Times New Roman"/>
          <w:sz w:val="21"/>
          <w:szCs w:val="21"/>
          <w:color w:val="auto"/>
        </w:rPr>
        <w:t>(as amended and restated February 28, 2025 (the “</w:t>
      </w:r>
      <w:r>
        <w:rPr>
          <w:rFonts w:ascii="Times New Roman" w:cs="Times New Roman" w:eastAsia="Times New Roman" w:hAnsi="Times New Roman"/>
          <w:sz w:val="21"/>
          <w:szCs w:val="21"/>
          <w:u w:val="single" w:color="auto"/>
          <w:color w:val="auto"/>
        </w:rPr>
        <w:t>Restatement Date</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ind w:left="1240" w:hanging="619"/>
        <w:spacing w:after="0"/>
        <w:tabs>
          <w:tab w:leader="none" w:pos="12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Purposes of the Plan</w:t>
      </w:r>
      <w:r>
        <w:rPr>
          <w:rFonts w:ascii="Times New Roman" w:cs="Times New Roman" w:eastAsia="Times New Roman" w:hAnsi="Times New Roman"/>
          <w:sz w:val="21"/>
          <w:szCs w:val="21"/>
          <w:color w:val="auto"/>
        </w:rPr>
        <w:t>. The purposes of this Plan are:</w:t>
      </w:r>
    </w:p>
    <w:p>
      <w:pPr>
        <w:spacing w:after="0" w:line="196"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attract and retain the best available personnel for positions of substantial responsibility,</w:t>
      </w:r>
    </w:p>
    <w:p>
      <w:pPr>
        <w:spacing w:after="0" w:line="209"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additional incentive to Employees, Directors and Consultants, and</w:t>
      </w:r>
    </w:p>
    <w:p>
      <w:pPr>
        <w:spacing w:after="0" w:line="209"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promote the success of the Company’s business.</w:t>
      </w:r>
    </w:p>
    <w:p>
      <w:pPr>
        <w:spacing w:after="0" w:line="222" w:lineRule="exact"/>
        <w:rPr>
          <w:sz w:val="20"/>
          <w:szCs w:val="20"/>
          <w:color w:val="auto"/>
        </w:rPr>
      </w:pPr>
    </w:p>
    <w:p>
      <w:pPr>
        <w:ind w:firstLine="1236"/>
        <w:spacing w:after="0" w:line="269" w:lineRule="auto"/>
        <w:rPr>
          <w:sz w:val="20"/>
          <w:szCs w:val="20"/>
          <w:color w:val="auto"/>
        </w:rPr>
      </w:pPr>
      <w:r>
        <w:rPr>
          <w:rFonts w:ascii="Times New Roman" w:cs="Times New Roman" w:eastAsia="Times New Roman" w:hAnsi="Times New Roman"/>
          <w:sz w:val="21"/>
          <w:szCs w:val="21"/>
          <w:color w:val="auto"/>
        </w:rPr>
        <w:t>The Plan permits the grant of Incentive Stock Options, Nonstatutory Stock Options, Restricted Stock, Restricted Stock Units, Stock Appreciation Rights, Performance Units and Performance Shares.</w:t>
      </w:r>
    </w:p>
    <w:p>
      <w:pPr>
        <w:spacing w:after="0" w:line="128" w:lineRule="exact"/>
        <w:rPr>
          <w:sz w:val="20"/>
          <w:szCs w:val="20"/>
          <w:color w:val="auto"/>
        </w:rPr>
      </w:pPr>
    </w:p>
    <w:p>
      <w:pPr>
        <w:ind w:left="1240" w:hanging="619"/>
        <w:spacing w:after="0"/>
        <w:tabs>
          <w:tab w:leader="none" w:pos="12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herein, the following definitions will apply:</w:t>
      </w:r>
    </w:p>
    <w:p>
      <w:pPr>
        <w:spacing w:after="0" w:line="168"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Aadi</w:t>
      </w:r>
      <w:r>
        <w:rPr>
          <w:rFonts w:ascii="Times New Roman" w:cs="Times New Roman" w:eastAsia="Times New Roman" w:hAnsi="Times New Roman"/>
          <w:sz w:val="20"/>
          <w:szCs w:val="20"/>
          <w:color w:val="auto"/>
        </w:rPr>
        <w:t>” means Aadi Bioscience, Inc., a Delaware corporation, which is now known as Whitehawk Therapeutics,</w:t>
      </w:r>
    </w:p>
    <w:p>
      <w:pPr>
        <w:spacing w:after="0"/>
        <w:rPr>
          <w:sz w:val="20"/>
          <w:szCs w:val="20"/>
          <w:color w:val="auto"/>
        </w:rPr>
      </w:pPr>
      <w:r>
        <w:rPr>
          <w:rFonts w:ascii="Times New Roman" w:cs="Times New Roman" w:eastAsia="Times New Roman" w:hAnsi="Times New Roman"/>
          <w:sz w:val="21"/>
          <w:szCs w:val="21"/>
          <w:color w:val="auto"/>
        </w:rPr>
        <w:t>Inc.</w:t>
      </w:r>
    </w:p>
    <w:p>
      <w:pPr>
        <w:spacing w:after="0" w:line="149" w:lineRule="exact"/>
        <w:rPr>
          <w:sz w:val="20"/>
          <w:szCs w:val="20"/>
          <w:color w:val="auto"/>
        </w:rPr>
      </w:pPr>
    </w:p>
    <w:p>
      <w:pPr>
        <w:ind w:firstLine="1239"/>
        <w:spacing w:after="0" w:line="235" w:lineRule="auto"/>
        <w:tabs>
          <w:tab w:leader="none" w:pos="185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Aadi Merger</w:t>
      </w:r>
      <w:r>
        <w:rPr>
          <w:rFonts w:ascii="Times New Roman" w:cs="Times New Roman" w:eastAsia="Times New Roman" w:hAnsi="Times New Roman"/>
          <w:sz w:val="21"/>
          <w:szCs w:val="21"/>
          <w:color w:val="auto"/>
        </w:rPr>
        <w:t>” means the merger of Merger Sub with and into Aadi, with Aadi as the surviving corporation, as contemplated by the Merger Agreement.</w:t>
      </w:r>
    </w:p>
    <w:p>
      <w:pPr>
        <w:spacing w:after="0" w:line="143"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means the Board or any of its Committees as will be administering the Plan, in accordance with</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Section 4 of the Plan.</w:t>
      </w:r>
    </w:p>
    <w:p>
      <w:pPr>
        <w:spacing w:after="0" w:line="148" w:lineRule="exact"/>
        <w:rPr>
          <w:rFonts w:ascii="Times New Roman" w:cs="Times New Roman" w:eastAsia="Times New Roman" w:hAnsi="Times New Roman"/>
          <w:sz w:val="20"/>
          <w:szCs w:val="20"/>
          <w:color w:val="auto"/>
        </w:rPr>
      </w:pPr>
    </w:p>
    <w:p>
      <w:pPr>
        <w:jc w:val="both"/>
        <w:ind w:firstLine="1239"/>
        <w:spacing w:after="0" w:line="231" w:lineRule="auto"/>
        <w:tabs>
          <w:tab w:leader="none" w:pos="185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Laws</w:t>
      </w:r>
      <w:r>
        <w:rPr>
          <w:rFonts w:ascii="Times New Roman" w:cs="Times New Roman" w:eastAsia="Times New Roman" w:hAnsi="Times New Roman"/>
          <w:sz w:val="20"/>
          <w:szCs w:val="20"/>
          <w:color w:val="auto"/>
        </w:rPr>
        <w:t>” means the legal and regulatory requirements relating to the administration of equity-based awards, including but not limited to the related issuance of shares of Common Stock, including but not limited to, under U.S.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44" w:lineRule="exact"/>
        <w:rPr>
          <w:rFonts w:ascii="Times New Roman" w:cs="Times New Roman" w:eastAsia="Times New Roman" w:hAnsi="Times New Roman"/>
          <w:sz w:val="20"/>
          <w:szCs w:val="20"/>
          <w:color w:val="auto"/>
        </w:rPr>
      </w:pPr>
    </w:p>
    <w:p>
      <w:pPr>
        <w:ind w:firstLine="1239"/>
        <w:spacing w:after="0" w:line="235" w:lineRule="auto"/>
        <w:tabs>
          <w:tab w:leader="none" w:pos="185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means, individually or collectively, a grant under the Plan of Options, Stock Appreciation Rights, Restricted Stock, Restricted Stock Units, Performance Units or Performance Shares.</w:t>
      </w:r>
    </w:p>
    <w:p>
      <w:pPr>
        <w:spacing w:after="0" w:line="145" w:lineRule="exact"/>
        <w:rPr>
          <w:rFonts w:ascii="Times New Roman" w:cs="Times New Roman" w:eastAsia="Times New Roman" w:hAnsi="Times New Roman"/>
          <w:sz w:val="21"/>
          <w:szCs w:val="21"/>
          <w:color w:val="auto"/>
        </w:rPr>
      </w:pPr>
    </w:p>
    <w:p>
      <w:pPr>
        <w:ind w:firstLine="1239"/>
        <w:spacing w:after="0" w:line="235" w:lineRule="auto"/>
        <w:tabs>
          <w:tab w:leader="none" w:pos="1854"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means the written or electronic agreement setting forth the terms and provisions applicable to each Award granted under the Plan. The Award Agreement is subject to the terms and conditions of the Plan.</w:t>
      </w:r>
    </w:p>
    <w:p>
      <w:pPr>
        <w:spacing w:after="0" w:line="145"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the occurrence of any of the following events following the Effective Date:</w:t>
      </w:r>
    </w:p>
    <w:p>
      <w:pPr>
        <w:sectPr>
          <w:pgSz w:w="11900" w:h="16838" w:orient="portrait"/>
          <w:cols w:equalWidth="0" w:num="1">
            <w:col w:w="11240"/>
          </w:cols>
          <w:pgMar w:left="320" w:top="123" w:right="339" w:bottom="1440" w:gutter="0" w:footer="0" w:header="0"/>
        </w:sectPr>
      </w:pPr>
    </w:p>
    <w:bookmarkStart w:id="155" w:name="page156"/>
    <w:bookmarkEnd w:id="155"/>
    <w:p>
      <w:pPr>
        <w:spacing w:after="0" w:line="349" w:lineRule="exact"/>
        <w:rPr>
          <w:sz w:val="20"/>
          <w:szCs w:val="20"/>
          <w:color w:val="auto"/>
        </w:rPr>
      </w:pPr>
    </w:p>
    <w:p>
      <w:pPr>
        <w:jc w:val="both"/>
        <w:ind w:firstLine="2166"/>
        <w:spacing w:after="0" w:line="217" w:lineRule="auto"/>
        <w:tabs>
          <w:tab w:leader="none" w:pos="246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ownership of the Company which occurs on the date that any one person, or more than one person acting as a group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w:t>
      </w:r>
    </w:p>
    <w:p>
      <w:pPr>
        <w:spacing w:after="0" w:line="4" w:lineRule="exact"/>
        <w:rPr>
          <w:rFonts w:ascii="Times New Roman" w:cs="Times New Roman" w:eastAsia="Times New Roman" w:hAnsi="Times New Roman"/>
          <w:sz w:val="20"/>
          <w:szCs w:val="20"/>
          <w:color w:val="auto"/>
        </w:rPr>
      </w:pPr>
    </w:p>
    <w:p>
      <w:pPr>
        <w:jc w:val="both"/>
        <w:spacing w:after="0" w:line="21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47" w:lineRule="exact"/>
        <w:rPr>
          <w:rFonts w:ascii="Times New Roman" w:cs="Times New Roman" w:eastAsia="Times New Roman" w:hAnsi="Times New Roman"/>
          <w:sz w:val="20"/>
          <w:szCs w:val="20"/>
          <w:color w:val="auto"/>
        </w:rPr>
      </w:pPr>
    </w:p>
    <w:p>
      <w:pPr>
        <w:jc w:val="both"/>
        <w:ind w:firstLine="2166"/>
        <w:spacing w:after="0" w:line="217" w:lineRule="auto"/>
        <w:tabs>
          <w:tab w:leader="none" w:pos="2467"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45" w:lineRule="exact"/>
        <w:rPr>
          <w:sz w:val="20"/>
          <w:szCs w:val="20"/>
          <w:color w:val="auto"/>
        </w:rPr>
      </w:pPr>
    </w:p>
    <w:p>
      <w:pPr>
        <w:jc w:val="both"/>
        <w:ind w:firstLine="2163"/>
        <w:spacing w:after="0" w:line="209" w:lineRule="auto"/>
        <w:rPr>
          <w:sz w:val="20"/>
          <w:szCs w:val="20"/>
          <w:color w:val="auto"/>
        </w:rPr>
      </w:pPr>
      <w:r>
        <w:rPr>
          <w:rFonts w:ascii="Times New Roman" w:cs="Times New Roman" w:eastAsia="Times New Roman" w:hAnsi="Times New Roman"/>
          <w:sz w:val="21"/>
          <w:szCs w:val="21"/>
          <w:color w:val="auto"/>
        </w:rPr>
        <w:t>(iii)A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7" w:lineRule="exact"/>
        <w:rPr>
          <w:sz w:val="20"/>
          <w:szCs w:val="20"/>
          <w:color w:val="auto"/>
        </w:rPr>
      </w:pPr>
    </w:p>
    <w:p>
      <w:pPr>
        <w:jc w:val="both"/>
        <w:ind w:firstLine="1854"/>
        <w:spacing w:after="0" w:line="294" w:lineRule="auto"/>
        <w:rPr>
          <w:sz w:val="20"/>
          <w:szCs w:val="20"/>
          <w:color w:val="auto"/>
        </w:rPr>
      </w:pPr>
      <w:r>
        <w:rPr>
          <w:rFonts w:ascii="Times New Roman" w:cs="Times New Roman" w:eastAsia="Times New Roman" w:hAnsi="Times New Roman"/>
          <w:sz w:val="20"/>
          <w:szCs w:val="20"/>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45" w:lineRule="exact"/>
        <w:rPr>
          <w:sz w:val="20"/>
          <w:szCs w:val="20"/>
          <w:color w:val="auto"/>
        </w:rPr>
      </w:pPr>
    </w:p>
    <w:p>
      <w:pPr>
        <w:jc w:val="both"/>
        <w:ind w:firstLine="1854"/>
        <w:spacing w:after="0" w:line="251" w:lineRule="auto"/>
        <w:rPr>
          <w:sz w:val="20"/>
          <w:szCs w:val="20"/>
          <w:color w:val="auto"/>
        </w:rPr>
      </w:pPr>
      <w:r>
        <w:rPr>
          <w:rFonts w:ascii="Times New Roman" w:cs="Times New Roman" w:eastAsia="Times New Roman" w:hAnsi="Times New Roman"/>
          <w:sz w:val="21"/>
          <w:szCs w:val="21"/>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- 2 -</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374" w:lineRule="exact"/>
        <w:rPr>
          <w:sz w:val="20"/>
          <w:szCs w:val="20"/>
          <w:color w:val="auto"/>
        </w:rPr>
      </w:pPr>
    </w:p>
    <w:p>
      <w:pPr>
        <w:jc w:val="both"/>
        <w:ind w:firstLine="1854"/>
        <w:spacing w:after="0" w:line="281" w:lineRule="auto"/>
        <w:rPr>
          <w:sz w:val="20"/>
          <w:szCs w:val="20"/>
          <w:color w:val="auto"/>
        </w:rPr>
      </w:pPr>
      <w:r>
        <w:rPr>
          <w:rFonts w:ascii="Times New Roman" w:cs="Times New Roman" w:eastAsia="Times New Roman" w:hAnsi="Times New Roman"/>
          <w:sz w:val="20"/>
          <w:szCs w:val="20"/>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19" w:lineRule="exact"/>
        <w:rPr>
          <w:sz w:val="20"/>
          <w:szCs w:val="20"/>
          <w:color w:val="auto"/>
        </w:rPr>
      </w:pPr>
    </w:p>
    <w:p>
      <w:pPr>
        <w:jc w:val="both"/>
        <w:ind w:firstLine="1239"/>
        <w:spacing w:after="0" w:line="225" w:lineRule="auto"/>
        <w:tabs>
          <w:tab w:leader="none" w:pos="184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U.S.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44" w:lineRule="exact"/>
        <w:rPr>
          <w:rFonts w:ascii="Times New Roman" w:cs="Times New Roman" w:eastAsia="Times New Roman" w:hAnsi="Times New Roman"/>
          <w:sz w:val="21"/>
          <w:szCs w:val="21"/>
          <w:color w:val="auto"/>
        </w:rPr>
      </w:pPr>
    </w:p>
    <w:p>
      <w:pPr>
        <w:ind w:firstLine="1239"/>
        <w:spacing w:after="0" w:line="235" w:lineRule="auto"/>
        <w:tabs>
          <w:tab w:leader="none" w:pos="184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a committee of Directors or of other individuals satisfying Applicable Laws appointed by the Board, or a duly authorized committee of the Board, in accordance with Section 4 hereof.</w:t>
      </w:r>
    </w:p>
    <w:p>
      <w:pPr>
        <w:spacing w:after="0" w:line="145"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the common stock of the Company.</w:t>
      </w:r>
    </w:p>
    <w:p>
      <w:pPr>
        <w:spacing w:after="0" w:line="170" w:lineRule="exact"/>
        <w:rPr>
          <w:rFonts w:ascii="Times New Roman" w:cs="Times New Roman" w:eastAsia="Times New Roman" w:hAnsi="Times New Roman"/>
          <w:sz w:val="21"/>
          <w:szCs w:val="21"/>
          <w:color w:val="auto"/>
        </w:rPr>
      </w:pPr>
    </w:p>
    <w:p>
      <w:pPr>
        <w:ind w:left="1840" w:hanging="601"/>
        <w:spacing w:after="0"/>
        <w:tabs>
          <w:tab w:leader="none" w:pos="184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Aerpio Pharmaceuticals, Inc., a Delaware corporation, or any successor thereto.</w:t>
      </w:r>
    </w:p>
    <w:p>
      <w:pPr>
        <w:spacing w:after="0" w:line="170" w:lineRule="exact"/>
        <w:rPr>
          <w:rFonts w:ascii="Times New Roman" w:cs="Times New Roman" w:eastAsia="Times New Roman" w:hAnsi="Times New Roman"/>
          <w:sz w:val="21"/>
          <w:szCs w:val="21"/>
          <w:color w:val="auto"/>
        </w:rPr>
      </w:pPr>
    </w:p>
    <w:p>
      <w:pPr>
        <w:jc w:val="both"/>
        <w:ind w:firstLine="1239"/>
        <w:spacing w:after="0" w:line="217" w:lineRule="auto"/>
        <w:tabs>
          <w:tab w:leader="none" w:pos="184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Consultant</w:t>
      </w:r>
      <w:r>
        <w:rPr>
          <w:rFonts w:ascii="Times New Roman" w:cs="Times New Roman" w:eastAsia="Times New Roman" w:hAnsi="Times New Roman"/>
          <w:sz w:val="21"/>
          <w:szCs w:val="21"/>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44"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means a member of the Board.</w:t>
      </w:r>
    </w:p>
    <w:p>
      <w:pPr>
        <w:spacing w:after="0" w:line="170" w:lineRule="exact"/>
        <w:rPr>
          <w:rFonts w:ascii="Times New Roman" w:cs="Times New Roman" w:eastAsia="Times New Roman" w:hAnsi="Times New Roman"/>
          <w:sz w:val="21"/>
          <w:szCs w:val="21"/>
          <w:color w:val="auto"/>
        </w:rPr>
      </w:pPr>
    </w:p>
    <w:p>
      <w:pPr>
        <w:jc w:val="both"/>
        <w:ind w:firstLine="1239"/>
        <w:spacing w:after="0" w:line="225" w:lineRule="auto"/>
        <w:tabs>
          <w:tab w:leader="none" w:pos="185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44"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has the meaning ascribed to it in Section 18.</w:t>
      </w:r>
    </w:p>
    <w:p>
      <w:pPr>
        <w:spacing w:after="0" w:line="170" w:lineRule="exact"/>
        <w:rPr>
          <w:rFonts w:ascii="Times New Roman" w:cs="Times New Roman" w:eastAsia="Times New Roman" w:hAnsi="Times New Roman"/>
          <w:sz w:val="21"/>
          <w:szCs w:val="21"/>
          <w:color w:val="auto"/>
        </w:rPr>
      </w:pPr>
    </w:p>
    <w:p>
      <w:pPr>
        <w:jc w:val="both"/>
        <w:ind w:firstLine="1239"/>
        <w:spacing w:after="0" w:line="225" w:lineRule="auto"/>
        <w:tabs>
          <w:tab w:leader="none" w:pos="185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means any person, including Officers and Directors, providing services as an employee to the Company or any Parent or Subsidiary of the Company. Neither service as a Director nor payment of a director’s fee by the Company will be sufficient to constitute “employment” by the Company.</w:t>
      </w:r>
    </w:p>
    <w:p>
      <w:pPr>
        <w:spacing w:after="0" w:line="144"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U.S. Securities Exchange Act of 1934, as amended.</w:t>
      </w:r>
    </w:p>
    <w:p>
      <w:pPr>
        <w:spacing w:after="0" w:line="170" w:lineRule="exact"/>
        <w:rPr>
          <w:rFonts w:ascii="Times New Roman" w:cs="Times New Roman" w:eastAsia="Times New Roman" w:hAnsi="Times New Roman"/>
          <w:sz w:val="21"/>
          <w:szCs w:val="21"/>
          <w:color w:val="auto"/>
        </w:rPr>
      </w:pPr>
    </w:p>
    <w:p>
      <w:pPr>
        <w:jc w:val="both"/>
        <w:ind w:firstLine="1239"/>
        <w:spacing w:after="0" w:line="217" w:lineRule="auto"/>
        <w:tabs>
          <w:tab w:leader="none" w:pos="185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Program</w:t>
      </w:r>
      <w:r>
        <w:rPr>
          <w:rFonts w:ascii="Times New Roman" w:cs="Times New Roman" w:eastAsia="Times New Roman" w:hAnsi="Times New Roman"/>
          <w:sz w:val="21"/>
          <w:szCs w:val="21"/>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24" w:lineRule="exact"/>
        <w:rPr>
          <w:rFonts w:ascii="Times New Roman" w:cs="Times New Roman" w:eastAsia="Times New Roman" w:hAnsi="Times New Roman"/>
          <w:sz w:val="21"/>
          <w:szCs w:val="21"/>
          <w:color w:val="auto"/>
        </w:rPr>
      </w:pPr>
    </w:p>
    <w:p>
      <w:pPr>
        <w:ind w:left="5580" w:hanging="128"/>
        <w:spacing w:after="0"/>
        <w:tabs>
          <w:tab w:leader="none" w:pos="558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3 -</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349" w:lineRule="exact"/>
        <w:rPr>
          <w:sz w:val="20"/>
          <w:szCs w:val="20"/>
          <w:color w:val="auto"/>
        </w:rPr>
      </w:pPr>
    </w:p>
    <w:p>
      <w:pPr>
        <w:ind w:left="1840" w:hanging="601"/>
        <w:spacing w:after="0"/>
        <w:tabs>
          <w:tab w:leader="none" w:pos="184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means, as of any date, the value of Common Stock determined as follows:</w:t>
      </w:r>
    </w:p>
    <w:p>
      <w:pPr>
        <w:spacing w:after="0" w:line="170" w:lineRule="exact"/>
        <w:rPr>
          <w:rFonts w:ascii="Times New Roman" w:cs="Times New Roman" w:eastAsia="Times New Roman" w:hAnsi="Times New Roman"/>
          <w:sz w:val="21"/>
          <w:szCs w:val="21"/>
          <w:color w:val="auto"/>
        </w:rPr>
      </w:pPr>
    </w:p>
    <w:p>
      <w:pPr>
        <w:jc w:val="both"/>
        <w:ind w:firstLine="2166"/>
        <w:spacing w:after="0" w:line="217" w:lineRule="auto"/>
        <w:tabs>
          <w:tab w:leader="none" w:pos="2461"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w:t>
      </w:r>
    </w:p>
    <w:p>
      <w:pPr>
        <w:spacing w:after="0" w:line="144" w:lineRule="exact"/>
        <w:rPr>
          <w:rFonts w:ascii="Times New Roman" w:cs="Times New Roman" w:eastAsia="Times New Roman" w:hAnsi="Times New Roman"/>
          <w:sz w:val="21"/>
          <w:szCs w:val="21"/>
          <w:color w:val="auto"/>
        </w:rPr>
      </w:pPr>
    </w:p>
    <w:p>
      <w:pPr>
        <w:jc w:val="both"/>
        <w:ind w:firstLine="2166"/>
        <w:spacing w:after="0" w:line="220" w:lineRule="auto"/>
        <w:tabs>
          <w:tab w:leader="none" w:pos="2467"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w:t>
      </w:r>
    </w:p>
    <w:p>
      <w:pPr>
        <w:spacing w:after="0" w:line="145" w:lineRule="exact"/>
        <w:rPr>
          <w:sz w:val="20"/>
          <w:szCs w:val="20"/>
          <w:color w:val="auto"/>
        </w:rPr>
      </w:pPr>
    </w:p>
    <w:p>
      <w:pPr>
        <w:ind w:firstLine="2163"/>
        <w:spacing w:after="0" w:line="235" w:lineRule="auto"/>
        <w:rPr>
          <w:sz w:val="20"/>
          <w:szCs w:val="20"/>
          <w:color w:val="auto"/>
        </w:rPr>
      </w:pPr>
      <w:r>
        <w:rPr>
          <w:rFonts w:ascii="Times New Roman" w:cs="Times New Roman" w:eastAsia="Times New Roman" w:hAnsi="Times New Roman"/>
          <w:sz w:val="21"/>
          <w:szCs w:val="21"/>
          <w:color w:val="auto"/>
        </w:rPr>
        <w:t>(iii)In the absence of an established market for the Common Stock, the Fair Market Value will be determined in good faith by the Administrator.</w:t>
      </w:r>
    </w:p>
    <w:p>
      <w:pPr>
        <w:spacing w:after="0" w:line="171" w:lineRule="exact"/>
        <w:rPr>
          <w:sz w:val="20"/>
          <w:szCs w:val="20"/>
          <w:color w:val="auto"/>
        </w:rPr>
      </w:pPr>
    </w:p>
    <w:p>
      <w:pPr>
        <w:ind w:firstLine="618"/>
        <w:spacing w:after="0" w:line="269" w:lineRule="auto"/>
        <w:rPr>
          <w:sz w:val="20"/>
          <w:szCs w:val="20"/>
          <w:color w:val="auto"/>
        </w:rPr>
      </w:pPr>
      <w:r>
        <w:rPr>
          <w:rFonts w:ascii="Times New Roman" w:cs="Times New Roman" w:eastAsia="Times New Roman" w:hAnsi="Times New Roman"/>
          <w:sz w:val="21"/>
          <w:szCs w:val="21"/>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41" w:lineRule="exact"/>
        <w:rPr>
          <w:sz w:val="20"/>
          <w:szCs w:val="20"/>
          <w:color w:val="auto"/>
        </w:rPr>
      </w:pPr>
    </w:p>
    <w:p>
      <w:pPr>
        <w:ind w:left="1860" w:hanging="621"/>
        <w:spacing w:after="0"/>
        <w:tabs>
          <w:tab w:leader="none" w:pos="18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the fiscal year of the Company.</w:t>
      </w:r>
    </w:p>
    <w:p>
      <w:pPr>
        <w:spacing w:after="0" w:line="170" w:lineRule="exact"/>
        <w:rPr>
          <w:rFonts w:ascii="Times New Roman" w:cs="Times New Roman" w:eastAsia="Times New Roman" w:hAnsi="Times New Roman"/>
          <w:sz w:val="21"/>
          <w:szCs w:val="21"/>
          <w:color w:val="auto"/>
        </w:rPr>
      </w:pPr>
    </w:p>
    <w:p>
      <w:pPr>
        <w:ind w:firstLine="1239"/>
        <w:spacing w:after="0" w:line="235" w:lineRule="auto"/>
        <w:tabs>
          <w:tab w:leader="none" w:pos="185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 Stock Option</w:t>
      </w:r>
      <w:r>
        <w:rPr>
          <w:rFonts w:ascii="Times New Roman" w:cs="Times New Roman" w:eastAsia="Times New Roman" w:hAnsi="Times New Roman"/>
          <w:sz w:val="21"/>
          <w:szCs w:val="21"/>
          <w:color w:val="auto"/>
        </w:rPr>
        <w:t>” means an Option intended to qualify as an incentive stock option within the meaning of Section 422 of the Code and the regulations promulgated thereunder.</w:t>
      </w:r>
    </w:p>
    <w:p>
      <w:pPr>
        <w:spacing w:after="0" w:line="145" w:lineRule="exact"/>
        <w:rPr>
          <w:rFonts w:ascii="Times New Roman" w:cs="Times New Roman" w:eastAsia="Times New Roman" w:hAnsi="Times New Roman"/>
          <w:sz w:val="21"/>
          <w:szCs w:val="21"/>
          <w:color w:val="auto"/>
        </w:rPr>
      </w:pPr>
    </w:p>
    <w:p>
      <w:pPr>
        <w:ind w:firstLine="1239"/>
        <w:spacing w:after="0" w:line="235" w:lineRule="auto"/>
        <w:tabs>
          <w:tab w:leader="none" w:pos="184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Merger Agreement</w:t>
      </w:r>
      <w:r>
        <w:rPr>
          <w:rFonts w:ascii="Times New Roman" w:cs="Times New Roman" w:eastAsia="Times New Roman" w:hAnsi="Times New Roman"/>
          <w:sz w:val="21"/>
          <w:szCs w:val="21"/>
          <w:color w:val="auto"/>
        </w:rPr>
        <w:t>” means that certain Agreement and Plan of Merger, dated May 16, 2021, by and among the Company, Merger Sub, and Aadi.</w:t>
      </w:r>
    </w:p>
    <w:p>
      <w:pPr>
        <w:spacing w:after="0" w:line="143"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 Sub</w:t>
      </w:r>
      <w:r>
        <w:rPr>
          <w:rFonts w:ascii="Times New Roman" w:cs="Times New Roman" w:eastAsia="Times New Roman" w:hAnsi="Times New Roman"/>
          <w:sz w:val="20"/>
          <w:szCs w:val="20"/>
          <w:color w:val="auto"/>
        </w:rPr>
        <w:t>” means Aspen Merger Subsidiary, Inc., a Delaware corporation and wholly owned subsidiary of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Company.</w:t>
      </w:r>
    </w:p>
    <w:p>
      <w:pPr>
        <w:spacing w:after="0" w:line="148" w:lineRule="exact"/>
        <w:rPr>
          <w:rFonts w:ascii="Times New Roman" w:cs="Times New Roman" w:eastAsia="Times New Roman" w:hAnsi="Times New Roman"/>
          <w:sz w:val="20"/>
          <w:szCs w:val="20"/>
          <w:color w:val="auto"/>
        </w:rPr>
      </w:pPr>
    </w:p>
    <w:p>
      <w:pPr>
        <w:ind w:firstLine="1239"/>
        <w:spacing w:after="0" w:line="235" w:lineRule="auto"/>
        <w:tabs>
          <w:tab w:leader="none" w:pos="185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Nonstatutory Stock Option</w:t>
      </w:r>
      <w:r>
        <w:rPr>
          <w:rFonts w:ascii="Times New Roman" w:cs="Times New Roman" w:eastAsia="Times New Roman" w:hAnsi="Times New Roman"/>
          <w:sz w:val="21"/>
          <w:szCs w:val="21"/>
          <w:color w:val="auto"/>
        </w:rPr>
        <w:t>” means an Option that by its terms does not qualify or is not intended to qualify as an Incentive Stock Option.</w:t>
      </w:r>
    </w:p>
    <w:p>
      <w:pPr>
        <w:spacing w:after="0" w:line="145" w:lineRule="exact"/>
        <w:rPr>
          <w:rFonts w:ascii="Times New Roman" w:cs="Times New Roman" w:eastAsia="Times New Roman" w:hAnsi="Times New Roman"/>
          <w:sz w:val="21"/>
          <w:szCs w:val="21"/>
          <w:color w:val="auto"/>
        </w:rPr>
      </w:pPr>
    </w:p>
    <w:p>
      <w:pPr>
        <w:ind w:firstLine="1239"/>
        <w:spacing w:after="0" w:line="235" w:lineRule="auto"/>
        <w:tabs>
          <w:tab w:leader="none" w:pos="1851"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Officer</w:t>
      </w:r>
      <w:r>
        <w:rPr>
          <w:rFonts w:ascii="Times New Roman" w:cs="Times New Roman" w:eastAsia="Times New Roman" w:hAnsi="Times New Roman"/>
          <w:sz w:val="21"/>
          <w:szCs w:val="21"/>
          <w:color w:val="auto"/>
        </w:rPr>
        <w:t>” means a person who is an officer of the Company within the meaning of Section 16 of the Exchange Act and the rules and regulations promulgated thereunder.</w:t>
      </w:r>
    </w:p>
    <w:p>
      <w:pPr>
        <w:spacing w:after="0" w:line="145"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(aa)</w:t>
        <w:tab/>
        <w:t>“</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means a stock option granted pursuant to the Plan.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(ab)</w:t>
            </w:r>
          </w:p>
        </w:tc>
        <w:tc>
          <w:tcPr>
            <w:tcW w:w="9520" w:type="dxa"/>
            <w:vAlign w:val="bottom"/>
            <w:gridSpan w:val="5"/>
          </w:tcPr>
          <w:p>
            <w:pPr>
              <w:ind w:left="140"/>
              <w:spacing w:after="0"/>
              <w:rPr>
                <w:sz w:val="20"/>
                <w:szCs w:val="20"/>
                <w:color w:val="auto"/>
              </w:rPr>
            </w:pPr>
            <w:r>
              <w:rPr>
                <w:rFonts w:ascii="Times New Roman" w:cs="Times New Roman" w:eastAsia="Times New Roman" w:hAnsi="Times New Roman"/>
                <w:sz w:val="21"/>
                <w:szCs w:val="21"/>
                <w:color w:val="auto"/>
              </w:rPr>
              <w:t>“Outside Director” means a Director who is not an Employee.</w:t>
            </w:r>
          </w:p>
        </w:tc>
      </w:tr>
      <w:tr>
        <w:trPr>
          <w:trHeight w:val="20"/>
        </w:trPr>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392"/>
        </w:trPr>
        <w:tc>
          <w:tcPr>
            <w:tcW w:w="172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(ac)</w:t>
            </w:r>
          </w:p>
        </w:tc>
        <w:tc>
          <w:tcPr>
            <w:tcW w:w="9520" w:type="dxa"/>
            <w:vAlign w:val="bottom"/>
            <w:gridSpan w:val="5"/>
          </w:tcPr>
          <w:p>
            <w:pPr>
              <w:ind w:left="140"/>
              <w:spacing w:after="0"/>
              <w:rPr>
                <w:sz w:val="20"/>
                <w:szCs w:val="20"/>
                <w:color w:val="auto"/>
              </w:rPr>
            </w:pPr>
            <w:r>
              <w:rPr>
                <w:rFonts w:ascii="Times New Roman" w:cs="Times New Roman" w:eastAsia="Times New Roman" w:hAnsi="Times New Roman"/>
                <w:sz w:val="21"/>
                <w:szCs w:val="21"/>
                <w:color w:val="auto"/>
              </w:rPr>
              <w:t>“Parent” means a “parent corporation,” whether now or hereafter existing, as defined in Section 424(e) of the</w:t>
            </w:r>
          </w:p>
        </w:tc>
      </w:tr>
      <w:tr>
        <w:trPr>
          <w:trHeight w:val="248"/>
        </w:trPr>
        <w:tc>
          <w:tcPr>
            <w:tcW w:w="1720" w:type="dxa"/>
            <w:vAlign w:val="bottom"/>
          </w:tcPr>
          <w:p>
            <w:pPr>
              <w:spacing w:after="0"/>
              <w:rPr>
                <w:sz w:val="20"/>
                <w:szCs w:val="20"/>
                <w:color w:val="auto"/>
              </w:rPr>
            </w:pPr>
            <w:r>
              <w:rPr>
                <w:rFonts w:ascii="Times New Roman" w:cs="Times New Roman" w:eastAsia="Times New Roman" w:hAnsi="Times New Roman"/>
                <w:sz w:val="21"/>
                <w:szCs w:val="21"/>
                <w:color w:val="auto"/>
              </w:rPr>
              <w:t>Code.</w:t>
            </w:r>
          </w:p>
        </w:tc>
        <w:tc>
          <w:tcPr>
            <w:tcW w:w="2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920" w:type="dxa"/>
            <w:vAlign w:val="bottom"/>
          </w:tcPr>
          <w:p>
            <w:pPr>
              <w:spacing w:after="0"/>
              <w:rPr>
                <w:sz w:val="21"/>
                <w:szCs w:val="21"/>
                <w:color w:val="auto"/>
              </w:rPr>
            </w:pPr>
          </w:p>
        </w:tc>
      </w:tr>
      <w:tr>
        <w:trPr>
          <w:trHeight w:val="351"/>
        </w:trPr>
        <w:tc>
          <w:tcPr>
            <w:tcW w:w="172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(ad)</w:t>
            </w:r>
          </w:p>
        </w:tc>
        <w:tc>
          <w:tcPr>
            <w:tcW w:w="9520" w:type="dxa"/>
            <w:vAlign w:val="bottom"/>
            <w:gridSpan w:val="5"/>
          </w:tcPr>
          <w:p>
            <w:pPr>
              <w:ind w:left="140"/>
              <w:spacing w:after="0"/>
              <w:rPr>
                <w:sz w:val="20"/>
                <w:szCs w:val="20"/>
                <w:color w:val="auto"/>
              </w:rPr>
            </w:pPr>
            <w:r>
              <w:rPr>
                <w:rFonts w:ascii="Times New Roman" w:cs="Times New Roman" w:eastAsia="Times New Roman" w:hAnsi="Times New Roman"/>
                <w:sz w:val="21"/>
                <w:szCs w:val="21"/>
                <w:color w:val="auto"/>
              </w:rPr>
              <w:t>“Participant” means the holder of an outstanding Award.</w:t>
            </w:r>
          </w:p>
        </w:tc>
      </w:tr>
      <w:tr>
        <w:trPr>
          <w:trHeight w:val="20"/>
        </w:trPr>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400" w:type="dxa"/>
            <w:vAlign w:val="bottom"/>
            <w:gridSpan w:val="2"/>
          </w:tcPr>
          <w:p>
            <w:pPr>
              <w:spacing w:after="0" w:line="20" w:lineRule="exact"/>
              <w:rPr>
                <w:sz w:val="1"/>
                <w:szCs w:val="1"/>
                <w:color w:val="auto"/>
              </w:rPr>
            </w:pPr>
          </w:p>
        </w:tc>
      </w:tr>
      <w:tr>
        <w:trPr>
          <w:trHeight w:val="402"/>
        </w:trPr>
        <w:tc>
          <w:tcPr>
            <w:tcW w:w="172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(ae)</w:t>
            </w:r>
          </w:p>
        </w:tc>
        <w:tc>
          <w:tcPr>
            <w:tcW w:w="9520" w:type="dxa"/>
            <w:vAlign w:val="bottom"/>
            <w:gridSpan w:val="5"/>
          </w:tcPr>
          <w:p>
            <w:pPr>
              <w:ind w:left="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Share</w:t>
            </w:r>
            <w:r>
              <w:rPr>
                <w:rFonts w:ascii="Times New Roman" w:cs="Times New Roman" w:eastAsia="Times New Roman" w:hAnsi="Times New Roman"/>
                <w:sz w:val="21"/>
                <w:szCs w:val="21"/>
                <w:color w:val="auto"/>
              </w:rPr>
              <w:t>” means an Award denominated in Shares which may be earned in whole or in part upon</w:t>
            </w:r>
          </w:p>
        </w:tc>
      </w:tr>
    </w:tbl>
    <w:p>
      <w:pPr>
        <w:spacing w:after="0"/>
        <w:rPr>
          <w:sz w:val="20"/>
          <w:szCs w:val="20"/>
          <w:color w:val="auto"/>
        </w:rPr>
      </w:pPr>
      <w:r>
        <w:rPr>
          <w:rFonts w:ascii="Times New Roman" w:cs="Times New Roman" w:eastAsia="Times New Roman" w:hAnsi="Times New Roman"/>
          <w:sz w:val="21"/>
          <w:szCs w:val="21"/>
          <w:color w:val="auto"/>
        </w:rPr>
        <w:t>attainment of performance goals or other vesting criteria as the Administrator may determine pursuant to Section 10.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- 4 -</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349" w:lineRule="exact"/>
        <w:rPr>
          <w:sz w:val="20"/>
          <w:szCs w:val="20"/>
          <w:color w:val="auto"/>
        </w:rPr>
      </w:pPr>
    </w:p>
    <w:p>
      <w:pPr>
        <w:jc w:val="both"/>
        <w:ind w:firstLine="1236"/>
        <w:spacing w:after="0" w:line="225" w:lineRule="auto"/>
        <w:rPr>
          <w:sz w:val="20"/>
          <w:szCs w:val="20"/>
          <w:color w:val="auto"/>
        </w:rPr>
      </w:pPr>
      <w:r>
        <w:rPr>
          <w:rFonts w:ascii="Times New Roman" w:cs="Times New Roman" w:eastAsia="Times New Roman" w:hAnsi="Times New Roman"/>
          <w:sz w:val="21"/>
          <w:szCs w:val="21"/>
          <w:color w:val="auto"/>
        </w:rPr>
        <w:t>(af) “</w:t>
      </w:r>
      <w:r>
        <w:rPr>
          <w:rFonts w:ascii="Times New Roman" w:cs="Times New Roman" w:eastAsia="Times New Roman" w:hAnsi="Times New Roman"/>
          <w:sz w:val="21"/>
          <w:szCs w:val="21"/>
          <w:u w:val="single" w:color="auto"/>
          <w:color w:val="auto"/>
        </w:rPr>
        <w:t>Performance Unit</w:t>
      </w:r>
      <w:r>
        <w:rPr>
          <w:rFonts w:ascii="Times New Roman" w:cs="Times New Roman" w:eastAsia="Times New Roman" w:hAnsi="Times New Roman"/>
          <w:sz w:val="21"/>
          <w:szCs w:val="21"/>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45" w:lineRule="exact"/>
        <w:rPr>
          <w:sz w:val="20"/>
          <w:szCs w:val="20"/>
          <w:color w:val="auto"/>
        </w:rPr>
      </w:pPr>
    </w:p>
    <w:p>
      <w:pPr>
        <w:jc w:val="both"/>
        <w:ind w:firstLine="1236"/>
        <w:spacing w:after="0" w:line="225" w:lineRule="auto"/>
        <w:rPr>
          <w:sz w:val="20"/>
          <w:szCs w:val="20"/>
          <w:color w:val="auto"/>
        </w:rPr>
      </w:pPr>
      <w:r>
        <w:rPr>
          <w:rFonts w:ascii="Times New Roman" w:cs="Times New Roman" w:eastAsia="Times New Roman" w:hAnsi="Times New Roman"/>
          <w:sz w:val="21"/>
          <w:szCs w:val="21"/>
          <w:color w:val="auto"/>
        </w:rPr>
        <w:t>(ag) “</w:t>
      </w:r>
      <w:r>
        <w:rPr>
          <w:rFonts w:ascii="Times New Roman" w:cs="Times New Roman" w:eastAsia="Times New Roman" w:hAnsi="Times New Roman"/>
          <w:sz w:val="21"/>
          <w:szCs w:val="21"/>
          <w:u w:val="single" w:color="auto"/>
          <w:color w:val="auto"/>
        </w:rPr>
        <w:t>Period of Restriction</w:t>
      </w:r>
      <w:r>
        <w:rPr>
          <w:rFonts w:ascii="Times New Roman" w:cs="Times New Roman" w:eastAsia="Times New Roman" w:hAnsi="Times New Roman"/>
          <w:sz w:val="21"/>
          <w:szCs w:val="21"/>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(ah)</w:t>
            </w:r>
          </w:p>
        </w:tc>
        <w:tc>
          <w:tcPr>
            <w:tcW w:w="9540" w:type="dxa"/>
            <w:vAlign w:val="bottom"/>
            <w:gridSpan w:val="4"/>
          </w:tcPr>
          <w:p>
            <w:pPr>
              <w:ind w:left="160"/>
              <w:spacing w:after="0"/>
              <w:rPr>
                <w:sz w:val="20"/>
                <w:szCs w:val="20"/>
                <w:color w:val="auto"/>
              </w:rPr>
            </w:pPr>
            <w:r>
              <w:rPr>
                <w:rFonts w:ascii="Times New Roman" w:cs="Times New Roman" w:eastAsia="Times New Roman" w:hAnsi="Times New Roman"/>
                <w:sz w:val="21"/>
                <w:szCs w:val="21"/>
                <w:color w:val="auto"/>
              </w:rPr>
              <w:t>“Plan” means this 2021 Equity Incentive Plan.</w:t>
            </w:r>
          </w:p>
        </w:tc>
      </w:tr>
      <w:tr>
        <w:trPr>
          <w:trHeight w:val="20"/>
        </w:trPr>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392"/>
        </w:trPr>
        <w:tc>
          <w:tcPr>
            <w:tcW w:w="170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(ai)</w:t>
            </w:r>
          </w:p>
        </w:tc>
        <w:tc>
          <w:tcPr>
            <w:tcW w:w="9540" w:type="dxa"/>
            <w:vAlign w:val="bottom"/>
            <w:gridSpan w:val="4"/>
          </w:tcPr>
          <w:p>
            <w:pPr>
              <w:ind w:left="140"/>
              <w:spacing w:after="0"/>
              <w:rPr>
                <w:sz w:val="20"/>
                <w:szCs w:val="20"/>
                <w:color w:val="auto"/>
              </w:rPr>
            </w:pPr>
            <w:r>
              <w:rPr>
                <w:rFonts w:ascii="Times New Roman" w:cs="Times New Roman" w:eastAsia="Times New Roman" w:hAnsi="Times New Roman"/>
                <w:sz w:val="21"/>
                <w:szCs w:val="21"/>
                <w:color w:val="auto"/>
                <w:w w:val="98"/>
              </w:rPr>
              <w:t>“Restricted Stock” means Shares issued pursuant to an Award of Restricted Stock under Section 7 of the Plan, or</w:t>
            </w:r>
          </w:p>
        </w:tc>
      </w:tr>
      <w:tr>
        <w:trPr>
          <w:trHeight w:val="260"/>
        </w:trPr>
        <w:tc>
          <w:tcPr>
            <w:tcW w:w="19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issued pursuant to the</w:t>
            </w: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w w:val="96"/>
              </w:rPr>
              <w:t>early exercise of</w:t>
            </w:r>
          </w:p>
        </w:tc>
        <w:tc>
          <w:tcPr>
            <w:tcW w:w="7940" w:type="dxa"/>
            <w:vAlign w:val="bottom"/>
          </w:tcPr>
          <w:p>
            <w:pPr>
              <w:spacing w:after="0"/>
              <w:rPr>
                <w:sz w:val="20"/>
                <w:szCs w:val="20"/>
                <w:color w:val="auto"/>
              </w:rPr>
            </w:pPr>
            <w:r>
              <w:rPr>
                <w:rFonts w:ascii="Times New Roman" w:cs="Times New Roman" w:eastAsia="Times New Roman" w:hAnsi="Times New Roman"/>
                <w:sz w:val="21"/>
                <w:szCs w:val="21"/>
                <w:color w:val="auto"/>
              </w:rPr>
              <w:t>an Option.</w:t>
            </w:r>
          </w:p>
        </w:tc>
      </w:tr>
      <w:tr>
        <w:trPr>
          <w:trHeight w:val="347"/>
        </w:trPr>
        <w:tc>
          <w:tcPr>
            <w:tcW w:w="170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(aj)</w:t>
            </w:r>
          </w:p>
        </w:tc>
        <w:tc>
          <w:tcPr>
            <w:tcW w:w="9540" w:type="dxa"/>
            <w:vAlign w:val="bottom"/>
            <w:gridSpan w:val="4"/>
          </w:tcPr>
          <w:p>
            <w:pPr>
              <w:ind w:left="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 Unit</w:t>
            </w:r>
            <w:r>
              <w:rPr>
                <w:rFonts w:ascii="Times New Roman" w:cs="Times New Roman" w:eastAsia="Times New Roman" w:hAnsi="Times New Roman"/>
                <w:sz w:val="21"/>
                <w:szCs w:val="21"/>
                <w:color w:val="auto"/>
              </w:rPr>
              <w:t>” means a bookkeeping entry representing an amount equal to the Fair Market Value of</w:t>
            </w:r>
          </w:p>
        </w:tc>
      </w:tr>
    </w:tbl>
    <w:p>
      <w:pPr>
        <w:spacing w:after="0"/>
        <w:rPr>
          <w:sz w:val="20"/>
          <w:szCs w:val="20"/>
          <w:color w:val="auto"/>
        </w:rPr>
      </w:pPr>
      <w:r>
        <w:rPr>
          <w:rFonts w:ascii="Times New Roman" w:cs="Times New Roman" w:eastAsia="Times New Roman" w:hAnsi="Times New Roman"/>
          <w:sz w:val="20"/>
          <w:szCs w:val="20"/>
          <w:color w:val="auto"/>
        </w:rPr>
        <w:t>one Share, granted pursuant to Section 8. Each Restricted Stock Unit represents an unfunded and unsecured obligation of the Company.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4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(ak)</w:t>
            </w:r>
          </w:p>
        </w:tc>
        <w:tc>
          <w:tcPr>
            <w:tcW w:w="950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w w:val="98"/>
              </w:rPr>
              <w:t>“Rule 16b-3” means Rule 16b-3 of the Exchange Act or any successor to Rule 16b-3, as in effect when discretion</w:t>
            </w:r>
          </w:p>
        </w:tc>
        <w:tc>
          <w:tcPr>
            <w:tcW w:w="0" w:type="dxa"/>
            <w:vAlign w:val="bottom"/>
          </w:tcPr>
          <w:p>
            <w:pPr>
              <w:spacing w:after="0"/>
              <w:rPr>
                <w:sz w:val="1"/>
                <w:szCs w:val="1"/>
                <w:color w:val="auto"/>
              </w:rPr>
            </w:pPr>
          </w:p>
        </w:tc>
      </w:tr>
      <w:tr>
        <w:trPr>
          <w:trHeight w:val="20"/>
        </w:trPr>
        <w:tc>
          <w:tcPr>
            <w:tcW w:w="1960" w:type="dxa"/>
            <w:vAlign w:val="bottom"/>
            <w:gridSpan w:val="3"/>
            <w:vMerge w:val="restart"/>
          </w:tcPr>
          <w:p>
            <w:pPr>
              <w:spacing w:after="0"/>
              <w:rPr>
                <w:sz w:val="20"/>
                <w:szCs w:val="20"/>
                <w:color w:val="auto"/>
              </w:rPr>
            </w:pPr>
            <w:r>
              <w:rPr>
                <w:rFonts w:ascii="Times New Roman" w:cs="Times New Roman" w:eastAsia="Times New Roman" w:hAnsi="Times New Roman"/>
                <w:sz w:val="21"/>
                <w:szCs w:val="21"/>
                <w:color w:val="auto"/>
              </w:rPr>
              <w:t>is being exercised with</w:t>
            </w: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960" w:type="dxa"/>
            <w:vAlign w:val="bottom"/>
            <w:gridSpan w:val="3"/>
            <w:vMerge w:val="continue"/>
          </w:tcPr>
          <w:p>
            <w:pPr>
              <w:spacing w:after="0"/>
              <w:rPr>
                <w:sz w:val="22"/>
                <w:szCs w:val="22"/>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respect to the Plan.</w:t>
            </w:r>
          </w:p>
        </w:tc>
        <w:tc>
          <w:tcPr>
            <w:tcW w:w="0" w:type="dxa"/>
            <w:vAlign w:val="bottom"/>
          </w:tcPr>
          <w:p>
            <w:pPr>
              <w:spacing w:after="0"/>
              <w:rPr>
                <w:sz w:val="1"/>
                <w:szCs w:val="1"/>
                <w:color w:val="auto"/>
              </w:rPr>
            </w:pPr>
          </w:p>
        </w:tc>
      </w:tr>
      <w:tr>
        <w:trPr>
          <w:trHeight w:val="338"/>
        </w:trPr>
        <w:tc>
          <w:tcPr>
            <w:tcW w:w="174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(al)</w:t>
            </w:r>
          </w:p>
        </w:tc>
        <w:tc>
          <w:tcPr>
            <w:tcW w:w="9500" w:type="dxa"/>
            <w:vAlign w:val="bottom"/>
            <w:gridSpan w:val="5"/>
          </w:tcPr>
          <w:p>
            <w:pPr>
              <w:ind w:left="100"/>
              <w:spacing w:after="0"/>
              <w:rPr>
                <w:sz w:val="20"/>
                <w:szCs w:val="20"/>
                <w:color w:val="auto"/>
              </w:rPr>
            </w:pPr>
            <w:r>
              <w:rPr>
                <w:rFonts w:ascii="Times New Roman" w:cs="Times New Roman" w:eastAsia="Times New Roman" w:hAnsi="Times New Roman"/>
                <w:sz w:val="21"/>
                <w:szCs w:val="21"/>
                <w:color w:val="auto"/>
              </w:rPr>
              <w:t>“Section 16(b)” means Section 16(b) of the Exchange Act.</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174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(am)</w:t>
            </w:r>
          </w:p>
        </w:tc>
        <w:tc>
          <w:tcPr>
            <w:tcW w:w="9500" w:type="dxa"/>
            <w:vAlign w:val="bottom"/>
            <w:gridSpan w:val="5"/>
          </w:tcPr>
          <w:p>
            <w:pPr>
              <w:ind w:left="1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means Code Section 409A, as it has been and may be amended from time to time, and any</w:t>
            </w:r>
          </w:p>
        </w:tc>
        <w:tc>
          <w:tcPr>
            <w:tcW w:w="0" w:type="dxa"/>
            <w:vAlign w:val="bottom"/>
          </w:tcPr>
          <w:p>
            <w:pPr>
              <w:spacing w:after="0"/>
              <w:rPr>
                <w:sz w:val="1"/>
                <w:szCs w:val="1"/>
                <w:color w:val="auto"/>
              </w:rPr>
            </w:pPr>
          </w:p>
        </w:tc>
      </w:tr>
    </w:tbl>
    <w:p>
      <w:pPr>
        <w:jc w:val="both"/>
        <w:spacing w:after="0" w:line="224" w:lineRule="auto"/>
        <w:rPr>
          <w:sz w:val="20"/>
          <w:szCs w:val="20"/>
          <w:color w:val="auto"/>
        </w:rPr>
      </w:pPr>
      <w:r>
        <w:rPr>
          <w:rFonts w:ascii="Times New Roman" w:cs="Times New Roman" w:eastAsia="Times New Roman" w:hAnsi="Times New Roman"/>
          <w:sz w:val="21"/>
          <w:szCs w:val="21"/>
          <w:color w:val="auto"/>
        </w:rPr>
        <w:t>proposed or final Treasury Regulations and U.S. Internal Revenue Service guidance that has been promulgated or may be promulgated thereunder from time to time.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(an)</w:t>
            </w:r>
          </w:p>
        </w:tc>
        <w:tc>
          <w:tcPr>
            <w:tcW w:w="9540" w:type="dxa"/>
            <w:vAlign w:val="bottom"/>
            <w:gridSpan w:val="8"/>
          </w:tcPr>
          <w:p>
            <w:pPr>
              <w:ind w:left="160"/>
              <w:spacing w:after="0"/>
              <w:rPr>
                <w:sz w:val="20"/>
                <w:szCs w:val="20"/>
                <w:color w:val="auto"/>
              </w:rPr>
            </w:pPr>
            <w:r>
              <w:rPr>
                <w:rFonts w:ascii="Times New Roman" w:cs="Times New Roman" w:eastAsia="Times New Roman" w:hAnsi="Times New Roman"/>
                <w:sz w:val="21"/>
                <w:szCs w:val="21"/>
                <w:color w:val="auto"/>
              </w:rPr>
              <w:t>“Securities Act” means the U.S. Securities Act of 1933, as amended.</w:t>
            </w:r>
          </w:p>
        </w:tc>
      </w:tr>
      <w:tr>
        <w:trPr>
          <w:trHeight w:val="20"/>
        </w:trPr>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392"/>
        </w:trPr>
        <w:tc>
          <w:tcPr>
            <w:tcW w:w="170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(ao)</w:t>
            </w:r>
          </w:p>
        </w:tc>
        <w:tc>
          <w:tcPr>
            <w:tcW w:w="9540" w:type="dxa"/>
            <w:vAlign w:val="bottom"/>
            <w:gridSpan w:val="8"/>
          </w:tcPr>
          <w:p>
            <w:pPr>
              <w:ind w:left="160"/>
              <w:spacing w:after="0"/>
              <w:rPr>
                <w:sz w:val="20"/>
                <w:szCs w:val="20"/>
                <w:color w:val="auto"/>
              </w:rPr>
            </w:pPr>
            <w:r>
              <w:rPr>
                <w:rFonts w:ascii="Times New Roman" w:cs="Times New Roman" w:eastAsia="Times New Roman" w:hAnsi="Times New Roman"/>
                <w:sz w:val="21"/>
                <w:szCs w:val="21"/>
                <w:color w:val="auto"/>
              </w:rPr>
              <w:t>“Service Provider” means an Employee, Director or Consultant.</w:t>
            </w:r>
          </w:p>
        </w:tc>
      </w:tr>
      <w:tr>
        <w:trPr>
          <w:trHeight w:val="20"/>
        </w:trPr>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392"/>
        </w:trPr>
        <w:tc>
          <w:tcPr>
            <w:tcW w:w="170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(ap)</w:t>
            </w:r>
          </w:p>
        </w:tc>
        <w:tc>
          <w:tcPr>
            <w:tcW w:w="9540" w:type="dxa"/>
            <w:vAlign w:val="bottom"/>
            <w:gridSpan w:val="8"/>
          </w:tcPr>
          <w:p>
            <w:pPr>
              <w:ind w:left="160"/>
              <w:spacing w:after="0"/>
              <w:rPr>
                <w:sz w:val="20"/>
                <w:szCs w:val="20"/>
                <w:color w:val="auto"/>
              </w:rPr>
            </w:pPr>
            <w:r>
              <w:rPr>
                <w:rFonts w:ascii="Times New Roman" w:cs="Times New Roman" w:eastAsia="Times New Roman" w:hAnsi="Times New Roman"/>
                <w:sz w:val="21"/>
                <w:szCs w:val="21"/>
                <w:color w:val="auto"/>
              </w:rPr>
              <w:t>“Share” means a share of the Common Stock, as adjusted in accordance with Section 14 of the Plan.</w:t>
            </w:r>
          </w:p>
        </w:tc>
      </w:tr>
      <w:tr>
        <w:trPr>
          <w:trHeight w:val="20"/>
        </w:trPr>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392"/>
        </w:trPr>
        <w:tc>
          <w:tcPr>
            <w:tcW w:w="170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(aq)</w:t>
            </w:r>
          </w:p>
        </w:tc>
        <w:tc>
          <w:tcPr>
            <w:tcW w:w="9540" w:type="dxa"/>
            <w:vAlign w:val="bottom"/>
            <w:gridSpan w:val="8"/>
          </w:tcPr>
          <w:p>
            <w:pPr>
              <w:ind w:left="160"/>
              <w:spacing w:after="0"/>
              <w:rPr>
                <w:sz w:val="20"/>
                <w:szCs w:val="20"/>
                <w:color w:val="auto"/>
              </w:rPr>
            </w:pPr>
            <w:r>
              <w:rPr>
                <w:rFonts w:ascii="Times New Roman" w:cs="Times New Roman" w:eastAsia="Times New Roman" w:hAnsi="Times New Roman"/>
                <w:sz w:val="21"/>
                <w:szCs w:val="21"/>
                <w:color w:val="auto"/>
              </w:rPr>
              <w:t>“Stock Appreciation Right” means an Award, granted alone or in connection with an Option, that pursuant to</w:t>
            </w:r>
          </w:p>
        </w:tc>
      </w:tr>
      <w:tr>
        <w:trPr>
          <w:trHeight w:val="260"/>
        </w:trPr>
        <w:tc>
          <w:tcPr>
            <w:tcW w:w="19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Section 9 is designated</w:t>
            </w:r>
          </w:p>
        </w:tc>
        <w:tc>
          <w:tcPr>
            <w:tcW w:w="21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1"/>
                <w:szCs w:val="21"/>
                <w:color w:val="auto"/>
              </w:rPr>
              <w:t>as a Stock Appreciation</w:t>
            </w:r>
          </w:p>
        </w:tc>
        <w:tc>
          <w:tcPr>
            <w:tcW w:w="7140" w:type="dxa"/>
            <w:vAlign w:val="bottom"/>
          </w:tcPr>
          <w:p>
            <w:pPr>
              <w:spacing w:after="0"/>
              <w:rPr>
                <w:sz w:val="20"/>
                <w:szCs w:val="20"/>
                <w:color w:val="auto"/>
              </w:rPr>
            </w:pPr>
            <w:r>
              <w:rPr>
                <w:rFonts w:ascii="Times New Roman" w:cs="Times New Roman" w:eastAsia="Times New Roman" w:hAnsi="Times New Roman"/>
                <w:sz w:val="21"/>
                <w:szCs w:val="21"/>
                <w:color w:val="auto"/>
              </w:rPr>
              <w:t>Right.</w:t>
            </w:r>
          </w:p>
        </w:tc>
      </w:tr>
      <w:tr>
        <w:trPr>
          <w:trHeight w:val="338"/>
        </w:trPr>
        <w:tc>
          <w:tcPr>
            <w:tcW w:w="1700" w:type="dxa"/>
            <w:vAlign w:val="bottom"/>
          </w:tcPr>
          <w:p>
            <w:pPr>
              <w:ind w:left="1240"/>
              <w:spacing w:after="0"/>
              <w:rPr>
                <w:sz w:val="20"/>
                <w:szCs w:val="20"/>
                <w:color w:val="auto"/>
              </w:rPr>
            </w:pPr>
            <w:r>
              <w:rPr>
                <w:rFonts w:ascii="Times New Roman" w:cs="Times New Roman" w:eastAsia="Times New Roman" w:hAnsi="Times New Roman"/>
                <w:sz w:val="21"/>
                <w:szCs w:val="21"/>
                <w:color w:val="auto"/>
              </w:rPr>
              <w:t>(ar)</w:t>
            </w:r>
          </w:p>
        </w:tc>
        <w:tc>
          <w:tcPr>
            <w:tcW w:w="9540" w:type="dxa"/>
            <w:vAlign w:val="bottom"/>
            <w:gridSpan w:val="8"/>
          </w:tcPr>
          <w:p>
            <w:pPr>
              <w:ind w:left="140"/>
              <w:spacing w:after="0"/>
              <w:rPr>
                <w:sz w:val="20"/>
                <w:szCs w:val="20"/>
                <w:color w:val="auto"/>
              </w:rPr>
            </w:pPr>
            <w:r>
              <w:rPr>
                <w:rFonts w:ascii="Times New Roman" w:cs="Times New Roman" w:eastAsia="Times New Roman" w:hAnsi="Times New Roman"/>
                <w:sz w:val="21"/>
                <w:szCs w:val="21"/>
                <w:color w:val="auto"/>
                <w:w w:val="98"/>
              </w:rPr>
              <w:t>“Subsidiary” means a “subsidiary corporation,” whether now or hereafter existing, as defined in Section 424(f) of</w:t>
            </w:r>
          </w:p>
        </w:tc>
      </w:tr>
      <w:tr>
        <w:trPr>
          <w:trHeight w:val="248"/>
        </w:trPr>
        <w:tc>
          <w:tcPr>
            <w:tcW w:w="1700" w:type="dxa"/>
            <w:vAlign w:val="bottom"/>
          </w:tcPr>
          <w:p>
            <w:pPr>
              <w:spacing w:after="0"/>
              <w:rPr>
                <w:sz w:val="20"/>
                <w:szCs w:val="20"/>
                <w:color w:val="auto"/>
              </w:rPr>
            </w:pPr>
            <w:r>
              <w:rPr>
                <w:rFonts w:ascii="Times New Roman" w:cs="Times New Roman" w:eastAsia="Times New Roman" w:hAnsi="Times New Roman"/>
                <w:sz w:val="21"/>
                <w:szCs w:val="21"/>
                <w:color w:val="auto"/>
              </w:rPr>
              <w:t>the Code.</w:t>
            </w:r>
          </w:p>
        </w:tc>
        <w:tc>
          <w:tcPr>
            <w:tcW w:w="24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40" w:type="dxa"/>
            <w:vAlign w:val="bottom"/>
          </w:tcPr>
          <w:p>
            <w:pPr>
              <w:spacing w:after="0"/>
              <w:rPr>
                <w:sz w:val="21"/>
                <w:szCs w:val="21"/>
                <w:color w:val="auto"/>
              </w:rPr>
            </w:pPr>
          </w:p>
        </w:tc>
      </w:tr>
    </w:tbl>
    <w:p>
      <w:pPr>
        <w:spacing w:after="0" w:line="132" w:lineRule="exact"/>
        <w:rPr>
          <w:sz w:val="20"/>
          <w:szCs w:val="20"/>
          <w:color w:val="auto"/>
        </w:rPr>
      </w:pPr>
    </w:p>
    <w:p>
      <w:pPr>
        <w:ind w:left="1240" w:hanging="619"/>
        <w:spacing w:after="0"/>
        <w:tabs>
          <w:tab w:leader="none" w:pos="12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Subject to the Plan</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239"/>
        <w:spacing w:after="0" w:line="224" w:lineRule="auto"/>
        <w:tabs>
          <w:tab w:leader="none" w:pos="1851"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Subject to the Plan</w:t>
      </w:r>
      <w:r>
        <w:rPr>
          <w:rFonts w:ascii="Times New Roman" w:cs="Times New Roman" w:eastAsia="Times New Roman" w:hAnsi="Times New Roman"/>
          <w:sz w:val="20"/>
          <w:szCs w:val="20"/>
          <w:color w:val="auto"/>
        </w:rPr>
        <w:t>. Subject to the provisions of Section 14 of the Plan and the automatic increase set forth in Section 3(b)of the Plan, the maximum aggregate number of Shares that may be issued under the Plan is 8,370,784 Shares, plus (i) any Shares subject to stock options or similar awards granted under the Aerpio Pharmaceuticals, Inc. 2017 Stock Option and Incentive Plan or the Aerpio Pharmaceuticals, Inc. 2011 Equity Incentive Plan (the “</w:t>
      </w:r>
      <w:r>
        <w:rPr>
          <w:rFonts w:ascii="Times New Roman" w:cs="Times New Roman" w:eastAsia="Times New Roman" w:hAnsi="Times New Roman"/>
          <w:sz w:val="20"/>
          <w:szCs w:val="20"/>
          <w:u w:val="single" w:color="auto"/>
          <w:color w:val="auto"/>
        </w:rPr>
        <w:t>Prior Plans</w:t>
      </w:r>
      <w:r>
        <w:rPr>
          <w:rFonts w:ascii="Times New Roman" w:cs="Times New Roman" w:eastAsia="Times New Roman" w:hAnsi="Times New Roman"/>
          <w:sz w:val="20"/>
          <w:szCs w:val="20"/>
          <w:color w:val="auto"/>
        </w:rPr>
        <w:t>”) that expire or otherwise terminate without having been exercised in full and Shares issued pursuant to awards granted under the Prior Plans that are forfeited to or repurchased by the Company and (ii) any Shares subject to stock options or similar awards granted under the Aadi Bioscience, Inc. 2014 Equity Incentive Plan that are assumed by the Company pursuant to the Merger Agreement, with the maximum number of Shares to be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25" w:lineRule="exact"/>
        <w:rPr>
          <w:rFonts w:ascii="Times New Roman" w:cs="Times New Roman" w:eastAsia="Times New Roman" w:hAnsi="Times New Roman"/>
          <w:sz w:val="20"/>
          <w:szCs w:val="20"/>
          <w:color w:val="auto"/>
        </w:rPr>
      </w:pPr>
    </w:p>
    <w:p>
      <w:pPr>
        <w:ind w:left="5580" w:hanging="128"/>
        <w:spacing w:after="0"/>
        <w:tabs>
          <w:tab w:leader="none" w:pos="5580"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5 -</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34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added to the Plan pursuant to clauses (i) and (ii) equal to 764,154 Shares. The Shares may be authorized, but unissued, or reacquired Common Stock.</w:t>
      </w:r>
    </w:p>
    <w:p>
      <w:pPr>
        <w:spacing w:after="0" w:line="145" w:lineRule="exact"/>
        <w:rPr>
          <w:sz w:val="20"/>
          <w:szCs w:val="20"/>
          <w:color w:val="auto"/>
        </w:rPr>
      </w:pPr>
    </w:p>
    <w:p>
      <w:pPr>
        <w:jc w:val="both"/>
        <w:ind w:firstLine="1239"/>
        <w:spacing w:after="0" w:line="212" w:lineRule="auto"/>
        <w:tabs>
          <w:tab w:leader="none" w:pos="185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Automatic Share Reserve Increase</w:t>
      </w:r>
      <w:r>
        <w:rPr>
          <w:rFonts w:ascii="Times New Roman" w:cs="Times New Roman" w:eastAsia="Times New Roman" w:hAnsi="Times New Roman"/>
          <w:sz w:val="21"/>
          <w:szCs w:val="21"/>
          <w:color w:val="auto"/>
        </w:rPr>
        <w:t>. Subject to the provisions of Section 14 of the Plan, the number of Shares available for issuance under the Plan will be increased on the first day of each Fiscal Year beginning on January 1, 2022, in an amount equal to (x) prior to the Restatement Date, the least of (i) 2,070,784 Shares, (ii) four percent (4%) the outstanding Shares on the last day of the immediately preceding Fiscal Year, or (iii) such number of Shares determined by the Administrator no later than the last day of the immediately preceding Fiscal Year, and (y) following the Restatement Date, the least of (i) 8,370,784 Shares, (ii) five percent (5%) the outstanding Shares on the last day of the immediately preceding Fiscal Year, or (iii) such number of Shares determined by the Administrator no later than the last day of the immediately preceding Fiscal Year. The automatic Share increase under this Section 3(b) shall terminate following the increase on the first day of the 2031 Fiscal Year.</w:t>
      </w:r>
    </w:p>
    <w:p>
      <w:pPr>
        <w:spacing w:after="0" w:line="147" w:lineRule="exact"/>
        <w:rPr>
          <w:rFonts w:ascii="Times New Roman" w:cs="Times New Roman" w:eastAsia="Times New Roman" w:hAnsi="Times New Roman"/>
          <w:sz w:val="21"/>
          <w:szCs w:val="21"/>
          <w:color w:val="auto"/>
        </w:rPr>
      </w:pPr>
    </w:p>
    <w:p>
      <w:pPr>
        <w:jc w:val="both"/>
        <w:ind w:firstLine="1239"/>
        <w:spacing w:after="0" w:line="208" w:lineRule="auto"/>
        <w:tabs>
          <w:tab w:leader="none" w:pos="1851"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Lapsed Awards</w:t>
      </w:r>
      <w:r>
        <w:rPr>
          <w:rFonts w:ascii="Times New Roman" w:cs="Times New Roman" w:eastAsia="Times New Roman" w:hAnsi="Times New Roman"/>
          <w:sz w:val="21"/>
          <w:szCs w:val="21"/>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50" w:lineRule="exact"/>
        <w:rPr>
          <w:rFonts w:ascii="Times New Roman" w:cs="Times New Roman" w:eastAsia="Times New Roman" w:hAnsi="Times New Roman"/>
          <w:sz w:val="21"/>
          <w:szCs w:val="21"/>
          <w:color w:val="auto"/>
        </w:rPr>
      </w:pPr>
    </w:p>
    <w:p>
      <w:pPr>
        <w:ind w:firstLine="1239"/>
        <w:spacing w:after="0" w:line="235" w:lineRule="auto"/>
        <w:tabs>
          <w:tab w:leader="none" w:pos="185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Reserve</w:t>
      </w:r>
      <w:r>
        <w:rPr>
          <w:rFonts w:ascii="Times New Roman" w:cs="Times New Roman" w:eastAsia="Times New Roman" w:hAnsi="Times New Roman"/>
          <w:sz w:val="21"/>
          <w:szCs w:val="21"/>
          <w:color w:val="auto"/>
        </w:rPr>
        <w:t>. The Company, during the term of this Plan, will at all times reserve and keep available such number of Shares as will be sufficient to satisfy the requirements of the Plan.</w:t>
      </w:r>
    </w:p>
    <w:p>
      <w:pPr>
        <w:spacing w:after="0" w:line="145"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Plan</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firstLine="2166"/>
        <w:spacing w:after="0" w:line="235" w:lineRule="auto"/>
        <w:tabs>
          <w:tab w:leader="none" w:pos="2461" w:val="left"/>
        </w:tabs>
        <w:numPr>
          <w:ilvl w:val="2"/>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Multiple Administrative Bodies</w:t>
      </w:r>
      <w:r>
        <w:rPr>
          <w:rFonts w:ascii="Times New Roman" w:cs="Times New Roman" w:eastAsia="Times New Roman" w:hAnsi="Times New Roman"/>
          <w:sz w:val="21"/>
          <w:szCs w:val="21"/>
          <w:color w:val="auto"/>
        </w:rPr>
        <w:t>. Different Committees with respect to different groups of Service Providers may administer the Plan.</w:t>
      </w:r>
    </w:p>
    <w:p>
      <w:pPr>
        <w:spacing w:after="0" w:line="145" w:lineRule="exact"/>
        <w:rPr>
          <w:rFonts w:ascii="Times New Roman" w:cs="Times New Roman" w:eastAsia="Times New Roman" w:hAnsi="Times New Roman"/>
          <w:sz w:val="21"/>
          <w:szCs w:val="21"/>
          <w:color w:val="auto"/>
        </w:rPr>
      </w:pPr>
    </w:p>
    <w:p>
      <w:pPr>
        <w:ind w:firstLine="2166"/>
        <w:spacing w:after="0" w:line="235" w:lineRule="auto"/>
        <w:tabs>
          <w:tab w:leader="none" w:pos="2467" w:val="left"/>
        </w:tabs>
        <w:numPr>
          <w:ilvl w:val="2"/>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Rule 16b-3</w:t>
      </w:r>
      <w:r>
        <w:rPr>
          <w:rFonts w:ascii="Times New Roman" w:cs="Times New Roman" w:eastAsia="Times New Roman" w:hAnsi="Times New Roman"/>
          <w:sz w:val="21"/>
          <w:szCs w:val="21"/>
          <w:color w:val="auto"/>
        </w:rPr>
        <w:t>. To the extent desirable to qualify transactions hereunder as exempt under Rule 16b-3, the transactions contemplated hereunder will be structured to satisfy the requirements for exemption under Rule 16b-3.</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24" w:lineRule="exact"/>
        <w:rPr>
          <w:rFonts w:ascii="Times New Roman" w:cs="Times New Roman" w:eastAsia="Times New Roman" w:hAnsi="Times New Roman"/>
          <w:sz w:val="21"/>
          <w:szCs w:val="21"/>
          <w:color w:val="auto"/>
        </w:rPr>
      </w:pPr>
    </w:p>
    <w:p>
      <w:pPr>
        <w:ind w:left="5580" w:hanging="128"/>
        <w:spacing w:after="0"/>
        <w:tabs>
          <w:tab w:leader="none" w:pos="5580" w:val="left"/>
        </w:tabs>
        <w:numPr>
          <w:ilvl w:val="3"/>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6 -</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3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(iii)</w:t>
      </w:r>
      <w:r>
        <w:rPr>
          <w:rFonts w:ascii="Times New Roman" w:cs="Times New Roman" w:eastAsia="Times New Roman" w:hAnsi="Times New Roman"/>
          <w:sz w:val="21"/>
          <w:szCs w:val="21"/>
          <w:u w:val="single" w:color="auto"/>
          <w:color w:val="auto"/>
        </w:rPr>
        <w:t>Other Administration</w:t>
      </w:r>
      <w:r>
        <w:rPr>
          <w:rFonts w:ascii="Times New Roman" w:cs="Times New Roman" w:eastAsia="Times New Roman" w:hAnsi="Times New Roman"/>
          <w:sz w:val="21"/>
          <w:szCs w:val="21"/>
          <w:color w:val="auto"/>
        </w:rPr>
        <w:t>. Other than as provided above, the Plan will be administered by (A) the Board or</w:t>
      </w:r>
    </w:p>
    <w:p>
      <w:pPr>
        <w:ind w:left="320" w:hanging="317"/>
        <w:spacing w:after="0"/>
        <w:tabs>
          <w:tab w:leader="none" w:pos="32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Committee, which committee will be constituted to satisfy Applicable Laws.</w:t>
      </w:r>
    </w:p>
    <w:p>
      <w:pPr>
        <w:spacing w:after="0" w:line="148" w:lineRule="exact"/>
        <w:rPr>
          <w:rFonts w:ascii="Times New Roman" w:cs="Times New Roman" w:eastAsia="Times New Roman" w:hAnsi="Times New Roman"/>
          <w:sz w:val="21"/>
          <w:szCs w:val="21"/>
          <w:color w:val="auto"/>
        </w:rPr>
      </w:pPr>
    </w:p>
    <w:p>
      <w:pPr>
        <w:ind w:firstLine="1239"/>
        <w:spacing w:after="0" w:line="235" w:lineRule="auto"/>
        <w:tabs>
          <w:tab w:leader="none" w:pos="185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Powers of the Administrator</w:t>
      </w:r>
      <w:r>
        <w:rPr>
          <w:rFonts w:ascii="Times New Roman" w:cs="Times New Roman" w:eastAsia="Times New Roman" w:hAnsi="Times New Roman"/>
          <w:sz w:val="21"/>
          <w:szCs w:val="21"/>
          <w:color w:val="auto"/>
        </w:rPr>
        <w:t>. Subject to the provisions of the Plan, and in the case of a Committee, subject to the specific duties delegated by the Board to such Committee, the Administrator will have the authority, in its discretion:</w:t>
      </w:r>
    </w:p>
    <w:p>
      <w:pPr>
        <w:spacing w:after="0" w:line="145" w:lineRule="exact"/>
        <w:rPr>
          <w:rFonts w:ascii="Times New Roman" w:cs="Times New Roman" w:eastAsia="Times New Roman" w:hAnsi="Times New Roman"/>
          <w:sz w:val="21"/>
          <w:szCs w:val="21"/>
          <w:color w:val="auto"/>
        </w:rPr>
      </w:pPr>
    </w:p>
    <w:p>
      <w:pPr>
        <w:ind w:left="2460" w:hanging="294"/>
        <w:spacing w:after="0"/>
        <w:tabs>
          <w:tab w:leader="none" w:pos="2460" w:val="left"/>
        </w:tabs>
        <w:numPr>
          <w:ilvl w:val="2"/>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the Fair Market Value;</w:t>
      </w:r>
    </w:p>
    <w:p>
      <w:pPr>
        <w:spacing w:after="0" w:line="170" w:lineRule="exact"/>
        <w:rPr>
          <w:rFonts w:ascii="Times New Roman" w:cs="Times New Roman" w:eastAsia="Times New Roman" w:hAnsi="Times New Roman"/>
          <w:sz w:val="21"/>
          <w:szCs w:val="21"/>
          <w:color w:val="auto"/>
        </w:rPr>
      </w:pPr>
    </w:p>
    <w:p>
      <w:pPr>
        <w:ind w:left="2460" w:hanging="294"/>
        <w:spacing w:after="0"/>
        <w:tabs>
          <w:tab w:leader="none" w:pos="2460" w:val="left"/>
        </w:tabs>
        <w:numPr>
          <w:ilvl w:val="2"/>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select the Service Providers to whom Awards may be granted hereunder;</w:t>
      </w:r>
    </w:p>
    <w:p>
      <w:pPr>
        <w:spacing w:after="0" w:line="171" w:lineRule="exact"/>
        <w:rPr>
          <w:sz w:val="20"/>
          <w:szCs w:val="20"/>
          <w:color w:val="auto"/>
        </w:rPr>
      </w:pPr>
    </w:p>
    <w:p>
      <w:pPr>
        <w:ind w:left="2160" w:right="1880"/>
        <w:spacing w:after="0" w:line="409" w:lineRule="auto"/>
        <w:rPr>
          <w:sz w:val="20"/>
          <w:szCs w:val="20"/>
          <w:color w:val="auto"/>
        </w:rPr>
      </w:pPr>
      <w:r>
        <w:rPr>
          <w:rFonts w:ascii="Times New Roman" w:cs="Times New Roman" w:eastAsia="Times New Roman" w:hAnsi="Times New Roman"/>
          <w:sz w:val="21"/>
          <w:szCs w:val="21"/>
          <w:color w:val="auto"/>
        </w:rPr>
        <w:t>(iii)to determine the number of Shares to be covered by each Award granted hereunder; (iv)to approve forms of Award Agreements for use under the Plan;</w:t>
      </w:r>
    </w:p>
    <w:p>
      <w:pPr>
        <w:spacing w:after="0" w:line="1" w:lineRule="exact"/>
        <w:rPr>
          <w:sz w:val="20"/>
          <w:szCs w:val="20"/>
          <w:color w:val="auto"/>
        </w:rPr>
      </w:pPr>
    </w:p>
    <w:p>
      <w:pPr>
        <w:jc w:val="both"/>
        <w:ind w:firstLine="2166"/>
        <w:spacing w:after="0" w:line="217" w:lineRule="auto"/>
        <w:tabs>
          <w:tab w:leader="none" w:pos="246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4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(vi)to institute and determine the terms and conditions of an Exchange Program;</w:t>
      </w:r>
    </w:p>
    <w:p>
      <w:pPr>
        <w:spacing w:after="0" w:line="171" w:lineRule="exact"/>
        <w:rPr>
          <w:sz w:val="20"/>
          <w:szCs w:val="20"/>
          <w:color w:val="auto"/>
        </w:rPr>
      </w:pPr>
    </w:p>
    <w:p>
      <w:pPr>
        <w:ind w:left="3080" w:hanging="914"/>
        <w:spacing w:after="0"/>
        <w:tabs>
          <w:tab w:leader="none" w:pos="308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construe and interpret the terms of the Plan and Awards granted pursuant to the Plan;</w:t>
      </w:r>
    </w:p>
    <w:p>
      <w:pPr>
        <w:spacing w:after="0" w:line="170" w:lineRule="exact"/>
        <w:rPr>
          <w:rFonts w:ascii="Times New Roman" w:cs="Times New Roman" w:eastAsia="Times New Roman" w:hAnsi="Times New Roman"/>
          <w:sz w:val="21"/>
          <w:szCs w:val="21"/>
          <w:color w:val="auto"/>
        </w:rPr>
      </w:pPr>
    </w:p>
    <w:p>
      <w:pPr>
        <w:jc w:val="both"/>
        <w:ind w:firstLine="2166"/>
        <w:spacing w:after="0" w:line="220" w:lineRule="auto"/>
        <w:tabs>
          <w:tab w:leader="none" w:pos="309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prescribe, amend and rescind rules and regulations and adopt sub-plans relating to the Plan, including rules, regulations and sub-plans for the purposes of facilitating compliance with foreign laws, easing the administration of the Plan and/or taking advantage of tax-favorable treatment for Awards granted to Service Providers outside the U.S., in each case as the Administrator may deem necessary or advisable;</w:t>
      </w:r>
    </w:p>
    <w:p>
      <w:pPr>
        <w:spacing w:after="0" w:line="145" w:lineRule="exact"/>
        <w:rPr>
          <w:sz w:val="20"/>
          <w:szCs w:val="20"/>
          <w:color w:val="auto"/>
        </w:rPr>
      </w:pPr>
    </w:p>
    <w:p>
      <w:pPr>
        <w:jc w:val="both"/>
        <w:ind w:firstLine="2163"/>
        <w:spacing w:after="0" w:line="225" w:lineRule="auto"/>
        <w:rPr>
          <w:sz w:val="20"/>
          <w:szCs w:val="20"/>
          <w:color w:val="auto"/>
        </w:rPr>
      </w:pPr>
      <w:r>
        <w:rPr>
          <w:rFonts w:ascii="Times New Roman" w:cs="Times New Roman" w:eastAsia="Times New Roman" w:hAnsi="Times New Roman"/>
          <w:sz w:val="21"/>
          <w:szCs w:val="21"/>
          <w:color w:val="auto"/>
        </w:rPr>
        <w:t>(ix)to modify or amend each Award (subject to Section 19 of the Plan), including but not limited to the discretionary authority to extend the post-termination exercisability period of Awards and to extend the maximum term of an Option (subject to Section 6(b) of the Plan regarding Incentive Stock Options and Section 409A of the Code);</w:t>
      </w:r>
    </w:p>
    <w:p>
      <w:pPr>
        <w:spacing w:after="0" w:line="14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(x) to allow Participants to satisfy tax withholding obligations in such manner as prescribed in Section 15 of</w:t>
      </w:r>
    </w:p>
    <w:p>
      <w:pPr>
        <w:spacing w:after="0"/>
        <w:rPr>
          <w:sz w:val="20"/>
          <w:szCs w:val="20"/>
          <w:color w:val="auto"/>
        </w:rPr>
      </w:pPr>
      <w:r>
        <w:rPr>
          <w:rFonts w:ascii="Times New Roman" w:cs="Times New Roman" w:eastAsia="Times New Roman" w:hAnsi="Times New Roman"/>
          <w:sz w:val="21"/>
          <w:szCs w:val="21"/>
          <w:color w:val="auto"/>
        </w:rPr>
        <w:t>the Plan;</w:t>
      </w:r>
    </w:p>
    <w:p>
      <w:pPr>
        <w:spacing w:after="0" w:line="149" w:lineRule="exact"/>
        <w:rPr>
          <w:sz w:val="20"/>
          <w:szCs w:val="20"/>
          <w:color w:val="auto"/>
        </w:rPr>
      </w:pPr>
    </w:p>
    <w:p>
      <w:pPr>
        <w:jc w:val="both"/>
        <w:ind w:firstLine="2163"/>
        <w:spacing w:after="0" w:line="235" w:lineRule="auto"/>
        <w:rPr>
          <w:sz w:val="20"/>
          <w:szCs w:val="20"/>
          <w:color w:val="auto"/>
        </w:rPr>
      </w:pPr>
      <w:r>
        <w:rPr>
          <w:rFonts w:ascii="Times New Roman" w:cs="Times New Roman" w:eastAsia="Times New Roman" w:hAnsi="Times New Roman"/>
          <w:sz w:val="21"/>
          <w:szCs w:val="21"/>
          <w:color w:val="auto"/>
        </w:rPr>
        <w:t>(xi)to authorize any person to execute on behalf of the Company any instrument required to effect the grant of an Award previously granted by the Administrator;</w:t>
      </w:r>
    </w:p>
    <w:p>
      <w:pPr>
        <w:spacing w:after="0" w:line="145" w:lineRule="exact"/>
        <w:rPr>
          <w:sz w:val="20"/>
          <w:szCs w:val="20"/>
          <w:color w:val="auto"/>
        </w:rPr>
      </w:pPr>
    </w:p>
    <w:p>
      <w:pPr>
        <w:ind w:firstLine="2166"/>
        <w:spacing w:after="0" w:line="235" w:lineRule="auto"/>
        <w:tabs>
          <w:tab w:leader="none" w:pos="3085"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allow a Participant to defer the receipt of the payment of cash or the delivery of Shares that would otherwise be due to such Participant under an Award; and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24" w:lineRule="exact"/>
        <w:rPr>
          <w:rFonts w:ascii="Times New Roman" w:cs="Times New Roman" w:eastAsia="Times New Roman" w:hAnsi="Times New Roman"/>
          <w:sz w:val="21"/>
          <w:szCs w:val="21"/>
          <w:color w:val="auto"/>
        </w:rPr>
      </w:pPr>
    </w:p>
    <w:p>
      <w:pPr>
        <w:ind w:left="5580" w:hanging="128"/>
        <w:spacing w:after="0"/>
        <w:tabs>
          <w:tab w:leader="none" w:pos="558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7 -</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349" w:lineRule="exact"/>
        <w:rPr>
          <w:sz w:val="20"/>
          <w:szCs w:val="20"/>
          <w:color w:val="auto"/>
        </w:rPr>
      </w:pPr>
    </w:p>
    <w:p>
      <w:pPr>
        <w:ind w:left="2479" w:hanging="934"/>
        <w:spacing w:after="0"/>
        <w:tabs>
          <w:tab w:leader="none" w:pos="2479"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make all other determinations deemed necessary or advisable for administering the Plan.</w:t>
      </w:r>
    </w:p>
    <w:p>
      <w:pPr>
        <w:spacing w:after="0" w:line="170" w:lineRule="exact"/>
        <w:rPr>
          <w:rFonts w:ascii="Times New Roman" w:cs="Times New Roman" w:eastAsia="Times New Roman" w:hAnsi="Times New Roman"/>
          <w:sz w:val="21"/>
          <w:szCs w:val="21"/>
          <w:color w:val="auto"/>
        </w:rPr>
      </w:pPr>
    </w:p>
    <w:p>
      <w:pPr>
        <w:jc w:val="both"/>
        <w:ind w:left="-621" w:firstLine="1239"/>
        <w:spacing w:after="0" w:line="225" w:lineRule="auto"/>
        <w:tabs>
          <w:tab w:leader="none" w:pos="1230"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Administrator’s Decision</w:t>
      </w:r>
      <w:r>
        <w:rPr>
          <w:rFonts w:ascii="Times New Roman" w:cs="Times New Roman" w:eastAsia="Times New Roman" w:hAnsi="Times New Roman"/>
          <w:sz w:val="21"/>
          <w:szCs w:val="21"/>
          <w:color w:val="auto"/>
        </w:rPr>
        <w:t>. The Administrator’s decisions, determinations and interpretations will be final and binding on all Participants and any other holders of Awards and will be given the maximum deference permitted by Applicable Laws.</w:t>
      </w:r>
    </w:p>
    <w:p>
      <w:pPr>
        <w:spacing w:after="0" w:line="144" w:lineRule="exact"/>
        <w:rPr>
          <w:rFonts w:ascii="Times New Roman" w:cs="Times New Roman" w:eastAsia="Times New Roman" w:hAnsi="Times New Roman"/>
          <w:sz w:val="21"/>
          <w:szCs w:val="21"/>
          <w:color w:val="auto"/>
        </w:rPr>
      </w:pPr>
    </w:p>
    <w:p>
      <w:pPr>
        <w:jc w:val="both"/>
        <w:ind w:left="-621" w:firstLine="621"/>
        <w:spacing w:after="0" w:line="225" w:lineRule="auto"/>
        <w:tabs>
          <w:tab w:leader="none" w:pos="615"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w:t>
      </w:r>
      <w:r>
        <w:rPr>
          <w:rFonts w:ascii="Times New Roman" w:cs="Times New Roman" w:eastAsia="Times New Roman" w:hAnsi="Times New Roman"/>
          <w:sz w:val="21"/>
          <w:szCs w:val="21"/>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44" w:lineRule="exact"/>
        <w:rPr>
          <w:rFonts w:ascii="Times New Roman" w:cs="Times New Roman" w:eastAsia="Times New Roman" w:hAnsi="Times New Roman"/>
          <w:sz w:val="21"/>
          <w:szCs w:val="21"/>
          <w:color w:val="auto"/>
        </w:rPr>
      </w:pPr>
    </w:p>
    <w:p>
      <w:pPr>
        <w:ind w:left="619" w:hanging="619"/>
        <w:spacing w:after="0"/>
        <w:tabs>
          <w:tab w:leader="none" w:pos="61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Options</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left="-621" w:firstLine="1239"/>
        <w:spacing w:after="0" w:line="213" w:lineRule="auto"/>
        <w:tabs>
          <w:tab w:leader="none" w:pos="123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w:t>
      </w:r>
      <w:r>
        <w:rPr>
          <w:rFonts w:ascii="Times New Roman" w:cs="Times New Roman" w:eastAsia="Times New Roman" w:hAnsi="Times New Roman"/>
          <w:sz w:val="21"/>
          <w:szCs w:val="21"/>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48" w:lineRule="exact"/>
        <w:rPr>
          <w:rFonts w:ascii="Times New Roman" w:cs="Times New Roman" w:eastAsia="Times New Roman" w:hAnsi="Times New Roman"/>
          <w:sz w:val="21"/>
          <w:szCs w:val="21"/>
          <w:color w:val="auto"/>
        </w:rPr>
      </w:pPr>
    </w:p>
    <w:p>
      <w:pPr>
        <w:jc w:val="both"/>
        <w:ind w:left="-621" w:firstLine="1239"/>
        <w:spacing w:after="0" w:line="214" w:lineRule="auto"/>
        <w:tabs>
          <w:tab w:leader="none" w:pos="1229"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Option</w:t>
      </w:r>
      <w:r>
        <w:rPr>
          <w:rFonts w:ascii="Times New Roman" w:cs="Times New Roman" w:eastAsia="Times New Roman" w:hAnsi="Times New Roman"/>
          <w:sz w:val="21"/>
          <w:szCs w:val="21"/>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50" w:lineRule="exact"/>
        <w:rPr>
          <w:rFonts w:ascii="Times New Roman" w:cs="Times New Roman" w:eastAsia="Times New Roman" w:hAnsi="Times New Roman"/>
          <w:sz w:val="21"/>
          <w:szCs w:val="21"/>
          <w:color w:val="auto"/>
        </w:rPr>
      </w:pPr>
    </w:p>
    <w:p>
      <w:pPr>
        <w:ind w:left="1239" w:hanging="621"/>
        <w:spacing w:after="0"/>
        <w:tabs>
          <w:tab w:leader="none" w:pos="1239"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Exercise Price and Consideration</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621" w:firstLine="2166"/>
        <w:spacing w:after="0" w:line="235" w:lineRule="auto"/>
        <w:tabs>
          <w:tab w:leader="none" w:pos="1840" w:val="left"/>
        </w:tabs>
        <w:numPr>
          <w:ilvl w:val="2"/>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Price</w:t>
      </w:r>
      <w:r>
        <w:rPr>
          <w:rFonts w:ascii="Times New Roman" w:cs="Times New Roman" w:eastAsia="Times New Roman" w:hAnsi="Times New Roman"/>
          <w:sz w:val="21"/>
          <w:szCs w:val="21"/>
          <w:color w:val="auto"/>
        </w:rPr>
        <w:t>. The per share exercise price for the Shares to be issued pursuant to exercise of an Option will be determined by the Administrator, subject to the following:</w:t>
      </w:r>
    </w:p>
    <w:p>
      <w:pPr>
        <w:spacing w:after="0" w:line="145" w:lineRule="exact"/>
        <w:rPr>
          <w:rFonts w:ascii="Times New Roman" w:cs="Times New Roman" w:eastAsia="Times New Roman" w:hAnsi="Times New Roman"/>
          <w:sz w:val="21"/>
          <w:szCs w:val="21"/>
          <w:color w:val="auto"/>
        </w:rPr>
      </w:pPr>
    </w:p>
    <w:p>
      <w:pPr>
        <w:ind w:left="2459" w:hanging="605"/>
        <w:spacing w:after="0"/>
        <w:tabs>
          <w:tab w:leader="none" w:pos="2459" w:val="left"/>
        </w:tabs>
        <w:numPr>
          <w:ilvl w:val="3"/>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Incentive Stock Option</w:t>
      </w:r>
    </w:p>
    <w:p>
      <w:pPr>
        <w:spacing w:after="0" w:line="196" w:lineRule="exact"/>
        <w:rPr>
          <w:rFonts w:ascii="Times New Roman" w:cs="Times New Roman" w:eastAsia="Times New Roman" w:hAnsi="Times New Roman"/>
          <w:sz w:val="21"/>
          <w:szCs w:val="21"/>
          <w:color w:val="auto"/>
        </w:rPr>
      </w:pPr>
    </w:p>
    <w:p>
      <w:pPr>
        <w:jc w:val="both"/>
        <w:ind w:left="-621" w:firstLine="3094"/>
        <w:spacing w:after="0" w:line="281" w:lineRule="auto"/>
        <w:tabs>
          <w:tab w:leader="none" w:pos="2997" w:val="left"/>
        </w:tabs>
        <w:numPr>
          <w:ilvl w:val="4"/>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45" w:lineRule="exact"/>
        <w:rPr>
          <w:rFonts w:ascii="Times New Roman" w:cs="Times New Roman" w:eastAsia="Times New Roman" w:hAnsi="Times New Roman"/>
          <w:sz w:val="20"/>
          <w:szCs w:val="20"/>
          <w:color w:val="auto"/>
        </w:rPr>
      </w:pPr>
    </w:p>
    <w:p>
      <w:pPr>
        <w:jc w:val="both"/>
        <w:ind w:left="-621" w:firstLine="3094"/>
        <w:spacing w:after="0" w:line="256" w:lineRule="auto"/>
        <w:tabs>
          <w:tab w:leader="none" w:pos="3011" w:val="left"/>
        </w:tabs>
        <w:numPr>
          <w:ilvl w:val="4"/>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41" w:lineRule="exact"/>
        <w:rPr>
          <w:rFonts w:ascii="Times New Roman" w:cs="Times New Roman" w:eastAsia="Times New Roman" w:hAnsi="Times New Roman"/>
          <w:sz w:val="21"/>
          <w:szCs w:val="21"/>
          <w:color w:val="auto"/>
        </w:rPr>
      </w:pPr>
    </w:p>
    <w:p>
      <w:pPr>
        <w:ind w:left="-621" w:firstLine="2475"/>
        <w:spacing w:after="0" w:line="235" w:lineRule="auto"/>
        <w:tabs>
          <w:tab w:leader="none" w:pos="2465" w:val="left"/>
        </w:tabs>
        <w:numPr>
          <w:ilvl w:val="3"/>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Nonstatutory Stock Option, the per Share exercise price will be no less than one hundred percent (100%) of the Fair Market Value per Share on the date of grant.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24" w:lineRule="exact"/>
        <w:rPr>
          <w:rFonts w:ascii="Times New Roman" w:cs="Times New Roman" w:eastAsia="Times New Roman" w:hAnsi="Times New Roman"/>
          <w:sz w:val="21"/>
          <w:szCs w:val="21"/>
          <w:color w:val="auto"/>
        </w:rPr>
      </w:pPr>
    </w:p>
    <w:p>
      <w:pPr>
        <w:ind w:left="4959" w:hanging="128"/>
        <w:spacing w:after="0"/>
        <w:tabs>
          <w:tab w:leader="none" w:pos="4959" w:val="left"/>
        </w:tabs>
        <w:numPr>
          <w:ilvl w:val="5"/>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8 -</w:t>
      </w:r>
    </w:p>
    <w:p>
      <w:pPr>
        <w:sectPr>
          <w:pgSz w:w="11900" w:h="16838" w:orient="portrait"/>
          <w:cols w:equalWidth="0" w:num="1">
            <w:col w:w="10619"/>
          </w:cols>
          <w:pgMar w:left="941" w:top="1440" w:right="339" w:bottom="1440" w:gutter="0" w:footer="0" w:header="0"/>
        </w:sectPr>
      </w:pPr>
    </w:p>
    <w:bookmarkStart w:id="162" w:name="page163"/>
    <w:bookmarkEnd w:id="162"/>
    <w:p>
      <w:pPr>
        <w:spacing w:after="0" w:line="349" w:lineRule="exact"/>
        <w:rPr>
          <w:sz w:val="20"/>
          <w:szCs w:val="20"/>
          <w:color w:val="auto"/>
        </w:rPr>
      </w:pPr>
    </w:p>
    <w:p>
      <w:pPr>
        <w:jc w:val="both"/>
        <w:ind w:firstLine="2475"/>
        <w:spacing w:after="0" w:line="220" w:lineRule="auto"/>
        <w:tabs>
          <w:tab w:leader="none" w:pos="308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Options may be granted with a per Share exercise price of less than one hundred percent (100%) of the Fair Market Value per Share (i) on the date of grant pursuant to a transaction described in, and in a manner consistent with, Section 424(a) of the Code, (ii) to individuals who are not subject to U.S. income tax on the date of grant or (iii) if the Option is otherwise compliant with or exempt from Section 409A of the Code.</w:t>
      </w:r>
    </w:p>
    <w:p>
      <w:pPr>
        <w:spacing w:after="0" w:line="144" w:lineRule="exact"/>
        <w:rPr>
          <w:rFonts w:ascii="Times New Roman" w:cs="Times New Roman" w:eastAsia="Times New Roman" w:hAnsi="Times New Roman"/>
          <w:sz w:val="21"/>
          <w:szCs w:val="21"/>
          <w:color w:val="auto"/>
        </w:rPr>
      </w:pPr>
    </w:p>
    <w:p>
      <w:pPr>
        <w:jc w:val="both"/>
        <w:ind w:firstLine="2166"/>
        <w:spacing w:after="0" w:line="254" w:lineRule="auto"/>
        <w:tabs>
          <w:tab w:leader="none" w:pos="246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Waiting Period and Exercise Dates</w:t>
      </w:r>
      <w:r>
        <w:rPr>
          <w:rFonts w:ascii="Times New Roman" w:cs="Times New Roman" w:eastAsia="Times New Roman" w:hAnsi="Times New Roman"/>
          <w:sz w:val="20"/>
          <w:szCs w:val="20"/>
          <w:color w:val="auto"/>
        </w:rPr>
        <w:t>. At the time an Option is granted, the Administrator will fix the period within which the Option may be exercised and will determine any conditions that must be satisfied before the Option may be exercised.</w:t>
      </w:r>
    </w:p>
    <w:p>
      <w:pPr>
        <w:spacing w:after="0" w:line="131" w:lineRule="exact"/>
        <w:rPr>
          <w:sz w:val="20"/>
          <w:szCs w:val="20"/>
          <w:color w:val="auto"/>
        </w:rPr>
      </w:pPr>
    </w:p>
    <w:p>
      <w:pPr>
        <w:jc w:val="both"/>
        <w:ind w:firstLine="2163"/>
        <w:spacing w:after="0" w:line="218"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Form of Consideration</w:t>
      </w:r>
      <w:r>
        <w:rPr>
          <w:rFonts w:ascii="Times New Roman" w:cs="Times New Roman" w:eastAsia="Times New Roman" w:hAnsi="Times New Roman"/>
          <w:sz w:val="20"/>
          <w:szCs w:val="20"/>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w:t>
      </w:r>
    </w:p>
    <w:p>
      <w:pPr>
        <w:spacing w:after="0" w:line="5" w:lineRule="exact"/>
        <w:rPr>
          <w:sz w:val="20"/>
          <w:szCs w:val="20"/>
          <w:color w:val="auto"/>
        </w:rPr>
      </w:pPr>
    </w:p>
    <w:p>
      <w:pPr>
        <w:jc w:val="both"/>
        <w:ind w:firstLine="3"/>
        <w:spacing w:after="0" w:line="214" w:lineRule="auto"/>
        <w:tabs>
          <w:tab w:leader="none" w:pos="305"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46"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2166"/>
        <w:spacing w:after="0" w:line="225" w:lineRule="auto"/>
        <w:tabs>
          <w:tab w:leader="none" w:pos="2461" w:val="left"/>
        </w:tabs>
        <w:numPr>
          <w:ilvl w:val="2"/>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 for Exercise; Rights as a Stockholder</w:t>
      </w:r>
      <w:r>
        <w:rPr>
          <w:rFonts w:ascii="Times New Roman" w:cs="Times New Roman" w:eastAsia="Times New Roman" w:hAnsi="Times New Roman"/>
          <w:sz w:val="21"/>
          <w:szCs w:val="21"/>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1" w:lineRule="exact"/>
        <w:rPr>
          <w:sz w:val="20"/>
          <w:szCs w:val="20"/>
          <w:color w:val="auto"/>
        </w:rPr>
      </w:pPr>
    </w:p>
    <w:p>
      <w:pPr>
        <w:jc w:val="both"/>
        <w:ind w:firstLine="2472"/>
        <w:spacing w:after="0" w:line="248" w:lineRule="auto"/>
        <w:rPr>
          <w:sz w:val="20"/>
          <w:szCs w:val="20"/>
          <w:color w:val="auto"/>
        </w:rPr>
      </w:pPr>
      <w:r>
        <w:rPr>
          <w:rFonts w:ascii="Times New Roman" w:cs="Times New Roman" w:eastAsia="Times New Roman" w:hAnsi="Times New Roman"/>
          <w:sz w:val="21"/>
          <w:szCs w:val="21"/>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83" w:lineRule="exact"/>
        <w:rPr>
          <w:sz w:val="20"/>
          <w:szCs w:val="20"/>
          <w:color w:val="auto"/>
        </w:rPr>
      </w:pPr>
    </w:p>
    <w:p>
      <w:pPr>
        <w:jc w:val="both"/>
        <w:ind w:firstLine="1854"/>
        <w:spacing w:after="0" w:line="269" w:lineRule="auto"/>
        <w:rPr>
          <w:sz w:val="20"/>
          <w:szCs w:val="20"/>
          <w:color w:val="auto"/>
        </w:rPr>
      </w:pPr>
      <w:r>
        <w:rPr>
          <w:rFonts w:ascii="Times New Roman" w:cs="Times New Roman" w:eastAsia="Times New Roman" w:hAnsi="Times New Roman"/>
          <w:sz w:val="21"/>
          <w:szCs w:val="21"/>
          <w:color w:val="auto"/>
        </w:rPr>
        <w:t>Exercising an Option in any manner will decrease the number of Shares thereafter available, both for purposes of the Plan and for sale under the Option, by the number of Shares as to which the Option is exercised.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- 9 -</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349" w:lineRule="exact"/>
        <w:rPr>
          <w:sz w:val="20"/>
          <w:szCs w:val="20"/>
          <w:color w:val="auto"/>
        </w:rPr>
      </w:pPr>
    </w:p>
    <w:p>
      <w:pPr>
        <w:jc w:val="both"/>
        <w:ind w:firstLine="2166"/>
        <w:spacing w:after="0" w:line="211" w:lineRule="auto"/>
        <w:tabs>
          <w:tab w:leader="none" w:pos="2467"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Relationship as a Service Provider</w:t>
      </w:r>
      <w:r>
        <w:rPr>
          <w:rFonts w:ascii="Times New Roman" w:cs="Times New Roman" w:eastAsia="Times New Roman" w:hAnsi="Times New Roman"/>
          <w:sz w:val="21"/>
          <w:szCs w:val="21"/>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50" w:lineRule="exact"/>
        <w:rPr>
          <w:sz w:val="20"/>
          <w:szCs w:val="20"/>
          <w:color w:val="auto"/>
        </w:rPr>
      </w:pPr>
    </w:p>
    <w:p>
      <w:pPr>
        <w:jc w:val="both"/>
        <w:ind w:firstLine="2163"/>
        <w:spacing w:after="0" w:line="210" w:lineRule="auto"/>
        <w:rPr>
          <w:sz w:val="20"/>
          <w:szCs w:val="20"/>
          <w:color w:val="auto"/>
        </w:rPr>
      </w:pPr>
      <w:r>
        <w:rPr>
          <w:rFonts w:ascii="Times New Roman" w:cs="Times New Roman" w:eastAsia="Times New Roman" w:hAnsi="Times New Roman"/>
          <w:sz w:val="21"/>
          <w:szCs w:val="21"/>
          <w:color w:val="auto"/>
        </w:rPr>
        <w:t>(iii)</w:t>
      </w:r>
      <w:r>
        <w:rPr>
          <w:rFonts w:ascii="Times New Roman" w:cs="Times New Roman" w:eastAsia="Times New Roman" w:hAnsi="Times New Roman"/>
          <w:sz w:val="21"/>
          <w:szCs w:val="21"/>
          <w:u w:val="single" w:color="auto"/>
          <w:color w:val="auto"/>
        </w:rPr>
        <w:t>Disability of Participant</w:t>
      </w:r>
      <w:r>
        <w:rPr>
          <w:rFonts w:ascii="Times New Roman" w:cs="Times New Roman" w:eastAsia="Times New Roman" w:hAnsi="Times New Roman"/>
          <w:sz w:val="21"/>
          <w:szCs w:val="21"/>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w:t>
      </w:r>
    </w:p>
    <w:p>
      <w:pPr>
        <w:spacing w:after="0" w:line="1" w:lineRule="exact"/>
        <w:rPr>
          <w:sz w:val="20"/>
          <w:szCs w:val="20"/>
          <w:color w:val="auto"/>
        </w:rPr>
      </w:pPr>
    </w:p>
    <w:p>
      <w:pPr>
        <w:jc w:val="both"/>
        <w:ind w:firstLine="3"/>
        <w:spacing w:after="0" w:line="214" w:lineRule="auto"/>
        <w:tabs>
          <w:tab w:leader="none" w:pos="40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47" w:lineRule="exact"/>
        <w:rPr>
          <w:sz w:val="20"/>
          <w:szCs w:val="20"/>
          <w:color w:val="auto"/>
        </w:rPr>
      </w:pPr>
    </w:p>
    <w:p>
      <w:pPr>
        <w:jc w:val="both"/>
        <w:ind w:firstLine="2163"/>
        <w:spacing w:after="0" w:line="209" w:lineRule="auto"/>
        <w:rPr>
          <w:sz w:val="20"/>
          <w:szCs w:val="20"/>
          <w:color w:val="auto"/>
        </w:rPr>
      </w:pPr>
      <w:r>
        <w:rPr>
          <w:rFonts w:ascii="Times New Roman" w:cs="Times New Roman" w:eastAsia="Times New Roman" w:hAnsi="Times New Roman"/>
          <w:sz w:val="21"/>
          <w:szCs w:val="21"/>
          <w:color w:val="auto"/>
        </w:rPr>
        <w:t>(iv)</w:t>
      </w:r>
      <w:r>
        <w:rPr>
          <w:rFonts w:ascii="Times New Roman" w:cs="Times New Roman" w:eastAsia="Times New Roman" w:hAnsi="Times New Roman"/>
          <w:sz w:val="21"/>
          <w:szCs w:val="21"/>
          <w:u w:val="single" w:color="auto"/>
          <w:color w:val="auto"/>
        </w:rPr>
        <w:t>Death of Participant</w:t>
      </w:r>
      <w:r>
        <w:rPr>
          <w:rFonts w:ascii="Times New Roman" w:cs="Times New Roman" w:eastAsia="Times New Roman" w:hAnsi="Times New Roman"/>
          <w:sz w:val="21"/>
          <w:szCs w:val="21"/>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55" w:lineRule="exact"/>
        <w:rPr>
          <w:sz w:val="20"/>
          <w:szCs w:val="20"/>
          <w:color w:val="auto"/>
        </w:rPr>
      </w:pPr>
    </w:p>
    <w:p>
      <w:pPr>
        <w:ind w:left="2480" w:hanging="314"/>
        <w:spacing w:after="0"/>
        <w:tabs>
          <w:tab w:leader="none" w:pos="248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Tolling Expiration</w:t>
      </w:r>
      <w:r>
        <w:rPr>
          <w:rFonts w:ascii="Times New Roman" w:cs="Times New Roman" w:eastAsia="Times New Roman" w:hAnsi="Times New Roman"/>
          <w:sz w:val="21"/>
          <w:szCs w:val="21"/>
          <w:color w:val="auto"/>
        </w:rPr>
        <w:t>. A Participant’s Award Agreement may also provide that:</w:t>
      </w:r>
    </w:p>
    <w:p>
      <w:pPr>
        <w:spacing w:after="0" w:line="170" w:lineRule="exact"/>
        <w:rPr>
          <w:rFonts w:ascii="Times New Roman" w:cs="Times New Roman" w:eastAsia="Times New Roman" w:hAnsi="Times New Roman"/>
          <w:sz w:val="21"/>
          <w:szCs w:val="21"/>
          <w:color w:val="auto"/>
        </w:rPr>
      </w:pPr>
    </w:p>
    <w:p>
      <w:pPr>
        <w:jc w:val="both"/>
        <w:ind w:firstLine="2475"/>
        <w:spacing w:after="0" w:line="207" w:lineRule="auto"/>
        <w:tabs>
          <w:tab w:leader="none" w:pos="308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exercise of the Option following the termination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day after the last date on which such exercise would result in liability under Section 16(b); or</w:t>
      </w:r>
    </w:p>
    <w:p>
      <w:pPr>
        <w:spacing w:after="0" w:line="147" w:lineRule="exact"/>
        <w:rPr>
          <w:rFonts w:ascii="Times New Roman" w:cs="Times New Roman" w:eastAsia="Times New Roman" w:hAnsi="Times New Roman"/>
          <w:sz w:val="21"/>
          <w:szCs w:val="21"/>
          <w:color w:val="auto"/>
        </w:rPr>
      </w:pPr>
    </w:p>
    <w:p>
      <w:pPr>
        <w:jc w:val="both"/>
        <w:ind w:firstLine="2475"/>
        <w:spacing w:after="0" w:line="225" w:lineRule="auto"/>
        <w:tabs>
          <w:tab w:leader="none" w:pos="308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exercise of the Option following the termination of the Participant’s status as a Service Provider (other than upon the Participant’s death or Disability) would be prohibited at any time solely because the issuance of Shares would violate the registration requirements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24" w:lineRule="exact"/>
        <w:rPr>
          <w:rFonts w:ascii="Times New Roman" w:cs="Times New Roman" w:eastAsia="Times New Roman" w:hAnsi="Times New Roman"/>
          <w:sz w:val="21"/>
          <w:szCs w:val="21"/>
          <w:color w:val="auto"/>
        </w:rPr>
      </w:pPr>
    </w:p>
    <w:p>
      <w:pPr>
        <w:ind w:left="5520" w:hanging="119"/>
        <w:spacing w:after="0"/>
        <w:tabs>
          <w:tab w:leader="none" w:pos="5520"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10 -</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34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under the Securities Act, then the Option will terminate on the earlier of (A) the expiration of the term of the Option or (B) the expiration of a period of thirty (30)-day period after the termination of the Participant’s status as a Service Provider during which the exercise of the Option would not be in violation of such registration requirements.</w:t>
      </w:r>
    </w:p>
    <w:p>
      <w:pPr>
        <w:spacing w:after="0" w:line="145" w:lineRule="exact"/>
        <w:rPr>
          <w:sz w:val="20"/>
          <w:szCs w:val="20"/>
          <w:color w:val="auto"/>
        </w:rPr>
      </w:pPr>
    </w:p>
    <w:p>
      <w:pPr>
        <w:ind w:left="1240" w:hanging="619"/>
        <w:spacing w:after="0"/>
        <w:tabs>
          <w:tab w:leader="none" w:pos="124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239"/>
        <w:spacing w:after="0" w:line="225" w:lineRule="auto"/>
        <w:tabs>
          <w:tab w:leader="none" w:pos="1851"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Restricted Stock</w:t>
      </w:r>
      <w:r>
        <w:rPr>
          <w:rFonts w:ascii="Times New Roman" w:cs="Times New Roman" w:eastAsia="Times New Roman" w:hAnsi="Times New Roman"/>
          <w:sz w:val="21"/>
          <w:szCs w:val="21"/>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44" w:lineRule="exact"/>
        <w:rPr>
          <w:rFonts w:ascii="Times New Roman" w:cs="Times New Roman" w:eastAsia="Times New Roman" w:hAnsi="Times New Roman"/>
          <w:sz w:val="21"/>
          <w:szCs w:val="21"/>
          <w:color w:val="auto"/>
        </w:rPr>
      </w:pPr>
    </w:p>
    <w:p>
      <w:pPr>
        <w:jc w:val="both"/>
        <w:ind w:firstLine="1239"/>
        <w:spacing w:after="0" w:line="220" w:lineRule="auto"/>
        <w:tabs>
          <w:tab w:leader="none" w:pos="185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Agreement</w:t>
      </w:r>
      <w:r>
        <w:rPr>
          <w:rFonts w:ascii="Times New Roman" w:cs="Times New Roman" w:eastAsia="Times New Roman" w:hAnsi="Times New Roman"/>
          <w:sz w:val="21"/>
          <w:szCs w:val="21"/>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44" w:lineRule="exact"/>
        <w:rPr>
          <w:rFonts w:ascii="Times New Roman" w:cs="Times New Roman" w:eastAsia="Times New Roman" w:hAnsi="Times New Roman"/>
          <w:sz w:val="21"/>
          <w:szCs w:val="21"/>
          <w:color w:val="auto"/>
        </w:rPr>
      </w:pPr>
    </w:p>
    <w:p>
      <w:pPr>
        <w:ind w:firstLine="1239"/>
        <w:spacing w:after="0" w:line="254" w:lineRule="auto"/>
        <w:tabs>
          <w:tab w:leader="none" w:pos="1851"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31" w:lineRule="exact"/>
        <w:rPr>
          <w:rFonts w:ascii="Times New Roman" w:cs="Times New Roman" w:eastAsia="Times New Roman" w:hAnsi="Times New Roman"/>
          <w:sz w:val="20"/>
          <w:szCs w:val="20"/>
          <w:color w:val="auto"/>
        </w:rPr>
      </w:pPr>
    </w:p>
    <w:p>
      <w:pPr>
        <w:ind w:firstLine="1239"/>
        <w:spacing w:after="0" w:line="235" w:lineRule="auto"/>
        <w:tabs>
          <w:tab w:leader="none" w:pos="185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Restrictions</w:t>
      </w:r>
      <w:r>
        <w:rPr>
          <w:rFonts w:ascii="Times New Roman" w:cs="Times New Roman" w:eastAsia="Times New Roman" w:hAnsi="Times New Roman"/>
          <w:sz w:val="21"/>
          <w:szCs w:val="21"/>
          <w:color w:val="auto"/>
        </w:rPr>
        <w:t>. The Administrator, in its sole discretion, may impose such other restrictions on Shares of Restricted Stock as it may deem advisable or appropriate.</w:t>
      </w:r>
    </w:p>
    <w:p>
      <w:pPr>
        <w:spacing w:after="0" w:line="145" w:lineRule="exact"/>
        <w:rPr>
          <w:rFonts w:ascii="Times New Roman" w:cs="Times New Roman" w:eastAsia="Times New Roman" w:hAnsi="Times New Roman"/>
          <w:sz w:val="21"/>
          <w:szCs w:val="21"/>
          <w:color w:val="auto"/>
        </w:rPr>
      </w:pPr>
    </w:p>
    <w:p>
      <w:pPr>
        <w:jc w:val="both"/>
        <w:ind w:firstLine="1239"/>
        <w:spacing w:after="0" w:line="220" w:lineRule="auto"/>
        <w:tabs>
          <w:tab w:leader="none" w:pos="1851"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Removal of Restrictions</w:t>
      </w:r>
      <w:r>
        <w:rPr>
          <w:rFonts w:ascii="Times New Roman" w:cs="Times New Roman" w:eastAsia="Times New Roman" w:hAnsi="Times New Roman"/>
          <w:sz w:val="21"/>
          <w:szCs w:val="21"/>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44" w:lineRule="exact"/>
        <w:rPr>
          <w:rFonts w:ascii="Times New Roman" w:cs="Times New Roman" w:eastAsia="Times New Roman" w:hAnsi="Times New Roman"/>
          <w:sz w:val="21"/>
          <w:szCs w:val="21"/>
          <w:color w:val="auto"/>
        </w:rPr>
      </w:pPr>
    </w:p>
    <w:p>
      <w:pPr>
        <w:ind w:firstLine="1239"/>
        <w:spacing w:after="0" w:line="235" w:lineRule="auto"/>
        <w:tabs>
          <w:tab w:leader="none" w:pos="1854"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Voting Rights</w:t>
      </w:r>
      <w:r>
        <w:rPr>
          <w:rFonts w:ascii="Times New Roman" w:cs="Times New Roman" w:eastAsia="Times New Roman" w:hAnsi="Times New Roman"/>
          <w:sz w:val="21"/>
          <w:szCs w:val="21"/>
          <w:color w:val="auto"/>
        </w:rPr>
        <w:t>. During the Period of Restriction, Service Providers holding Shares of Restricted Stock granted hereunder may exercise full voting rights with respect to those Shares, unless the Administrator determines otherwise.</w:t>
      </w:r>
    </w:p>
    <w:p>
      <w:pPr>
        <w:spacing w:after="0" w:line="145" w:lineRule="exact"/>
        <w:rPr>
          <w:rFonts w:ascii="Times New Roman" w:cs="Times New Roman" w:eastAsia="Times New Roman" w:hAnsi="Times New Roman"/>
          <w:sz w:val="21"/>
          <w:szCs w:val="21"/>
          <w:color w:val="auto"/>
        </w:rPr>
      </w:pPr>
    </w:p>
    <w:p>
      <w:pPr>
        <w:jc w:val="both"/>
        <w:ind w:firstLine="1239"/>
        <w:spacing w:after="0" w:line="220" w:lineRule="auto"/>
        <w:tabs>
          <w:tab w:leader="none" w:pos="185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Dividends and Other Distributions</w:t>
      </w:r>
      <w:r>
        <w:rPr>
          <w:rFonts w:ascii="Times New Roman" w:cs="Times New Roman" w:eastAsia="Times New Roman" w:hAnsi="Times New Roman"/>
          <w:sz w:val="21"/>
          <w:szCs w:val="21"/>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44" w:lineRule="exact"/>
        <w:rPr>
          <w:rFonts w:ascii="Times New Roman" w:cs="Times New Roman" w:eastAsia="Times New Roman" w:hAnsi="Times New Roman"/>
          <w:sz w:val="21"/>
          <w:szCs w:val="21"/>
          <w:color w:val="auto"/>
        </w:rPr>
      </w:pPr>
    </w:p>
    <w:p>
      <w:pPr>
        <w:ind w:firstLine="1239"/>
        <w:spacing w:after="0" w:line="235" w:lineRule="auto"/>
        <w:tabs>
          <w:tab w:leader="none" w:pos="185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Restricted Stock to Company</w:t>
      </w:r>
      <w:r>
        <w:rPr>
          <w:rFonts w:ascii="Times New Roman" w:cs="Times New Roman" w:eastAsia="Times New Roman" w:hAnsi="Times New Roman"/>
          <w:sz w:val="21"/>
          <w:szCs w:val="21"/>
          <w:color w:val="auto"/>
        </w:rPr>
        <w:t>. On the date set forth in the Award Agreement, the Restricted Stock for which restrictions have not lapsed will revert to the Company and again will become available for grant under the Plan.</w:t>
      </w:r>
    </w:p>
    <w:p>
      <w:pPr>
        <w:spacing w:after="0" w:line="145"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Units</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firstLine="1239"/>
        <w:spacing w:after="0" w:line="235" w:lineRule="auto"/>
        <w:tabs>
          <w:tab w:leader="none" w:pos="1851"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Restricted Stock Units may be granted at any time and from time to time as determined by the Administrator. After the Administrator determines that it will grant Restricted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24" w:lineRule="exact"/>
        <w:rPr>
          <w:rFonts w:ascii="Times New Roman" w:cs="Times New Roman" w:eastAsia="Times New Roman" w:hAnsi="Times New Roman"/>
          <w:sz w:val="21"/>
          <w:szCs w:val="21"/>
          <w:color w:val="auto"/>
        </w:rPr>
      </w:pPr>
    </w:p>
    <w:p>
      <w:pPr>
        <w:ind w:left="5520" w:hanging="115"/>
        <w:spacing w:after="0"/>
        <w:tabs>
          <w:tab w:leader="none" w:pos="5520" w:val="left"/>
        </w:tabs>
        <w:numPr>
          <w:ilvl w:val="2"/>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11 -</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34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Stock Units under the Plan, it will advise the Participant in an Award Agreement of the terms, conditions, and restrictions related to the grant, including the number of Restricted Stock Units.</w:t>
      </w:r>
    </w:p>
    <w:p>
      <w:pPr>
        <w:spacing w:after="0" w:line="145" w:lineRule="exact"/>
        <w:rPr>
          <w:sz w:val="20"/>
          <w:szCs w:val="20"/>
          <w:color w:val="auto"/>
        </w:rPr>
      </w:pPr>
    </w:p>
    <w:p>
      <w:pPr>
        <w:jc w:val="both"/>
        <w:ind w:firstLine="1239"/>
        <w:spacing w:after="0" w:line="217" w:lineRule="auto"/>
        <w:tabs>
          <w:tab w:leader="none" w:pos="185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Criteria and Other Terms</w:t>
      </w:r>
      <w:r>
        <w:rPr>
          <w:rFonts w:ascii="Times New Roman" w:cs="Times New Roman" w:eastAsia="Times New Roman" w:hAnsi="Times New Roman"/>
          <w:sz w:val="21"/>
          <w:szCs w:val="21"/>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44" w:lineRule="exact"/>
        <w:rPr>
          <w:rFonts w:ascii="Times New Roman" w:cs="Times New Roman" w:eastAsia="Times New Roman" w:hAnsi="Times New Roman"/>
          <w:sz w:val="21"/>
          <w:szCs w:val="21"/>
          <w:color w:val="auto"/>
        </w:rPr>
      </w:pPr>
    </w:p>
    <w:p>
      <w:pPr>
        <w:jc w:val="both"/>
        <w:ind w:firstLine="1239"/>
        <w:spacing w:after="0" w:line="225" w:lineRule="auto"/>
        <w:tabs>
          <w:tab w:leader="none" w:pos="1851"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 Restricted Stock Units</w:t>
      </w:r>
      <w:r>
        <w:rPr>
          <w:rFonts w:ascii="Times New Roman" w:cs="Times New Roman" w:eastAsia="Times New Roman" w:hAnsi="Times New Roman"/>
          <w:sz w:val="21"/>
          <w:szCs w:val="21"/>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44" w:lineRule="exact"/>
        <w:rPr>
          <w:rFonts w:ascii="Times New Roman" w:cs="Times New Roman" w:eastAsia="Times New Roman" w:hAnsi="Times New Roman"/>
          <w:sz w:val="21"/>
          <w:szCs w:val="21"/>
          <w:color w:val="auto"/>
        </w:rPr>
      </w:pPr>
    </w:p>
    <w:p>
      <w:pPr>
        <w:jc w:val="both"/>
        <w:ind w:firstLine="1239"/>
        <w:spacing w:after="0" w:line="225" w:lineRule="auto"/>
        <w:tabs>
          <w:tab w:leader="none" w:pos="185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and Timing of Payment</w:t>
      </w:r>
      <w:r>
        <w:rPr>
          <w:rFonts w:ascii="Times New Roman" w:cs="Times New Roman" w:eastAsia="Times New Roman" w:hAnsi="Times New Roman"/>
          <w:sz w:val="21"/>
          <w:szCs w:val="21"/>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43"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w:t>
      </w:r>
      <w:r>
        <w:rPr>
          <w:rFonts w:ascii="Times New Roman" w:cs="Times New Roman" w:eastAsia="Times New Roman" w:hAnsi="Times New Roman"/>
          <w:sz w:val="20"/>
          <w:szCs w:val="20"/>
          <w:color w:val="auto"/>
        </w:rPr>
        <w:t>. On the date set forth in the Award Agreement, all unearned Restricted Stock Units will be forfeited</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to the Company.</w:t>
      </w:r>
    </w:p>
    <w:p>
      <w:pPr>
        <w:spacing w:after="0" w:line="148" w:lineRule="exact"/>
        <w:rPr>
          <w:rFonts w:ascii="Times New Roman" w:cs="Times New Roman" w:eastAsia="Times New Roman" w:hAnsi="Times New Roman"/>
          <w:sz w:val="20"/>
          <w:szCs w:val="20"/>
          <w:color w:val="auto"/>
        </w:rPr>
      </w:pPr>
    </w:p>
    <w:p>
      <w:pPr>
        <w:ind w:left="1240" w:hanging="619"/>
        <w:spacing w:after="0"/>
        <w:tabs>
          <w:tab w:leader="none" w:pos="124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Appreciation Rights</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239"/>
        <w:spacing w:after="0" w:line="254" w:lineRule="auto"/>
        <w:tabs>
          <w:tab w:leader="none" w:pos="1851"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Stock Appreciation Rights</w:t>
      </w:r>
      <w:r>
        <w:rPr>
          <w:rFonts w:ascii="Times New Roman" w:cs="Times New Roman" w:eastAsia="Times New Roman" w:hAnsi="Times New Roman"/>
          <w:sz w:val="20"/>
          <w:szCs w:val="20"/>
          <w:color w:val="auto"/>
        </w:rPr>
        <w:t>. Subject to the terms and conditions of the Plan, a Stock Appreciation Right may be granted to Service Providers at any time and from time to time as will be determined by the Administrator, in its sole discretion.</w:t>
      </w:r>
    </w:p>
    <w:p>
      <w:pPr>
        <w:spacing w:after="0" w:line="131" w:lineRule="exact"/>
        <w:rPr>
          <w:rFonts w:ascii="Times New Roman" w:cs="Times New Roman" w:eastAsia="Times New Roman" w:hAnsi="Times New Roman"/>
          <w:sz w:val="20"/>
          <w:szCs w:val="20"/>
          <w:color w:val="auto"/>
        </w:rPr>
      </w:pPr>
    </w:p>
    <w:p>
      <w:pPr>
        <w:ind w:firstLine="1239"/>
        <w:spacing w:after="0" w:line="235" w:lineRule="auto"/>
        <w:tabs>
          <w:tab w:leader="none" w:pos="185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Number of Shares</w:t>
      </w:r>
      <w:r>
        <w:rPr>
          <w:rFonts w:ascii="Times New Roman" w:cs="Times New Roman" w:eastAsia="Times New Roman" w:hAnsi="Times New Roman"/>
          <w:sz w:val="21"/>
          <w:szCs w:val="21"/>
          <w:color w:val="auto"/>
        </w:rPr>
        <w:t>. The Administrator will have complete discretion to determine the number of Stock Appreciation Rights granted to any Service Provider.</w:t>
      </w:r>
    </w:p>
    <w:p>
      <w:pPr>
        <w:spacing w:after="0" w:line="145" w:lineRule="exact"/>
        <w:rPr>
          <w:rFonts w:ascii="Times New Roman" w:cs="Times New Roman" w:eastAsia="Times New Roman" w:hAnsi="Times New Roman"/>
          <w:sz w:val="21"/>
          <w:szCs w:val="21"/>
          <w:color w:val="auto"/>
        </w:rPr>
      </w:pPr>
    </w:p>
    <w:p>
      <w:pPr>
        <w:jc w:val="both"/>
        <w:ind w:firstLine="1239"/>
        <w:spacing w:after="0" w:line="220" w:lineRule="auto"/>
        <w:tabs>
          <w:tab w:leader="none" w:pos="1851"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Price and Other Terms</w:t>
      </w:r>
      <w:r>
        <w:rPr>
          <w:rFonts w:ascii="Times New Roman" w:cs="Times New Roman" w:eastAsia="Times New Roman" w:hAnsi="Times New Roman"/>
          <w:sz w:val="21"/>
          <w:szCs w:val="21"/>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44" w:lineRule="exact"/>
        <w:rPr>
          <w:rFonts w:ascii="Times New Roman" w:cs="Times New Roman" w:eastAsia="Times New Roman" w:hAnsi="Times New Roman"/>
          <w:sz w:val="21"/>
          <w:szCs w:val="21"/>
          <w:color w:val="auto"/>
        </w:rPr>
      </w:pPr>
    </w:p>
    <w:p>
      <w:pPr>
        <w:jc w:val="both"/>
        <w:ind w:firstLine="1239"/>
        <w:spacing w:after="0" w:line="225" w:lineRule="auto"/>
        <w:tabs>
          <w:tab w:leader="none" w:pos="185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Appreciation Right Agreement</w:t>
      </w:r>
      <w:r>
        <w:rPr>
          <w:rFonts w:ascii="Times New Roman" w:cs="Times New Roman" w:eastAsia="Times New Roman" w:hAnsi="Times New Roman"/>
          <w:sz w:val="21"/>
          <w:szCs w:val="21"/>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44" w:lineRule="exact"/>
        <w:rPr>
          <w:rFonts w:ascii="Times New Roman" w:cs="Times New Roman" w:eastAsia="Times New Roman" w:hAnsi="Times New Roman"/>
          <w:sz w:val="21"/>
          <w:szCs w:val="21"/>
          <w:color w:val="auto"/>
        </w:rPr>
      </w:pPr>
    </w:p>
    <w:p>
      <w:pPr>
        <w:jc w:val="both"/>
        <w:ind w:firstLine="1239"/>
        <w:spacing w:after="0" w:line="236" w:lineRule="auto"/>
        <w:tabs>
          <w:tab w:leader="none" w:pos="1851"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of Stock Appreciation Rights</w:t>
      </w:r>
      <w:r>
        <w:rPr>
          <w:rFonts w:ascii="Times New Roman" w:cs="Times New Roman" w:eastAsia="Times New Roman" w:hAnsi="Times New Roman"/>
          <w:sz w:val="20"/>
          <w:szCs w:val="20"/>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45" w:lineRule="exact"/>
        <w:rPr>
          <w:rFonts w:ascii="Times New Roman" w:cs="Times New Roman" w:eastAsia="Times New Roman" w:hAnsi="Times New Roman"/>
          <w:sz w:val="20"/>
          <w:szCs w:val="20"/>
          <w:color w:val="auto"/>
        </w:rPr>
      </w:pPr>
    </w:p>
    <w:p>
      <w:pPr>
        <w:ind w:firstLine="1239"/>
        <w:spacing w:after="0" w:line="235" w:lineRule="auto"/>
        <w:tabs>
          <w:tab w:leader="none" w:pos="1854"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Stock Appreciation Right Amount</w:t>
      </w:r>
      <w:r>
        <w:rPr>
          <w:rFonts w:ascii="Times New Roman" w:cs="Times New Roman" w:eastAsia="Times New Roman" w:hAnsi="Times New Roman"/>
          <w:sz w:val="21"/>
          <w:szCs w:val="21"/>
          <w:color w:val="auto"/>
        </w:rPr>
        <w:t>. Upon exercise of a Stock Appreciation Right, a Participant will be entitled to receive payment from the Company in an amount determined by multiplying:</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24" w:lineRule="exact"/>
        <w:rPr>
          <w:rFonts w:ascii="Times New Roman" w:cs="Times New Roman" w:eastAsia="Times New Roman" w:hAnsi="Times New Roman"/>
          <w:sz w:val="21"/>
          <w:szCs w:val="21"/>
          <w:color w:val="auto"/>
        </w:rPr>
      </w:pPr>
    </w:p>
    <w:p>
      <w:pPr>
        <w:ind w:left="5520" w:hanging="119"/>
        <w:spacing w:after="0"/>
        <w:tabs>
          <w:tab w:leader="none" w:pos="5520" w:val="left"/>
        </w:tabs>
        <w:numPr>
          <w:ilvl w:val="2"/>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12 -</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3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(i) The difference between the Fair Market Value of a Share on the date of exercise over the exercise price;</w:t>
      </w:r>
    </w:p>
    <w:p>
      <w:pPr>
        <w:spacing w:after="0"/>
        <w:rPr>
          <w:sz w:val="20"/>
          <w:szCs w:val="20"/>
          <w:color w:val="auto"/>
        </w:rPr>
      </w:pPr>
      <w:r>
        <w:rPr>
          <w:rFonts w:ascii="Times New Roman" w:cs="Times New Roman" w:eastAsia="Times New Roman" w:hAnsi="Times New Roman"/>
          <w:sz w:val="21"/>
          <w:szCs w:val="21"/>
          <w:color w:val="auto"/>
        </w:rPr>
        <w:t>times</w:t>
      </w:r>
    </w:p>
    <w:p>
      <w:pPr>
        <w:spacing w:after="0" w:line="149"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color w:val="auto"/>
        </w:rPr>
        <w:t>(ii) The number of Shares with respect to which the Stock Appreciation Right is exercised.</w:t>
      </w:r>
    </w:p>
    <w:p>
      <w:pPr>
        <w:spacing w:after="0" w:line="196" w:lineRule="exact"/>
        <w:rPr>
          <w:sz w:val="20"/>
          <w:szCs w:val="20"/>
          <w:color w:val="auto"/>
        </w:rPr>
      </w:pPr>
    </w:p>
    <w:p>
      <w:pPr>
        <w:ind w:firstLine="618"/>
        <w:spacing w:after="0" w:line="269" w:lineRule="auto"/>
        <w:rPr>
          <w:sz w:val="20"/>
          <w:szCs w:val="20"/>
          <w:color w:val="auto"/>
        </w:rPr>
      </w:pPr>
      <w:r>
        <w:rPr>
          <w:rFonts w:ascii="Times New Roman" w:cs="Times New Roman" w:eastAsia="Times New Roman" w:hAnsi="Times New Roman"/>
          <w:sz w:val="21"/>
          <w:szCs w:val="21"/>
          <w:color w:val="auto"/>
        </w:rPr>
        <w:t>At the discretion of the Administrator, the payment upon Stock Appreciation Right exercise may be in cash, in Shares of equivalent value, or in some combination thereof.</w:t>
      </w:r>
    </w:p>
    <w:p>
      <w:pPr>
        <w:spacing w:after="0" w:line="141" w:lineRule="exact"/>
        <w:rPr>
          <w:sz w:val="20"/>
          <w:szCs w:val="20"/>
          <w:color w:val="auto"/>
        </w:rPr>
      </w:pPr>
    </w:p>
    <w:p>
      <w:pPr>
        <w:ind w:left="1240" w:hanging="619"/>
        <w:spacing w:after="0"/>
        <w:tabs>
          <w:tab w:leader="none" w:pos="124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Units and Performance Shares</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239"/>
        <w:spacing w:after="0" w:line="225" w:lineRule="auto"/>
        <w:tabs>
          <w:tab w:leader="none" w:pos="1851"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Performance Units/Shares</w:t>
      </w:r>
      <w:r>
        <w:rPr>
          <w:rFonts w:ascii="Times New Roman" w:cs="Times New Roman" w:eastAsia="Times New Roman" w:hAnsi="Times New Roman"/>
          <w:sz w:val="21"/>
          <w:szCs w:val="21"/>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44" w:lineRule="exact"/>
        <w:rPr>
          <w:rFonts w:ascii="Times New Roman" w:cs="Times New Roman" w:eastAsia="Times New Roman" w:hAnsi="Times New Roman"/>
          <w:sz w:val="21"/>
          <w:szCs w:val="21"/>
          <w:color w:val="auto"/>
        </w:rPr>
      </w:pPr>
    </w:p>
    <w:p>
      <w:pPr>
        <w:jc w:val="both"/>
        <w:ind w:firstLine="1239"/>
        <w:spacing w:after="0" w:line="225" w:lineRule="auto"/>
        <w:tabs>
          <w:tab w:leader="none" w:pos="1850"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Value of Performance Units/Shares</w:t>
      </w:r>
      <w:r>
        <w:rPr>
          <w:rFonts w:ascii="Times New Roman" w:cs="Times New Roman" w:eastAsia="Times New Roman" w:hAnsi="Times New Roman"/>
          <w:sz w:val="21"/>
          <w:szCs w:val="21"/>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44" w:lineRule="exact"/>
        <w:rPr>
          <w:rFonts w:ascii="Times New Roman" w:cs="Times New Roman" w:eastAsia="Times New Roman" w:hAnsi="Times New Roman"/>
          <w:sz w:val="21"/>
          <w:szCs w:val="21"/>
          <w:color w:val="auto"/>
        </w:rPr>
      </w:pPr>
    </w:p>
    <w:p>
      <w:pPr>
        <w:jc w:val="both"/>
        <w:ind w:firstLine="1239"/>
        <w:spacing w:after="0" w:line="211" w:lineRule="auto"/>
        <w:tabs>
          <w:tab w:leader="none" w:pos="1851"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Objectives and Other Terms</w:t>
      </w:r>
      <w:r>
        <w:rPr>
          <w:rFonts w:ascii="Times New Roman" w:cs="Times New Roman" w:eastAsia="Times New Roman" w:hAnsi="Times New Roman"/>
          <w:sz w:val="21"/>
          <w:szCs w:val="21"/>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49" w:lineRule="exact"/>
        <w:rPr>
          <w:rFonts w:ascii="Times New Roman" w:cs="Times New Roman" w:eastAsia="Times New Roman" w:hAnsi="Times New Roman"/>
          <w:sz w:val="21"/>
          <w:szCs w:val="21"/>
          <w:color w:val="auto"/>
        </w:rPr>
      </w:pPr>
    </w:p>
    <w:p>
      <w:pPr>
        <w:jc w:val="both"/>
        <w:ind w:firstLine="1239"/>
        <w:spacing w:after="0" w:line="217" w:lineRule="auto"/>
        <w:tabs>
          <w:tab w:leader="none" w:pos="1850"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 of Performance Units/Shares</w:t>
      </w:r>
      <w:r>
        <w:rPr>
          <w:rFonts w:ascii="Times New Roman" w:cs="Times New Roman" w:eastAsia="Times New Roman" w:hAnsi="Times New Roman"/>
          <w:sz w:val="21"/>
          <w:szCs w:val="21"/>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44" w:lineRule="exact"/>
        <w:rPr>
          <w:rFonts w:ascii="Times New Roman" w:cs="Times New Roman" w:eastAsia="Times New Roman" w:hAnsi="Times New Roman"/>
          <w:sz w:val="21"/>
          <w:szCs w:val="21"/>
          <w:color w:val="auto"/>
        </w:rPr>
      </w:pPr>
    </w:p>
    <w:p>
      <w:pPr>
        <w:jc w:val="both"/>
        <w:ind w:firstLine="1239"/>
        <w:spacing w:after="0" w:line="220" w:lineRule="auto"/>
        <w:tabs>
          <w:tab w:leader="none" w:pos="1851"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and Timing of Payment of Performance Units/Shares</w:t>
      </w:r>
      <w:r>
        <w:rPr>
          <w:rFonts w:ascii="Times New Roman" w:cs="Times New Roman" w:eastAsia="Times New Roman" w:hAnsi="Times New Roman"/>
          <w:sz w:val="21"/>
          <w:szCs w:val="21"/>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44" w:lineRule="exact"/>
        <w:rPr>
          <w:rFonts w:ascii="Times New Roman" w:cs="Times New Roman" w:eastAsia="Times New Roman" w:hAnsi="Times New Roman"/>
          <w:sz w:val="21"/>
          <w:szCs w:val="21"/>
          <w:color w:val="auto"/>
        </w:rPr>
      </w:pPr>
    </w:p>
    <w:p>
      <w:pPr>
        <w:ind w:firstLine="1239"/>
        <w:spacing w:after="0" w:line="235" w:lineRule="auto"/>
        <w:tabs>
          <w:tab w:leader="none" w:pos="1854"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Cancellation of Performance Units/Shares</w:t>
      </w:r>
      <w:r>
        <w:rPr>
          <w:rFonts w:ascii="Times New Roman" w:cs="Times New Roman" w:eastAsia="Times New Roman" w:hAnsi="Times New Roman"/>
          <w:sz w:val="21"/>
          <w:szCs w:val="21"/>
          <w:color w:val="auto"/>
        </w:rPr>
        <w:t>. On the date set forth in the Award Agreement, all unearned or unvested Performance Units/Shares will be forfeited to the Company, and again will be available for grant under the Plan.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11" w:lineRule="exact"/>
        <w:rPr>
          <w:rFonts w:ascii="Times New Roman" w:cs="Times New Roman" w:eastAsia="Times New Roman" w:hAnsi="Times New Roman"/>
          <w:sz w:val="21"/>
          <w:szCs w:val="21"/>
          <w:color w:val="auto"/>
        </w:rPr>
      </w:pPr>
    </w:p>
    <w:p>
      <w:pPr>
        <w:ind w:left="5520" w:hanging="119"/>
        <w:spacing w:after="0"/>
        <w:tabs>
          <w:tab w:leader="none" w:pos="5520" w:val="left"/>
        </w:tabs>
        <w:numPr>
          <w:ilvl w:val="2"/>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13 -</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349" w:lineRule="exact"/>
        <w:rPr>
          <w:sz w:val="20"/>
          <w:szCs w:val="20"/>
          <w:color w:val="auto"/>
        </w:rPr>
      </w:pPr>
    </w:p>
    <w:p>
      <w:pPr>
        <w:jc w:val="both"/>
        <w:ind w:left="-3" w:firstLine="621"/>
        <w:spacing w:after="0" w:line="214" w:lineRule="auto"/>
        <w:tabs>
          <w:tab w:leader="none" w:pos="1226"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Outside Director Limitations</w:t>
      </w:r>
      <w:r>
        <w:rPr>
          <w:rFonts w:ascii="Times New Roman" w:cs="Times New Roman" w:eastAsia="Times New Roman" w:hAnsi="Times New Roman"/>
          <w:sz w:val="21"/>
          <w:szCs w:val="21"/>
          <w:color w:val="auto"/>
        </w:rPr>
        <w:t>. No Outside Director may be paid, issued, or granted, in any Fiscal Year, cash and equity awards (including any Awards issued under this Plan) with a value (the value of which will be based on their grant date fair value determined in accordance with U.S. generally accepted accounting principles) that, in the aggregate, exceed $750,000, increased to $1,000,000 in connection with his or her initial service. Any Awards or other compensation paid or provided to an individual for his or her services as an Employee, or for his or her services as a Consultant (other than as an Outside Director), will not count for purposes of the limitation under this Section 11.</w:t>
      </w:r>
    </w:p>
    <w:p>
      <w:pPr>
        <w:spacing w:after="0" w:line="150" w:lineRule="exact"/>
        <w:rPr>
          <w:rFonts w:ascii="Times New Roman" w:cs="Times New Roman" w:eastAsia="Times New Roman" w:hAnsi="Times New Roman"/>
          <w:sz w:val="21"/>
          <w:szCs w:val="21"/>
          <w:color w:val="auto"/>
        </w:rPr>
      </w:pPr>
    </w:p>
    <w:p>
      <w:pPr>
        <w:jc w:val="both"/>
        <w:ind w:left="-3" w:firstLine="621"/>
        <w:spacing w:after="0" w:line="220" w:lineRule="auto"/>
        <w:tabs>
          <w:tab w:leader="none" w:pos="1233"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Leaves of Absence/Transfer Between Locations</w:t>
      </w:r>
      <w:r>
        <w:rPr>
          <w:rFonts w:ascii="Times New Roman" w:cs="Times New Roman" w:eastAsia="Times New Roman" w:hAnsi="Times New Roman"/>
          <w:sz w:val="20"/>
          <w:szCs w:val="20"/>
          <w:color w:val="auto"/>
        </w:rPr>
        <w:t>. Unless the Administrator provides otherwise and subject to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w:t>
      </w:r>
    </w:p>
    <w:p>
      <w:pPr>
        <w:spacing w:after="0" w:line="2" w:lineRule="exact"/>
        <w:rPr>
          <w:rFonts w:ascii="Times New Roman" w:cs="Times New Roman" w:eastAsia="Times New Roman" w:hAnsi="Times New Roman"/>
          <w:sz w:val="20"/>
          <w:szCs w:val="20"/>
          <w:color w:val="auto"/>
        </w:rPr>
      </w:pPr>
    </w:p>
    <w:p>
      <w:pPr>
        <w:jc w:val="both"/>
        <w:ind w:left="-3" w:firstLine="3"/>
        <w:spacing w:after="0" w:line="214" w:lineRule="auto"/>
        <w:tabs>
          <w:tab w:leader="none" w:pos="289"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46" w:lineRule="exact"/>
        <w:rPr>
          <w:rFonts w:ascii="Times New Roman" w:cs="Times New Roman" w:eastAsia="Times New Roman" w:hAnsi="Times New Roman"/>
          <w:sz w:val="21"/>
          <w:szCs w:val="21"/>
          <w:color w:val="auto"/>
        </w:rPr>
      </w:pPr>
    </w:p>
    <w:p>
      <w:pPr>
        <w:jc w:val="both"/>
        <w:ind w:left="-3" w:firstLine="621"/>
        <w:spacing w:after="0" w:line="220" w:lineRule="auto"/>
        <w:tabs>
          <w:tab w:leader="none" w:pos="1233"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 of Awards</w:t>
      </w:r>
      <w:r>
        <w:rPr>
          <w:rFonts w:ascii="Times New Roman" w:cs="Times New Roman" w:eastAsia="Times New Roman" w:hAnsi="Times New Roman"/>
          <w:sz w:val="21"/>
          <w:szCs w:val="21"/>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44" w:lineRule="exact"/>
        <w:rPr>
          <w:rFonts w:ascii="Times New Roman" w:cs="Times New Roman" w:eastAsia="Times New Roman" w:hAnsi="Times New Roman"/>
          <w:sz w:val="21"/>
          <w:szCs w:val="21"/>
          <w:color w:val="auto"/>
        </w:rPr>
      </w:pPr>
    </w:p>
    <w:p>
      <w:pPr>
        <w:ind w:left="1237" w:hanging="619"/>
        <w:spacing w:after="0"/>
        <w:tabs>
          <w:tab w:leader="none" w:pos="1237"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Dissolution or Liquidation; Merger or Change in Control</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left="-3" w:firstLine="1239"/>
        <w:spacing w:after="0" w:line="213" w:lineRule="auto"/>
        <w:tabs>
          <w:tab w:leader="none" w:pos="1848" w:val="left"/>
        </w:tabs>
        <w:numPr>
          <w:ilvl w:val="2"/>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after the Effective Date,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Sections 3 and 11 of the Plan.</w:t>
      </w:r>
    </w:p>
    <w:p>
      <w:pPr>
        <w:spacing w:after="0" w:line="148" w:lineRule="exact"/>
        <w:rPr>
          <w:rFonts w:ascii="Times New Roman" w:cs="Times New Roman" w:eastAsia="Times New Roman" w:hAnsi="Times New Roman"/>
          <w:sz w:val="21"/>
          <w:szCs w:val="21"/>
          <w:color w:val="auto"/>
        </w:rPr>
      </w:pPr>
    </w:p>
    <w:p>
      <w:pPr>
        <w:jc w:val="both"/>
        <w:ind w:left="-3" w:firstLine="1239"/>
        <w:spacing w:after="0" w:line="220" w:lineRule="auto"/>
        <w:tabs>
          <w:tab w:leader="none" w:pos="1847" w:val="left"/>
        </w:tabs>
        <w:numPr>
          <w:ilvl w:val="2"/>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Dissolution or Liquidation</w:t>
      </w:r>
      <w:r>
        <w:rPr>
          <w:rFonts w:ascii="Times New Roman" w:cs="Times New Roman" w:eastAsia="Times New Roman" w:hAnsi="Times New Roman"/>
          <w:sz w:val="21"/>
          <w:szCs w:val="21"/>
          <w:color w:val="auto"/>
        </w:rPr>
        <w:t>. In the event of the proposed dissolution or liquidation of the Company after the Effective Date,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44" w:lineRule="exact"/>
        <w:rPr>
          <w:rFonts w:ascii="Times New Roman" w:cs="Times New Roman" w:eastAsia="Times New Roman" w:hAnsi="Times New Roman"/>
          <w:sz w:val="21"/>
          <w:szCs w:val="21"/>
          <w:color w:val="auto"/>
        </w:rPr>
      </w:pPr>
    </w:p>
    <w:p>
      <w:pPr>
        <w:jc w:val="both"/>
        <w:ind w:left="-3" w:firstLine="1239"/>
        <w:spacing w:after="0" w:line="224" w:lineRule="auto"/>
        <w:tabs>
          <w:tab w:leader="none" w:pos="1848"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In the event of a merger of the Company with or into another corporation or other entity or a Change in Control after the Effective Date,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25" w:lineRule="exact"/>
        <w:rPr>
          <w:rFonts w:ascii="Times New Roman" w:cs="Times New Roman" w:eastAsia="Times New Roman" w:hAnsi="Times New Roman"/>
          <w:sz w:val="20"/>
          <w:szCs w:val="20"/>
          <w:color w:val="auto"/>
        </w:rPr>
      </w:pPr>
    </w:p>
    <w:p>
      <w:pPr>
        <w:ind w:left="5517" w:hanging="119"/>
        <w:spacing w:after="0"/>
        <w:tabs>
          <w:tab w:leader="none" w:pos="5517" w:val="left"/>
        </w:tabs>
        <w:numPr>
          <w:ilvl w:val="3"/>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14 -</w:t>
      </w:r>
    </w:p>
    <w:p>
      <w:pPr>
        <w:sectPr>
          <w:pgSz w:w="11900" w:h="16838" w:orient="portrait"/>
          <w:cols w:equalWidth="0" w:num="1">
            <w:col w:w="11237"/>
          </w:cols>
          <w:pgMar w:left="323" w:top="1440" w:right="339" w:bottom="1440" w:gutter="0" w:footer="0" w:header="0"/>
        </w:sectPr>
      </w:pPr>
    </w:p>
    <w:bookmarkStart w:id="168" w:name="page169"/>
    <w:bookmarkEnd w:id="168"/>
    <w:p>
      <w:pPr>
        <w:spacing w:after="0" w:line="34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14(c), the Administrator will not be required to treat all Awards or Participants, all Awards held by a Participant, or all Awards of the same type, similarly in the transaction.</w:t>
      </w:r>
    </w:p>
    <w:p>
      <w:pPr>
        <w:spacing w:after="0" w:line="172" w:lineRule="exact"/>
        <w:rPr>
          <w:sz w:val="20"/>
          <w:szCs w:val="20"/>
          <w:color w:val="auto"/>
        </w:rPr>
      </w:pPr>
    </w:p>
    <w:p>
      <w:pPr>
        <w:jc w:val="both"/>
        <w:ind w:firstLine="1236"/>
        <w:spacing w:after="0" w:line="248" w:lineRule="auto"/>
        <w:rPr>
          <w:sz w:val="20"/>
          <w:szCs w:val="20"/>
          <w:color w:val="auto"/>
        </w:rPr>
      </w:pPr>
      <w:r>
        <w:rPr>
          <w:rFonts w:ascii="Times New Roman" w:cs="Times New Roman" w:eastAsia="Times New Roman" w:hAnsi="Times New Roman"/>
          <w:sz w:val="21"/>
          <w:szCs w:val="21"/>
          <w:color w:val="auto"/>
        </w:rPr>
        <w:t>In the event that the successor corporation does not assume or substitute for the Award (or portion thereof), the Participant will fully vest in and have the right to exercise such outstanding Option and Stock Appreciation Right not so assumed or substituted for, including Shares as to which such Award would not otherwise be vested or exercisable, all restrictions on such Restricted Stock and Restricted Stock Units not so assumed or substituted for will lapse, and, with respect to such Awards with performance-based vesting, all performance goals or other vesting criteria will be deemed achieved at one hundred percent (100%) of target levels and all other terms and conditions met, in all cases, unless specifically provided otherwise under the applicable Award Agreement or other written agreement between the Participant and the Company or any of its Subsidiaries or Parents, as applicable. In addition, if an Option or Stock Appreciation Right is not assumed or substituted in the event of a merger or Change in Control, the Administrator will notify the Participant in writing or electronically that such Option or Stock Appreciation Right not so assumed or substituted for will be exercisable for a period of time determined by the Administrator in its sole discretion, and the Option or Stock Appreciation Right will terminate upon the expiration of such period.</w:t>
      </w:r>
    </w:p>
    <w:p>
      <w:pPr>
        <w:spacing w:after="0" w:line="178" w:lineRule="exact"/>
        <w:rPr>
          <w:sz w:val="20"/>
          <w:szCs w:val="20"/>
          <w:color w:val="auto"/>
        </w:rPr>
      </w:pPr>
    </w:p>
    <w:p>
      <w:pPr>
        <w:jc w:val="both"/>
        <w:ind w:firstLine="1236"/>
        <w:spacing w:after="0" w:line="248" w:lineRule="auto"/>
        <w:rPr>
          <w:sz w:val="20"/>
          <w:szCs w:val="20"/>
          <w:color w:val="auto"/>
        </w:rPr>
      </w:pPr>
      <w:r>
        <w:rPr>
          <w:rFonts w:ascii="Times New Roman" w:cs="Times New Roman" w:eastAsia="Times New Roman" w:hAnsi="Times New Roman"/>
          <w:sz w:val="21"/>
          <w:szCs w:val="21"/>
          <w:color w:val="auto"/>
        </w:rPr>
        <w:t>For the purposes of this subsection (c),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183" w:lineRule="exact"/>
        <w:rPr>
          <w:sz w:val="20"/>
          <w:szCs w:val="20"/>
          <w:color w:val="auto"/>
        </w:rPr>
      </w:pPr>
    </w:p>
    <w:p>
      <w:pPr>
        <w:jc w:val="both"/>
        <w:ind w:firstLine="1236"/>
        <w:spacing w:after="0" w:line="256" w:lineRule="auto"/>
        <w:rPr>
          <w:sz w:val="20"/>
          <w:szCs w:val="20"/>
          <w:color w:val="auto"/>
        </w:rPr>
      </w:pPr>
      <w:r>
        <w:rPr>
          <w:rFonts w:ascii="Times New Roman" w:cs="Times New Roman" w:eastAsia="Times New Roman" w:hAnsi="Times New Roman"/>
          <w:sz w:val="21"/>
          <w:szCs w:val="21"/>
          <w:color w:val="auto"/>
        </w:rPr>
        <w:t>Notwithstanding anything in this Section 14(c) to the contrary, and unless otherwise provided in an Award Agreement, an Award that vests, is earned or paid-out upon the satisfaction of one or more performance goals will not be considered assumed if the Company or its successor modifies any of such performance goals without the Participant’s consent; provided, however, a modification to such</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- 15 -</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3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performance goals only to reflect the successor corporation’s post-Change in Control corporate structure will not be deemed to invalidate an otherwise valid Award assumption.</w:t>
      </w:r>
    </w:p>
    <w:p>
      <w:pPr>
        <w:spacing w:after="0" w:line="167" w:lineRule="exact"/>
        <w:rPr>
          <w:sz w:val="20"/>
          <w:szCs w:val="20"/>
          <w:color w:val="auto"/>
        </w:rPr>
      </w:pPr>
    </w:p>
    <w:p>
      <w:pPr>
        <w:jc w:val="both"/>
        <w:ind w:firstLine="1236"/>
        <w:spacing w:after="0" w:line="249" w:lineRule="auto"/>
        <w:rPr>
          <w:sz w:val="20"/>
          <w:szCs w:val="20"/>
          <w:color w:val="auto"/>
        </w:rPr>
      </w:pPr>
      <w:r>
        <w:rPr>
          <w:rFonts w:ascii="Times New Roman" w:cs="Times New Roman" w:eastAsia="Times New Roman" w:hAnsi="Times New Roman"/>
          <w:sz w:val="21"/>
          <w:szCs w:val="21"/>
          <w:color w:val="auto"/>
        </w:rPr>
        <w:t>Notwithstanding anything in this Section 14(c)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164" w:lineRule="exact"/>
        <w:rPr>
          <w:sz w:val="20"/>
          <w:szCs w:val="20"/>
          <w:color w:val="auto"/>
        </w:rPr>
      </w:pPr>
    </w:p>
    <w:p>
      <w:pPr>
        <w:jc w:val="both"/>
        <w:ind w:firstLine="1239"/>
        <w:spacing w:after="0" w:line="213" w:lineRule="auto"/>
        <w:tabs>
          <w:tab w:leader="none" w:pos="185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Outside Director Awards</w:t>
      </w:r>
      <w:r>
        <w:rPr>
          <w:rFonts w:ascii="Times New Roman" w:cs="Times New Roman" w:eastAsia="Times New Roman" w:hAnsi="Times New Roman"/>
          <w:sz w:val="21"/>
          <w:szCs w:val="21"/>
          <w:color w:val="auto"/>
        </w:rPr>
        <w:t>. In the event of a Change in Control after the Effective Date, with respect to Awards granted to an Outside Director, the Outside Director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Subsidiaries or Parents, as applicable.</w:t>
      </w:r>
    </w:p>
    <w:p>
      <w:pPr>
        <w:spacing w:after="0" w:line="148"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239"/>
        <w:spacing w:after="0" w:line="217" w:lineRule="auto"/>
        <w:tabs>
          <w:tab w:leader="none" w:pos="1851"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Requirements</w:t>
      </w:r>
      <w:r>
        <w:rPr>
          <w:rFonts w:ascii="Times New Roman" w:cs="Times New Roman" w:eastAsia="Times New Roman" w:hAnsi="Times New Roman"/>
          <w:sz w:val="21"/>
          <w:szCs w:val="21"/>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U.S. federal, state, or local taxes, non-U.S. taxes, or other taxes (including the Participant’s FICA or other social insurance contribution obligation) required to be withheld with respect to such Award (or exercise thereof).</w:t>
      </w:r>
    </w:p>
    <w:p>
      <w:pPr>
        <w:spacing w:after="0" w:line="144" w:lineRule="exact"/>
        <w:rPr>
          <w:rFonts w:ascii="Times New Roman" w:cs="Times New Roman" w:eastAsia="Times New Roman" w:hAnsi="Times New Roman"/>
          <w:sz w:val="21"/>
          <w:szCs w:val="21"/>
          <w:color w:val="auto"/>
        </w:rPr>
      </w:pPr>
    </w:p>
    <w:p>
      <w:pPr>
        <w:jc w:val="both"/>
        <w:ind w:firstLine="1239"/>
        <w:spacing w:after="0" w:line="209" w:lineRule="auto"/>
        <w:tabs>
          <w:tab w:leader="none" w:pos="1850"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Arrangements</w:t>
      </w:r>
      <w:r>
        <w:rPr>
          <w:rFonts w:ascii="Times New Roman" w:cs="Times New Roman" w:eastAsia="Times New Roman" w:hAnsi="Times New Roman"/>
          <w:sz w:val="21"/>
          <w:szCs w:val="21"/>
          <w:color w:val="auto"/>
        </w:rPr>
        <w:t>. The Administrator, in its sole discretion and pursuant to such procedures as it may specify from time to time, may permit a Participant to satisfy such tax withholding obligation, in whole or in part by (without limitation) (i) paying cash, check or other cash equivalents,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(e) any combination of the foregoing methods of payment. The fair market value of the Shares to be withheld or delivered will be determined as of the date that the taxes are required to be withheld.</w:t>
      </w:r>
    </w:p>
    <w:p>
      <w:pPr>
        <w:spacing w:after="0" w:line="155" w:lineRule="exact"/>
        <w:rPr>
          <w:rFonts w:ascii="Times New Roman" w:cs="Times New Roman" w:eastAsia="Times New Roman" w:hAnsi="Times New Roman"/>
          <w:sz w:val="21"/>
          <w:szCs w:val="21"/>
          <w:color w:val="auto"/>
        </w:rPr>
      </w:pPr>
    </w:p>
    <w:p>
      <w:pPr>
        <w:jc w:val="both"/>
        <w:ind w:firstLine="1239"/>
        <w:spacing w:after="0" w:line="217" w:lineRule="auto"/>
        <w:tabs>
          <w:tab w:leader="none" w:pos="1851"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Section 409A</w:t>
      </w:r>
      <w:r>
        <w:rPr>
          <w:rFonts w:ascii="Times New Roman" w:cs="Times New Roman" w:eastAsia="Times New Roman" w:hAnsi="Times New Roman"/>
          <w:sz w:val="21"/>
          <w:szCs w:val="21"/>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11" w:lineRule="exact"/>
        <w:rPr>
          <w:rFonts w:ascii="Times New Roman" w:cs="Times New Roman" w:eastAsia="Times New Roman" w:hAnsi="Times New Roman"/>
          <w:sz w:val="21"/>
          <w:szCs w:val="21"/>
          <w:color w:val="auto"/>
        </w:rPr>
      </w:pPr>
    </w:p>
    <w:p>
      <w:pPr>
        <w:ind w:left="5520" w:hanging="119"/>
        <w:spacing w:after="0"/>
        <w:tabs>
          <w:tab w:leader="none" w:pos="5520" w:val="left"/>
        </w:tabs>
        <w:numPr>
          <w:ilvl w:val="2"/>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16 -</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34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obligation under the terms of this Plan to reimburse, indemnify, or hold harmless a Participant for any taxes, interest or penalties imposed, or other costs incurred, as a result of Section 409A.</w:t>
      </w:r>
    </w:p>
    <w:p>
      <w:pPr>
        <w:spacing w:after="0" w:line="150" w:lineRule="exact"/>
        <w:rPr>
          <w:sz w:val="20"/>
          <w:szCs w:val="20"/>
          <w:color w:val="auto"/>
        </w:rPr>
      </w:pPr>
    </w:p>
    <w:p>
      <w:pPr>
        <w:jc w:val="both"/>
        <w:ind w:firstLine="621"/>
        <w:spacing w:after="0" w:line="220" w:lineRule="auto"/>
        <w:tabs>
          <w:tab w:leader="none" w:pos="123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Effect on Employment or Service</w:t>
      </w:r>
      <w:r>
        <w:rPr>
          <w:rFonts w:ascii="Times New Roman" w:cs="Times New Roman" w:eastAsia="Times New Roman" w:hAnsi="Times New Roman"/>
          <w:sz w:val="21"/>
          <w:szCs w:val="21"/>
          <w:color w:val="auto"/>
        </w:rPr>
        <w:t>. Neither the Plan nor any Award will confer upon a Participant any right with respect to continuing the Participant’s relationship as a Service Provider, nor will they interfere in any way with the Participant’s right or the right of the Company (or any Parent or Subsidiary of the Company) to terminate such relationship at any time, with or without cause, to the extent permitted by Applicable Laws.</w:t>
      </w:r>
    </w:p>
    <w:p>
      <w:pPr>
        <w:spacing w:after="0" w:line="144" w:lineRule="exact"/>
        <w:rPr>
          <w:rFonts w:ascii="Times New Roman" w:cs="Times New Roman" w:eastAsia="Times New Roman" w:hAnsi="Times New Roman"/>
          <w:sz w:val="21"/>
          <w:szCs w:val="21"/>
          <w:color w:val="auto"/>
        </w:rPr>
      </w:pPr>
    </w:p>
    <w:p>
      <w:pPr>
        <w:jc w:val="both"/>
        <w:ind w:firstLine="621"/>
        <w:spacing w:after="0" w:line="225" w:lineRule="auto"/>
        <w:tabs>
          <w:tab w:leader="none" w:pos="123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44" w:lineRule="exact"/>
        <w:rPr>
          <w:rFonts w:ascii="Times New Roman" w:cs="Times New Roman" w:eastAsia="Times New Roman" w:hAnsi="Times New Roman"/>
          <w:sz w:val="21"/>
          <w:szCs w:val="21"/>
          <w:color w:val="auto"/>
        </w:rPr>
      </w:pPr>
    </w:p>
    <w:p>
      <w:pPr>
        <w:jc w:val="both"/>
        <w:ind w:firstLine="621"/>
        <w:spacing w:after="0" w:line="220" w:lineRule="auto"/>
        <w:tabs>
          <w:tab w:leader="none" w:pos="123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Plan</w:t>
      </w:r>
      <w:r>
        <w:rPr>
          <w:rFonts w:ascii="Times New Roman" w:cs="Times New Roman" w:eastAsia="Times New Roman" w:hAnsi="Times New Roman"/>
          <w:sz w:val="21"/>
          <w:szCs w:val="21"/>
          <w:color w:val="auto"/>
        </w:rPr>
        <w:t>. Subject to Section 23 of the Plan, the Plan will become effective upon the date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of the later of its approval by the Company’s stockholders and the consummation of the Aadi Merger. It will continue in effect until terminated earlier under Section 19 of the Plan, but no Incentive Stock Options may be granted after 10 years from the date the Plan is adopted by the Board.</w:t>
      </w:r>
    </w:p>
    <w:p>
      <w:pPr>
        <w:spacing w:after="0" w:line="144"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Termination of the Plan</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Termination</w:t>
      </w:r>
      <w:r>
        <w:rPr>
          <w:rFonts w:ascii="Times New Roman" w:cs="Times New Roman" w:eastAsia="Times New Roman" w:hAnsi="Times New Roman"/>
          <w:sz w:val="21"/>
          <w:szCs w:val="21"/>
          <w:color w:val="auto"/>
        </w:rPr>
        <w:t>. The Administrator may at any time amend, alter, suspend or terminate the Plan.</w:t>
      </w:r>
    </w:p>
    <w:p>
      <w:pPr>
        <w:spacing w:after="0" w:line="170" w:lineRule="exact"/>
        <w:rPr>
          <w:rFonts w:ascii="Times New Roman" w:cs="Times New Roman" w:eastAsia="Times New Roman" w:hAnsi="Times New Roman"/>
          <w:sz w:val="21"/>
          <w:szCs w:val="21"/>
          <w:color w:val="auto"/>
        </w:rPr>
      </w:pPr>
    </w:p>
    <w:p>
      <w:pPr>
        <w:ind w:firstLine="1239"/>
        <w:spacing w:after="0" w:line="235" w:lineRule="auto"/>
        <w:tabs>
          <w:tab w:leader="none" w:pos="185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Stockholder Approval</w:t>
      </w:r>
      <w:r>
        <w:rPr>
          <w:rFonts w:ascii="Times New Roman" w:cs="Times New Roman" w:eastAsia="Times New Roman" w:hAnsi="Times New Roman"/>
          <w:sz w:val="21"/>
          <w:szCs w:val="21"/>
          <w:color w:val="auto"/>
        </w:rPr>
        <w:t>. The Company will obtain stockholder approval of any Plan amendment to the extent necessary and desirable to comply with Applicable Laws.</w:t>
      </w:r>
    </w:p>
    <w:p>
      <w:pPr>
        <w:spacing w:after="0" w:line="145" w:lineRule="exact"/>
        <w:rPr>
          <w:rFonts w:ascii="Times New Roman" w:cs="Times New Roman" w:eastAsia="Times New Roman" w:hAnsi="Times New Roman"/>
          <w:sz w:val="21"/>
          <w:szCs w:val="21"/>
          <w:color w:val="auto"/>
        </w:rPr>
      </w:pPr>
    </w:p>
    <w:p>
      <w:pPr>
        <w:jc w:val="both"/>
        <w:ind w:firstLine="1239"/>
        <w:spacing w:after="0" w:line="217" w:lineRule="auto"/>
        <w:tabs>
          <w:tab w:leader="none" w:pos="1851"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Amendment or Termination</w:t>
      </w:r>
      <w:r>
        <w:rPr>
          <w:rFonts w:ascii="Times New Roman" w:cs="Times New Roman" w:eastAsia="Times New Roman" w:hAnsi="Times New Roman"/>
          <w:sz w:val="21"/>
          <w:szCs w:val="21"/>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44"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Upon Issuance of Shares</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239"/>
        <w:spacing w:after="0" w:line="225" w:lineRule="auto"/>
        <w:tabs>
          <w:tab w:leader="none" w:pos="1851"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Compliance</w:t>
      </w:r>
      <w:r>
        <w:rPr>
          <w:rFonts w:ascii="Times New Roman" w:cs="Times New Roman" w:eastAsia="Times New Roman" w:hAnsi="Times New Roman"/>
          <w:sz w:val="21"/>
          <w:szCs w:val="21"/>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144" w:lineRule="exact"/>
        <w:rPr>
          <w:rFonts w:ascii="Times New Roman" w:cs="Times New Roman" w:eastAsia="Times New Roman" w:hAnsi="Times New Roman"/>
          <w:sz w:val="21"/>
          <w:szCs w:val="21"/>
          <w:color w:val="auto"/>
        </w:rPr>
      </w:pPr>
    </w:p>
    <w:p>
      <w:pPr>
        <w:jc w:val="both"/>
        <w:ind w:firstLine="1239"/>
        <w:spacing w:after="0" w:line="220" w:lineRule="auto"/>
        <w:tabs>
          <w:tab w:leader="none" w:pos="185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Investment Representations</w:t>
      </w:r>
      <w:r>
        <w:rPr>
          <w:rFonts w:ascii="Times New Roman" w:cs="Times New Roman" w:eastAsia="Times New Roman" w:hAnsi="Times New Roman"/>
          <w:sz w:val="21"/>
          <w:szCs w:val="21"/>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24" w:lineRule="exact"/>
        <w:rPr>
          <w:rFonts w:ascii="Times New Roman" w:cs="Times New Roman" w:eastAsia="Times New Roman" w:hAnsi="Times New Roman"/>
          <w:sz w:val="21"/>
          <w:szCs w:val="21"/>
          <w:color w:val="auto"/>
        </w:rPr>
      </w:pPr>
    </w:p>
    <w:p>
      <w:pPr>
        <w:ind w:left="5520" w:hanging="119"/>
        <w:spacing w:after="0"/>
        <w:tabs>
          <w:tab w:leader="none" w:pos="5520" w:val="left"/>
        </w:tabs>
        <w:numPr>
          <w:ilvl w:val="2"/>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17 -</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349" w:lineRule="exact"/>
        <w:rPr>
          <w:sz w:val="20"/>
          <w:szCs w:val="20"/>
          <w:color w:val="auto"/>
        </w:rPr>
      </w:pPr>
    </w:p>
    <w:p>
      <w:pPr>
        <w:jc w:val="both"/>
        <w:ind w:left="-3" w:firstLine="621"/>
        <w:spacing w:after="0" w:line="213" w:lineRule="auto"/>
        <w:tabs>
          <w:tab w:leader="none" w:pos="1233"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Inability to Obtain Authority</w:t>
      </w:r>
      <w:r>
        <w:rPr>
          <w:rFonts w:ascii="Times New Roman" w:cs="Times New Roman" w:eastAsia="Times New Roman" w:hAnsi="Times New Roman"/>
          <w:sz w:val="21"/>
          <w:szCs w:val="21"/>
          <w:color w:val="auto"/>
        </w:rPr>
        <w:t>. If the Company determines it to be impossible or impractical to obtain authority from any regulatory body having jurisdiction or to complete or comply with the requirements of any registration or other qualification of the Shares under any U.S. federal or state law, any non-U.S. law, or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48" w:lineRule="exact"/>
        <w:rPr>
          <w:rFonts w:ascii="Times New Roman" w:cs="Times New Roman" w:eastAsia="Times New Roman" w:hAnsi="Times New Roman"/>
          <w:sz w:val="21"/>
          <w:szCs w:val="21"/>
          <w:color w:val="auto"/>
        </w:rPr>
      </w:pPr>
    </w:p>
    <w:p>
      <w:pPr>
        <w:ind w:left="1237" w:hanging="619"/>
        <w:spacing w:after="0"/>
        <w:tabs>
          <w:tab w:leader="none" w:pos="1237"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Events</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left="-3" w:firstLine="1239"/>
        <w:spacing w:after="0" w:line="211" w:lineRule="auto"/>
        <w:tabs>
          <w:tab w:leader="none" w:pos="1848" w:val="left"/>
        </w:tabs>
        <w:numPr>
          <w:ilvl w:val="2"/>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Awards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22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or Parent of the Company.</w:t>
      </w:r>
    </w:p>
    <w:p>
      <w:pPr>
        <w:spacing w:after="0" w:line="149" w:lineRule="exact"/>
        <w:rPr>
          <w:rFonts w:ascii="Times New Roman" w:cs="Times New Roman" w:eastAsia="Times New Roman" w:hAnsi="Times New Roman"/>
          <w:sz w:val="21"/>
          <w:szCs w:val="21"/>
          <w:color w:val="auto"/>
        </w:rPr>
      </w:pPr>
    </w:p>
    <w:p>
      <w:pPr>
        <w:jc w:val="both"/>
        <w:ind w:left="-3" w:firstLine="1239"/>
        <w:spacing w:after="0" w:line="227" w:lineRule="auto"/>
        <w:tabs>
          <w:tab w:leader="none" w:pos="1847"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135" w:lineRule="exact"/>
        <w:rPr>
          <w:rFonts w:ascii="Times New Roman" w:cs="Times New Roman" w:eastAsia="Times New Roman" w:hAnsi="Times New Roman"/>
          <w:sz w:val="20"/>
          <w:szCs w:val="20"/>
          <w:color w:val="auto"/>
        </w:rPr>
      </w:pPr>
    </w:p>
    <w:p>
      <w:pPr>
        <w:ind w:left="1237" w:hanging="619"/>
        <w:spacing w:after="0"/>
        <w:tabs>
          <w:tab w:leader="none" w:pos="1237"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Stockholder Approval</w:t>
      </w:r>
      <w:r>
        <w:rPr>
          <w:rFonts w:ascii="Times New Roman" w:cs="Times New Roman" w:eastAsia="Times New Roman" w:hAnsi="Times New Roman"/>
          <w:sz w:val="21"/>
          <w:szCs w:val="21"/>
          <w:color w:val="auto"/>
        </w:rPr>
        <w:t>. The Plan will be subject to approval by the stockholders of the Company within twelve</w:t>
      </w:r>
    </w:p>
    <w:p>
      <w:pPr>
        <w:ind w:left="-3" w:firstLine="3"/>
        <w:spacing w:after="0" w:line="224" w:lineRule="auto"/>
        <w:tabs>
          <w:tab w:leader="none" w:pos="39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after the date the Plan is adopted by the Board. Such stockholder approval will be obtained in the manner and to the degree required under Applicable Laws.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24" w:lineRule="exact"/>
        <w:rPr>
          <w:rFonts w:ascii="Times New Roman" w:cs="Times New Roman" w:eastAsia="Times New Roman" w:hAnsi="Times New Roman"/>
          <w:sz w:val="21"/>
          <w:szCs w:val="21"/>
          <w:color w:val="auto"/>
        </w:rPr>
      </w:pPr>
    </w:p>
    <w:p>
      <w:pPr>
        <w:ind w:left="5517" w:hanging="119"/>
        <w:spacing w:after="0"/>
        <w:tabs>
          <w:tab w:leader="none" w:pos="5517" w:val="left"/>
        </w:tabs>
        <w:numPr>
          <w:ilvl w:val="3"/>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18 -</w:t>
      </w:r>
    </w:p>
    <w:p>
      <w:pPr>
        <w:sectPr>
          <w:pgSz w:w="11900" w:h="16838" w:orient="portrait"/>
          <w:cols w:equalWidth="0" w:num="1">
            <w:col w:w="11237"/>
          </w:cols>
          <w:pgMar w:left="323" w:top="1440"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WHITEHAWK THERAPEUTICS, INC.</w:t>
      </w:r>
    </w:p>
    <w:p>
      <w:pPr>
        <w:spacing w:after="0" w:line="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b w:val="1"/>
          <w:bCs w:val="1"/>
          <w:color w:val="auto"/>
        </w:rPr>
        <w:t>2021 EQUITY INCENTIVE PLAN</w:t>
      </w:r>
    </w:p>
    <w:p>
      <w:pPr>
        <w:spacing w:after="0" w:line="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STOCK OPTION AGREEMENT</w:t>
      </w:r>
    </w:p>
    <w:p>
      <w:pPr>
        <w:spacing w:after="0" w:line="187"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Unless otherwise defined herein, the terms defined in the Whitehawk Therapeutics, Inc. 2021 Equity Incentive Plan (the “Plan”) will have the same defined meanings in this Stock Option Agreement which includes the Notice of Stock Option Grant, the Terms and Conditions of Stock Option Grant,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and all appendices and exhibits attached thereto (all together, the “Option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NOTICE OF STOCK OPTION GRANT</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Address:</w:t>
      </w:r>
    </w:p>
    <w:p>
      <w:pPr>
        <w:spacing w:after="0" w:line="200" w:lineRule="exact"/>
        <w:rPr>
          <w:sz w:val="20"/>
          <w:szCs w:val="20"/>
          <w:color w:val="auto"/>
        </w:rPr>
      </w:pPr>
    </w:p>
    <w:p>
      <w:pPr>
        <w:spacing w:after="0" w:line="297"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The undersigned Participant has been granted an Option to purchase Common Stock of Whitehawk Therapeutics, Inc. (the “Company”), subject to the terms and conditions of the Plan and this Option Agreement, as follows:</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1280795</wp:posOffset>
            </wp:positionH>
            <wp:positionV relativeFrom="paragraph">
              <wp:posOffset>-13970</wp:posOffset>
            </wp:positionV>
            <wp:extent cx="1308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-13970</wp:posOffset>
            </wp:positionV>
            <wp:extent cx="1308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Number of 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-13970</wp:posOffset>
            </wp:positionV>
            <wp:extent cx="1308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-13970</wp:posOffset>
            </wp:positionV>
            <wp:extent cx="1308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1612900</wp:posOffset>
            </wp:positionH>
            <wp:positionV relativeFrom="paragraph">
              <wp:posOffset>-13970</wp:posOffset>
            </wp:positionV>
            <wp:extent cx="1308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89" w:lineRule="exact"/>
        <w:rPr>
          <w:sz w:val="20"/>
          <w:szCs w:val="20"/>
          <w:color w:val="auto"/>
        </w:rPr>
      </w:pPr>
    </w:p>
    <w:p>
      <w:pPr>
        <w:ind w:left="620"/>
        <w:spacing w:after="0"/>
        <w:tabs>
          <w:tab w:leader="none" w:pos="2120" w:val="left"/>
        </w:tabs>
        <w:rPr>
          <w:sz w:val="20"/>
          <w:szCs w:val="20"/>
          <w:color w:val="auto"/>
        </w:rPr>
      </w:pPr>
      <w:r>
        <w:rPr>
          <w:rFonts w:ascii="Times New Roman" w:cs="Times New Roman" w:eastAsia="Times New Roman" w:hAnsi="Times New Roman"/>
          <w:sz w:val="21"/>
          <w:szCs w:val="21"/>
          <w:color w:val="auto"/>
        </w:rPr>
        <w:t>Type of Option:</w:t>
      </w:r>
      <w:r>
        <w:rPr>
          <w:sz w:val="20"/>
          <w:szCs w:val="20"/>
          <w:color w:val="auto"/>
        </w:rPr>
        <w:tab/>
      </w:r>
      <w:r>
        <w:rPr>
          <w:rFonts w:ascii="Times New Roman" w:cs="Times New Roman" w:eastAsia="Times New Roman" w:hAnsi="Times New Roman"/>
          <w:sz w:val="20"/>
          <w:szCs w:val="20"/>
          <w:color w:val="auto"/>
        </w:rPr>
        <w:t>___ Incentive Stock Option</w:t>
      </w:r>
    </w:p>
    <w:p>
      <w:pPr>
        <w:spacing w:after="0" w:line="2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u w:val="single" w:color="auto"/>
          <w:color w:val="auto"/>
        </w:rPr>
        <w:t>X__</w:t>
      </w:r>
      <w:r>
        <w:rPr>
          <w:rFonts w:ascii="Times New Roman" w:cs="Times New Roman" w:eastAsia="Times New Roman" w:hAnsi="Times New Roman"/>
          <w:sz w:val="21"/>
          <w:szCs w:val="21"/>
          <w:color w:val="auto"/>
        </w:rPr>
        <w:t xml:space="preserve"> Nonstatutory Stock Option</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Term/Expiration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-13970</wp:posOffset>
            </wp:positionV>
            <wp:extent cx="1308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Subject to any accelerated vesting as set forth below or in the Plan, this Option will be scheduled to vest in accordance with the following schedule:</w:t>
      </w:r>
    </w:p>
    <w:p>
      <w:pPr>
        <w:spacing w:after="0" w:line="154" w:lineRule="exact"/>
        <w:rPr>
          <w:sz w:val="20"/>
          <w:szCs w:val="20"/>
          <w:color w:val="auto"/>
        </w:rPr>
      </w:pPr>
    </w:p>
    <w:p>
      <w:pPr>
        <w:jc w:val="both"/>
        <w:ind w:firstLine="618"/>
        <w:spacing w:after="0" w:line="236" w:lineRule="auto"/>
        <w:rPr>
          <w:sz w:val="20"/>
          <w:szCs w:val="20"/>
          <w:color w:val="auto"/>
        </w:rPr>
      </w:pPr>
      <w:r>
        <w:rPr>
          <w:rFonts w:ascii="Times New Roman" w:cs="Times New Roman" w:eastAsia="Times New Roman" w:hAnsi="Times New Roman"/>
          <w:sz w:val="21"/>
          <w:szCs w:val="21"/>
          <w:color w:val="auto"/>
        </w:rPr>
        <w:t>Twenty-five percent (25%) of the Shares subject to the Option will be scheduled to vest on the one (1) year anniversary of the Vesting Commencement Date, and one forty-eighth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of the Shares subject to the Option will be scheduled to vest each month thereafter on the same day of the month as the Vesting Commencement Date (and if there is no corresponding</w:t>
      </w:r>
    </w:p>
    <w:p>
      <w:pPr>
        <w:sectPr>
          <w:pgSz w:w="11900" w:h="16838" w:orient="portrait"/>
          <w:cols w:equalWidth="0" w:num="1">
            <w:col w:w="11240"/>
          </w:cols>
          <w:pgMar w:left="320" w:top="110" w:right="339" w:bottom="1440" w:gutter="0" w:footer="0" w:header="0"/>
        </w:sectPr>
      </w:pPr>
    </w:p>
    <w:bookmarkStart w:id="173" w:name="page174"/>
    <w:bookmarkEnd w:id="173"/>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day, on the last day of the month), subject to Participant continuing to be a Service Provider through each such date.</w:t>
      </w:r>
    </w:p>
    <w:p>
      <w:pPr>
        <w:spacing w:after="0" w:line="209"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21"/>
          <w:szCs w:val="21"/>
          <w:color w:val="auto"/>
        </w:rPr>
        <w:t>Notwithstanding the foregoing, the vesting of the Option shall be subject to any vesting acceleration provisions applicable to the Option contained in any employment or service agreement, offer letter, change in control severance agreement, change of control severance policy, or any other agreement that, prior to and effective as of the date of this Option Agreement, has been entered into between Participant and the Company or any parent or subsidiary corporation of the Company (such agreement, a “Separate Agreement”) to the extent not otherwise duplicative of the vesting terms described above.</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Termination Period</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21"/>
          <w:szCs w:val="21"/>
          <w:color w:val="auto"/>
        </w:rPr>
        <w:t>In the event of cessation of Participant’s status as a Service Provider, this Option will be exercisable, to the extent vested, for a period of three (3) months after Participant ceases to be a Service Provider, unless such termination is due to Participant’s death or Disability, in which case this Option will be exercisable, to the extent vested, for a period of twelve (12) months after Participant ceases to be a Service Provider. Notwithstanding the foregoing sentence, in no event may this Option be exercised after the Term/Expiration Date as provided above and may be subject to earlier termination as provided in Section 14 of the Plan.</w:t>
      </w:r>
    </w:p>
    <w:p>
      <w:pPr>
        <w:spacing w:after="0" w:line="174"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this Option Agreement. Participant hereby agrees to accept as binding, conclusive, and final all decisions or interpretations of the Administrator upon any questions relating to the Plan and the Option Agreement. Participant further agrees to notify the Company upon any change in the residence address indicated below.</w:t>
      </w:r>
    </w:p>
    <w:p>
      <w:pPr>
        <w:spacing w:after="0" w:line="200" w:lineRule="exact"/>
        <w:rPr>
          <w:sz w:val="20"/>
          <w:szCs w:val="20"/>
          <w:color w:val="auto"/>
        </w:rPr>
      </w:pP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1"/>
          <w:szCs w:val="21"/>
          <w:color w:val="auto"/>
        </w:rPr>
        <w:t>PARTICIPANT</w:t>
      </w:r>
      <w:r>
        <w:rPr>
          <w:sz w:val="20"/>
          <w:szCs w:val="20"/>
          <w:color w:val="auto"/>
        </w:rPr>
        <w:tab/>
      </w:r>
      <w:r>
        <w:rPr>
          <w:rFonts w:ascii="Times New Roman" w:cs="Times New Roman" w:eastAsia="Times New Roman" w:hAnsi="Times New Roman"/>
          <w:sz w:val="21"/>
          <w:szCs w:val="21"/>
          <w:color w:val="auto"/>
        </w:rPr>
        <w:t>WHITEHAWK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525145</wp:posOffset>
            </wp:positionV>
            <wp:extent cx="1308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525145</wp:posOffset>
            </wp:positionV>
            <wp:extent cx="1308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206375</wp:posOffset>
            </wp:positionV>
            <wp:extent cx="1308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206375</wp:posOffset>
            </wp:positionV>
            <wp:extent cx="1308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34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1"/>
          <w:szCs w:val="21"/>
          <w:color w:val="auto"/>
        </w:rPr>
        <w:t>Print Name</w:t>
      </w:r>
      <w:r>
        <w:rPr>
          <w:sz w:val="20"/>
          <w:szCs w:val="20"/>
          <w:color w:val="auto"/>
        </w:rPr>
        <w:tab/>
      </w: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206375</wp:posOffset>
            </wp:positionV>
            <wp:extent cx="1308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- 2 -</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21"/>
          <w:szCs w:val="21"/>
          <w:color w:val="auto"/>
        </w:rPr>
        <w:t>- 3 -</w:t>
      </w:r>
    </w:p>
    <w:p>
      <w:pPr>
        <w:sectPr>
          <w:pgSz w:w="11900" w:h="16838" w:orient="portrait"/>
          <w:cols w:equalWidth="0" w:num="1">
            <w:col w:w="10139"/>
          </w:cols>
          <w:pgMar w:left="320" w:top="1440" w:right="1440" w:bottom="1440" w:gutter="0" w:footer="0" w:header="0"/>
        </w:sectPr>
      </w:pPr>
    </w:p>
    <w:bookmarkStart w:id="175" w:name="page176"/>
    <w:bookmarkEnd w:id="175"/>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TERMS AND CONDITIONS OF STOCK OPTION GRANT</w:t>
      </w:r>
    </w:p>
    <w:p>
      <w:pPr>
        <w:spacing w:after="0" w:line="200" w:lineRule="exact"/>
        <w:rPr>
          <w:sz w:val="20"/>
          <w:szCs w:val="20"/>
          <w:color w:val="auto"/>
        </w:rPr>
      </w:pPr>
    </w:p>
    <w:p>
      <w:pPr>
        <w:ind w:left="1240" w:hanging="619"/>
        <w:spacing w:after="0"/>
        <w:tabs>
          <w:tab w:leader="none" w:pos="124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Option</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239"/>
        <w:spacing w:after="0" w:line="214" w:lineRule="auto"/>
        <w:tabs>
          <w:tab w:leader="none" w:pos="1851"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hereby grants to the individual (“Participant”) named in the Notice of Stock Option Grant of this Option Agreement (the “Notice of Grant”) an option (the “Option”) to purchase the number of Shares set forth in the Notice of Grant, at the exercise price per Share set forth in the Notice of Grant (the “Exercise Price”), subject to all of the terms and conditions in this Option Agreement and the Plan, which is incorporated herein by this reference. Subject to Section 19(c) of the Plan, in the event of a conflict between the terms and conditions of the Plan and the terms and conditions of this Option Agreement, the terms and conditions of the Plan will prevail.</w:t>
      </w:r>
    </w:p>
    <w:p>
      <w:pPr>
        <w:spacing w:after="0" w:line="150" w:lineRule="exact"/>
        <w:rPr>
          <w:rFonts w:ascii="Times New Roman" w:cs="Times New Roman" w:eastAsia="Times New Roman" w:hAnsi="Times New Roman"/>
          <w:sz w:val="21"/>
          <w:szCs w:val="21"/>
          <w:color w:val="auto"/>
        </w:rPr>
      </w:pPr>
    </w:p>
    <w:p>
      <w:pPr>
        <w:jc w:val="both"/>
        <w:ind w:firstLine="1239"/>
        <w:spacing w:after="0" w:line="212" w:lineRule="auto"/>
        <w:tabs>
          <w:tab w:leader="none" w:pos="1850"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U.S. taxpayers, the Option will be designated as either an Incentive Stock Option (“ISO”) or a Nonstatutory Stock Option (“NSO”). If designated in the Notice of Grant as an ISO, this Option is intended to qualify as an ISO under Section 422 of the Internal Revenue Code of 1986, as amended (the “Code”). However, if this Option is intended to be an ISO, to the extent that it exceeds the $100,000 rule of Code Section 422(d) it will be treated as an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47"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non-U.S. taxpayers, the Option will be designated as an NSO.</w:t>
      </w:r>
    </w:p>
    <w:p>
      <w:pPr>
        <w:spacing w:after="0" w:line="170" w:lineRule="exact"/>
        <w:rPr>
          <w:rFonts w:ascii="Times New Roman" w:cs="Times New Roman" w:eastAsia="Times New Roman" w:hAnsi="Times New Roman"/>
          <w:sz w:val="21"/>
          <w:szCs w:val="21"/>
          <w:color w:val="auto"/>
        </w:rPr>
      </w:pPr>
    </w:p>
    <w:p>
      <w:pPr>
        <w:jc w:val="both"/>
        <w:ind w:firstLine="621"/>
        <w:spacing w:after="0" w:line="220" w:lineRule="auto"/>
        <w:tabs>
          <w:tab w:leader="none" w:pos="123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 Except as provided in Section 3, the Option awarded by this Option Agreement will vest in accordance with the vesting provisions set forth in the Notice of Grant. Shares scheduled to vest on a certain date or upon the occurrence of a certain condition will not vest in Participant in accordance with any of the provisions of this Option Agreement, unless Participant will have been continuously a Service Provider from the Date of Grant until the date such vesting occurs.</w:t>
      </w:r>
    </w:p>
    <w:p>
      <w:pPr>
        <w:spacing w:after="0" w:line="144" w:lineRule="exact"/>
        <w:rPr>
          <w:rFonts w:ascii="Times New Roman" w:cs="Times New Roman" w:eastAsia="Times New Roman" w:hAnsi="Times New Roman"/>
          <w:sz w:val="21"/>
          <w:szCs w:val="21"/>
          <w:color w:val="auto"/>
        </w:rPr>
      </w:pPr>
    </w:p>
    <w:p>
      <w:pPr>
        <w:jc w:val="both"/>
        <w:ind w:firstLine="621"/>
        <w:spacing w:after="0" w:line="225" w:lineRule="auto"/>
        <w:tabs>
          <w:tab w:leader="none" w:pos="123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Administrator Discretion</w:t>
      </w:r>
      <w:r>
        <w:rPr>
          <w:rFonts w:ascii="Times New Roman" w:cs="Times New Roman" w:eastAsia="Times New Roman" w:hAnsi="Times New Roman"/>
          <w:sz w:val="21"/>
          <w:szCs w:val="21"/>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44"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239"/>
        <w:spacing w:after="0" w:line="225" w:lineRule="auto"/>
        <w:tabs>
          <w:tab w:leader="none" w:pos="1851"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Exercise</w:t>
      </w:r>
      <w:r>
        <w:rPr>
          <w:rFonts w:ascii="Times New Roman" w:cs="Times New Roman" w:eastAsia="Times New Roman" w:hAnsi="Times New Roman"/>
          <w:sz w:val="21"/>
          <w:szCs w:val="21"/>
          <w:color w:val="auto"/>
        </w:rPr>
        <w:t>. This Option may be exercised only within the term set out in the Notice of Grant, and may be exercised during such term only in accordance with the Vesting Schedule set out in the Notice of Option Grant and with the applicable provisions of the Plan and the terms of this Option Agreement.</w:t>
      </w:r>
    </w:p>
    <w:p>
      <w:pPr>
        <w:spacing w:after="0" w:line="144" w:lineRule="exact"/>
        <w:rPr>
          <w:rFonts w:ascii="Times New Roman" w:cs="Times New Roman" w:eastAsia="Times New Roman" w:hAnsi="Times New Roman"/>
          <w:sz w:val="21"/>
          <w:szCs w:val="21"/>
          <w:color w:val="auto"/>
        </w:rPr>
      </w:pPr>
    </w:p>
    <w:p>
      <w:pPr>
        <w:jc w:val="both"/>
        <w:ind w:firstLine="1239"/>
        <w:spacing w:after="0" w:line="214" w:lineRule="auto"/>
        <w:tabs>
          <w:tab w:leader="none" w:pos="1850"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Method of Exercise</w:t>
      </w:r>
      <w:r>
        <w:rPr>
          <w:rFonts w:ascii="Times New Roman" w:cs="Times New Roman" w:eastAsia="Times New Roman" w:hAnsi="Times New Roman"/>
          <w:sz w:val="21"/>
          <w:szCs w:val="21"/>
          <w:color w:val="auto"/>
        </w:rPr>
        <w:t xml:space="preserve">. This Option is exercisable by delivery of an exercise notice (the “Exercise Notice”) in the form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to the Notice of Grant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00" w:lineRule="exact"/>
        <w:rPr>
          <w:sz w:val="20"/>
          <w:szCs w:val="20"/>
          <w:color w:val="auto"/>
        </w:rPr>
      </w:pPr>
    </w:p>
    <w:p>
      <w:pPr>
        <w:spacing w:after="0" w:line="35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Exercise Price as to all Exercised Shares and of any Tax Obligations (as defined in Section 6(a)). This Option will be deemed to be exercised upon receipt by the Company of such fully executed Exercise Notice accompanied by the aggregate Exercise Price, together with any applicable Tax Obligations.</w:t>
      </w:r>
    </w:p>
    <w:p>
      <w:pPr>
        <w:spacing w:after="0" w:line="145" w:lineRule="exact"/>
        <w:rPr>
          <w:sz w:val="20"/>
          <w:szCs w:val="20"/>
          <w:color w:val="auto"/>
        </w:rPr>
      </w:pPr>
    </w:p>
    <w:p>
      <w:pPr>
        <w:ind w:firstLine="621"/>
        <w:spacing w:after="0" w:line="235" w:lineRule="auto"/>
        <w:tabs>
          <w:tab w:leader="none" w:pos="1236"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Method of Payment</w:t>
      </w:r>
      <w:r>
        <w:rPr>
          <w:rFonts w:ascii="Times New Roman" w:cs="Times New Roman" w:eastAsia="Times New Roman" w:hAnsi="Times New Roman"/>
          <w:sz w:val="21"/>
          <w:szCs w:val="21"/>
          <w:color w:val="auto"/>
        </w:rPr>
        <w:t>. Payment of the aggregate Exercise Price will be by any of the following, or a combination thereof, at the election of Participant:</w:t>
      </w:r>
    </w:p>
    <w:p>
      <w:pPr>
        <w:spacing w:after="0" w:line="145"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w:t>
      </w:r>
    </w:p>
    <w:p>
      <w:pPr>
        <w:spacing w:after="0" w:line="170" w:lineRule="exact"/>
        <w:rPr>
          <w:rFonts w:ascii="Times New Roman" w:cs="Times New Roman" w:eastAsia="Times New Roman" w:hAnsi="Times New Roman"/>
          <w:sz w:val="21"/>
          <w:szCs w:val="21"/>
          <w:color w:val="auto"/>
        </w:rPr>
      </w:pPr>
    </w:p>
    <w:p>
      <w:pPr>
        <w:ind w:firstLine="1239"/>
        <w:spacing w:after="0" w:line="235" w:lineRule="auto"/>
        <w:tabs>
          <w:tab w:leader="none" w:pos="1851"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consideration received by the Company under a formal cashless exercise program adopted by the Company in connection with the Plan; or</w:t>
      </w:r>
    </w:p>
    <w:p>
      <w:pPr>
        <w:spacing w:after="0" w:line="145" w:lineRule="exact"/>
        <w:rPr>
          <w:rFonts w:ascii="Times New Roman" w:cs="Times New Roman" w:eastAsia="Times New Roman" w:hAnsi="Times New Roman"/>
          <w:sz w:val="21"/>
          <w:szCs w:val="21"/>
          <w:color w:val="auto"/>
        </w:rPr>
      </w:pPr>
    </w:p>
    <w:p>
      <w:pPr>
        <w:jc w:val="both"/>
        <w:ind w:firstLine="1239"/>
        <w:spacing w:after="0" w:line="220" w:lineRule="auto"/>
        <w:tabs>
          <w:tab w:leader="none" w:pos="185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Participant is a U.S. employee, surrender of other Shares which have a Fair Market Value on the date of surrender equal to the aggregate Exercise Price of the Exercised Shares and that are owned free and clear of any liens, claims, encumbrances, or security interests, provided that accepting such Shares, in the sole discretion of the Administrator, will not result in any adverse accounting consequences to the Company.</w:t>
      </w:r>
    </w:p>
    <w:p>
      <w:pPr>
        <w:spacing w:after="0" w:line="145" w:lineRule="exact"/>
        <w:rPr>
          <w:sz w:val="20"/>
          <w:szCs w:val="20"/>
          <w:color w:val="auto"/>
        </w:rPr>
      </w:pPr>
    </w:p>
    <w:p>
      <w:pPr>
        <w:ind w:firstLine="287"/>
        <w:spacing w:after="0" w:line="235" w:lineRule="auto"/>
        <w:rPr>
          <w:sz w:val="20"/>
          <w:szCs w:val="20"/>
          <w:color w:val="auto"/>
        </w:rPr>
      </w:pPr>
      <w:r>
        <w:rPr>
          <w:rFonts w:ascii="Times New Roman" w:cs="Times New Roman" w:eastAsia="Times New Roman" w:hAnsi="Times New Roman"/>
          <w:sz w:val="21"/>
          <w:szCs w:val="21"/>
          <w:color w:val="auto"/>
        </w:rPr>
        <w:t>A non-U.S. resident’s methods of exercise may be restricted by the terms and conditions of any appendix to this Agreement for Participant’s country (including the Country Addendum, as defined below).</w:t>
      </w:r>
    </w:p>
    <w:p>
      <w:pPr>
        <w:spacing w:after="0" w:line="145" w:lineRule="exact"/>
        <w:rPr>
          <w:sz w:val="20"/>
          <w:szCs w:val="20"/>
          <w:color w:val="auto"/>
        </w:rPr>
      </w:pPr>
    </w:p>
    <w:p>
      <w:pPr>
        <w:ind w:firstLine="621"/>
        <w:spacing w:after="0" w:line="235" w:lineRule="auto"/>
        <w:tabs>
          <w:tab w:leader="none" w:pos="1236"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Non-Transferability of Option</w:t>
      </w:r>
      <w:r>
        <w:rPr>
          <w:rFonts w:ascii="Times New Roman" w:cs="Times New Roman" w:eastAsia="Times New Roman" w:hAnsi="Times New Roman"/>
          <w:sz w:val="21"/>
          <w:szCs w:val="21"/>
          <w:color w:val="auto"/>
        </w:rPr>
        <w:t>. This Option may not be transferred in any manner otherwise than by will or by the laws of descent or distribution and may be exercised during the lifetime of Participant only by Participant.</w:t>
      </w:r>
    </w:p>
    <w:p>
      <w:pPr>
        <w:spacing w:after="0" w:line="145" w:lineRule="exact"/>
        <w:rPr>
          <w:rFonts w:ascii="Times New Roman" w:cs="Times New Roman" w:eastAsia="Times New Roman" w:hAnsi="Times New Roman"/>
          <w:sz w:val="21"/>
          <w:szCs w:val="21"/>
          <w:color w:val="auto"/>
        </w:rPr>
      </w:pPr>
    </w:p>
    <w:p>
      <w:pPr>
        <w:ind w:firstLine="621"/>
        <w:spacing w:after="0" w:line="235" w:lineRule="auto"/>
        <w:tabs>
          <w:tab w:leader="none" w:pos="1236"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Option</w:t>
      </w:r>
      <w:r>
        <w:rPr>
          <w:rFonts w:ascii="Times New Roman" w:cs="Times New Roman" w:eastAsia="Times New Roman" w:hAnsi="Times New Roman"/>
          <w:sz w:val="21"/>
          <w:szCs w:val="21"/>
          <w:color w:val="auto"/>
        </w:rPr>
        <w:t>. This Option may be exercised only within the term set out in the Notice of Grant, and may be exercised during such term only in accordance with the Plan and the terms of this Option Agreement.</w:t>
      </w:r>
    </w:p>
    <w:p>
      <w:pPr>
        <w:spacing w:after="0" w:line="145"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Obligations</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239"/>
        <w:spacing w:after="0" w:line="219" w:lineRule="auto"/>
        <w:tabs>
          <w:tab w:leader="none" w:pos="1851"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 Participant acknowledges that, regardless of any action taken by the Company or, if different, Participant’s employer (the “Employer”) or any Parent or Subsidiary to which Participant is providing services (together, the Company, Employer and/or Parent or Subsidiary to which Participant is providing services, the “Service Recipient”), the ultimate liability for any tax and/or social insurance liability obligations and requirements in connection with the Option,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exercise of the Option or sale of Shares, and (iii) any other Company (or Service Recipient) taxes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Option, including, but not limited to, the grant, vesting or exercise of the Option, the subsequent sale of Shares acquired pursuant to such exercise and the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63" w:lineRule="exact"/>
        <w:rPr>
          <w:rFonts w:ascii="Times New Roman" w:cs="Times New Roman" w:eastAsia="Times New Roman" w:hAnsi="Times New Roman"/>
          <w:sz w:val="20"/>
          <w:szCs w:val="20"/>
          <w:color w:val="auto"/>
        </w:rPr>
      </w:pPr>
    </w:p>
    <w:p>
      <w:pPr>
        <w:ind w:left="320" w:hanging="120"/>
        <w:spacing w:after="0"/>
        <w:tabs>
          <w:tab w:leader="none" w:pos="32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2 -</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00" w:lineRule="exact"/>
        <w:rPr>
          <w:sz w:val="20"/>
          <w:szCs w:val="20"/>
          <w:color w:val="auto"/>
        </w:rPr>
      </w:pPr>
    </w:p>
    <w:p>
      <w:pPr>
        <w:spacing w:after="0" w:line="35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receipt of any dividends or other distributions, and (B)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48" w:lineRule="exact"/>
        <w:rPr>
          <w:sz w:val="20"/>
          <w:szCs w:val="20"/>
          <w:color w:val="auto"/>
        </w:rPr>
      </w:pPr>
    </w:p>
    <w:p>
      <w:pPr>
        <w:jc w:val="both"/>
        <w:ind w:firstLine="1239"/>
        <w:spacing w:after="0" w:line="207" w:lineRule="auto"/>
        <w:tabs>
          <w:tab w:leader="none" w:pos="1850"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156" w:lineRule="exact"/>
        <w:rPr>
          <w:rFonts w:ascii="Times New Roman" w:cs="Times New Roman" w:eastAsia="Times New Roman" w:hAnsi="Times New Roman"/>
          <w:sz w:val="21"/>
          <w:szCs w:val="21"/>
          <w:color w:val="auto"/>
        </w:rPr>
      </w:pPr>
    </w:p>
    <w:p>
      <w:pPr>
        <w:jc w:val="both"/>
        <w:ind w:firstLine="1239"/>
        <w:spacing w:after="0" w:line="217" w:lineRule="auto"/>
        <w:tabs>
          <w:tab w:leader="none" w:pos="1851"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Disqualifying Disposition of ISO Shares</w:t>
      </w:r>
      <w:r>
        <w:rPr>
          <w:rFonts w:ascii="Times New Roman" w:cs="Times New Roman" w:eastAsia="Times New Roman" w:hAnsi="Times New Roman"/>
          <w:sz w:val="21"/>
          <w:szCs w:val="21"/>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immediately will notify the Company in writing of such disposition. Participant agrees that Participant may be subject to income tax withholding by the Company on the compensation income recognized by Participant.</w:t>
      </w:r>
    </w:p>
    <w:p>
      <w:pPr>
        <w:spacing w:after="0" w:line="144" w:lineRule="exact"/>
        <w:rPr>
          <w:rFonts w:ascii="Times New Roman" w:cs="Times New Roman" w:eastAsia="Times New Roman" w:hAnsi="Times New Roman"/>
          <w:sz w:val="21"/>
          <w:szCs w:val="21"/>
          <w:color w:val="auto"/>
        </w:rPr>
      </w:pPr>
    </w:p>
    <w:p>
      <w:pPr>
        <w:jc w:val="both"/>
        <w:ind w:firstLine="1239"/>
        <w:spacing w:after="0" w:line="220" w:lineRule="auto"/>
        <w:tabs>
          <w:tab w:leader="none" w:pos="1850"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an underlying share on the date of grant (a “discount option”) may be considered “deferred compensation.” A stock right that is a</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6" w:lineRule="exact"/>
        <w:rPr>
          <w:rFonts w:ascii="Times New Roman" w:cs="Times New Roman" w:eastAsia="Times New Roman" w:hAnsi="Times New Roman"/>
          <w:sz w:val="21"/>
          <w:szCs w:val="21"/>
          <w:color w:val="auto"/>
        </w:rPr>
      </w:pPr>
    </w:p>
    <w:p>
      <w:pPr>
        <w:ind w:left="320" w:hanging="120"/>
        <w:spacing w:after="0"/>
        <w:tabs>
          <w:tab w:leader="none" w:pos="32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3 -</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00" w:lineRule="exact"/>
        <w:rPr>
          <w:sz w:val="20"/>
          <w:szCs w:val="20"/>
          <w:color w:val="auto"/>
        </w:rPr>
      </w:pPr>
    </w:p>
    <w:p>
      <w:pPr>
        <w:spacing w:after="0" w:line="355"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1"/>
          <w:szCs w:val="21"/>
          <w:color w:val="auto"/>
        </w:rPr>
        <w:t>“discount option” may result in (i) income recognition by the recipient of the stock right prior to the exercise of the stock right, (ii) an additional twenty percent (20%) federal income tax, and (iii) potential penalty and interest charges. The “discount option” also may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50" w:lineRule="exact"/>
        <w:rPr>
          <w:sz w:val="20"/>
          <w:szCs w:val="20"/>
          <w:color w:val="auto"/>
        </w:rPr>
      </w:pPr>
    </w:p>
    <w:p>
      <w:pPr>
        <w:jc w:val="both"/>
        <w:ind w:firstLine="621"/>
        <w:spacing w:after="0" w:line="214" w:lineRule="auto"/>
        <w:tabs>
          <w:tab w:leader="none" w:pos="1236"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Stockholder</w:t>
      </w:r>
      <w:r>
        <w:rPr>
          <w:rFonts w:ascii="Times New Roman" w:cs="Times New Roman" w:eastAsia="Times New Roman" w:hAnsi="Times New Roman"/>
          <w:sz w:val="21"/>
          <w:szCs w:val="21"/>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50" w:lineRule="exact"/>
        <w:rPr>
          <w:rFonts w:ascii="Times New Roman" w:cs="Times New Roman" w:eastAsia="Times New Roman" w:hAnsi="Times New Roman"/>
          <w:sz w:val="21"/>
          <w:szCs w:val="21"/>
          <w:color w:val="auto"/>
        </w:rPr>
      </w:pPr>
    </w:p>
    <w:p>
      <w:pPr>
        <w:jc w:val="both"/>
        <w:ind w:firstLine="621"/>
        <w:spacing w:after="0" w:line="217" w:lineRule="auto"/>
        <w:tabs>
          <w:tab w:leader="none" w:pos="1236"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Governing Law</w:t>
      </w:r>
      <w:r>
        <w:rPr>
          <w:rFonts w:ascii="Times New Roman" w:cs="Times New Roman" w:eastAsia="Times New Roman" w:hAnsi="Times New Roman"/>
          <w:sz w:val="21"/>
          <w:szCs w:val="21"/>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California.</w:t>
      </w:r>
    </w:p>
    <w:p>
      <w:pPr>
        <w:spacing w:after="0" w:line="144" w:lineRule="exact"/>
        <w:rPr>
          <w:rFonts w:ascii="Times New Roman" w:cs="Times New Roman" w:eastAsia="Times New Roman" w:hAnsi="Times New Roman"/>
          <w:sz w:val="21"/>
          <w:szCs w:val="21"/>
          <w:color w:val="auto"/>
        </w:rPr>
      </w:pPr>
    </w:p>
    <w:p>
      <w:pPr>
        <w:jc w:val="both"/>
        <w:ind w:firstLine="621"/>
        <w:spacing w:after="0" w:line="210" w:lineRule="auto"/>
        <w:tabs>
          <w:tab w:leader="none" w:pos="1229"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Guarantee of Continued Service</w:t>
      </w:r>
      <w:r>
        <w:rPr>
          <w:rFonts w:ascii="Times New Roman" w:cs="Times New Roman" w:eastAsia="Times New Roman" w:hAnsi="Times New Roman"/>
          <w:sz w:val="21"/>
          <w:szCs w:val="21"/>
          <w:color w:val="auto"/>
        </w:rPr>
        <w:t>. PARTICIPANT ACKNOWLEDGES AND AGREES THAT THE VESTING OF SHARES PURSUANT TO THE VESTING SCHEDULE HEREOF IS EARNED ONLY BY CONTINUING AS A SERVICE PROVIDER, WHICH UNLESS PROVIDED OTHERWISE UNDER APPLICABLE LAW IS AT THE WILL OF THE COMPANY (OR THE SERVICE RECIPIENT)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148" w:lineRule="exact"/>
        <w:rPr>
          <w:rFonts w:ascii="Times New Roman" w:cs="Times New Roman" w:eastAsia="Times New Roman" w:hAnsi="Times New Roman"/>
          <w:sz w:val="21"/>
          <w:szCs w:val="21"/>
          <w:color w:val="auto"/>
        </w:rPr>
      </w:pPr>
    </w:p>
    <w:p>
      <w:pPr>
        <w:jc w:val="both"/>
        <w:ind w:firstLine="621"/>
        <w:spacing w:after="0" w:line="220" w:lineRule="auto"/>
        <w:tabs>
          <w:tab w:leader="none" w:pos="1236"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44" w:lineRule="exact"/>
        <w:rPr>
          <w:rFonts w:ascii="Times New Roman" w:cs="Times New Roman" w:eastAsia="Times New Roman" w:hAnsi="Times New Roman"/>
          <w:sz w:val="21"/>
          <w:szCs w:val="21"/>
          <w:color w:val="auto"/>
        </w:rPr>
      </w:pPr>
    </w:p>
    <w:p>
      <w:pPr>
        <w:ind w:firstLine="621"/>
        <w:spacing w:after="0" w:line="235" w:lineRule="auto"/>
        <w:tabs>
          <w:tab w:leader="none" w:pos="1236"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Address for Notices</w:t>
      </w:r>
      <w:r>
        <w:rPr>
          <w:rFonts w:ascii="Times New Roman" w:cs="Times New Roman" w:eastAsia="Times New Roman" w:hAnsi="Times New Roman"/>
          <w:sz w:val="21"/>
          <w:szCs w:val="21"/>
          <w:color w:val="auto"/>
        </w:rPr>
        <w:t>. Any notice to be given to the Company under the terms of this Option Agreement will be addressed to the Company at Whitehawk Therapeutics, Inc., 2 Headquarters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6" w:lineRule="exact"/>
        <w:rPr>
          <w:rFonts w:ascii="Times New Roman" w:cs="Times New Roman" w:eastAsia="Times New Roman" w:hAnsi="Times New Roman"/>
          <w:sz w:val="21"/>
          <w:szCs w:val="21"/>
          <w:color w:val="auto"/>
        </w:rPr>
      </w:pPr>
    </w:p>
    <w:p>
      <w:pPr>
        <w:ind w:left="320" w:hanging="120"/>
        <w:spacing w:after="0"/>
        <w:tabs>
          <w:tab w:leader="none" w:pos="32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4 -</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Plaza, East Building, 11th Floor, Morristown, NJ 07960, or at such other address as the Company may hereafter designate in writing.</w:t>
      </w:r>
    </w:p>
    <w:p>
      <w:pPr>
        <w:spacing w:after="0" w:line="171" w:lineRule="exact"/>
        <w:rPr>
          <w:sz w:val="20"/>
          <w:szCs w:val="20"/>
          <w:color w:val="auto"/>
        </w:rPr>
      </w:pPr>
    </w:p>
    <w:p>
      <w:pPr>
        <w:jc w:val="both"/>
        <w:ind w:firstLine="621"/>
        <w:spacing w:after="0" w:line="217" w:lineRule="auto"/>
        <w:tabs>
          <w:tab w:leader="none" w:pos="1236"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Delivery and Acceptance</w:t>
      </w:r>
      <w:r>
        <w:rPr>
          <w:rFonts w:ascii="Times New Roman" w:cs="Times New Roman" w:eastAsia="Times New Roman" w:hAnsi="Times New Roman"/>
          <w:sz w:val="21"/>
          <w:szCs w:val="21"/>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44" w:lineRule="exact"/>
        <w:rPr>
          <w:rFonts w:ascii="Times New Roman" w:cs="Times New Roman" w:eastAsia="Times New Roman" w:hAnsi="Times New Roman"/>
          <w:sz w:val="21"/>
          <w:szCs w:val="21"/>
          <w:color w:val="auto"/>
        </w:rPr>
      </w:pPr>
    </w:p>
    <w:p>
      <w:pPr>
        <w:ind w:firstLine="621"/>
        <w:spacing w:after="0" w:line="235" w:lineRule="auto"/>
        <w:tabs>
          <w:tab w:leader="none" w:pos="1236"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Captions</w:t>
      </w:r>
      <w:r>
        <w:rPr>
          <w:rFonts w:ascii="Times New Roman" w:cs="Times New Roman" w:eastAsia="Times New Roman" w:hAnsi="Times New Roman"/>
          <w:sz w:val="21"/>
          <w:szCs w:val="21"/>
          <w:color w:val="auto"/>
        </w:rPr>
        <w:t>. Captions provided herein are for convenience only and are not to serve as a basis for interpretation or construction of this Option Agreement.</w:t>
      </w:r>
    </w:p>
    <w:p>
      <w:pPr>
        <w:spacing w:after="0" w:line="145" w:lineRule="exact"/>
        <w:rPr>
          <w:rFonts w:ascii="Times New Roman" w:cs="Times New Roman" w:eastAsia="Times New Roman" w:hAnsi="Times New Roman"/>
          <w:sz w:val="21"/>
          <w:szCs w:val="21"/>
          <w:color w:val="auto"/>
        </w:rPr>
      </w:pPr>
    </w:p>
    <w:p>
      <w:pPr>
        <w:jc w:val="both"/>
        <w:ind w:firstLine="621"/>
        <w:spacing w:after="0" w:line="225" w:lineRule="auto"/>
        <w:tabs>
          <w:tab w:leader="none" w:pos="1236"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Agreement Severable</w:t>
      </w:r>
      <w:r>
        <w:rPr>
          <w:rFonts w:ascii="Times New Roman" w:cs="Times New Roman" w:eastAsia="Times New Roman" w:hAnsi="Times New Roman"/>
          <w:sz w:val="21"/>
          <w:szCs w:val="21"/>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44" w:lineRule="exact"/>
        <w:rPr>
          <w:rFonts w:ascii="Times New Roman" w:cs="Times New Roman" w:eastAsia="Times New Roman" w:hAnsi="Times New Roman"/>
          <w:sz w:val="21"/>
          <w:szCs w:val="21"/>
          <w:color w:val="auto"/>
        </w:rPr>
      </w:pPr>
    </w:p>
    <w:p>
      <w:pPr>
        <w:jc w:val="both"/>
        <w:ind w:firstLine="621"/>
        <w:spacing w:after="0" w:line="220" w:lineRule="auto"/>
        <w:tabs>
          <w:tab w:leader="none" w:pos="1236"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44" w:lineRule="exact"/>
        <w:rPr>
          <w:rFonts w:ascii="Times New Roman" w:cs="Times New Roman" w:eastAsia="Times New Roman" w:hAnsi="Times New Roman"/>
          <w:sz w:val="21"/>
          <w:szCs w:val="21"/>
          <w:color w:val="auto"/>
        </w:rPr>
      </w:pPr>
    </w:p>
    <w:p>
      <w:pPr>
        <w:jc w:val="both"/>
        <w:ind w:firstLine="621"/>
        <w:spacing w:after="0" w:line="217" w:lineRule="auto"/>
        <w:tabs>
          <w:tab w:leader="none" w:pos="1236"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Option Agreement to single or multiple assignees, and this Option Agreement shall inure to the benefit of the successors and assigns of the Company. Subject to the restrictions on transfer herein set forth, this Option Agreement shall be binding upon Participant and his or her heirs, executors, administrators, successors and assigns. The rights and obligations of Participant under this Option Agreement may be assigned only with the prior written consent of the Company.</w:t>
      </w:r>
    </w:p>
    <w:p>
      <w:pPr>
        <w:spacing w:after="0" w:line="144" w:lineRule="exact"/>
        <w:rPr>
          <w:rFonts w:ascii="Times New Roman" w:cs="Times New Roman" w:eastAsia="Times New Roman" w:hAnsi="Times New Roman"/>
          <w:sz w:val="21"/>
          <w:szCs w:val="21"/>
          <w:color w:val="auto"/>
        </w:rPr>
      </w:pPr>
    </w:p>
    <w:p>
      <w:pPr>
        <w:jc w:val="both"/>
        <w:ind w:firstLine="621"/>
        <w:spacing w:after="0" w:line="220" w:lineRule="auto"/>
        <w:tabs>
          <w:tab w:leader="none" w:pos="1236"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Conditions to Issuance of Stock</w:t>
      </w:r>
      <w:r>
        <w:rPr>
          <w:rFonts w:ascii="Times New Roman" w:cs="Times New Roman" w:eastAsia="Times New Roman" w:hAnsi="Times New Roman"/>
          <w:sz w:val="20"/>
          <w:szCs w:val="20"/>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153" w:lineRule="exact"/>
        <w:rPr>
          <w:rFonts w:ascii="Times New Roman" w:cs="Times New Roman" w:eastAsia="Times New Roman" w:hAnsi="Times New Roman"/>
          <w:sz w:val="20"/>
          <w:szCs w:val="20"/>
          <w:color w:val="auto"/>
        </w:rPr>
      </w:pPr>
    </w:p>
    <w:p>
      <w:pPr>
        <w:jc w:val="both"/>
        <w:ind w:firstLine="621"/>
        <w:spacing w:after="0" w:line="225" w:lineRule="auto"/>
        <w:tabs>
          <w:tab w:leader="none" w:pos="1236"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Language</w:t>
      </w:r>
      <w:r>
        <w:rPr>
          <w:rFonts w:ascii="Times New Roman" w:cs="Times New Roman" w:eastAsia="Times New Roman" w:hAnsi="Times New Roman"/>
          <w:sz w:val="21"/>
          <w:szCs w:val="21"/>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6" w:lineRule="exact"/>
        <w:rPr>
          <w:rFonts w:ascii="Times New Roman" w:cs="Times New Roman" w:eastAsia="Times New Roman" w:hAnsi="Times New Roman"/>
          <w:sz w:val="21"/>
          <w:szCs w:val="21"/>
          <w:color w:val="auto"/>
        </w:rPr>
      </w:pPr>
    </w:p>
    <w:p>
      <w:pPr>
        <w:ind w:left="320" w:hanging="120"/>
        <w:spacing w:after="0"/>
        <w:tabs>
          <w:tab w:leader="none" w:pos="32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5 -</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00" w:lineRule="exact"/>
        <w:rPr>
          <w:sz w:val="20"/>
          <w:szCs w:val="20"/>
          <w:color w:val="auto"/>
        </w:rPr>
      </w:pPr>
    </w:p>
    <w:p>
      <w:pPr>
        <w:spacing w:after="0" w:line="355" w:lineRule="exact"/>
        <w:rPr>
          <w:sz w:val="20"/>
          <w:szCs w:val="20"/>
          <w:color w:val="auto"/>
        </w:rPr>
      </w:pPr>
    </w:p>
    <w:p>
      <w:pPr>
        <w:jc w:val="both"/>
        <w:ind w:left="-200" w:firstLine="621"/>
        <w:spacing w:after="0" w:line="225" w:lineRule="auto"/>
        <w:tabs>
          <w:tab w:leader="none" w:pos="1036"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48" w:lineRule="exact"/>
        <w:rPr>
          <w:rFonts w:ascii="Times New Roman" w:cs="Times New Roman" w:eastAsia="Times New Roman" w:hAnsi="Times New Roman"/>
          <w:sz w:val="20"/>
          <w:szCs w:val="20"/>
          <w:color w:val="auto"/>
        </w:rPr>
      </w:pPr>
    </w:p>
    <w:p>
      <w:pPr>
        <w:jc w:val="both"/>
        <w:ind w:left="-200" w:firstLine="621"/>
        <w:spacing w:after="0" w:line="225" w:lineRule="auto"/>
        <w:tabs>
          <w:tab w:leader="none" w:pos="1036"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Suspension or Termination of the Plan</w:t>
      </w:r>
      <w:r>
        <w:rPr>
          <w:rFonts w:ascii="Times New Roman" w:cs="Times New Roman" w:eastAsia="Times New Roman" w:hAnsi="Times New Roman"/>
          <w:sz w:val="21"/>
          <w:szCs w:val="21"/>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44" w:lineRule="exact"/>
        <w:rPr>
          <w:rFonts w:ascii="Times New Roman" w:cs="Times New Roman" w:eastAsia="Times New Roman" w:hAnsi="Times New Roman"/>
          <w:sz w:val="21"/>
          <w:szCs w:val="21"/>
          <w:color w:val="auto"/>
        </w:rPr>
      </w:pPr>
    </w:p>
    <w:p>
      <w:pPr>
        <w:jc w:val="both"/>
        <w:ind w:left="-200" w:firstLine="621"/>
        <w:spacing w:after="0" w:line="213" w:lineRule="auto"/>
        <w:tabs>
          <w:tab w:leader="none" w:pos="1036"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to the Option Agreement</w:t>
      </w:r>
      <w:r>
        <w:rPr>
          <w:rFonts w:ascii="Times New Roman" w:cs="Times New Roman" w:eastAsia="Times New Roman" w:hAnsi="Times New Roman"/>
          <w:sz w:val="21"/>
          <w:szCs w:val="21"/>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48" w:lineRule="exact"/>
        <w:rPr>
          <w:rFonts w:ascii="Times New Roman" w:cs="Times New Roman" w:eastAsia="Times New Roman" w:hAnsi="Times New Roman"/>
          <w:sz w:val="21"/>
          <w:szCs w:val="21"/>
          <w:color w:val="auto"/>
        </w:rPr>
      </w:pPr>
    </w:p>
    <w:p>
      <w:pPr>
        <w:jc w:val="both"/>
        <w:ind w:left="-200" w:firstLine="621"/>
        <w:spacing w:after="0" w:line="217" w:lineRule="auto"/>
        <w:tabs>
          <w:tab w:leader="none" w:pos="1036"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The Plan is incorporated herein by reference. The Plan and this Option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44" w:lineRule="exact"/>
        <w:rPr>
          <w:rFonts w:ascii="Times New Roman" w:cs="Times New Roman" w:eastAsia="Times New Roman" w:hAnsi="Times New Roman"/>
          <w:sz w:val="21"/>
          <w:szCs w:val="21"/>
          <w:color w:val="auto"/>
        </w:rPr>
      </w:pPr>
    </w:p>
    <w:p>
      <w:pPr>
        <w:jc w:val="both"/>
        <w:ind w:left="-200" w:firstLine="621"/>
        <w:spacing w:after="0" w:line="214" w:lineRule="auto"/>
        <w:tabs>
          <w:tab w:leader="none" w:pos="1036"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Country Addendum</w:t>
      </w:r>
      <w:r>
        <w:rPr>
          <w:rFonts w:ascii="Times New Roman" w:cs="Times New Roman" w:eastAsia="Times New Roman" w:hAnsi="Times New Roman"/>
          <w:sz w:val="21"/>
          <w:szCs w:val="21"/>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50" w:lineRule="exact"/>
        <w:rPr>
          <w:rFonts w:ascii="Times New Roman" w:cs="Times New Roman" w:eastAsia="Times New Roman" w:hAnsi="Times New Roman"/>
          <w:sz w:val="21"/>
          <w:szCs w:val="21"/>
          <w:color w:val="auto"/>
        </w:rPr>
      </w:pPr>
    </w:p>
    <w:p>
      <w:pPr>
        <w:jc w:val="both"/>
        <w:ind w:left="-200" w:firstLine="621"/>
        <w:spacing w:after="0" w:line="217" w:lineRule="auto"/>
        <w:tabs>
          <w:tab w:leader="none" w:pos="1036"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Consequences</w:t>
      </w:r>
      <w:r>
        <w:rPr>
          <w:rFonts w:ascii="Times New Roman" w:cs="Times New Roman" w:eastAsia="Times New Roman" w:hAnsi="Times New Roman"/>
          <w:sz w:val="21"/>
          <w:szCs w:val="21"/>
          <w:color w:val="auto"/>
        </w:rPr>
        <w:t>. Participant has reviewed with his or her own tax advisors the U.S. federal, state, local and non-U.S. tax consequences of this investment and the transactions contemplated by this Option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70" w:lineRule="exact"/>
        <w:rPr>
          <w:rFonts w:ascii="Times New Roman" w:cs="Times New Roman" w:eastAsia="Times New Roman" w:hAnsi="Times New Roman"/>
          <w:sz w:val="21"/>
          <w:szCs w:val="21"/>
          <w:color w:val="auto"/>
        </w:rPr>
      </w:pPr>
    </w:p>
    <w:p>
      <w:pPr>
        <w:ind w:left="4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94" w:lineRule="exact"/>
        <w:rPr>
          <w:rFonts w:ascii="Times New Roman" w:cs="Times New Roman" w:eastAsia="Times New Roman" w:hAnsi="Times New Roman"/>
          <w:sz w:val="21"/>
          <w:szCs w:val="21"/>
          <w:color w:val="auto"/>
        </w:rPr>
      </w:pPr>
    </w:p>
    <w:p>
      <w:pPr>
        <w:ind w:left="120" w:hanging="120"/>
        <w:spacing w:after="0"/>
        <w:tabs>
          <w:tab w:leader="none" w:pos="12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6 -</w:t>
      </w:r>
    </w:p>
    <w:p>
      <w:pPr>
        <w:sectPr>
          <w:pgSz w:w="11900" w:h="16838" w:orient="portrait"/>
          <w:cols w:equalWidth="0" w:num="1">
            <w:col w:w="11040"/>
          </w:cols>
          <w:pgMar w:left="520" w:top="1440" w:right="339" w:bottom="1440" w:gutter="0" w:footer="0" w:header="0"/>
        </w:sectPr>
      </w:pPr>
    </w:p>
    <w:bookmarkStart w:id="181" w:name="page182"/>
    <w:bookmarkEnd w:id="181"/>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WHITEHAWK THERAPEUTICS, INC.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2021 EQUITY INCENTIVE PLAN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EXERCISE NOTICE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Whitehawk Therapeutics,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 Headquarters Plaza</w:t>
      </w:r>
    </w:p>
    <w:p>
      <w:pPr>
        <w:spacing w:after="0" w:line="209" w:lineRule="auto"/>
        <w:rPr>
          <w:sz w:val="20"/>
          <w:szCs w:val="20"/>
          <w:color w:val="auto"/>
        </w:rPr>
      </w:pPr>
      <w:r>
        <w:rPr>
          <w:rFonts w:ascii="Times New Roman" w:cs="Times New Roman" w:eastAsia="Times New Roman" w:hAnsi="Times New Roman"/>
          <w:sz w:val="21"/>
          <w:szCs w:val="21"/>
          <w:color w:val="auto"/>
        </w:rPr>
        <w:t>East Building,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w:t>
      </w:r>
    </w:p>
    <w:p>
      <w:pPr>
        <w:spacing w:after="0"/>
        <w:rPr>
          <w:sz w:val="20"/>
          <w:szCs w:val="20"/>
          <w:color w:val="auto"/>
        </w:rPr>
      </w:pPr>
      <w:r>
        <w:rPr>
          <w:rFonts w:ascii="Times New Roman" w:cs="Times New Roman" w:eastAsia="Times New Roman" w:hAnsi="Times New Roman"/>
          <w:sz w:val="21"/>
          <w:szCs w:val="21"/>
          <w:color w:val="auto"/>
        </w:rPr>
        <w:t>Morristown, NJ 07960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Stock Administration</w:t>
      </w:r>
    </w:p>
    <w:p>
      <w:pPr>
        <w:spacing w:after="0" w:line="200" w:lineRule="exact"/>
        <w:rPr>
          <w:sz w:val="20"/>
          <w:szCs w:val="20"/>
          <w:color w:val="auto"/>
        </w:rPr>
      </w:pPr>
    </w:p>
    <w:p>
      <w:pPr>
        <w:spacing w:after="0" w:line="215" w:lineRule="exact"/>
        <w:rPr>
          <w:sz w:val="20"/>
          <w:szCs w:val="20"/>
          <w:color w:val="auto"/>
        </w:rPr>
      </w:pPr>
    </w:p>
    <w:p>
      <w:pPr>
        <w:jc w:val="both"/>
        <w:ind w:firstLine="621"/>
        <w:spacing w:after="0" w:line="213" w:lineRule="auto"/>
        <w:tabs>
          <w:tab w:leader="none" w:pos="1236"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 Effective as of today, ________________, _____, the undersigned (“Purchaser”) hereby elects to purchase ______________ shares (the “Shares”) of the Common Stock of Whitehawk Therapeutics, Inc. (the “Company”) under and pursuant to the 2021 Equity Incentive Plan (the “Plan”) and the Stock Option Agreement, dated ________ and including the Notice of Grant, the Terms and Conditions of Stock Option Grant, and exhibits attached thereto (the “Option Agreement”). The purchase price for the Shares will be $_____________, as required by the Option Agreement. Unless otherwise defined herein, capitalized terms used in this Exercise Notice shall be ascribed the same defined meanings as set forth in the Option Agreement (or, as applicable, the Plan or other written agreement or arrangement as specified in the Option Agreement).</w:t>
      </w:r>
    </w:p>
    <w:p>
      <w:pPr>
        <w:spacing w:after="0" w:line="148" w:lineRule="exact"/>
        <w:rPr>
          <w:rFonts w:ascii="Times New Roman" w:cs="Times New Roman" w:eastAsia="Times New Roman" w:hAnsi="Times New Roman"/>
          <w:sz w:val="21"/>
          <w:szCs w:val="21"/>
          <w:color w:val="auto"/>
        </w:rPr>
      </w:pPr>
    </w:p>
    <w:p>
      <w:pPr>
        <w:ind w:firstLine="621"/>
        <w:spacing w:after="0" w:line="235" w:lineRule="auto"/>
        <w:tabs>
          <w:tab w:leader="none" w:pos="1236"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Payment</w:t>
      </w:r>
      <w:r>
        <w:rPr>
          <w:rFonts w:ascii="Times New Roman" w:cs="Times New Roman" w:eastAsia="Times New Roman" w:hAnsi="Times New Roman"/>
          <w:sz w:val="21"/>
          <w:szCs w:val="21"/>
          <w:color w:val="auto"/>
        </w:rPr>
        <w:t>. Purchaser herewith delivers to the Company the full purchase price of the Shares and any Tax Obligations (as defined in Section 6(a) of the Option Agreement) to be paid in connection with the exercise of the Option.</w:t>
      </w:r>
    </w:p>
    <w:p>
      <w:pPr>
        <w:spacing w:after="0" w:line="145" w:lineRule="exact"/>
        <w:rPr>
          <w:rFonts w:ascii="Times New Roman" w:cs="Times New Roman" w:eastAsia="Times New Roman" w:hAnsi="Times New Roman"/>
          <w:sz w:val="21"/>
          <w:szCs w:val="21"/>
          <w:color w:val="auto"/>
        </w:rPr>
      </w:pPr>
    </w:p>
    <w:p>
      <w:pPr>
        <w:ind w:firstLine="621"/>
        <w:spacing w:after="0" w:line="235" w:lineRule="auto"/>
        <w:tabs>
          <w:tab w:leader="none" w:pos="1236"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of Purchaser</w:t>
      </w:r>
      <w:r>
        <w:rPr>
          <w:rFonts w:ascii="Times New Roman" w:cs="Times New Roman" w:eastAsia="Times New Roman" w:hAnsi="Times New Roman"/>
          <w:sz w:val="21"/>
          <w:szCs w:val="21"/>
          <w:color w:val="auto"/>
        </w:rPr>
        <w:t>. Purchaser acknowledges that Purchaser has received, read and understood the Plan and the Option Agreement and agrees to abide by and be bound by their terms and conditions.</w:t>
      </w:r>
    </w:p>
    <w:p>
      <w:pPr>
        <w:spacing w:after="0" w:line="145" w:lineRule="exact"/>
        <w:rPr>
          <w:rFonts w:ascii="Times New Roman" w:cs="Times New Roman" w:eastAsia="Times New Roman" w:hAnsi="Times New Roman"/>
          <w:sz w:val="21"/>
          <w:szCs w:val="21"/>
          <w:color w:val="auto"/>
        </w:rPr>
      </w:pPr>
    </w:p>
    <w:p>
      <w:pPr>
        <w:jc w:val="both"/>
        <w:ind w:firstLine="621"/>
        <w:spacing w:after="0" w:line="217" w:lineRule="auto"/>
        <w:tabs>
          <w:tab w:leader="none" w:pos="1236"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Stockholder</w:t>
      </w:r>
      <w:r>
        <w:rPr>
          <w:rFonts w:ascii="Times New Roman" w:cs="Times New Roman" w:eastAsia="Times New Roman" w:hAnsi="Times New Roman"/>
          <w:sz w:val="21"/>
          <w:szCs w:val="21"/>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14 of the Plan.</w:t>
      </w:r>
    </w:p>
    <w:p>
      <w:pPr>
        <w:spacing w:after="0" w:line="144" w:lineRule="exact"/>
        <w:rPr>
          <w:rFonts w:ascii="Times New Roman" w:cs="Times New Roman" w:eastAsia="Times New Roman" w:hAnsi="Times New Roman"/>
          <w:sz w:val="21"/>
          <w:szCs w:val="21"/>
          <w:color w:val="auto"/>
        </w:rPr>
      </w:pPr>
    </w:p>
    <w:p>
      <w:pPr>
        <w:jc w:val="both"/>
        <w:ind w:firstLine="621"/>
        <w:spacing w:after="0" w:line="220" w:lineRule="auto"/>
        <w:tabs>
          <w:tab w:leader="none" w:pos="1236"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Consultation</w:t>
      </w:r>
      <w:r>
        <w:rPr>
          <w:rFonts w:ascii="Times New Roman" w:cs="Times New Roman" w:eastAsia="Times New Roman" w:hAnsi="Times New Roman"/>
          <w:sz w:val="21"/>
          <w:szCs w:val="21"/>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44" w:lineRule="exact"/>
        <w:rPr>
          <w:rFonts w:ascii="Times New Roman" w:cs="Times New Roman" w:eastAsia="Times New Roman" w:hAnsi="Times New Roman"/>
          <w:sz w:val="21"/>
          <w:szCs w:val="21"/>
          <w:color w:val="auto"/>
        </w:rPr>
      </w:pPr>
    </w:p>
    <w:p>
      <w:pPr>
        <w:jc w:val="both"/>
        <w:ind w:firstLine="621"/>
        <w:spacing w:after="0" w:line="225" w:lineRule="auto"/>
        <w:tabs>
          <w:tab w:leader="none" w:pos="1236"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Governing Law</w:t>
      </w:r>
      <w:r>
        <w:rPr>
          <w:rFonts w:ascii="Times New Roman" w:cs="Times New Roman" w:eastAsia="Times New Roman" w:hAnsi="Times New Roman"/>
          <w:sz w:val="21"/>
          <w:szCs w:val="21"/>
          <w:color w:val="auto"/>
        </w:rPr>
        <w:t>. The Plan and Option Agreement are incorporated herein by reference. This Exercise Notice, the Plan and the Option Agreement constitute the entire agreement of the parties with respect to the subject matter hereof and supersede in their entirety all prior</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34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undertakings and agreements of the Company and Purchaser with respect to the subject matter hereof, and may not be modified adversely to the Purchaser’s interest except by means of a writing signed by the Company and Purchaser. This Option Agreement is governed by the internal substantive laws, but not the choice of law rules, of California.</w:t>
      </w:r>
    </w:p>
    <w:p>
      <w:pPr>
        <w:sectPr>
          <w:pgSz w:w="11900" w:h="16838" w:orient="portrait"/>
          <w:cols w:equalWidth="0" w:num="1">
            <w:col w:w="11240"/>
          </w:cols>
          <w:pgMar w:left="320" w:top="1440" w:right="3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Submitted 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by:</w:t>
      </w:r>
    </w:p>
    <w:p>
      <w:pPr>
        <w:spacing w:after="0" w:line="200" w:lineRule="exact"/>
        <w:rPr>
          <w:sz w:val="20"/>
          <w:szCs w:val="20"/>
          <w:color w:val="auto"/>
        </w:rPr>
      </w:pPr>
    </w:p>
    <w:p>
      <w:pPr>
        <w:sectPr>
          <w:pgSz w:w="11900" w:h="16838" w:orient="portrait"/>
          <w:cols w:equalWidth="0" w:num="2">
            <w:col w:w="1160" w:space="400"/>
            <w:col w:w="9680"/>
          </w:cols>
          <w:pgMar w:left="320" w:top="144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450850</wp:posOffset>
            </wp:positionV>
            <wp:extent cx="1308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450850</wp:posOffset>
            </wp:positionV>
            <wp:extent cx="1308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WHITEHAWK THERAPEUTICS, INC.</w:t>
      </w:r>
    </w:p>
    <w:p>
      <w:pPr>
        <w:spacing w:after="0" w:line="200"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271780</wp:posOffset>
            </wp:positionV>
            <wp:extent cx="1308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271780</wp:posOffset>
            </wp:positionV>
            <wp:extent cx="1308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1"/>
          <w:szCs w:val="21"/>
          <w:color w:val="auto"/>
        </w:rPr>
        <w:t>Print Name</w:t>
      </w:r>
      <w:r>
        <w:rPr>
          <w:sz w:val="20"/>
          <w:szCs w:val="20"/>
          <w:color w:val="auto"/>
        </w:rPr>
        <w:tab/>
      </w:r>
      <w:r>
        <w:rPr>
          <w:rFonts w:ascii="Times New Roman" w:cs="Times New Roman" w:eastAsia="Times New Roman" w:hAnsi="Times New Roman"/>
          <w:sz w:val="20"/>
          <w:szCs w:val="20"/>
          <w:color w:val="auto"/>
        </w:rPr>
        <w:t>Print Name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-13970</wp:posOffset>
            </wp:positionV>
            <wp:extent cx="1308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1308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436880</wp:posOffset>
            </wp:positionV>
            <wp:extent cx="1308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1017270</wp:posOffset>
            </wp:positionV>
            <wp:extent cx="1308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Date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- 2 -</w:t>
      </w:r>
    </w:p>
    <w:p>
      <w:pPr>
        <w:sectPr>
          <w:pgSz w:w="11900" w:h="16838" w:orient="portrait"/>
          <w:cols w:equalWidth="0" w:num="1">
            <w:col w:w="11240"/>
          </w:cols>
          <w:pgMar w:left="320" w:top="1440" w:right="339" w:bottom="1440" w:gutter="0" w:footer="0" w:header="0"/>
          <w:type w:val="continuous"/>
        </w:sectPr>
      </w:pPr>
    </w:p>
    <w:bookmarkStart w:id="183" w:name="page184"/>
    <w:bookmarkEnd w:id="183"/>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WHITEHAWK THERAPEUTICS,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2021 EMPLOYEE STOCK PURCHASE PLAN</w:t>
      </w:r>
    </w:p>
    <w:p>
      <w:pPr>
        <w:spacing w:after="0" w:line="172" w:lineRule="exact"/>
        <w:rPr>
          <w:sz w:val="20"/>
          <w:szCs w:val="20"/>
          <w:color w:val="auto"/>
        </w:rPr>
      </w:pPr>
    </w:p>
    <w:p>
      <w:pPr>
        <w:ind w:right="20" w:firstLine="3"/>
        <w:spacing w:after="0" w:line="251" w:lineRule="auto"/>
        <w:tabs>
          <w:tab w:leader="none" w:pos="309"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Purpose</w:t>
      </w:r>
      <w:r>
        <w:rPr>
          <w:rFonts w:ascii="Times New Roman" w:cs="Times New Roman" w:eastAsia="Times New Roman" w:hAnsi="Times New Roman"/>
          <w:sz w:val="19"/>
          <w:szCs w:val="19"/>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Section 423 of the Code (the “423 Component”) and a component that is not intended to qualify as an “employee stock purchase plan” under Section 423 of the Code (the “Non-423 Component”). The provisions of the 423 Component, accordingly, will be construed so as to extend and limit Plan participation in a uniform and nondiscriminatory basis consistent with the requirements of Section 423 of the Code. An option to purchase shares of Common Stock under the Non-423 Component will be granted pursuant to rules, procedures, or sub-plans adopted by the Administrator designed to achieve tax, securities laws, or other objectives for Eligible Employees and the Company. Except as otherwise provided herein or by the Administrator, the Non-423 Component will operate and be administered in the same manner as the 423 Component.</w:t>
      </w:r>
    </w:p>
    <w:p>
      <w:pPr>
        <w:spacing w:after="0" w:line="210" w:lineRule="exact"/>
        <w:rPr>
          <w:rFonts w:ascii="Times New Roman" w:cs="Times New Roman" w:eastAsia="Times New Roman" w:hAnsi="Times New Roman"/>
          <w:sz w:val="19"/>
          <w:szCs w:val="19"/>
          <w:color w:val="auto"/>
        </w:rPr>
      </w:pPr>
    </w:p>
    <w:p>
      <w:pPr>
        <w:ind w:left="320" w:hanging="317"/>
        <w:spacing w:after="0"/>
        <w:tabs>
          <w:tab w:leader="none" w:pos="32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w:t>
      </w:r>
    </w:p>
    <w:p>
      <w:pPr>
        <w:spacing w:after="0" w:line="245" w:lineRule="exact"/>
        <w:rPr>
          <w:rFonts w:ascii="Times New Roman" w:cs="Times New Roman" w:eastAsia="Times New Roman" w:hAnsi="Times New Roman"/>
          <w:sz w:val="19"/>
          <w:szCs w:val="19"/>
          <w:color w:val="auto"/>
        </w:rPr>
      </w:pPr>
    </w:p>
    <w:p>
      <w:pPr>
        <w:ind w:left="1220" w:hanging="290"/>
        <w:spacing w:after="0"/>
        <w:tabs>
          <w:tab w:leader="none" w:pos="1220"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Aadi</w:t>
      </w:r>
      <w:r>
        <w:rPr>
          <w:rFonts w:ascii="Times New Roman" w:cs="Times New Roman" w:eastAsia="Times New Roman" w:hAnsi="Times New Roman"/>
          <w:sz w:val="19"/>
          <w:szCs w:val="19"/>
          <w:color w:val="auto"/>
        </w:rPr>
        <w:t>” means Aadi Bioscience, Inc., a Delaware corporation, which is now known as Whitehawk Therapeutics, Inc.</w:t>
      </w:r>
    </w:p>
    <w:p>
      <w:pPr>
        <w:spacing w:after="0" w:line="232" w:lineRule="exact"/>
        <w:rPr>
          <w:rFonts w:ascii="Times New Roman" w:cs="Times New Roman" w:eastAsia="Times New Roman" w:hAnsi="Times New Roman"/>
          <w:sz w:val="19"/>
          <w:szCs w:val="19"/>
          <w:color w:val="auto"/>
        </w:rPr>
      </w:pPr>
    </w:p>
    <w:p>
      <w:pPr>
        <w:ind w:right="60" w:firstLine="930"/>
        <w:spacing w:after="0" w:line="282" w:lineRule="auto"/>
        <w:tabs>
          <w:tab w:leader="none" w:pos="1224"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Aadi Merger</w:t>
      </w:r>
      <w:r>
        <w:rPr>
          <w:rFonts w:ascii="Times New Roman" w:cs="Times New Roman" w:eastAsia="Times New Roman" w:hAnsi="Times New Roman"/>
          <w:sz w:val="19"/>
          <w:szCs w:val="19"/>
          <w:color w:val="auto"/>
        </w:rPr>
        <w:t>” means the merger of Merger Sub with and into Aadi, with Aadi as the surviving corporation, as contemplated by the Merger Agreement.</w:t>
      </w:r>
    </w:p>
    <w:p>
      <w:pPr>
        <w:spacing w:after="0" w:line="169" w:lineRule="exact"/>
        <w:rPr>
          <w:rFonts w:ascii="Times New Roman" w:cs="Times New Roman" w:eastAsia="Times New Roman" w:hAnsi="Times New Roman"/>
          <w:sz w:val="19"/>
          <w:szCs w:val="19"/>
          <w:color w:val="auto"/>
        </w:rPr>
      </w:pPr>
    </w:p>
    <w:p>
      <w:pPr>
        <w:ind w:left="1220" w:hanging="290"/>
        <w:spacing w:after="0"/>
        <w:tabs>
          <w:tab w:leader="none" w:pos="1220"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Administrator</w:t>
      </w:r>
      <w:r>
        <w:rPr>
          <w:rFonts w:ascii="Times New Roman" w:cs="Times New Roman" w:eastAsia="Times New Roman" w:hAnsi="Times New Roman"/>
          <w:sz w:val="19"/>
          <w:szCs w:val="19"/>
          <w:color w:val="auto"/>
        </w:rPr>
        <w:t>” means the Board or any Committee designated by the Board to administer the Plan pursuant to Section 14.</w:t>
      </w:r>
    </w:p>
    <w:p>
      <w:pPr>
        <w:spacing w:after="0" w:line="245" w:lineRule="exact"/>
        <w:rPr>
          <w:rFonts w:ascii="Times New Roman" w:cs="Times New Roman" w:eastAsia="Times New Roman" w:hAnsi="Times New Roman"/>
          <w:sz w:val="19"/>
          <w:szCs w:val="19"/>
          <w:color w:val="auto"/>
        </w:rPr>
      </w:pPr>
    </w:p>
    <w:p>
      <w:pPr>
        <w:ind w:left="1220" w:hanging="290"/>
        <w:spacing w:after="0"/>
        <w:tabs>
          <w:tab w:leader="none" w:pos="1220"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any entity, other than a Subsidiary, in which the Company has an equity or other ownership interest.</w:t>
      </w:r>
    </w:p>
    <w:p>
      <w:pPr>
        <w:spacing w:after="0" w:line="245" w:lineRule="exact"/>
        <w:rPr>
          <w:rFonts w:ascii="Times New Roman" w:cs="Times New Roman" w:eastAsia="Times New Roman" w:hAnsi="Times New Roman"/>
          <w:sz w:val="19"/>
          <w:szCs w:val="19"/>
          <w:color w:val="auto"/>
        </w:rPr>
      </w:pPr>
    </w:p>
    <w:p>
      <w:pPr>
        <w:jc w:val="both"/>
        <w:ind w:right="40" w:firstLine="930"/>
        <w:spacing w:after="0" w:line="254" w:lineRule="auto"/>
        <w:tabs>
          <w:tab w:leader="none" w:pos="1227"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Laws</w:t>
      </w:r>
      <w:r>
        <w:rPr>
          <w:rFonts w:ascii="Times New Roman" w:cs="Times New Roman" w:eastAsia="Times New Roman" w:hAnsi="Times New Roman"/>
          <w:sz w:val="19"/>
          <w:szCs w:val="19"/>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208" w:lineRule="exact"/>
        <w:rPr>
          <w:rFonts w:ascii="Times New Roman" w:cs="Times New Roman" w:eastAsia="Times New Roman" w:hAnsi="Times New Roman"/>
          <w:sz w:val="19"/>
          <w:szCs w:val="19"/>
          <w:color w:val="auto"/>
        </w:rPr>
      </w:pPr>
    </w:p>
    <w:p>
      <w:pPr>
        <w:ind w:left="1240" w:hanging="310"/>
        <w:spacing w:after="0"/>
        <w:tabs>
          <w:tab w:leader="none" w:pos="1240"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Directors of the Company.</w:t>
      </w:r>
    </w:p>
    <w:p>
      <w:pPr>
        <w:spacing w:after="0" w:line="232" w:lineRule="exact"/>
        <w:rPr>
          <w:rFonts w:ascii="Times New Roman" w:cs="Times New Roman" w:eastAsia="Times New Roman" w:hAnsi="Times New Roman"/>
          <w:sz w:val="19"/>
          <w:szCs w:val="19"/>
          <w:color w:val="auto"/>
        </w:rPr>
      </w:pPr>
    </w:p>
    <w:p>
      <w:pPr>
        <w:ind w:left="1220" w:hanging="290"/>
        <w:spacing w:after="0"/>
        <w:tabs>
          <w:tab w:leader="none" w:pos="1220"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means the occurrence of any of the following events:</w:t>
      </w:r>
    </w:p>
    <w:p>
      <w:pPr>
        <w:spacing w:after="0" w:line="245" w:lineRule="exact"/>
        <w:rPr>
          <w:rFonts w:ascii="Times New Roman" w:cs="Times New Roman" w:eastAsia="Times New Roman" w:hAnsi="Times New Roman"/>
          <w:sz w:val="19"/>
          <w:szCs w:val="19"/>
          <w:color w:val="auto"/>
        </w:rPr>
      </w:pPr>
    </w:p>
    <w:p>
      <w:pPr>
        <w:ind w:right="20" w:firstLine="1548"/>
        <w:spacing w:after="0" w:line="254" w:lineRule="auto"/>
        <w:tabs>
          <w:tab w:leader="none" w:pos="1852" w:val="left"/>
        </w:tabs>
        <w:numPr>
          <w:ilvl w:val="2"/>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ownership of the Company which occurs on the date that any one person, or more than one person acting as a group (“</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w:t>
      </w:r>
    </w:p>
    <w:p>
      <w:pPr>
        <w:sectPr>
          <w:pgSz w:w="11900" w:h="16838" w:orient="portrait"/>
          <w:cols w:equalWidth="0" w:num="1">
            <w:col w:w="11240"/>
          </w:cols>
          <w:pgMar w:left="320" w:top="118"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9" w:lineRule="exact"/>
        <w:rPr>
          <w:sz w:val="20"/>
          <w:szCs w:val="20"/>
          <w:color w:val="auto"/>
        </w:rPr>
      </w:pPr>
    </w:p>
    <w:p>
      <w:pPr>
        <w:jc w:val="both"/>
        <w:ind w:right="260" w:firstLine="1548"/>
        <w:spacing w:after="0" w:line="254" w:lineRule="auto"/>
        <w:tabs>
          <w:tab w:leader="none" w:pos="1853"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208" w:lineRule="exact"/>
        <w:rPr>
          <w:rFonts w:ascii="Times New Roman" w:cs="Times New Roman" w:eastAsia="Times New Roman" w:hAnsi="Times New Roman"/>
          <w:sz w:val="19"/>
          <w:szCs w:val="19"/>
          <w:color w:val="auto"/>
        </w:rPr>
      </w:pPr>
    </w:p>
    <w:p>
      <w:pPr>
        <w:ind w:right="60" w:firstLine="1548"/>
        <w:spacing w:after="0" w:line="250" w:lineRule="auto"/>
        <w:tabs>
          <w:tab w:leader="none" w:pos="1854"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ownership of a substantial portion of the Company’s assets which occurs on the date that any Person acquires (or has acquired during the twelve (12)-month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89" w:lineRule="exact"/>
        <w:rPr>
          <w:sz w:val="20"/>
          <w:szCs w:val="20"/>
          <w:color w:val="auto"/>
        </w:rPr>
      </w:pPr>
    </w:p>
    <w:p>
      <w:pPr>
        <w:ind w:right="220" w:firstLine="927"/>
        <w:spacing w:after="0" w:line="282" w:lineRule="auto"/>
        <w:rPr>
          <w:sz w:val="20"/>
          <w:szCs w:val="20"/>
          <w:color w:val="auto"/>
        </w:rPr>
      </w:pPr>
      <w:r>
        <w:rPr>
          <w:rFonts w:ascii="Times New Roman" w:cs="Times New Roman" w:eastAsia="Times New Roman" w:hAnsi="Times New Roman"/>
          <w:sz w:val="19"/>
          <w:szCs w:val="19"/>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40" w:lineRule="exact"/>
        <w:rPr>
          <w:sz w:val="20"/>
          <w:szCs w:val="20"/>
          <w:color w:val="auto"/>
        </w:rPr>
      </w:pPr>
    </w:p>
    <w:p>
      <w:pPr>
        <w:ind w:right="400" w:firstLine="927"/>
        <w:spacing w:after="0" w:line="282" w:lineRule="auto"/>
        <w:rPr>
          <w:sz w:val="20"/>
          <w:szCs w:val="20"/>
          <w:color w:val="auto"/>
        </w:rPr>
      </w:pPr>
      <w:r>
        <w:rPr>
          <w:rFonts w:ascii="Times New Roman" w:cs="Times New Roman" w:eastAsia="Times New Roman" w:hAnsi="Times New Roman"/>
          <w:sz w:val="19"/>
          <w:szCs w:val="19"/>
          <w:color w:val="auto"/>
        </w:rPr>
        <w:t>Notwithstanding the foregoing, a transaction will not be deemed a Change in Control unless the transaction qualifies as a change in control event within the meaning of Section 409A.</w:t>
      </w:r>
    </w:p>
    <w:p>
      <w:pPr>
        <w:spacing w:after="0" w:line="40" w:lineRule="exact"/>
        <w:rPr>
          <w:sz w:val="20"/>
          <w:szCs w:val="20"/>
          <w:color w:val="auto"/>
        </w:rPr>
      </w:pPr>
    </w:p>
    <w:p>
      <w:pPr>
        <w:jc w:val="both"/>
        <w:ind w:right="460" w:firstLine="927"/>
        <w:spacing w:after="0" w:line="268" w:lineRule="auto"/>
        <w:rPr>
          <w:sz w:val="20"/>
          <w:szCs w:val="20"/>
          <w:color w:val="auto"/>
        </w:rPr>
      </w:pPr>
      <w:r>
        <w:rPr>
          <w:rFonts w:ascii="Times New Roman" w:cs="Times New Roman" w:eastAsia="Times New Roman" w:hAnsi="Times New Roman"/>
          <w:sz w:val="19"/>
          <w:szCs w:val="19"/>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54" w:lineRule="exact"/>
        <w:rPr>
          <w:sz w:val="20"/>
          <w:szCs w:val="20"/>
          <w:color w:val="auto"/>
        </w:rPr>
      </w:pPr>
    </w:p>
    <w:p>
      <w:pPr>
        <w:ind w:right="240" w:firstLine="930"/>
        <w:spacing w:after="0" w:line="282" w:lineRule="auto"/>
        <w:tabs>
          <w:tab w:leader="none" w:pos="12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ectPr>
          <w:pgSz w:w="11900" w:h="16838" w:orient="portrait"/>
          <w:cols w:equalWidth="0" w:num="1">
            <w:col w:w="11240"/>
          </w:cols>
          <w:pgMar w:left="320" w:top="118"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hanging="310"/>
        <w:spacing w:after="0"/>
        <w:tabs>
          <w:tab w:leader="none" w:pos="124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means a committee of the Board appointed in accordance with Section 14 hereof.</w:t>
      </w:r>
    </w:p>
    <w:p>
      <w:pPr>
        <w:spacing w:after="0" w:line="245" w:lineRule="exact"/>
        <w:rPr>
          <w:rFonts w:ascii="Times New Roman" w:cs="Times New Roman" w:eastAsia="Times New Roman" w:hAnsi="Times New Roman"/>
          <w:sz w:val="19"/>
          <w:szCs w:val="19"/>
          <w:color w:val="auto"/>
        </w:rPr>
      </w:pPr>
    </w:p>
    <w:p>
      <w:pPr>
        <w:ind w:left="1240" w:hanging="310"/>
        <w:spacing w:after="0"/>
        <w:tabs>
          <w:tab w:leader="none" w:pos="124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means the common stock of the Company.</w:t>
      </w:r>
    </w:p>
    <w:p>
      <w:pPr>
        <w:spacing w:after="0" w:line="232" w:lineRule="exact"/>
        <w:rPr>
          <w:rFonts w:ascii="Times New Roman" w:cs="Times New Roman" w:eastAsia="Times New Roman" w:hAnsi="Times New Roman"/>
          <w:sz w:val="19"/>
          <w:szCs w:val="19"/>
          <w:color w:val="auto"/>
        </w:rPr>
      </w:pPr>
    </w:p>
    <w:p>
      <w:pPr>
        <w:ind w:left="1220" w:hanging="290"/>
        <w:spacing w:after="0"/>
        <w:tabs>
          <w:tab w:leader="none" w:pos="122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means Aerpio Pharmaceuticals, Inc., a Delaware corporation, or any successor thereto.</w:t>
      </w:r>
    </w:p>
    <w:p>
      <w:pPr>
        <w:spacing w:after="0" w:line="245" w:lineRule="exact"/>
        <w:rPr>
          <w:rFonts w:ascii="Times New Roman" w:cs="Times New Roman" w:eastAsia="Times New Roman" w:hAnsi="Times New Roman"/>
          <w:sz w:val="19"/>
          <w:szCs w:val="19"/>
          <w:color w:val="auto"/>
        </w:rPr>
      </w:pPr>
    </w:p>
    <w:p>
      <w:pPr>
        <w:ind w:firstLine="930"/>
        <w:spacing w:after="0" w:line="261" w:lineRule="auto"/>
        <w:tabs>
          <w:tab w:leader="none" w:pos="1234"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color w:val="auto"/>
        </w:rPr>
        <w:t>” means a measure to be determined by the Administrator. The Administrator, in its discretion, may, on a uniform and nondiscriminatory basis, establish a different definition of Compensation for a subsequent Offering Period. Further, the Administrator shall have discretion to determine the application of this definition to Participants outside the United States.</w:t>
      </w:r>
    </w:p>
    <w:p>
      <w:pPr>
        <w:spacing w:after="0" w:line="201" w:lineRule="exact"/>
        <w:rPr>
          <w:rFonts w:ascii="Times New Roman" w:cs="Times New Roman" w:eastAsia="Times New Roman" w:hAnsi="Times New Roman"/>
          <w:sz w:val="19"/>
          <w:szCs w:val="19"/>
          <w:color w:val="auto"/>
        </w:rPr>
      </w:pPr>
    </w:p>
    <w:p>
      <w:pPr>
        <w:ind w:right="680" w:firstLine="930"/>
        <w:spacing w:after="0" w:line="268" w:lineRule="auto"/>
        <w:tabs>
          <w:tab w:leader="none" w:pos="1225"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Contributions</w:t>
      </w:r>
      <w:r>
        <w:rPr>
          <w:rFonts w:ascii="Times New Roman" w:cs="Times New Roman" w:eastAsia="Times New Roman" w:hAnsi="Times New Roman"/>
          <w:sz w:val="19"/>
          <w:szCs w:val="19"/>
          <w:color w:val="auto"/>
        </w:rPr>
        <w:t>” means the payroll deductions and other additional payments that the Company may permit to be made by a Participant to fund the exercise of options granted pursuant to the Plan.</w:t>
      </w:r>
    </w:p>
    <w:p>
      <w:pPr>
        <w:spacing w:after="0" w:line="194" w:lineRule="exact"/>
        <w:rPr>
          <w:rFonts w:ascii="Times New Roman" w:cs="Times New Roman" w:eastAsia="Times New Roman" w:hAnsi="Times New Roman"/>
          <w:sz w:val="19"/>
          <w:szCs w:val="19"/>
          <w:color w:val="auto"/>
        </w:rPr>
      </w:pPr>
    </w:p>
    <w:p>
      <w:pPr>
        <w:ind w:right="120" w:firstLine="930"/>
        <w:spacing w:after="0" w:line="259" w:lineRule="auto"/>
        <w:tabs>
          <w:tab w:leader="none" w:pos="1224"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Company</w:t>
      </w:r>
      <w:r>
        <w:rPr>
          <w:rFonts w:ascii="Times New Roman" w:cs="Times New Roman" w:eastAsia="Times New Roman" w:hAnsi="Times New Roman"/>
          <w:sz w:val="19"/>
          <w:szCs w:val="19"/>
          <w:color w:val="auto"/>
        </w:rPr>
        <w:t>” means any Subsidiary or Affiliate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Non-423 Component.</w:t>
      </w:r>
    </w:p>
    <w:p>
      <w:pPr>
        <w:spacing w:after="0" w:line="190" w:lineRule="exact"/>
        <w:rPr>
          <w:rFonts w:ascii="Times New Roman" w:cs="Times New Roman" w:eastAsia="Times New Roman" w:hAnsi="Times New Roman"/>
          <w:sz w:val="19"/>
          <w:szCs w:val="19"/>
          <w:color w:val="auto"/>
        </w:rPr>
      </w:pPr>
    </w:p>
    <w:p>
      <w:pPr>
        <w:ind w:left="1220" w:hanging="290"/>
        <w:spacing w:after="0"/>
        <w:tabs>
          <w:tab w:leader="none" w:pos="122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Director</w:t>
      </w:r>
      <w:r>
        <w:rPr>
          <w:rFonts w:ascii="Times New Roman" w:cs="Times New Roman" w:eastAsia="Times New Roman" w:hAnsi="Times New Roman"/>
          <w:sz w:val="19"/>
          <w:szCs w:val="19"/>
          <w:color w:val="auto"/>
        </w:rPr>
        <w:t>” means a member of the Board.</w:t>
      </w:r>
    </w:p>
    <w:p>
      <w:pPr>
        <w:spacing w:after="0" w:line="245" w:lineRule="exact"/>
        <w:rPr>
          <w:rFonts w:ascii="Times New Roman" w:cs="Times New Roman" w:eastAsia="Times New Roman" w:hAnsi="Times New Roman"/>
          <w:sz w:val="19"/>
          <w:szCs w:val="19"/>
          <w:color w:val="auto"/>
        </w:rPr>
      </w:pPr>
    </w:p>
    <w:p>
      <w:pPr>
        <w:ind w:left="1220" w:hanging="290"/>
        <w:spacing w:after="0"/>
        <w:tabs>
          <w:tab w:leader="none" w:pos="122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means the later of its approval by the Company’s stockholders and the consummation of the Aadi Merger.</w:t>
      </w:r>
    </w:p>
    <w:p>
      <w:pPr>
        <w:spacing w:after="0" w:line="232" w:lineRule="exact"/>
        <w:rPr>
          <w:rFonts w:ascii="Times New Roman" w:cs="Times New Roman" w:eastAsia="Times New Roman" w:hAnsi="Times New Roman"/>
          <w:sz w:val="19"/>
          <w:szCs w:val="19"/>
          <w:color w:val="auto"/>
        </w:rPr>
      </w:pPr>
    </w:p>
    <w:p>
      <w:pPr>
        <w:ind w:right="60" w:firstLine="930"/>
        <w:spacing w:after="0" w:line="266" w:lineRule="auto"/>
        <w:tabs>
          <w:tab w:leader="none" w:pos="122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w:t>
      </w:r>
    </w:p>
    <w:p>
      <w:pPr>
        <w:ind w:firstLine="3"/>
        <w:spacing w:after="0" w:line="251" w:lineRule="auto"/>
        <w:tabs>
          <w:tab w:leader="none" w:pos="267"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 Section 1.423-2)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w:t>
      </w:r>
    </w:p>
    <w:p>
      <w:pPr>
        <w:sectPr>
          <w:pgSz w:w="11900" w:h="16838" w:orient="portrait"/>
          <w:cols w:equalWidth="0" w:num="1">
            <w:col w:w="11240"/>
          </w:cols>
          <w:pgMar w:left="320" w:top="118"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employee within the meaning of Section 414(q) of the Code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 Section 1.423-2(e)(2)(ii). Such exclusions may be applied with respect to an Offering under the Non- 423 Component without regard to the limitations of U.S. Treasury Regulation Section 1.423-2.</w:t>
      </w:r>
    </w:p>
    <w:p>
      <w:pPr>
        <w:spacing w:after="0" w:line="209" w:lineRule="exact"/>
        <w:rPr>
          <w:sz w:val="20"/>
          <w:szCs w:val="20"/>
          <w:color w:val="auto"/>
        </w:rPr>
      </w:pPr>
    </w:p>
    <w:p>
      <w:pPr>
        <w:ind w:left="1240" w:hanging="310"/>
        <w:spacing w:after="0"/>
        <w:tabs>
          <w:tab w:leader="none" w:pos="12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Employer</w:t>
      </w:r>
      <w:r>
        <w:rPr>
          <w:rFonts w:ascii="Times New Roman" w:cs="Times New Roman" w:eastAsia="Times New Roman" w:hAnsi="Times New Roman"/>
          <w:sz w:val="19"/>
          <w:szCs w:val="19"/>
          <w:color w:val="auto"/>
        </w:rPr>
        <w:t>” means the employer of the applicable Eligible Employee(s).</w:t>
      </w:r>
    </w:p>
    <w:p>
      <w:pPr>
        <w:spacing w:after="0" w:line="232" w:lineRule="exact"/>
        <w:rPr>
          <w:rFonts w:ascii="Times New Roman" w:cs="Times New Roman" w:eastAsia="Times New Roman" w:hAnsi="Times New Roman"/>
          <w:sz w:val="19"/>
          <w:szCs w:val="19"/>
          <w:color w:val="auto"/>
        </w:rPr>
      </w:pPr>
    </w:p>
    <w:p>
      <w:pPr>
        <w:ind w:left="1240" w:hanging="310"/>
        <w:spacing w:after="0"/>
        <w:tabs>
          <w:tab w:leader="none" w:pos="12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Enrollment Date</w:t>
      </w:r>
      <w:r>
        <w:rPr>
          <w:rFonts w:ascii="Times New Roman" w:cs="Times New Roman" w:eastAsia="Times New Roman" w:hAnsi="Times New Roman"/>
          <w:sz w:val="19"/>
          <w:szCs w:val="19"/>
          <w:color w:val="auto"/>
        </w:rPr>
        <w:t>” means the first Trading Day of each Offering Period.</w:t>
      </w:r>
    </w:p>
    <w:p>
      <w:pPr>
        <w:spacing w:after="0" w:line="245" w:lineRule="exact"/>
        <w:rPr>
          <w:rFonts w:ascii="Times New Roman" w:cs="Times New Roman" w:eastAsia="Times New Roman" w:hAnsi="Times New Roman"/>
          <w:sz w:val="19"/>
          <w:szCs w:val="19"/>
          <w:color w:val="auto"/>
        </w:rPr>
      </w:pPr>
    </w:p>
    <w:p>
      <w:pPr>
        <w:ind w:left="1240" w:hanging="310"/>
        <w:spacing w:after="0"/>
        <w:tabs>
          <w:tab w:leader="none" w:pos="12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means the U.S. Securities Exchange Act of 1934, as amended, including the rules and regulations promulgated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thereunder.</w:t>
      </w:r>
    </w:p>
    <w:p>
      <w:pPr>
        <w:spacing w:after="0" w:line="225" w:lineRule="exact"/>
        <w:rPr>
          <w:sz w:val="20"/>
          <w:szCs w:val="20"/>
          <w:color w:val="auto"/>
        </w:rPr>
      </w:pPr>
    </w:p>
    <w:p>
      <w:pPr>
        <w:jc w:val="both"/>
        <w:ind w:right="40" w:firstLine="930"/>
        <w:spacing w:after="0" w:line="259" w:lineRule="auto"/>
        <w:tabs>
          <w:tab w:leader="none" w:pos="1224"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Exercise Date</w:t>
      </w:r>
      <w:r>
        <w:rPr>
          <w:rFonts w:ascii="Times New Roman" w:cs="Times New Roman" w:eastAsia="Times New Roman" w:hAnsi="Times New Roman"/>
          <w:sz w:val="19"/>
          <w:szCs w:val="19"/>
          <w:color w:val="auto"/>
        </w:rPr>
        <w:t>” means such dates on which each outstanding option granted under the Plan will be exercised (except if the Plan has been terminated), as may be determined by the Administrator, in its discretion and on a uniform and nondiscriminatory basis from time to time prior to an Enrollment Date for all options to be granted on such Enrollment Date. Unless otherwise determined by the Administrator, each Exercise Date will be the last day of the applicable Offering Period.</w:t>
      </w:r>
    </w:p>
    <w:p>
      <w:pPr>
        <w:spacing w:after="0" w:line="190" w:lineRule="exact"/>
        <w:rPr>
          <w:rFonts w:ascii="Times New Roman" w:cs="Times New Roman" w:eastAsia="Times New Roman" w:hAnsi="Times New Roman"/>
          <w:sz w:val="19"/>
          <w:szCs w:val="19"/>
          <w:color w:val="auto"/>
        </w:rPr>
      </w:pPr>
    </w:p>
    <w:p>
      <w:pPr>
        <w:ind w:right="420" w:firstLine="930"/>
        <w:spacing w:after="0" w:line="282" w:lineRule="auto"/>
        <w:tabs>
          <w:tab w:leader="none" w:pos="1224"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Fair Market Value</w:t>
      </w:r>
      <w:r>
        <w:rPr>
          <w:rFonts w:ascii="Times New Roman" w:cs="Times New Roman" w:eastAsia="Times New Roman" w:hAnsi="Times New Roman"/>
          <w:sz w:val="19"/>
          <w:szCs w:val="19"/>
          <w:color w:val="auto"/>
        </w:rPr>
        <w:t>” means, as of any date and unless the Administrator determines otherwise, the value of a share of Common Stock determined as follows:</w:t>
      </w:r>
    </w:p>
    <w:p>
      <w:pPr>
        <w:spacing w:after="0" w:line="181" w:lineRule="exact"/>
        <w:rPr>
          <w:rFonts w:ascii="Times New Roman" w:cs="Times New Roman" w:eastAsia="Times New Roman" w:hAnsi="Times New Roman"/>
          <w:sz w:val="19"/>
          <w:szCs w:val="19"/>
          <w:color w:val="auto"/>
        </w:rPr>
      </w:pPr>
    </w:p>
    <w:p>
      <w:pPr>
        <w:ind w:firstLine="1548"/>
        <w:spacing w:after="0" w:line="252" w:lineRule="auto"/>
        <w:tabs>
          <w:tab w:leader="none" w:pos="1852"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 as reported in </w:t>
      </w:r>
      <w:r>
        <w:rPr>
          <w:rFonts w:ascii="Times New Roman" w:cs="Times New Roman" w:eastAsia="Times New Roman" w:hAnsi="Times New Roman"/>
          <w:sz w:val="19"/>
          <w:szCs w:val="19"/>
          <w:i w:val="1"/>
          <w:iCs w:val="1"/>
          <w:color w:val="auto"/>
        </w:rPr>
        <w:t>The Wall Street Journal</w:t>
      </w:r>
      <w:r>
        <w:rPr>
          <w:rFonts w:ascii="Times New Roman" w:cs="Times New Roman" w:eastAsia="Times New Roman" w:hAnsi="Times New Roman"/>
          <w:sz w:val="19"/>
          <w:szCs w:val="19"/>
          <w:color w:val="auto"/>
        </w:rPr>
        <w:t xml:space="preserve"> or such other source as the Administrator deems reliable. If the determination date for the Fair Market Value occurs on a non-trading day (i.e., a weekend or holiday), the Fair Market Value will be such price on the immediately preceding trading day, unless otherwise determined by the Administrator. In the absence of an established market for the Common Stock, the Fair Market Value thereof will be determined in good faith by the Administrator; or</w:t>
      </w:r>
    </w:p>
    <w:p>
      <w:pPr>
        <w:spacing w:after="0" w:line="209" w:lineRule="exact"/>
        <w:rPr>
          <w:rFonts w:ascii="Times New Roman" w:cs="Times New Roman" w:eastAsia="Times New Roman" w:hAnsi="Times New Roman"/>
          <w:sz w:val="19"/>
          <w:szCs w:val="19"/>
          <w:color w:val="auto"/>
        </w:rPr>
      </w:pPr>
    </w:p>
    <w:p>
      <w:pPr>
        <w:ind w:right="240" w:firstLine="1548"/>
        <w:spacing w:after="0" w:line="268" w:lineRule="auto"/>
        <w:tabs>
          <w:tab w:leader="none" w:pos="1853"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absence of an established market for the Common Stock, the Fair Market Value thereof will be determined in good faith by the Administrator.</w:t>
      </w:r>
    </w:p>
    <w:p>
      <w:pPr>
        <w:spacing w:after="0" w:line="66" w:lineRule="exact"/>
        <w:rPr>
          <w:sz w:val="20"/>
          <w:szCs w:val="20"/>
          <w:color w:val="auto"/>
        </w:rPr>
      </w:pPr>
    </w:p>
    <w:p>
      <w:pPr>
        <w:ind w:firstLine="1545"/>
        <w:spacing w:after="0" w:line="268" w:lineRule="auto"/>
        <w:rPr>
          <w:sz w:val="20"/>
          <w:szCs w:val="20"/>
          <w:color w:val="auto"/>
        </w:rPr>
      </w:pPr>
      <w:r>
        <w:rPr>
          <w:rFonts w:ascii="Times New Roman" w:cs="Times New Roman" w:eastAsia="Times New Roman" w:hAnsi="Times New Roman"/>
          <w:sz w:val="19"/>
          <w:szCs w:val="19"/>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95" w:lineRule="exact"/>
        <w:rPr>
          <w:sz w:val="20"/>
          <w:szCs w:val="20"/>
          <w:color w:val="auto"/>
        </w:rPr>
      </w:pPr>
    </w:p>
    <w:p>
      <w:pPr>
        <w:ind w:left="1240" w:hanging="310"/>
        <w:spacing w:after="0"/>
        <w:tabs>
          <w:tab w:leader="none" w:pos="124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Fiscal Year</w:t>
      </w:r>
      <w:r>
        <w:rPr>
          <w:rFonts w:ascii="Times New Roman" w:cs="Times New Roman" w:eastAsia="Times New Roman" w:hAnsi="Times New Roman"/>
          <w:sz w:val="19"/>
          <w:szCs w:val="19"/>
          <w:color w:val="auto"/>
        </w:rPr>
        <w:t>” means the fiscal year of the Company.</w:t>
      </w:r>
    </w:p>
    <w:p>
      <w:pPr>
        <w:spacing w:after="0" w:line="245" w:lineRule="exact"/>
        <w:rPr>
          <w:rFonts w:ascii="Times New Roman" w:cs="Times New Roman" w:eastAsia="Times New Roman" w:hAnsi="Times New Roman"/>
          <w:sz w:val="19"/>
          <w:szCs w:val="19"/>
          <w:color w:val="auto"/>
        </w:rPr>
      </w:pPr>
    </w:p>
    <w:p>
      <w:pPr>
        <w:ind w:right="340" w:firstLine="930"/>
        <w:spacing w:after="0" w:line="268" w:lineRule="auto"/>
        <w:tabs>
          <w:tab w:leader="none" w:pos="1224"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Merger Agreement</w:t>
      </w:r>
      <w:r>
        <w:rPr>
          <w:rFonts w:ascii="Times New Roman" w:cs="Times New Roman" w:eastAsia="Times New Roman" w:hAnsi="Times New Roman"/>
          <w:sz w:val="19"/>
          <w:szCs w:val="19"/>
          <w:color w:val="auto"/>
        </w:rPr>
        <w:t>” means that certain Agreement and Plan of Merger, dated as of May 16, 2021, by and among the Company, Merger Sub, and Aadi.</w:t>
      </w:r>
    </w:p>
    <w:p>
      <w:pPr>
        <w:sectPr>
          <w:pgSz w:w="11900" w:h="16838" w:orient="portrait"/>
          <w:cols w:equalWidth="0" w:num="1">
            <w:col w:w="11240"/>
          </w:cols>
          <w:pgMar w:left="320" w:top="118"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20" w:hanging="290"/>
        <w:spacing w:after="0"/>
        <w:tabs>
          <w:tab w:leader="none" w:pos="12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Merger Sub</w:t>
      </w:r>
      <w:r>
        <w:rPr>
          <w:rFonts w:ascii="Times New Roman" w:cs="Times New Roman" w:eastAsia="Times New Roman" w:hAnsi="Times New Roman"/>
          <w:sz w:val="19"/>
          <w:szCs w:val="19"/>
          <w:color w:val="auto"/>
        </w:rPr>
        <w:t>” means Aspen Merger Subsidiary, Inc., a Delaware corporation and wholly owned subsidiary of the Company.</w:t>
      </w:r>
    </w:p>
    <w:p>
      <w:pPr>
        <w:spacing w:after="0" w:line="245" w:lineRule="exact"/>
        <w:rPr>
          <w:rFonts w:ascii="Times New Roman" w:cs="Times New Roman" w:eastAsia="Times New Roman" w:hAnsi="Times New Roman"/>
          <w:sz w:val="19"/>
          <w:szCs w:val="19"/>
          <w:color w:val="auto"/>
        </w:rPr>
      </w:pPr>
    </w:p>
    <w:p>
      <w:pPr>
        <w:ind w:left="1220" w:hanging="290"/>
        <w:spacing w:after="0"/>
        <w:tabs>
          <w:tab w:leader="none" w:pos="12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Exercise Date</w:t>
      </w:r>
      <w:r>
        <w:rPr>
          <w:rFonts w:ascii="Times New Roman" w:cs="Times New Roman" w:eastAsia="Times New Roman" w:hAnsi="Times New Roman"/>
          <w:sz w:val="19"/>
          <w:szCs w:val="19"/>
          <w:color w:val="auto"/>
        </w:rPr>
        <w:t>” means a new Exercise Date if the Administrator shortens any Offering Period then in progress.</w:t>
      </w:r>
    </w:p>
    <w:p>
      <w:pPr>
        <w:spacing w:after="0" w:line="232" w:lineRule="exact"/>
        <w:rPr>
          <w:sz w:val="20"/>
          <w:szCs w:val="20"/>
          <w:color w:val="auto"/>
        </w:rPr>
      </w:pPr>
    </w:p>
    <w:p>
      <w:pPr>
        <w:ind w:right="60" w:firstLine="927"/>
        <w:spacing w:after="0" w:line="254" w:lineRule="auto"/>
        <w:rPr>
          <w:sz w:val="20"/>
          <w:szCs w:val="20"/>
          <w:color w:val="auto"/>
        </w:rPr>
      </w:pPr>
      <w:r>
        <w:rPr>
          <w:rFonts w:ascii="Times New Roman" w:cs="Times New Roman" w:eastAsia="Times New Roman" w:hAnsi="Times New Roman"/>
          <w:sz w:val="19"/>
          <w:szCs w:val="19"/>
          <w:color w:val="auto"/>
        </w:rPr>
        <w:t>(aa)“</w:t>
      </w:r>
      <w:r>
        <w:rPr>
          <w:rFonts w:ascii="Times New Roman" w:cs="Times New Roman" w:eastAsia="Times New Roman" w:hAnsi="Times New Roman"/>
          <w:sz w:val="19"/>
          <w:szCs w:val="19"/>
          <w:u w:val="single" w:color="auto"/>
          <w:color w:val="auto"/>
        </w:rPr>
        <w:t>Offering</w:t>
      </w:r>
      <w:r>
        <w:rPr>
          <w:rFonts w:ascii="Times New Roman" w:cs="Times New Roman" w:eastAsia="Times New Roman" w:hAnsi="Times New Roman"/>
          <w:sz w:val="19"/>
          <w:szCs w:val="19"/>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w:t>
      </w:r>
    </w:p>
    <w:p>
      <w:pPr>
        <w:spacing w:after="0" w:line="197" w:lineRule="exact"/>
        <w:rPr>
          <w:sz w:val="20"/>
          <w:szCs w:val="20"/>
          <w:color w:val="auto"/>
        </w:rPr>
      </w:pPr>
    </w:p>
    <w:p>
      <w:pPr>
        <w:ind w:right="920" w:firstLine="380"/>
        <w:spacing w:after="0" w:line="268" w:lineRule="auto"/>
        <w:tabs>
          <w:tab w:leader="none" w:pos="881"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Offering Periods</w:t>
      </w:r>
      <w:r>
        <w:rPr>
          <w:rFonts w:ascii="Times New Roman" w:cs="Times New Roman" w:eastAsia="Times New Roman" w:hAnsi="Times New Roman"/>
          <w:sz w:val="19"/>
          <w:szCs w:val="19"/>
          <w:color w:val="auto"/>
        </w:rPr>
        <w:t>” means certain periods during with Shares may be purchased under the Plan that will be determined by the Administrator. The duration and timing of Offering Periods may be changed pursuant to Sections 4, 19 and 29.</w:t>
      </w:r>
    </w:p>
    <w:p>
      <w:pPr>
        <w:spacing w:after="0" w:line="181" w:lineRule="exact"/>
        <w:rPr>
          <w:rFonts w:ascii="Times New Roman" w:cs="Times New Roman" w:eastAsia="Times New Roman" w:hAnsi="Times New Roman"/>
          <w:sz w:val="19"/>
          <w:szCs w:val="19"/>
          <w:color w:val="auto"/>
        </w:rPr>
      </w:pPr>
    </w:p>
    <w:p>
      <w:pPr>
        <w:ind w:left="860" w:hanging="480"/>
        <w:spacing w:after="0"/>
        <w:tabs>
          <w:tab w:leader="none" w:pos="86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means a “parent corporation,” whether now or hereafter existing, as defined in Section 424(e) of the Code.</w:t>
      </w:r>
    </w:p>
    <w:p>
      <w:pPr>
        <w:spacing w:after="0" w:line="232" w:lineRule="exact"/>
        <w:rPr>
          <w:rFonts w:ascii="Times New Roman" w:cs="Times New Roman" w:eastAsia="Times New Roman" w:hAnsi="Times New Roman"/>
          <w:sz w:val="19"/>
          <w:szCs w:val="19"/>
          <w:color w:val="auto"/>
        </w:rPr>
      </w:pPr>
    </w:p>
    <w:p>
      <w:pPr>
        <w:ind w:left="940" w:hanging="560"/>
        <w:spacing w:after="0"/>
        <w:tabs>
          <w:tab w:leader="none" w:pos="94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means an Eligible Employee who participates in the Plan.</w:t>
      </w:r>
    </w:p>
    <w:p>
      <w:pPr>
        <w:spacing w:after="0" w:line="219" w:lineRule="exact"/>
        <w:rPr>
          <w:rFonts w:ascii="Times New Roman" w:cs="Times New Roman" w:eastAsia="Times New Roman" w:hAnsi="Times New Roman"/>
          <w:sz w:val="19"/>
          <w:szCs w:val="19"/>
          <w:color w:val="auto"/>
        </w:rPr>
      </w:pPr>
    </w:p>
    <w:p>
      <w:pPr>
        <w:ind w:left="860" w:hanging="480"/>
        <w:spacing w:after="0"/>
        <w:tabs>
          <w:tab w:leader="none" w:pos="86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this Whitehawk Therapeutics, Inc. 2021 Employee Stock Purchase Plan.</w:t>
      </w:r>
    </w:p>
    <w:p>
      <w:pPr>
        <w:spacing w:after="0" w:line="232" w:lineRule="exact"/>
        <w:rPr>
          <w:rFonts w:ascii="Times New Roman" w:cs="Times New Roman" w:eastAsia="Times New Roman" w:hAnsi="Times New Roman"/>
          <w:sz w:val="19"/>
          <w:szCs w:val="19"/>
          <w:color w:val="auto"/>
        </w:rPr>
      </w:pPr>
    </w:p>
    <w:p>
      <w:pPr>
        <w:ind w:right="300" w:firstLine="380"/>
        <w:spacing w:after="0" w:line="272" w:lineRule="auto"/>
        <w:tabs>
          <w:tab w:leader="none" w:pos="81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Period</w:t>
      </w:r>
      <w:r>
        <w:rPr>
          <w:rFonts w:ascii="Times New Roman" w:cs="Times New Roman" w:eastAsia="Times New Roman" w:hAnsi="Times New Roman"/>
          <w:sz w:val="18"/>
          <w:szCs w:val="18"/>
          <w:color w:val="auto"/>
        </w:rPr>
        <w:t>” means the period, as determined by the Administrator in its discretion on a uniform and nondiscriminatory basis, commencing on the Enrollment Date and ending with the next Exercise Date, except that if the Administrator determines that more than one Purchase Period should occur within an Offering Period, subsequent Purchase Periods within such Offering Period commence after one Exercise Date and end with the next Exercise Date at such time or times as the Administrator determines prior to the commencement of the applicable Offering Period. Unless otherwise determined by the Administrator, a Purchase Period shall have the same duration as the Offering Period.</w:t>
      </w:r>
    </w:p>
    <w:p>
      <w:pPr>
        <w:spacing w:after="0" w:line="179" w:lineRule="exact"/>
        <w:rPr>
          <w:rFonts w:ascii="Times New Roman" w:cs="Times New Roman" w:eastAsia="Times New Roman" w:hAnsi="Times New Roman"/>
          <w:sz w:val="18"/>
          <w:szCs w:val="18"/>
          <w:color w:val="auto"/>
        </w:rPr>
      </w:pPr>
    </w:p>
    <w:p>
      <w:pPr>
        <w:ind w:right="80" w:firstLine="380"/>
        <w:spacing w:after="0" w:line="254" w:lineRule="auto"/>
        <w:tabs>
          <w:tab w:leader="none" w:pos="881"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Price</w:t>
      </w:r>
      <w:r>
        <w:rPr>
          <w:rFonts w:ascii="Times New Roman" w:cs="Times New Roman" w:eastAsia="Times New Roman" w:hAnsi="Times New Roman"/>
          <w:sz w:val="19"/>
          <w:szCs w:val="19"/>
          <w:color w:val="auto"/>
        </w:rPr>
        <w:t>” means the price per Share of the Shares purchased under any option granted under the Plan as determined by the Administrator from time to time, in its discretion and on a uniform and nondiscriminatory basis for all options to be granted on an Enrollment Date. However, in no event will the Purchase Price be less than eighty-five percent (85%) of the lower of the Fair Market Value of a Share on the Enrollment Date or the Fair Market Value of a Share on the Exercise Date and at all times in compliance with Section 423 of the Code (or any successor rule or provision or any other Applicable Law, regulation or stock exchange rule).</w:t>
      </w:r>
    </w:p>
    <w:p>
      <w:pPr>
        <w:spacing w:after="0" w:line="196" w:lineRule="exact"/>
        <w:rPr>
          <w:rFonts w:ascii="Times New Roman" w:cs="Times New Roman" w:eastAsia="Times New Roman" w:hAnsi="Times New Roman"/>
          <w:sz w:val="19"/>
          <w:szCs w:val="19"/>
          <w:color w:val="auto"/>
        </w:rPr>
      </w:pPr>
    </w:p>
    <w:p>
      <w:pPr>
        <w:jc w:val="both"/>
        <w:ind w:right="120" w:firstLine="380"/>
        <w:spacing w:after="0" w:line="261" w:lineRule="auto"/>
        <w:tabs>
          <w:tab w:leader="none" w:pos="928"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“Section </w:t>
      </w:r>
      <w:r>
        <w:rPr>
          <w:rFonts w:ascii="Times New Roman" w:cs="Times New Roman" w:eastAsia="Times New Roman" w:hAnsi="Times New Roman"/>
          <w:sz w:val="19"/>
          <w:szCs w:val="19"/>
          <w:u w:val="single" w:color="auto"/>
          <w:color w:val="auto"/>
        </w:rPr>
        <w:t>409A</w:t>
      </w:r>
      <w:r>
        <w:rPr>
          <w:rFonts w:ascii="Times New Roman" w:cs="Times New Roman" w:eastAsia="Times New Roman" w:hAnsi="Times New Roman"/>
          <w:sz w:val="19"/>
          <w:szCs w:val="19"/>
          <w:color w:val="auto"/>
        </w:rPr>
        <w:t>” means Section 409A of the Code and the regulations and guidance thereunder, and formal, effective guidance of either general applicability or direct applicability thereunder, and any applicable state law equivalent, as each may be promulgated, amended or modified from time to time.</w:t>
      </w:r>
    </w:p>
    <w:p>
      <w:pPr>
        <w:spacing w:after="0" w:line="175" w:lineRule="exact"/>
        <w:rPr>
          <w:rFonts w:ascii="Times New Roman" w:cs="Times New Roman" w:eastAsia="Times New Roman" w:hAnsi="Times New Roman"/>
          <w:sz w:val="19"/>
          <w:szCs w:val="19"/>
          <w:color w:val="auto"/>
        </w:rPr>
      </w:pPr>
    </w:p>
    <w:p>
      <w:pPr>
        <w:ind w:left="800" w:hanging="420"/>
        <w:spacing w:after="0"/>
        <w:tabs>
          <w:tab w:leader="none" w:pos="80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Share</w:t>
      </w:r>
      <w:r>
        <w:rPr>
          <w:rFonts w:ascii="Times New Roman" w:cs="Times New Roman" w:eastAsia="Times New Roman" w:hAnsi="Times New Roman"/>
          <w:sz w:val="19"/>
          <w:szCs w:val="19"/>
          <w:color w:val="auto"/>
        </w:rPr>
        <w:t>” means a share of Common Stock.</w:t>
      </w:r>
    </w:p>
    <w:p>
      <w:pPr>
        <w:sectPr>
          <w:pgSz w:w="11900" w:h="16838" w:orient="portrait"/>
          <w:cols w:equalWidth="0" w:num="1">
            <w:col w:w="11240"/>
          </w:cols>
          <w:pgMar w:left="320" w:top="118"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0" w:hanging="420"/>
        <w:spacing w:after="0"/>
        <w:tabs>
          <w:tab w:leader="none" w:pos="800"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“Subsidiary” means a “subsidiary corporation,” whether now or hereafter existing, as defined in Section 424(f) of the Code.</w:t>
      </w:r>
    </w:p>
    <w:p>
      <w:pPr>
        <w:spacing w:after="0" w:line="232" w:lineRule="exact"/>
        <w:rPr>
          <w:rFonts w:ascii="Times New Roman" w:cs="Times New Roman" w:eastAsia="Times New Roman" w:hAnsi="Times New Roman"/>
          <w:sz w:val="19"/>
          <w:szCs w:val="19"/>
          <w:color w:val="auto"/>
        </w:rPr>
      </w:pPr>
    </w:p>
    <w:p>
      <w:pPr>
        <w:ind w:right="200" w:firstLine="380"/>
        <w:spacing w:after="0" w:line="268" w:lineRule="auto"/>
        <w:tabs>
          <w:tab w:leader="none" w:pos="881"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“Trading </w:t>
      </w:r>
      <w:r>
        <w:rPr>
          <w:rFonts w:ascii="Times New Roman" w:cs="Times New Roman" w:eastAsia="Times New Roman" w:hAnsi="Times New Roman"/>
          <w:sz w:val="19"/>
          <w:szCs w:val="19"/>
          <w:u w:val="single" w:color="auto"/>
          <w:color w:val="auto"/>
        </w:rPr>
        <w:t>Day</w:t>
      </w:r>
      <w:r>
        <w:rPr>
          <w:rFonts w:ascii="Times New Roman" w:cs="Times New Roman" w:eastAsia="Times New Roman" w:hAnsi="Times New Roman"/>
          <w:sz w:val="19"/>
          <w:szCs w:val="19"/>
          <w:color w:val="auto"/>
        </w:rPr>
        <w:t>” means a day that the primary stock exchange (or national market system, or other trading platform, as applicable) upon which the Common Stock is listed is open for trading.</w:t>
      </w:r>
    </w:p>
    <w:p>
      <w:pPr>
        <w:spacing w:after="0" w:line="181" w:lineRule="exact"/>
        <w:rPr>
          <w:rFonts w:ascii="Times New Roman" w:cs="Times New Roman" w:eastAsia="Times New Roman" w:hAnsi="Times New Roman"/>
          <w:sz w:val="19"/>
          <w:szCs w:val="19"/>
          <w:color w:val="auto"/>
        </w:rPr>
      </w:pPr>
    </w:p>
    <w:p>
      <w:pPr>
        <w:ind w:right="40" w:firstLine="380"/>
        <w:spacing w:after="0" w:line="268" w:lineRule="auto"/>
        <w:tabs>
          <w:tab w:leader="none" w:pos="797"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Treasury Regulations</w:t>
      </w:r>
      <w:r>
        <w:rPr>
          <w:rFonts w:ascii="Times New Roman" w:cs="Times New Roman" w:eastAsia="Times New Roman" w:hAnsi="Times New Roman"/>
          <w:sz w:val="19"/>
          <w:szCs w:val="19"/>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182" w:lineRule="exact"/>
        <w:rPr>
          <w:rFonts w:ascii="Times New Roman" w:cs="Times New Roman" w:eastAsia="Times New Roman" w:hAnsi="Times New Roman"/>
          <w:sz w:val="19"/>
          <w:szCs w:val="19"/>
          <w:color w:val="auto"/>
        </w:rPr>
      </w:pPr>
    </w:p>
    <w:p>
      <w:pPr>
        <w:ind w:left="320" w:hanging="317"/>
        <w:spacing w:after="0"/>
        <w:tabs>
          <w:tab w:leader="none" w:pos="32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Eligibility</w:t>
      </w:r>
      <w:r>
        <w:rPr>
          <w:rFonts w:ascii="Times New Roman" w:cs="Times New Roman" w:eastAsia="Times New Roman" w:hAnsi="Times New Roman"/>
          <w:sz w:val="19"/>
          <w:szCs w:val="19"/>
          <w:color w:val="auto"/>
        </w:rPr>
        <w:t>.</w:t>
      </w:r>
    </w:p>
    <w:p>
      <w:pPr>
        <w:spacing w:after="0" w:line="245" w:lineRule="exact"/>
        <w:rPr>
          <w:rFonts w:ascii="Times New Roman" w:cs="Times New Roman" w:eastAsia="Times New Roman" w:hAnsi="Times New Roman"/>
          <w:sz w:val="19"/>
          <w:szCs w:val="19"/>
          <w:color w:val="auto"/>
        </w:rPr>
      </w:pPr>
    </w:p>
    <w:p>
      <w:pPr>
        <w:ind w:right="560" w:firstLine="930"/>
        <w:spacing w:after="0" w:line="268" w:lineRule="auto"/>
        <w:tabs>
          <w:tab w:leader="none" w:pos="1227" w:val="left"/>
        </w:tabs>
        <w:numPr>
          <w:ilvl w:val="2"/>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Any individual who is an Eligible Employee on a given Enrollment Date will be eligible to participate in the Plan, subject to the requirements of Section 5.</w:t>
      </w:r>
    </w:p>
    <w:p>
      <w:pPr>
        <w:spacing w:after="0" w:line="194" w:lineRule="exact"/>
        <w:rPr>
          <w:rFonts w:ascii="Times New Roman" w:cs="Times New Roman" w:eastAsia="Times New Roman" w:hAnsi="Times New Roman"/>
          <w:sz w:val="19"/>
          <w:szCs w:val="19"/>
          <w:color w:val="auto"/>
        </w:rPr>
      </w:pPr>
    </w:p>
    <w:p>
      <w:pPr>
        <w:ind w:right="220" w:firstLine="930"/>
        <w:spacing w:after="0" w:line="254" w:lineRule="auto"/>
        <w:tabs>
          <w:tab w:leader="none" w:pos="1224" w:val="left"/>
        </w:tabs>
        <w:numPr>
          <w:ilvl w:val="2"/>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Non-U.S. Employees</w:t>
      </w:r>
      <w:r>
        <w:rPr>
          <w:rFonts w:ascii="Times New Roman" w:cs="Times New Roman" w:eastAsia="Times New Roman" w:hAnsi="Times New Roman"/>
          <w:sz w:val="19"/>
          <w:szCs w:val="19"/>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an Eligible Employee may be excluded from participation in the Plan or an Offering if the Administrator has determined that participation of such Eligible Employee is not advisable or practicable.</w:t>
      </w:r>
    </w:p>
    <w:p>
      <w:pPr>
        <w:spacing w:after="0" w:line="209" w:lineRule="exact"/>
        <w:rPr>
          <w:rFonts w:ascii="Times New Roman" w:cs="Times New Roman" w:eastAsia="Times New Roman" w:hAnsi="Times New Roman"/>
          <w:sz w:val="19"/>
          <w:szCs w:val="19"/>
          <w:color w:val="auto"/>
        </w:rPr>
      </w:pPr>
    </w:p>
    <w:p>
      <w:pPr>
        <w:ind w:right="20" w:firstLine="930"/>
        <w:spacing w:after="0" w:line="251" w:lineRule="auto"/>
        <w:tabs>
          <w:tab w:leader="none" w:pos="1227" w:val="left"/>
        </w:tabs>
        <w:numPr>
          <w:ilvl w:val="2"/>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Limitations</w:t>
      </w:r>
      <w:r>
        <w:rPr>
          <w:rFonts w:ascii="Times New Roman" w:cs="Times New Roman" w:eastAsia="Times New Roman" w:hAnsi="Times New Roman"/>
          <w:sz w:val="19"/>
          <w:szCs w:val="19"/>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210" w:lineRule="exact"/>
        <w:rPr>
          <w:rFonts w:ascii="Times New Roman" w:cs="Times New Roman" w:eastAsia="Times New Roman" w:hAnsi="Times New Roman"/>
          <w:sz w:val="19"/>
          <w:szCs w:val="19"/>
          <w:color w:val="auto"/>
        </w:rPr>
      </w:pPr>
    </w:p>
    <w:p>
      <w:pPr>
        <w:ind w:right="380" w:firstLine="3"/>
        <w:spacing w:after="0" w:line="254" w:lineRule="auto"/>
        <w:tabs>
          <w:tab w:leader="none" w:pos="309"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Offering Periods</w:t>
      </w:r>
      <w:r>
        <w:rPr>
          <w:rFonts w:ascii="Times New Roman" w:cs="Times New Roman" w:eastAsia="Times New Roman" w:hAnsi="Times New Roman"/>
          <w:sz w:val="19"/>
          <w:szCs w:val="19"/>
          <w:color w:val="auto"/>
        </w:rPr>
        <w:t>. Offering Periods will be periods, as will be determined by the Administrator from time to time, in its discretion and on a uniform and nondiscriminatory basis, prior to an Enrollment Date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Offering Period to be affected thereafter; provided, however, that no Offering Period may last more than twenty-seven (27) months.</w:t>
      </w:r>
    </w:p>
    <w:p>
      <w:pPr>
        <w:sectPr>
          <w:pgSz w:w="11900" w:h="16838" w:orient="portrait"/>
          <w:cols w:equalWidth="0" w:num="1">
            <w:col w:w="11240"/>
          </w:cols>
          <w:pgMar w:left="320" w:top="118"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
        <w:spacing w:after="0" w:line="259" w:lineRule="auto"/>
        <w:tabs>
          <w:tab w:leader="none" w:pos="309"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w:t>
      </w:r>
      <w:r>
        <w:rPr>
          <w:rFonts w:ascii="Times New Roman" w:cs="Times New Roman" w:eastAsia="Times New Roman" w:hAnsi="Times New Roman"/>
          <w:sz w:val="19"/>
          <w:szCs w:val="19"/>
          <w:color w:val="auto"/>
        </w:rPr>
        <w:t>. An Eligible Employee may participate in the Plan pursuant to Section 3 by (i) submitting to the Company’s stock administration office (or its designee) a properly completed subscription agreement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spacing w:after="0" w:line="190" w:lineRule="exact"/>
        <w:rPr>
          <w:rFonts w:ascii="Times New Roman" w:cs="Times New Roman" w:eastAsia="Times New Roman" w:hAnsi="Times New Roman"/>
          <w:sz w:val="19"/>
          <w:szCs w:val="19"/>
          <w:color w:val="auto"/>
        </w:rPr>
      </w:pPr>
    </w:p>
    <w:p>
      <w:pPr>
        <w:ind w:left="320" w:hanging="317"/>
        <w:spacing w:after="0"/>
        <w:tabs>
          <w:tab w:leader="none" w:pos="32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Contributions</w:t>
      </w:r>
      <w:r>
        <w:rPr>
          <w:rFonts w:ascii="Times New Roman" w:cs="Times New Roman" w:eastAsia="Times New Roman" w:hAnsi="Times New Roman"/>
          <w:sz w:val="19"/>
          <w:szCs w:val="19"/>
          <w:color w:val="auto"/>
        </w:rPr>
        <w:t>.</w:t>
      </w:r>
    </w:p>
    <w:p>
      <w:pPr>
        <w:spacing w:after="0" w:line="245" w:lineRule="exact"/>
        <w:rPr>
          <w:rFonts w:ascii="Times New Roman" w:cs="Times New Roman" w:eastAsia="Times New Roman" w:hAnsi="Times New Roman"/>
          <w:sz w:val="19"/>
          <w:szCs w:val="19"/>
          <w:color w:val="auto"/>
        </w:rPr>
      </w:pPr>
    </w:p>
    <w:p>
      <w:pPr>
        <w:ind w:right="40" w:firstLine="930"/>
        <w:spacing w:after="0" w:line="252" w:lineRule="auto"/>
        <w:tabs>
          <w:tab w:leader="none" w:pos="1227"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 of the Compensation, or such other limit established by the Administrator from time to time in its discretion and on a uniform and nondiscretionary basis for all options to be granted on an Enrollment Date in an Offering, which he or she receives on each pay day during the Offering Period; provided, however, that should a pay day occur on an Exercise Date, a Participant will have any Contributions made on such day applied to his or her account under the then-current Purchase Period or Offering Period with respect to which that Exercise Date relates.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201" w:lineRule="exact"/>
        <w:rPr>
          <w:rFonts w:ascii="Times New Roman" w:cs="Times New Roman" w:eastAsia="Times New Roman" w:hAnsi="Times New Roman"/>
          <w:sz w:val="19"/>
          <w:szCs w:val="19"/>
          <w:color w:val="auto"/>
        </w:rPr>
      </w:pPr>
    </w:p>
    <w:p>
      <w:pPr>
        <w:ind w:right="180" w:firstLine="930"/>
        <w:spacing w:after="0" w:line="268" w:lineRule="auto"/>
        <w:tabs>
          <w:tab w:leader="none" w:pos="1224"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10 hereof.</w:t>
      </w:r>
    </w:p>
    <w:p>
      <w:pPr>
        <w:spacing w:after="0" w:line="182" w:lineRule="exact"/>
        <w:rPr>
          <w:rFonts w:ascii="Times New Roman" w:cs="Times New Roman" w:eastAsia="Times New Roman" w:hAnsi="Times New Roman"/>
          <w:sz w:val="19"/>
          <w:szCs w:val="19"/>
          <w:color w:val="auto"/>
        </w:rPr>
      </w:pPr>
    </w:p>
    <w:p>
      <w:pPr>
        <w:ind w:right="400" w:firstLine="930"/>
        <w:spacing w:after="0" w:line="282" w:lineRule="auto"/>
        <w:tabs>
          <w:tab w:leader="none" w:pos="1227"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69" w:lineRule="exact"/>
        <w:rPr>
          <w:rFonts w:ascii="Times New Roman" w:cs="Times New Roman" w:eastAsia="Times New Roman" w:hAnsi="Times New Roman"/>
          <w:sz w:val="19"/>
          <w:szCs w:val="19"/>
          <w:color w:val="auto"/>
        </w:rPr>
      </w:pPr>
    </w:p>
    <w:p>
      <w:pPr>
        <w:ind w:right="80" w:firstLine="930"/>
        <w:spacing w:after="0" w:line="251" w:lineRule="auto"/>
        <w:tabs>
          <w:tab w:leader="none" w:pos="1224"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Participant may discontinue his or her participation in the Plan as provided under Section 10. Until and unless determined otherwise by the Administrator, in its sole discretion, during any Offering Period, a Participant may not increase the rate of his or her Contributions and may only decrease the rate of his or her Contributions (including to zero percent (0%)) one (1) time. A Participant may make a Contribution rate adjustment pursuant to this subsection (d) by (i) properly completing and submitting to the Company’s stock administration office (or its designee), a new subscription agreement authorizing the change in Contribution rate in the form provided by the Administrator for such purpose, or (ii) following an electronic or other procedure prescribed by the Administrator, in either case, on or before a date determined by the Administrator prior to (x) the scheduled beginning of the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and Purchase Periods (unless the Participant’s participation is terminated as provided in Sections 10 or 11). The Administrator may, in its sole discretion, limit or amend the nature and/or number of Contribution rate changes (including to permit, prohibit and/or limit increases and/or decreases to rate changes) that may be made by Participants during any Offering Period, and may establish such other conditions or limitations as it deems appropriate for Plan administration. Any change in the rate of Contributions made pursuant to this Section 6(d) will be effective as of the first full payroll</w:t>
      </w:r>
    </w:p>
    <w:p>
      <w:pPr>
        <w:sectPr>
          <w:pgSz w:w="11900" w:h="16838" w:orient="portrait"/>
          <w:cols w:equalWidth="0" w:num="1">
            <w:col w:w="11240"/>
          </w:cols>
          <w:pgMar w:left="320" w:top="118"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9"/>
          <w:szCs w:val="19"/>
          <w:color w:val="auto"/>
        </w:rPr>
        <w:t>period following five (5) business days after the date on which the change is made by the Participant (unless the Administrator, in its sole discretion, elects to process a given change in payroll deduction rate more quickly).</w:t>
      </w:r>
    </w:p>
    <w:p>
      <w:pPr>
        <w:spacing w:after="0" w:line="169" w:lineRule="exact"/>
        <w:rPr>
          <w:sz w:val="20"/>
          <w:szCs w:val="20"/>
          <w:color w:val="auto"/>
        </w:rPr>
      </w:pPr>
    </w:p>
    <w:p>
      <w:pPr>
        <w:jc w:val="both"/>
        <w:ind w:right="920" w:firstLine="930"/>
        <w:spacing w:after="0" w:line="272" w:lineRule="auto"/>
        <w:tabs>
          <w:tab w:leader="none" w:pos="122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necessary to comply with Section 423(b)(8) of the Code and Section 3(c), a Participant’s Contributions may be decreased to zero percent (0%) by the Administrator at any time during a Purchase Period. Subject to</w:t>
      </w:r>
    </w:p>
    <w:p>
      <w:pPr>
        <w:spacing w:after="0" w:line="1" w:lineRule="exact"/>
        <w:rPr>
          <w:rFonts w:ascii="Times New Roman" w:cs="Times New Roman" w:eastAsia="Times New Roman" w:hAnsi="Times New Roman"/>
          <w:sz w:val="18"/>
          <w:szCs w:val="18"/>
          <w:color w:val="auto"/>
        </w:rPr>
      </w:pPr>
    </w:p>
    <w:p>
      <w:pPr>
        <w:ind w:right="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Section 423(b)(8) of the Code and Section 3(c)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92" w:lineRule="exact"/>
        <w:rPr>
          <w:rFonts w:ascii="Times New Roman" w:cs="Times New Roman" w:eastAsia="Times New Roman" w:hAnsi="Times New Roman"/>
          <w:sz w:val="18"/>
          <w:szCs w:val="18"/>
          <w:color w:val="auto"/>
        </w:rPr>
      </w:pPr>
    </w:p>
    <w:p>
      <w:pPr>
        <w:ind w:right="20" w:firstLine="930"/>
        <w:spacing w:after="0" w:line="268" w:lineRule="auto"/>
        <w:tabs>
          <w:tab w:leader="none" w:pos="1232"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to the contrary in the Plan, the Administrator may allow Participants to participate in the Plan via cash contributions instead of payroll deductions if (i) payroll deductions are not permitted or advisable under Applicable Laws, (ii) the Administrator determines that cash contributions are permissible under Section 423 of the Code; or (iii) the Participants are participating in the Non-</w:t>
      </w:r>
    </w:p>
    <w:p>
      <w:pPr>
        <w:spacing w:after="0" w:line="1" w:lineRule="exact"/>
        <w:rPr>
          <w:rFonts w:ascii="Times New Roman" w:cs="Times New Roman" w:eastAsia="Times New Roman" w:hAnsi="Times New Roman"/>
          <w:sz w:val="18"/>
          <w:szCs w:val="18"/>
          <w:color w:val="auto"/>
        </w:rPr>
      </w:pPr>
    </w:p>
    <w:p>
      <w:pPr>
        <w:ind w:left="340" w:hanging="337"/>
        <w:spacing w:after="0"/>
        <w:tabs>
          <w:tab w:leader="none" w:pos="34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Component.</w:t>
      </w:r>
    </w:p>
    <w:p>
      <w:pPr>
        <w:spacing w:after="0" w:line="13" w:lineRule="exact"/>
        <w:rPr>
          <w:rFonts w:ascii="Times New Roman" w:cs="Times New Roman" w:eastAsia="Times New Roman" w:hAnsi="Times New Roman"/>
          <w:sz w:val="19"/>
          <w:szCs w:val="19"/>
          <w:color w:val="auto"/>
        </w:rPr>
      </w:pPr>
    </w:p>
    <w:p>
      <w:pPr>
        <w:ind w:right="80" w:firstLine="930"/>
        <w:spacing w:after="0" w:line="249" w:lineRule="auto"/>
        <w:tabs>
          <w:tab w:leader="none" w:pos="1224"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spacing w:after="0" w:line="206" w:lineRule="exact"/>
        <w:rPr>
          <w:rFonts w:ascii="Times New Roman" w:cs="Times New Roman" w:eastAsia="Times New Roman" w:hAnsi="Times New Roman"/>
          <w:sz w:val="19"/>
          <w:szCs w:val="19"/>
          <w:color w:val="auto"/>
        </w:rPr>
      </w:pPr>
    </w:p>
    <w:p>
      <w:pPr>
        <w:ind w:right="100" w:firstLine="3"/>
        <w:spacing w:after="0" w:line="252" w:lineRule="auto"/>
        <w:tabs>
          <w:tab w:leader="none" w:pos="309"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Option</w:t>
      </w:r>
      <w:r>
        <w:rPr>
          <w:rFonts w:ascii="Times New Roman" w:cs="Times New Roman" w:eastAsia="Times New Roman" w:hAnsi="Times New Roman"/>
          <w:sz w:val="19"/>
          <w:szCs w:val="19"/>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a maximum number shares of Common Stock to be determined by the Administrator (subject to any adjustment pursuant to Section 18) and provided further that such purchase will be subject to the limitations set forth in Sections 3(c) and 13 and in the subscription agreement. The Eligible Employee may accept the grant of such option (i) with respect to the Offering Period by submitting a properly completed subscription agreement in accordance with the requirements of Section 5 on or before the Enrollment Date, and (ii) with respect to any subsequent Offering Period under the Plan,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and/or Offering Period, as applicable. Exercise of the option will occur as provided in Section 8, unless the Participant has withdrawn pursuant to Section 10 (or Participant’s participation is terminated as provided in Section 11). The option will expire on the last day of the Offering Period.</w:t>
      </w:r>
    </w:p>
    <w:p>
      <w:pPr>
        <w:sectPr>
          <w:pgSz w:w="11900" w:h="16838" w:orient="portrait"/>
          <w:cols w:equalWidth="0" w:num="1">
            <w:col w:w="11240"/>
          </w:cols>
          <w:pgMar w:left="320" w:top="118"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hanging="317"/>
        <w:spacing w:after="0"/>
        <w:tabs>
          <w:tab w:leader="none" w:pos="32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of Option</w:t>
      </w:r>
      <w:r>
        <w:rPr>
          <w:rFonts w:ascii="Times New Roman" w:cs="Times New Roman" w:eastAsia="Times New Roman" w:hAnsi="Times New Roman"/>
          <w:sz w:val="19"/>
          <w:szCs w:val="19"/>
          <w:color w:val="auto"/>
        </w:rPr>
        <w:t>.</w:t>
      </w:r>
    </w:p>
    <w:p>
      <w:pPr>
        <w:spacing w:after="0" w:line="245" w:lineRule="exact"/>
        <w:rPr>
          <w:rFonts w:ascii="Times New Roman" w:cs="Times New Roman" w:eastAsia="Times New Roman" w:hAnsi="Times New Roman"/>
          <w:sz w:val="19"/>
          <w:szCs w:val="19"/>
          <w:color w:val="auto"/>
        </w:rPr>
      </w:pPr>
    </w:p>
    <w:p>
      <w:pPr>
        <w:ind w:right="40" w:firstLine="930"/>
        <w:spacing w:after="0" w:line="251" w:lineRule="auto"/>
        <w:tabs>
          <w:tab w:leader="none" w:pos="1227"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a Participant withdraws from the Plan as provided in Section 10 (or Participant’s participation is terminated as provided in Section 11), his or her option for the purchase of shares of Common Stock will be exercised automatically on each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 10 (or the earlier termination of Participant’s participation as provided in Section 11).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210" w:lineRule="exact"/>
        <w:rPr>
          <w:rFonts w:ascii="Times New Roman" w:cs="Times New Roman" w:eastAsia="Times New Roman" w:hAnsi="Times New Roman"/>
          <w:sz w:val="19"/>
          <w:szCs w:val="19"/>
          <w:color w:val="auto"/>
        </w:rPr>
      </w:pPr>
    </w:p>
    <w:p>
      <w:pPr>
        <w:ind w:right="20" w:firstLine="930"/>
        <w:spacing w:after="0" w:line="250" w:lineRule="auto"/>
        <w:tabs>
          <w:tab w:leader="none" w:pos="1224"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19.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217" w:lineRule="exact"/>
        <w:rPr>
          <w:rFonts w:ascii="Times New Roman" w:cs="Times New Roman" w:eastAsia="Times New Roman" w:hAnsi="Times New Roman"/>
          <w:sz w:val="19"/>
          <w:szCs w:val="19"/>
          <w:color w:val="auto"/>
        </w:rPr>
      </w:pPr>
    </w:p>
    <w:p>
      <w:pPr>
        <w:ind w:firstLine="3"/>
        <w:spacing w:after="0" w:line="252" w:lineRule="auto"/>
        <w:tabs>
          <w:tab w:leader="none" w:pos="309"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Delivery</w:t>
      </w:r>
      <w:r>
        <w:rPr>
          <w:rFonts w:ascii="Times New Roman" w:cs="Times New Roman" w:eastAsia="Times New Roman" w:hAnsi="Times New Roman"/>
          <w:sz w:val="19"/>
          <w:szCs w:val="19"/>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with a trustee or designated agent of the Company, and the Company may utilize electronic or automated methods of share transfer. The Company may require that shares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212" w:lineRule="exact"/>
        <w:rPr>
          <w:rFonts w:ascii="Times New Roman" w:cs="Times New Roman" w:eastAsia="Times New Roman" w:hAnsi="Times New Roman"/>
          <w:sz w:val="19"/>
          <w:szCs w:val="19"/>
          <w:color w:val="auto"/>
        </w:rPr>
      </w:pPr>
    </w:p>
    <w:p>
      <w:pPr>
        <w:ind w:left="300" w:hanging="297"/>
        <w:spacing w:after="0"/>
        <w:tabs>
          <w:tab w:leader="none" w:pos="30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Withdrawal</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18"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930"/>
        <w:spacing w:after="0" w:line="254" w:lineRule="auto"/>
        <w:tabs>
          <w:tab w:leader="none" w:pos="1227"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or</w:t>
      </w:r>
    </w:p>
    <w:p>
      <w:pPr>
        <w:spacing w:after="0" w:line="1" w:lineRule="exact"/>
        <w:rPr>
          <w:rFonts w:ascii="Times New Roman" w:cs="Times New Roman" w:eastAsia="Times New Roman" w:hAnsi="Times New Roman"/>
          <w:sz w:val="19"/>
          <w:szCs w:val="19"/>
          <w:color w:val="auto"/>
        </w:rPr>
      </w:pPr>
    </w:p>
    <w:p>
      <w:pPr>
        <w:ind w:right="180" w:firstLine="3"/>
        <w:spacing w:after="0" w:line="251" w:lineRule="auto"/>
        <w:tabs>
          <w:tab w:leader="none" w:pos="278"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200" w:lineRule="exact"/>
        <w:rPr>
          <w:rFonts w:ascii="Times New Roman" w:cs="Times New Roman" w:eastAsia="Times New Roman" w:hAnsi="Times New Roman"/>
          <w:sz w:val="19"/>
          <w:szCs w:val="19"/>
          <w:color w:val="auto"/>
        </w:rPr>
      </w:pPr>
    </w:p>
    <w:p>
      <w:pPr>
        <w:jc w:val="both"/>
        <w:ind w:right="200" w:firstLine="930"/>
        <w:spacing w:after="0" w:line="268" w:lineRule="auto"/>
        <w:tabs>
          <w:tab w:leader="none" w:pos="1224"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82" w:lineRule="exact"/>
        <w:rPr>
          <w:sz w:val="20"/>
          <w:szCs w:val="20"/>
          <w:color w:val="auto"/>
        </w:rPr>
      </w:pPr>
    </w:p>
    <w:p>
      <w:pPr>
        <w:ind w:firstLine="3"/>
        <w:spacing w:after="0" w:line="251" w:lineRule="auto"/>
        <w:tabs>
          <w:tab w:leader="none" w:pos="293"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Employment</w:t>
      </w:r>
      <w:r>
        <w:rPr>
          <w:rFonts w:ascii="Times New Roman" w:cs="Times New Roman" w:eastAsia="Times New Roman" w:hAnsi="Times New Roman"/>
          <w:sz w:val="19"/>
          <w:szCs w:val="19"/>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otherwise provided by the Administrator, a Participant whose employment transfers between entities through a termination with an immediate rehire (with no break in service) by the Company or a Designated Company will not be treated as terminated under the Plan. The Administrator may establish rules to govern transfers of employment among the Company and any Designated Company, consistent with any applicable requirements of Section 423 of the Code and the terms of the Plan. In addition, the Administrator may establish rules to govern transfers of employment among the Company and any Designated Company where such companies are participating in separate Offerings under the Plan. However, if a Participant transfers from an Offering under the 423 Component to the Non-423 Component, the exercise of the option will be qualified under the 423 Component only to the extent it complies with Section 423 of the Code, unless otherwise provided by the Administrator.</w:t>
      </w:r>
    </w:p>
    <w:p>
      <w:pPr>
        <w:spacing w:after="0" w:line="216" w:lineRule="exact"/>
        <w:rPr>
          <w:rFonts w:ascii="Times New Roman" w:cs="Times New Roman" w:eastAsia="Times New Roman" w:hAnsi="Times New Roman"/>
          <w:sz w:val="19"/>
          <w:szCs w:val="19"/>
          <w:color w:val="auto"/>
        </w:rPr>
      </w:pPr>
    </w:p>
    <w:p>
      <w:pPr>
        <w:ind w:right="220" w:firstLine="3"/>
        <w:spacing w:after="0" w:line="261" w:lineRule="auto"/>
        <w:tabs>
          <w:tab w:leader="none" w:pos="30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 No interest will accrue on the Contributions of a participant in the Plan, except as may be required by Applicable Law, as determined by the Company, and if so required by the laws of a particular jurisdiction, will apply to all Participants in the relevant Offering under the 423 Component, except to the extent otherwise permitted by U.S. Treasury Regulation Section 1.423-2(f).</w:t>
      </w:r>
    </w:p>
    <w:p>
      <w:pPr>
        <w:spacing w:after="0" w:line="188" w:lineRule="exact"/>
        <w:rPr>
          <w:rFonts w:ascii="Times New Roman" w:cs="Times New Roman" w:eastAsia="Times New Roman" w:hAnsi="Times New Roman"/>
          <w:sz w:val="19"/>
          <w:szCs w:val="19"/>
          <w:color w:val="auto"/>
        </w:rPr>
      </w:pPr>
    </w:p>
    <w:p>
      <w:pPr>
        <w:ind w:left="300" w:hanging="297"/>
        <w:spacing w:after="0"/>
        <w:tabs>
          <w:tab w:leader="none" w:pos="30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w:t>
      </w:r>
      <w:r>
        <w:rPr>
          <w:rFonts w:ascii="Times New Roman" w:cs="Times New Roman" w:eastAsia="Times New Roman" w:hAnsi="Times New Roman"/>
          <w:sz w:val="19"/>
          <w:szCs w:val="19"/>
          <w:color w:val="auto"/>
        </w:rPr>
        <w:t>.</w:t>
      </w:r>
    </w:p>
    <w:p>
      <w:pPr>
        <w:spacing w:after="0" w:line="245" w:lineRule="exact"/>
        <w:rPr>
          <w:rFonts w:ascii="Times New Roman" w:cs="Times New Roman" w:eastAsia="Times New Roman" w:hAnsi="Times New Roman"/>
          <w:sz w:val="19"/>
          <w:szCs w:val="19"/>
          <w:color w:val="auto"/>
        </w:rPr>
      </w:pPr>
    </w:p>
    <w:p>
      <w:pPr>
        <w:ind w:firstLine="930"/>
        <w:spacing w:after="0" w:line="254" w:lineRule="auto"/>
        <w:tabs>
          <w:tab w:leader="none" w:pos="1227"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Subject to adjustment upon changes in capitalization of the Company as provided in Section 18 hereof, the maximum number of shares of Common Stock that will be made available for sale under the Plan will be 4,659,265 shares of Common Stock. The number of shares of Common Stock available for issuance under the Plan will be increased on the first day of each Fiscal Year beginning with the 2022 Fiscal Year equal to the least of (i) 4,659,265 shares of Common Stock, (ii) one percent (1%) of the outstanding shares of all classes Company common stock on the last day of the immediately preceding Fiscal Year, or (iii) an amount determined by the Administrator no later than the last day of the</w:t>
      </w:r>
    </w:p>
    <w:p>
      <w:pPr>
        <w:sectPr>
          <w:pgSz w:w="11900" w:h="16838" w:orient="portrait"/>
          <w:cols w:equalWidth="0" w:num="1">
            <w:col w:w="11240"/>
          </w:cols>
          <w:pgMar w:left="320" w:top="118"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immediately preceding Fiscal Year. The shares of Common Stock may be authorized, but unissued, or reacquired Common Stock.</w:t>
      </w:r>
    </w:p>
    <w:p>
      <w:pPr>
        <w:spacing w:after="0" w:line="245" w:lineRule="exact"/>
        <w:rPr>
          <w:sz w:val="20"/>
          <w:szCs w:val="20"/>
          <w:color w:val="auto"/>
        </w:rPr>
      </w:pPr>
    </w:p>
    <w:p>
      <w:pPr>
        <w:ind w:right="160" w:firstLine="930"/>
        <w:spacing w:after="0" w:line="261" w:lineRule="auto"/>
        <w:tabs>
          <w:tab w:leader="none" w:pos="1224"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w:t>
      </w:r>
    </w:p>
    <w:p>
      <w:pPr>
        <w:spacing w:after="0" w:line="188" w:lineRule="exact"/>
        <w:rPr>
          <w:rFonts w:ascii="Times New Roman" w:cs="Times New Roman" w:eastAsia="Times New Roman" w:hAnsi="Times New Roman"/>
          <w:sz w:val="19"/>
          <w:szCs w:val="19"/>
          <w:color w:val="auto"/>
        </w:rPr>
      </w:pPr>
    </w:p>
    <w:p>
      <w:pPr>
        <w:ind w:right="320" w:firstLine="930"/>
        <w:spacing w:after="0" w:line="282" w:lineRule="auto"/>
        <w:tabs>
          <w:tab w:leader="none" w:pos="1227"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of Common Stock to be delivered to a Participant under the Plan will be registered in the name of the Participant or, if so required under Applicable Laws, in the name of the Participant and his or her spouse.</w:t>
      </w:r>
    </w:p>
    <w:p>
      <w:pPr>
        <w:spacing w:after="0" w:line="181" w:lineRule="exact"/>
        <w:rPr>
          <w:rFonts w:ascii="Times New Roman" w:cs="Times New Roman" w:eastAsia="Times New Roman" w:hAnsi="Times New Roman"/>
          <w:sz w:val="19"/>
          <w:szCs w:val="19"/>
          <w:color w:val="auto"/>
        </w:rPr>
      </w:pPr>
    </w:p>
    <w:p>
      <w:pPr>
        <w:ind w:right="20" w:firstLine="3"/>
        <w:spacing w:after="0" w:line="249" w:lineRule="auto"/>
        <w:tabs>
          <w:tab w:leader="none" w:pos="30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Administration</w:t>
      </w:r>
      <w:r>
        <w:rPr>
          <w:rFonts w:ascii="Times New Roman" w:cs="Times New Roman" w:eastAsia="Times New Roman" w:hAnsi="Times New Roman"/>
          <w:sz w:val="19"/>
          <w:szCs w:val="19"/>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delegate ministerial duties to any of the Company’s employees, to designate separate Offerings under the Plan, to designate Subsidiaries and Affiliates as participating in the 423 Component or Non-423 Component, to determine eligibility, to adjudicate all disputed claims filed under the Plan and to establish such procedures that it deems necessary or advisable for the 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rules, procedures, sub-plans and appendices may take precedence over other provisions of this Plan, with the exception of Section 13(a) hereof, but unless otherwise superseded by the terms of such rules, procedures, sub-plan or appendix, the provisions of this Plan will govern the operation of such rules, procedure,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Section 423 of the Code.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w:t>
      </w:r>
    </w:p>
    <w:p>
      <w:pPr>
        <w:spacing w:after="0" w:line="9" w:lineRule="exact"/>
        <w:rPr>
          <w:rFonts w:ascii="Times New Roman" w:cs="Times New Roman" w:eastAsia="Times New Roman" w:hAnsi="Times New Roman"/>
          <w:sz w:val="19"/>
          <w:szCs w:val="19"/>
          <w:color w:val="auto"/>
        </w:rPr>
      </w:pPr>
    </w:p>
    <w:p>
      <w:pPr>
        <w:spacing w:after="0" w:line="2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95" w:lineRule="exact"/>
        <w:rPr>
          <w:rFonts w:ascii="Times New Roman" w:cs="Times New Roman" w:eastAsia="Times New Roman" w:hAnsi="Times New Roman"/>
          <w:sz w:val="19"/>
          <w:szCs w:val="19"/>
          <w:color w:val="auto"/>
        </w:rPr>
      </w:pPr>
    </w:p>
    <w:p>
      <w:pPr>
        <w:ind w:firstLine="3"/>
        <w:spacing w:after="0" w:line="259" w:lineRule="auto"/>
        <w:tabs>
          <w:tab w:leader="none" w:pos="30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Transferability</w:t>
      </w:r>
      <w:r>
        <w:rPr>
          <w:rFonts w:ascii="Times New Roman" w:cs="Times New Roman" w:eastAsia="Times New Roman" w:hAnsi="Times New Roman"/>
          <w:sz w:val="19"/>
          <w:szCs w:val="19"/>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10 hereof.</w:t>
      </w:r>
    </w:p>
    <w:p>
      <w:pPr>
        <w:sectPr>
          <w:pgSz w:w="11900" w:h="16838" w:orient="portrait"/>
          <w:cols w:equalWidth="0" w:num="1">
            <w:col w:w="11240"/>
          </w:cols>
          <w:pgMar w:left="320" w:top="118"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3"/>
        <w:spacing w:after="0" w:line="251" w:lineRule="auto"/>
        <w:tabs>
          <w:tab w:leader="none" w:pos="30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Use of Funds</w:t>
      </w:r>
      <w:r>
        <w:rPr>
          <w:rFonts w:ascii="Times New Roman" w:cs="Times New Roman" w:eastAsia="Times New Roman" w:hAnsi="Times New Roman"/>
          <w:sz w:val="19"/>
          <w:szCs w:val="19"/>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w:t>
      </w:r>
    </w:p>
    <w:p>
      <w:pPr>
        <w:spacing w:after="0" w:line="3" w:lineRule="exact"/>
        <w:rPr>
          <w:rFonts w:ascii="Times New Roman" w:cs="Times New Roman" w:eastAsia="Times New Roman" w:hAnsi="Times New Roman"/>
          <w:sz w:val="19"/>
          <w:szCs w:val="19"/>
          <w:color w:val="auto"/>
        </w:rPr>
      </w:pPr>
    </w:p>
    <w:p>
      <w:pPr>
        <w:ind w:right="40"/>
        <w:spacing w:after="0" w:line="26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Regulation Section 1.423-2(f). Until shares of Common Stock are issued, Participants will only have the rights of an unsecured creditor with respect to such shares.</w:t>
      </w:r>
    </w:p>
    <w:p>
      <w:pPr>
        <w:spacing w:after="0" w:line="180" w:lineRule="exact"/>
        <w:rPr>
          <w:rFonts w:ascii="Times New Roman" w:cs="Times New Roman" w:eastAsia="Times New Roman" w:hAnsi="Times New Roman"/>
          <w:sz w:val="19"/>
          <w:szCs w:val="19"/>
          <w:color w:val="auto"/>
        </w:rPr>
      </w:pPr>
    </w:p>
    <w:p>
      <w:pPr>
        <w:jc w:val="both"/>
        <w:ind w:right="300" w:firstLine="3"/>
        <w:spacing w:after="0" w:line="261" w:lineRule="auto"/>
        <w:tabs>
          <w:tab w:leader="none" w:pos="30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Reports</w:t>
      </w:r>
      <w:r>
        <w:rPr>
          <w:rFonts w:ascii="Times New Roman" w:cs="Times New Roman" w:eastAsia="Times New Roman" w:hAnsi="Times New Roman"/>
          <w:sz w:val="19"/>
          <w:szCs w:val="19"/>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201" w:lineRule="exact"/>
        <w:rPr>
          <w:rFonts w:ascii="Times New Roman" w:cs="Times New Roman" w:eastAsia="Times New Roman" w:hAnsi="Times New Roman"/>
          <w:sz w:val="19"/>
          <w:szCs w:val="19"/>
          <w:color w:val="auto"/>
        </w:rPr>
      </w:pPr>
    </w:p>
    <w:p>
      <w:pPr>
        <w:ind w:left="360" w:hanging="357"/>
        <w:spacing w:after="0"/>
        <w:tabs>
          <w:tab w:leader="none" w:pos="36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 Dissolution, Liquidation, Merger or Change in Control</w:t>
      </w:r>
      <w:r>
        <w:rPr>
          <w:rFonts w:ascii="Times New Roman" w:cs="Times New Roman" w:eastAsia="Times New Roman" w:hAnsi="Times New Roman"/>
          <w:sz w:val="19"/>
          <w:szCs w:val="19"/>
          <w:color w:val="auto"/>
        </w:rPr>
        <w:t>.</w:t>
      </w:r>
    </w:p>
    <w:p>
      <w:pPr>
        <w:spacing w:after="0" w:line="245" w:lineRule="exact"/>
        <w:rPr>
          <w:rFonts w:ascii="Times New Roman" w:cs="Times New Roman" w:eastAsia="Times New Roman" w:hAnsi="Times New Roman"/>
          <w:sz w:val="19"/>
          <w:szCs w:val="19"/>
          <w:color w:val="auto"/>
        </w:rPr>
      </w:pPr>
    </w:p>
    <w:p>
      <w:pPr>
        <w:ind w:right="100" w:firstLine="930"/>
        <w:spacing w:after="0" w:line="252" w:lineRule="auto"/>
        <w:tabs>
          <w:tab w:leader="none" w:pos="1227"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w:t>
      </w:r>
      <w:r>
        <w:rPr>
          <w:rFonts w:ascii="Times New Roman" w:cs="Times New Roman" w:eastAsia="Times New Roman" w:hAnsi="Times New Roman"/>
          <w:sz w:val="19"/>
          <w:szCs w:val="19"/>
          <w:color w:val="auto"/>
        </w:rPr>
        <w:t>. 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in such manner as it may deem equitable, adjust the number and class of Common Stock that may be delivered under the Plan, the Purchase Price per share, the class and the number of shares of Common Stock covered by each option under the Plan that has not yet been exercised, and the numerical limits of Sections 7 and 13.</w:t>
      </w:r>
    </w:p>
    <w:p>
      <w:pPr>
        <w:spacing w:after="0" w:line="199" w:lineRule="exact"/>
        <w:rPr>
          <w:rFonts w:ascii="Times New Roman" w:cs="Times New Roman" w:eastAsia="Times New Roman" w:hAnsi="Times New Roman"/>
          <w:sz w:val="19"/>
          <w:szCs w:val="19"/>
          <w:color w:val="auto"/>
        </w:rPr>
      </w:pPr>
    </w:p>
    <w:p>
      <w:pPr>
        <w:ind w:right="80" w:firstLine="930"/>
        <w:spacing w:after="0" w:line="254" w:lineRule="auto"/>
        <w:tabs>
          <w:tab w:leader="none" w:pos="1224"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Dissolution or Liquidation</w:t>
      </w:r>
      <w:r>
        <w:rPr>
          <w:rFonts w:ascii="Times New Roman" w:cs="Times New Roman" w:eastAsia="Times New Roman" w:hAnsi="Times New Roman"/>
          <w:sz w:val="19"/>
          <w:szCs w:val="19"/>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97" w:lineRule="exact"/>
        <w:rPr>
          <w:rFonts w:ascii="Times New Roman" w:cs="Times New Roman" w:eastAsia="Times New Roman" w:hAnsi="Times New Roman"/>
          <w:sz w:val="19"/>
          <w:szCs w:val="19"/>
          <w:color w:val="auto"/>
        </w:rPr>
      </w:pPr>
    </w:p>
    <w:p>
      <w:pPr>
        <w:ind w:right="80" w:firstLine="930"/>
        <w:spacing w:after="0" w:line="254" w:lineRule="auto"/>
        <w:tabs>
          <w:tab w:leader="none" w:pos="1227"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Merger or Change in Control</w:t>
      </w:r>
      <w:r>
        <w:rPr>
          <w:rFonts w:ascii="Times New Roman" w:cs="Times New Roman" w:eastAsia="Times New Roman" w:hAnsi="Times New Roman"/>
          <w:sz w:val="19"/>
          <w:szCs w:val="19"/>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ectPr>
          <w:pgSz w:w="11900" w:h="16838" w:orient="portrait"/>
          <w:cols w:equalWidth="0" w:num="1">
            <w:col w:w="11240"/>
          </w:cols>
          <w:pgMar w:left="320" w:top="118"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or Termination</w:t>
      </w:r>
      <w:r>
        <w:rPr>
          <w:rFonts w:ascii="Times New Roman" w:cs="Times New Roman" w:eastAsia="Times New Roman" w:hAnsi="Times New Roman"/>
          <w:sz w:val="19"/>
          <w:szCs w:val="19"/>
          <w:color w:val="auto"/>
        </w:rPr>
        <w:t>.</w:t>
      </w:r>
    </w:p>
    <w:p>
      <w:pPr>
        <w:spacing w:after="0" w:line="245" w:lineRule="exact"/>
        <w:rPr>
          <w:rFonts w:ascii="Times New Roman" w:cs="Times New Roman" w:eastAsia="Times New Roman" w:hAnsi="Times New Roman"/>
          <w:sz w:val="19"/>
          <w:szCs w:val="19"/>
          <w:color w:val="auto"/>
        </w:rPr>
      </w:pPr>
    </w:p>
    <w:p>
      <w:pPr>
        <w:ind w:right="20" w:firstLine="930"/>
        <w:spacing w:after="0" w:line="252" w:lineRule="auto"/>
        <w:tabs>
          <w:tab w:leader="none" w:pos="1227"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18).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spacing w:after="0" w:line="209" w:lineRule="exact"/>
        <w:rPr>
          <w:rFonts w:ascii="Times New Roman" w:cs="Times New Roman" w:eastAsia="Times New Roman" w:hAnsi="Times New Roman"/>
          <w:sz w:val="19"/>
          <w:szCs w:val="19"/>
          <w:color w:val="auto"/>
        </w:rPr>
      </w:pPr>
    </w:p>
    <w:p>
      <w:pPr>
        <w:ind w:right="20" w:firstLine="930"/>
        <w:spacing w:after="0" w:line="252" w:lineRule="auto"/>
        <w:tabs>
          <w:tab w:leader="none" w:pos="1224"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stockholder consent and without limiting Section 19(a), the Administrator will be entitled to change the Offering Periods or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209" w:lineRule="exact"/>
        <w:rPr>
          <w:rFonts w:ascii="Times New Roman" w:cs="Times New Roman" w:eastAsia="Times New Roman" w:hAnsi="Times New Roman"/>
          <w:sz w:val="19"/>
          <w:szCs w:val="19"/>
          <w:color w:val="auto"/>
        </w:rPr>
      </w:pPr>
    </w:p>
    <w:p>
      <w:pPr>
        <w:ind w:right="300" w:firstLine="930"/>
        <w:spacing w:after="0" w:line="261" w:lineRule="auto"/>
        <w:tabs>
          <w:tab w:leader="none" w:pos="1227"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201" w:lineRule="exact"/>
        <w:rPr>
          <w:rFonts w:ascii="Times New Roman" w:cs="Times New Roman" w:eastAsia="Times New Roman" w:hAnsi="Times New Roman"/>
          <w:sz w:val="19"/>
          <w:szCs w:val="19"/>
          <w:color w:val="auto"/>
        </w:rPr>
      </w:pPr>
    </w:p>
    <w:p>
      <w:pPr>
        <w:ind w:right="100" w:firstLine="1548"/>
        <w:spacing w:after="0" w:line="268" w:lineRule="auto"/>
        <w:tabs>
          <w:tab w:leader="none" w:pos="1852" w:val="left"/>
        </w:tabs>
        <w:numPr>
          <w:ilvl w:val="2"/>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94" w:lineRule="exact"/>
        <w:rPr>
          <w:rFonts w:ascii="Times New Roman" w:cs="Times New Roman" w:eastAsia="Times New Roman" w:hAnsi="Times New Roman"/>
          <w:sz w:val="19"/>
          <w:szCs w:val="19"/>
          <w:color w:val="auto"/>
        </w:rPr>
      </w:pPr>
    </w:p>
    <w:p>
      <w:pPr>
        <w:ind w:right="380" w:firstLine="1548"/>
        <w:spacing w:after="0" w:line="268" w:lineRule="auto"/>
        <w:tabs>
          <w:tab w:leader="none" w:pos="1853" w:val="left"/>
        </w:tabs>
        <w:numPr>
          <w:ilvl w:val="2"/>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altering the Purchase Price for any Offering Period or Purchase Period including an Offering Period or Purchase Period underway at the time of the change in Purchase Price;</w:t>
      </w:r>
    </w:p>
    <w:p>
      <w:pPr>
        <w:spacing w:after="0" w:line="194" w:lineRule="exact"/>
        <w:rPr>
          <w:rFonts w:ascii="Times New Roman" w:cs="Times New Roman" w:eastAsia="Times New Roman" w:hAnsi="Times New Roman"/>
          <w:sz w:val="19"/>
          <w:szCs w:val="19"/>
          <w:color w:val="auto"/>
        </w:rPr>
      </w:pPr>
    </w:p>
    <w:p>
      <w:pPr>
        <w:ind w:right="660" w:firstLine="1548"/>
        <w:spacing w:after="0" w:line="282" w:lineRule="auto"/>
        <w:tabs>
          <w:tab w:leader="none" w:pos="1854" w:val="left"/>
        </w:tabs>
        <w:numPr>
          <w:ilvl w:val="2"/>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shortening any Offering Period or Purchase Period by setting a New Exercise Date, including an Offering Period or Purchase Period underway at the time of the Administrator action;</w:t>
      </w:r>
    </w:p>
    <w:p>
      <w:pPr>
        <w:spacing w:after="0" w:line="169" w:lineRule="exact"/>
        <w:rPr>
          <w:rFonts w:ascii="Times New Roman" w:cs="Times New Roman" w:eastAsia="Times New Roman" w:hAnsi="Times New Roman"/>
          <w:sz w:val="19"/>
          <w:szCs w:val="19"/>
          <w:color w:val="auto"/>
        </w:rPr>
      </w:pPr>
    </w:p>
    <w:p>
      <w:pPr>
        <w:ind w:left="1840" w:hanging="292"/>
        <w:spacing w:after="0"/>
        <w:tabs>
          <w:tab w:leader="none" w:pos="1840" w:val="left"/>
        </w:tabs>
        <w:numPr>
          <w:ilvl w:val="2"/>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reducing the maximum percentage of Compensation a Participant may elect to set aside as Contributions; and</w:t>
      </w:r>
    </w:p>
    <w:p>
      <w:pPr>
        <w:spacing w:after="0" w:line="245" w:lineRule="exact"/>
        <w:rPr>
          <w:rFonts w:ascii="Times New Roman" w:cs="Times New Roman" w:eastAsia="Times New Roman" w:hAnsi="Times New Roman"/>
          <w:sz w:val="19"/>
          <w:szCs w:val="19"/>
          <w:color w:val="auto"/>
        </w:rPr>
      </w:pPr>
    </w:p>
    <w:p>
      <w:pPr>
        <w:ind w:left="1840" w:hanging="292"/>
        <w:spacing w:after="0"/>
        <w:tabs>
          <w:tab w:leader="none" w:pos="1840" w:val="left"/>
        </w:tabs>
        <w:numPr>
          <w:ilvl w:val="2"/>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reducing the maximum number of shares of Common Stock a Participant may purchase during any Offering Period or</w:t>
      </w:r>
    </w:p>
    <w:p>
      <w:pPr>
        <w:spacing w:after="0" w:line="20"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 Period.</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Such modifications or amendments will not require stockholder approval or the consent of any Participants.</w:t>
      </w:r>
    </w:p>
    <w:p>
      <w:pPr>
        <w:sectPr>
          <w:pgSz w:w="11900" w:h="16838" w:orient="portrait"/>
          <w:cols w:equalWidth="0" w:num="1">
            <w:col w:w="11240"/>
          </w:cols>
          <w:pgMar w:left="320" w:top="118"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3"/>
        <w:spacing w:after="0" w:line="261" w:lineRule="auto"/>
        <w:tabs>
          <w:tab w:leader="none" w:pos="30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201" w:lineRule="exact"/>
        <w:rPr>
          <w:rFonts w:ascii="Times New Roman" w:cs="Times New Roman" w:eastAsia="Times New Roman" w:hAnsi="Times New Roman"/>
          <w:sz w:val="19"/>
          <w:szCs w:val="19"/>
          <w:color w:val="auto"/>
        </w:rPr>
      </w:pPr>
    </w:p>
    <w:p>
      <w:pPr>
        <w:ind w:right="280" w:firstLine="3"/>
        <w:spacing w:after="0" w:line="251" w:lineRule="auto"/>
        <w:tabs>
          <w:tab w:leader="none" w:pos="30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Upon Issuance of Shares</w:t>
      </w:r>
      <w:r>
        <w:rPr>
          <w:rFonts w:ascii="Times New Roman" w:cs="Times New Roman" w:eastAsia="Times New Roman" w:hAnsi="Times New Roman"/>
          <w:sz w:val="19"/>
          <w:szCs w:val="19"/>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3" w:lineRule="exact"/>
        <w:rPr>
          <w:rFonts w:ascii="Times New Roman" w:cs="Times New Roman" w:eastAsia="Times New Roman" w:hAnsi="Times New Roman"/>
          <w:sz w:val="19"/>
          <w:szCs w:val="19"/>
          <w:color w:val="auto"/>
        </w:rPr>
      </w:pPr>
    </w:p>
    <w:p>
      <w:pPr>
        <w:ind w:right="160"/>
        <w:spacing w:after="0" w:line="2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08" w:lineRule="exact"/>
        <w:rPr>
          <w:rFonts w:ascii="Times New Roman" w:cs="Times New Roman" w:eastAsia="Times New Roman" w:hAnsi="Times New Roman"/>
          <w:sz w:val="19"/>
          <w:szCs w:val="19"/>
          <w:color w:val="auto"/>
        </w:rPr>
      </w:pPr>
    </w:p>
    <w:p>
      <w:pPr>
        <w:ind w:firstLine="3"/>
        <w:spacing w:after="0" w:line="250" w:lineRule="auto"/>
        <w:tabs>
          <w:tab w:leader="none" w:pos="30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xml:space="preserve"> The 423 Component of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shall have no obligation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217" w:lineRule="exact"/>
        <w:rPr>
          <w:rFonts w:ascii="Times New Roman" w:cs="Times New Roman" w:eastAsia="Times New Roman" w:hAnsi="Times New Roman"/>
          <w:sz w:val="19"/>
          <w:szCs w:val="19"/>
          <w:color w:val="auto"/>
        </w:rPr>
      </w:pPr>
    </w:p>
    <w:p>
      <w:pPr>
        <w:ind w:right="780" w:firstLine="3"/>
        <w:spacing w:after="0" w:line="296" w:lineRule="auto"/>
        <w:tabs>
          <w:tab w:leader="none" w:pos="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The Plan will become effective upon the later to occur of (a) its adoption by the Board, (b) approval by the Company’s stockholders or (c) the Effective Date. It will continue in effect for a term of twenty (20) years, unless sooner terminated under Section 19.</w:t>
      </w:r>
    </w:p>
    <w:p>
      <w:pPr>
        <w:spacing w:after="0" w:line="171" w:lineRule="exact"/>
        <w:rPr>
          <w:rFonts w:ascii="Times New Roman" w:cs="Times New Roman" w:eastAsia="Times New Roman" w:hAnsi="Times New Roman"/>
          <w:sz w:val="18"/>
          <w:szCs w:val="18"/>
          <w:color w:val="auto"/>
        </w:rPr>
      </w:pPr>
    </w:p>
    <w:p>
      <w:pPr>
        <w:ind w:right="320" w:firstLine="3"/>
        <w:spacing w:after="0" w:line="268" w:lineRule="auto"/>
        <w:tabs>
          <w:tab w:leader="none" w:pos="30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Stockholder Approval</w:t>
      </w:r>
      <w:r>
        <w:rPr>
          <w:rFonts w:ascii="Times New Roman" w:cs="Times New Roman" w:eastAsia="Times New Roman" w:hAnsi="Times New Roman"/>
          <w:sz w:val="19"/>
          <w:szCs w:val="19"/>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94" w:lineRule="exact"/>
        <w:rPr>
          <w:rFonts w:ascii="Times New Roman" w:cs="Times New Roman" w:eastAsia="Times New Roman" w:hAnsi="Times New Roman"/>
          <w:sz w:val="19"/>
          <w:szCs w:val="19"/>
          <w:color w:val="auto"/>
        </w:rPr>
      </w:pPr>
    </w:p>
    <w:p>
      <w:pPr>
        <w:ind w:left="300" w:hanging="297"/>
        <w:spacing w:after="0"/>
        <w:tabs>
          <w:tab w:leader="none" w:pos="30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Plan will be governed by, and construed in accordance with, the laws of the State of California (except its choice-of-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law provisions).</w:t>
      </w:r>
    </w:p>
    <w:p>
      <w:pPr>
        <w:spacing w:after="0" w:line="220" w:lineRule="exact"/>
        <w:rPr>
          <w:sz w:val="20"/>
          <w:szCs w:val="20"/>
          <w:color w:val="auto"/>
        </w:rPr>
      </w:pPr>
    </w:p>
    <w:p>
      <w:pPr>
        <w:ind w:right="320" w:firstLine="3"/>
        <w:spacing w:after="0" w:line="261" w:lineRule="auto"/>
        <w:tabs>
          <w:tab w:leader="none" w:pos="30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 to Employment</w:t>
      </w:r>
      <w:r>
        <w:rPr>
          <w:rFonts w:ascii="Times New Roman" w:cs="Times New Roman" w:eastAsia="Times New Roman" w:hAnsi="Times New Roman"/>
          <w:sz w:val="19"/>
          <w:szCs w:val="19"/>
          <w:color w:val="auto"/>
        </w:rPr>
        <w:t>. Participation in the Plan by a Participant will not be construed as giving a Participant the right to be retained as an employee of the Company or a Subsidiary or Affiliate, as applicable. Furthermore, the Company or a Subsidiary or Affiliate may dismiss a Participant from employment at any time, free from any liability or any claim under the Plan.</w:t>
      </w:r>
    </w:p>
    <w:p>
      <w:pPr>
        <w:sectPr>
          <w:pgSz w:w="11900" w:h="16838" w:orient="portrait"/>
          <w:cols w:equalWidth="0" w:num="1">
            <w:col w:w="11240"/>
          </w:cols>
          <w:pgMar w:left="320" w:top="118"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40" w:firstLine="3"/>
        <w:spacing w:after="0" w:line="261" w:lineRule="auto"/>
        <w:tabs>
          <w:tab w:leader="none" w:pos="347"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201" w:lineRule="exact"/>
        <w:rPr>
          <w:rFonts w:ascii="Times New Roman" w:cs="Times New Roman" w:eastAsia="Times New Roman" w:hAnsi="Times New Roman"/>
          <w:sz w:val="19"/>
          <w:szCs w:val="19"/>
          <w:color w:val="auto"/>
        </w:rPr>
      </w:pPr>
    </w:p>
    <w:p>
      <w:pPr>
        <w:ind w:left="300" w:hanging="297"/>
        <w:spacing w:after="0"/>
        <w:tabs>
          <w:tab w:leader="none" w:pos="30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Applicable Laws</w:t>
      </w:r>
      <w:r>
        <w:rPr>
          <w:rFonts w:ascii="Times New Roman" w:cs="Times New Roman" w:eastAsia="Times New Roman" w:hAnsi="Times New Roman"/>
          <w:sz w:val="19"/>
          <w:szCs w:val="19"/>
          <w:color w:val="auto"/>
        </w:rPr>
        <w:t>. The terms of this Plan are intended to comply with all Applicable Laws and will be construed accordingly.</w:t>
      </w:r>
    </w:p>
    <w:p>
      <w:pPr>
        <w:spacing w:after="0" w:line="232" w:lineRule="exact"/>
        <w:rPr>
          <w:rFonts w:ascii="Times New Roman" w:cs="Times New Roman" w:eastAsia="Times New Roman" w:hAnsi="Times New Roman"/>
          <w:sz w:val="19"/>
          <w:szCs w:val="19"/>
          <w:color w:val="auto"/>
        </w:rPr>
      </w:pPr>
    </w:p>
    <w:p>
      <w:pPr>
        <w:jc w:val="both"/>
        <w:ind w:right="40" w:firstLine="3"/>
        <w:spacing w:after="0" w:line="259" w:lineRule="auto"/>
        <w:tabs>
          <w:tab w:leader="none" w:pos="30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Automatic Transfer to Low Price Offering Period</w:t>
      </w:r>
      <w:r>
        <w:rPr>
          <w:rFonts w:ascii="Times New Roman" w:cs="Times New Roman" w:eastAsia="Times New Roman" w:hAnsi="Times New Roman"/>
          <w:sz w:val="19"/>
          <w:szCs w:val="19"/>
          <w:color w:val="auto"/>
        </w:rPr>
        <w:t>. To the extent permitted by Applicable Laws, if the Fair Market Value on any Exercise Date in an Offering Period is lower than the Fair Market Value on the Enrollment Date of such Offering Period, then all Participants in such Offering Period automatically will be withdrawn from such Offering Period immediately after the exercise of their option on such Exercise Date and automatically re-enrolled in the immediately following Offering Period as of the first day thereof.</w:t>
      </w:r>
    </w:p>
    <w:p>
      <w:pPr>
        <w:sectPr>
          <w:pgSz w:w="11900" w:h="16838" w:orient="portrait"/>
          <w:cols w:equalWidth="0" w:num="1">
            <w:col w:w="11240"/>
          </w:cols>
          <w:pgMar w:left="320" w:top="118"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WHITEHAWK THERAPEUTICS,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2021 EMPLOYEE STOCK PURCHASE PLAN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SUBSCRIPTION AGREEMENT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Original Application Offering Date:</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Change in Payroll Deduction Rate</w:t>
      </w:r>
    </w:p>
    <w:p>
      <w:pPr>
        <w:spacing w:after="0" w:line="168" w:lineRule="exact"/>
        <w:rPr>
          <w:sz w:val="20"/>
          <w:szCs w:val="20"/>
          <w:color w:val="auto"/>
        </w:rPr>
      </w:pPr>
    </w:p>
    <w:p>
      <w:pPr>
        <w:jc w:val="both"/>
        <w:ind w:right="80" w:firstLine="621"/>
        <w:spacing w:after="0" w:line="287" w:lineRule="auto"/>
        <w:tabs>
          <w:tab w:leader="none" w:pos="807"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____________ hereby elects to participate in the Whitehawk Therapeutics, Inc. 2021 Employee Stock Purchase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and subscribes to purchase shares of the Company’s Common Stock in accordance with this Subscription Agreement and the Plan. Unless otherwise defined herein, the terms defined in the 2021 Employee Stock Purchase Plan (the “Plan”) shall have the same defined meanings in this Subscription Agreement.</w:t>
      </w:r>
    </w:p>
    <w:p>
      <w:pPr>
        <w:spacing w:after="0" w:line="113" w:lineRule="exact"/>
        <w:rPr>
          <w:rFonts w:ascii="Times New Roman" w:cs="Times New Roman" w:eastAsia="Times New Roman" w:hAnsi="Times New Roman"/>
          <w:sz w:val="19"/>
          <w:szCs w:val="19"/>
          <w:color w:val="auto"/>
        </w:rPr>
      </w:pPr>
    </w:p>
    <w:p>
      <w:pPr>
        <w:ind w:right="180" w:firstLine="621"/>
        <w:spacing w:after="0" w:line="301" w:lineRule="auto"/>
        <w:tabs>
          <w:tab w:leader="none" w:pos="80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authorize and consent to payroll deductions from each paycheck in the amount of % (from 0 to fifteen percent (15%)) of my Compensation on each payday during the Offering Period in accordance with the Plan. (Please note that no fractional percentages are permitted.) I understand that only my first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05" w:lineRule="exact"/>
        <w:rPr>
          <w:rFonts w:ascii="Times New Roman" w:cs="Times New Roman" w:eastAsia="Times New Roman" w:hAnsi="Times New Roman"/>
          <w:sz w:val="18"/>
          <w:szCs w:val="18"/>
          <w:color w:val="auto"/>
        </w:rPr>
      </w:pPr>
    </w:p>
    <w:p>
      <w:pPr>
        <w:ind w:right="200" w:firstLine="621"/>
        <w:spacing w:after="0" w:line="282" w:lineRule="auto"/>
        <w:tabs>
          <w:tab w:leader="none" w:pos="807"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19" w:lineRule="exact"/>
        <w:rPr>
          <w:rFonts w:ascii="Times New Roman" w:cs="Times New Roman" w:eastAsia="Times New Roman" w:hAnsi="Times New Roman"/>
          <w:sz w:val="19"/>
          <w:szCs w:val="19"/>
          <w:color w:val="auto"/>
        </w:rPr>
      </w:pPr>
    </w:p>
    <w:p>
      <w:pPr>
        <w:ind w:right="480" w:firstLine="621"/>
        <w:spacing w:after="0" w:line="297" w:lineRule="auto"/>
        <w:tabs>
          <w:tab w:leader="none" w:pos="807"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received a copy of the complete Plan and its accompanying prospectus. I understand that my participation in the Plan is in all respects subject to the terms of the Plan.</w:t>
      </w:r>
    </w:p>
    <w:p>
      <w:pPr>
        <w:spacing w:after="0" w:line="103" w:lineRule="exact"/>
        <w:rPr>
          <w:rFonts w:ascii="Times New Roman" w:cs="Times New Roman" w:eastAsia="Times New Roman" w:hAnsi="Times New Roman"/>
          <w:sz w:val="19"/>
          <w:szCs w:val="19"/>
          <w:color w:val="auto"/>
        </w:rPr>
      </w:pPr>
    </w:p>
    <w:p>
      <w:pPr>
        <w:ind w:right="200" w:firstLine="621"/>
        <w:spacing w:after="0" w:line="297" w:lineRule="auto"/>
        <w:tabs>
          <w:tab w:leader="none" w:pos="807"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of Common Stock purchased for me under the Plan should be issued in the name(s) of (Eligible Employee or Eligible Employee and spouse only).</w:t>
      </w:r>
    </w:p>
    <w:p>
      <w:pPr>
        <w:spacing w:after="0" w:line="103" w:lineRule="exact"/>
        <w:rPr>
          <w:rFonts w:ascii="Times New Roman" w:cs="Times New Roman" w:eastAsia="Times New Roman" w:hAnsi="Times New Roman"/>
          <w:sz w:val="19"/>
          <w:szCs w:val="19"/>
          <w:color w:val="auto"/>
        </w:rPr>
      </w:pPr>
    </w:p>
    <w:p>
      <w:pPr>
        <w:ind w:right="20" w:firstLine="621"/>
        <w:spacing w:after="0" w:line="282" w:lineRule="auto"/>
        <w:tabs>
          <w:tab w:leader="none" w:pos="807"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I am a U.S. taxpayer, I understand that if I dispose of any shares received by me pursuant to the Plan within two (2) years after the Enrollment Date (the first day of the Offering Period during which I purchased such shares) or one (1) year after the applicable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Times New Roman" w:cs="Times New Roman" w:eastAsia="Times New Roman" w:hAnsi="Times New Roman"/>
          <w:sz w:val="19"/>
          <w:szCs w:val="19"/>
          <w:u w:val="single" w:color="auto"/>
          <w:color w:val="auto"/>
        </w:rPr>
        <w:t>I hereby agree to notify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Company in writing within thirty (30) days after the date of any disposition of my shares and I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5102225" cy="247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5102225" cy="2476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9"/>
          <w:szCs w:val="19"/>
          <w:u w:val="single" w:color="auto"/>
          <w:color w:val="auto"/>
        </w:rPr>
        <w:t>make adequate provision for federal, state or other tax withholding obligations, if any, which arise upon the disposition of such shares</w:t>
      </w:r>
      <w:r>
        <w:rPr>
          <w:rFonts w:ascii="Times New Roman" w:cs="Times New Roman" w:eastAsia="Times New Roman" w:hAnsi="Times New Roman"/>
          <w:sz w:val="19"/>
          <w:szCs w:val="19"/>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(2)-year and one (1)-year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w:t>
      </w:r>
    </w:p>
    <w:p>
      <w:pPr>
        <w:spacing w:after="0" w:line="124" w:lineRule="exact"/>
        <w:rPr>
          <w:sz w:val="20"/>
          <w:szCs w:val="20"/>
          <w:color w:val="auto"/>
        </w:rPr>
      </w:pPr>
    </w:p>
    <w:p>
      <w:pPr>
        <w:ind w:right="60" w:firstLine="621"/>
        <w:spacing w:after="0" w:line="297" w:lineRule="auto"/>
        <w:tabs>
          <w:tab w:leader="none" w:pos="807"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hereby agree to be bound by the terms of the Plan. The effectiveness of this Subscription Agreement is dependent upon my eligibility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Employee’s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-10160</wp:posOffset>
            </wp:positionV>
            <wp:extent cx="24568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-10160</wp:posOffset>
            </wp:positionV>
            <wp:extent cx="24568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spacing w:after="0" w:line="393" w:lineRule="exact"/>
        <w:rPr>
          <w:sz w:val="20"/>
          <w:szCs w:val="20"/>
          <w:color w:val="auto"/>
        </w:rPr>
      </w:pPr>
    </w:p>
    <w:p>
      <w:pPr>
        <w:ind w:right="480"/>
        <w:spacing w:after="0" w:line="311" w:lineRule="auto"/>
        <w:rPr>
          <w:sz w:val="20"/>
          <w:szCs w:val="20"/>
          <w:color w:val="auto"/>
        </w:rPr>
      </w:pPr>
      <w:r>
        <w:rPr>
          <w:rFonts w:ascii="Times New Roman" w:cs="Times New Roman" w:eastAsia="Times New Roman" w:hAnsi="Times New Roman"/>
          <w:sz w:val="19"/>
          <w:szCs w:val="19"/>
          <w:color w:val="auto"/>
        </w:rPr>
        <w:t>I UNDERSTAND THAT THIS SUBSCRIPTION AGREEMENT WILL REMAIN IN EFFECT THROUGHOUT SUCCESSIVE OFFERING PERIODS UNLESS TERMINATED BY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-10160</wp:posOffset>
            </wp:positionV>
            <wp:extent cx="104838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1048385" cy="8255"/>
                    </a:xfrm>
                    <a:prstGeom prst="rect">
                      <a:avLst/>
                    </a:prstGeom>
                    <a:noFill/>
                  </pic:spPr>
                </pic:pic>
              </a:graphicData>
            </a:graphic>
          </wp:anchor>
        </w:drawing>
        <w:drawing>
          <wp:anchor simplePos="0" relativeHeight="251657728" behindDoc="1" locked="0" layoutInCell="0" allowOverlap="1">
            <wp:simplePos x="0" y="0"/>
            <wp:positionH relativeFrom="column">
              <wp:posOffset>3733165</wp:posOffset>
            </wp:positionH>
            <wp:positionV relativeFrom="paragraph">
              <wp:posOffset>-10160</wp:posOffset>
            </wp:positionV>
            <wp:extent cx="15881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19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Signature of Employee</w:t>
      </w:r>
    </w:p>
    <w:p>
      <w:pPr>
        <w:sectPr>
          <w:pgSz w:w="11900" w:h="16838" w:orient="portrait"/>
          <w:cols w:equalWidth="0" w:num="1">
            <w:col w:w="11240"/>
          </w:cols>
          <w:pgMar w:left="320" w:top="118"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9"/>
          <w:szCs w:val="19"/>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B</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WHITEHAWK THERAPEUTICS,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2021 EMPLOYEE STOCK PURCHASE PLAN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NOTICE OF WITHDRAWAL</w:t>
      </w:r>
    </w:p>
    <w:p>
      <w:pPr>
        <w:spacing w:after="0" w:line="15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Unless otherwise defined herein, the terms defined in the 2021 Employee Stock Purchase Plan (the “Plan”) shall have the same defined meanings in this Notice of Withdrawal.</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Participant in the Offering Period of the Whitehawk Therapeutics, Inc. 2021 Employee Stock Purchase Plan that began on</w:t>
      </w:r>
    </w:p>
    <w:p>
      <w:pPr>
        <w:spacing w:after="0" w:line="26" w:lineRule="exact"/>
        <w:rPr>
          <w:sz w:val="20"/>
          <w:szCs w:val="20"/>
          <w:color w:val="auto"/>
        </w:rPr>
      </w:pPr>
    </w:p>
    <w:p>
      <w:pPr>
        <w:ind w:right="20" w:firstLine="1183"/>
        <w:spacing w:after="0" w:line="251" w:lineRule="auto"/>
        <w:tabs>
          <w:tab w:leader="none" w:pos="2029"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Enrollment Date</w:t>
      </w:r>
      <w:r>
        <w:rPr>
          <w:rFonts w:ascii="Times New Roman" w:cs="Times New Roman" w:eastAsia="Times New Roman" w:hAnsi="Times New Roman"/>
          <w:sz w:val="19"/>
          <w:szCs w:val="19"/>
          <w:color w:val="auto"/>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520700</wp:posOffset>
            </wp:positionV>
            <wp:extent cx="25768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2576830" cy="8255"/>
                    </a:xfrm>
                    <a:prstGeom prst="rect">
                      <a:avLst/>
                    </a:prstGeom>
                    <a:noFill/>
                  </pic:spPr>
                </pic:pic>
              </a:graphicData>
            </a:graphic>
          </wp:anchor>
        </w:drawing>
        <w:drawing>
          <wp:anchor simplePos="0" relativeHeight="251657728" behindDoc="1" locked="0" layoutInCell="0" allowOverlap="1">
            <wp:simplePos x="0" y="0"/>
            <wp:positionH relativeFrom="column">
              <wp:posOffset>2536825</wp:posOffset>
            </wp:positionH>
            <wp:positionV relativeFrom="paragraph">
              <wp:posOffset>1052195</wp:posOffset>
            </wp:positionV>
            <wp:extent cx="25768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2576830" cy="8255"/>
                    </a:xfrm>
                    <a:prstGeom prst="rect">
                      <a:avLst/>
                    </a:prstGeom>
                    <a:noFill/>
                  </pic:spPr>
                </pic:pic>
              </a:graphicData>
            </a:graphic>
          </wp:anchor>
        </w:drawing>
        <w:drawing>
          <wp:anchor simplePos="0" relativeHeight="251657728" behindDoc="1" locked="0" layoutInCell="0" allowOverlap="1">
            <wp:simplePos x="0" y="0"/>
            <wp:positionH relativeFrom="column">
              <wp:posOffset>2536825</wp:posOffset>
            </wp:positionH>
            <wp:positionV relativeFrom="paragraph">
              <wp:posOffset>1583690</wp:posOffset>
            </wp:positionV>
            <wp:extent cx="25768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2576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520700</wp:posOffset>
            </wp:positionV>
            <wp:extent cx="25768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2576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-10160</wp:posOffset>
            </wp:positionV>
            <wp:extent cx="22472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224726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21"/>
          <w:szCs w:val="2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WHITEHAWK THERAPEUTICS,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2021 EQUITY INCENTIVE PLAN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NOTICE OF RESTRICTED STOCK UNIT GRANT</w:t>
      </w:r>
    </w:p>
    <w:p>
      <w:pPr>
        <w:spacing w:after="0" w:line="213"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20"/>
          <w:szCs w:val="20"/>
          <w:color w:val="auto"/>
        </w:rPr>
        <w:t>Unless otherwise defined herein, the terms defined in the Whitehawk Therapeutics, Inc. 2021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20"/>
          <w:szCs w:val="20"/>
          <w:u w:val="single" w:color="auto"/>
          <w:color w:val="auto"/>
        </w:rPr>
        <w:t>Notice of Grant</w:t>
      </w:r>
      <w:r>
        <w:rPr>
          <w:rFonts w:ascii="Times New Roman" w:cs="Times New Roman" w:eastAsia="Times New Roman" w:hAnsi="Times New Roman"/>
          <w:sz w:val="20"/>
          <w:szCs w:val="20"/>
          <w:color w:val="auto"/>
        </w:rPr>
        <w:t xml:space="preserve">”), the Terms and Conditions of Restricted Stock Unit Grant,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Country Addendum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and all other exhibits, appendices, and addenda attached hereto (together, the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Participant Name:</w:t>
      </w:r>
    </w:p>
    <w:p>
      <w:pPr>
        <w:spacing w:after="0" w:line="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Address:</w:t>
      </w:r>
    </w:p>
    <w:p>
      <w:pPr>
        <w:spacing w:after="0" w:line="187"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The undersigned Participant has been granted the right to receive an Award of Restricted Stock Units, subject to the terms and conditions of the Plan and this Award Agreement, as follows:</w:t>
      </w:r>
    </w:p>
    <w:p>
      <w:pPr>
        <w:sectPr>
          <w:pgSz w:w="11900" w:h="16838" w:orient="portrait"/>
          <w:cols w:equalWidth="0" w:num="1">
            <w:col w:w="11240"/>
          </w:cols>
          <w:pgMar w:left="320" w:top="127" w:right="339" w:bottom="1440" w:gutter="0" w:footer="0" w:header="0"/>
        </w:sectPr>
      </w:pP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Employee ID: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200" w:lineRule="exact"/>
        <w:rPr>
          <w:sz w:val="20"/>
          <w:szCs w:val="20"/>
          <w:color w:val="auto"/>
        </w:rPr>
      </w:pPr>
    </w:p>
    <w:p>
      <w:pPr>
        <w:sectPr>
          <w:pgSz w:w="11900" w:h="16838" w:orient="portrait"/>
          <w:cols w:equalWidth="0" w:num="2">
            <w:col w:w="2100" w:space="720"/>
            <w:col w:w="8420"/>
          </w:cols>
          <w:pgMar w:left="320" w:top="127" w:right="339" w:bottom="1440" w:gutter="0" w:footer="0" w:header="0"/>
          <w:type w:val="continuous"/>
        </w:sectPr>
      </w:pP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Grant Number: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00" w:lineRule="exact"/>
        <w:rPr>
          <w:sz w:val="20"/>
          <w:szCs w:val="20"/>
          <w:color w:val="auto"/>
        </w:rPr>
      </w:pPr>
    </w:p>
    <w:p>
      <w:pPr>
        <w:sectPr>
          <w:pgSz w:w="11900" w:h="16838" w:orient="portrait"/>
          <w:cols w:equalWidth="0" w:num="2">
            <w:col w:w="1980" w:space="720"/>
            <w:col w:w="8540"/>
          </w:cols>
          <w:pgMar w:left="320" w:top="127" w:right="339" w:bottom="1440" w:gutter="0" w:footer="0" w:header="0"/>
          <w:type w:val="continuous"/>
        </w:sectPr>
      </w:pP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Date of Grant: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00" w:lineRule="exact"/>
        <w:rPr>
          <w:sz w:val="20"/>
          <w:szCs w:val="20"/>
          <w:color w:val="auto"/>
        </w:rPr>
      </w:pPr>
    </w:p>
    <w:p>
      <w:pPr>
        <w:sectPr>
          <w:pgSz w:w="11900" w:h="16838" w:orient="portrait"/>
          <w:cols w:equalWidth="0" w:num="2">
            <w:col w:w="2120" w:space="720"/>
            <w:col w:w="8400"/>
          </w:cols>
          <w:pgMar w:left="320" w:top="127" w:right="339" w:bottom="1440" w:gutter="0" w:footer="0" w:header="0"/>
          <w:type w:val="continuous"/>
        </w:sectPr>
      </w:pP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00" w:lineRule="exact"/>
        <w:rPr>
          <w:sz w:val="20"/>
          <w:szCs w:val="20"/>
          <w:color w:val="auto"/>
        </w:rPr>
      </w:pPr>
    </w:p>
    <w:p>
      <w:pPr>
        <w:sectPr>
          <w:pgSz w:w="11900" w:h="16838" w:orient="portrait"/>
          <w:cols w:equalWidth="0" w:num="2">
            <w:col w:w="3140" w:space="420"/>
            <w:col w:w="7680"/>
          </w:cols>
          <w:pgMar w:left="320" w:top="127" w:right="339" w:bottom="1440" w:gutter="0" w:footer="0" w:header="0"/>
          <w:type w:val="continuous"/>
        </w:sectPr>
      </w:pP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Total Number of Shares Subject to</w:t>
      </w:r>
    </w:p>
    <w:p>
      <w:pPr>
        <w:spacing w:after="0" w:line="25" w:lineRule="exact"/>
        <w:rPr>
          <w:sz w:val="20"/>
          <w:szCs w:val="20"/>
          <w:color w:val="auto"/>
        </w:rPr>
      </w:pPr>
    </w:p>
    <w:p>
      <w:pPr>
        <w:ind w:left="620"/>
        <w:spacing w:after="0"/>
        <w:tabs>
          <w:tab w:leader="none" w:pos="3140" w:val="left"/>
        </w:tabs>
        <w:rPr>
          <w:sz w:val="20"/>
          <w:szCs w:val="20"/>
          <w:color w:val="auto"/>
        </w:rPr>
      </w:pPr>
      <w:r>
        <w:rPr>
          <w:rFonts w:ascii="Times New Roman" w:cs="Times New Roman" w:eastAsia="Times New Roman" w:hAnsi="Times New Roman"/>
          <w:sz w:val="21"/>
          <w:szCs w:val="21"/>
          <w:color w:val="auto"/>
        </w:rPr>
        <w:t>Restricted Stock Units:</w:t>
      </w:r>
      <w:r>
        <w:rPr>
          <w:sz w:val="20"/>
          <w:szCs w:val="20"/>
          <w:color w:val="auto"/>
        </w:rPr>
        <w:tab/>
      </w:r>
      <w:r>
        <w:rPr>
          <w:rFonts w:ascii="Times New Roman" w:cs="Times New Roman" w:eastAsia="Times New Roman" w:hAnsi="Times New Roman"/>
          <w:sz w:val="20"/>
          <w:szCs w:val="20"/>
          <w:color w:val="auto"/>
        </w:rPr>
        <w:t>______________________________</w:t>
      </w:r>
    </w:p>
    <w:p>
      <w:pPr>
        <w:sectPr>
          <w:pgSz w:w="11900" w:h="16838" w:orient="portrait"/>
          <w:cols w:equalWidth="0" w:num="1">
            <w:col w:w="11240"/>
          </w:cols>
          <w:pgMar w:left="320" w:top="127" w:right="339" w:bottom="1440" w:gutter="0" w:footer="0" w:header="0"/>
          <w:type w:val="continuous"/>
        </w:sectPr>
      </w:pP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Subject to any acceleration provisions contained in the Plan, set forth in a separate policy or agreement between Participant and the Company, or set forth below, the Restricted Stock Units will be scheduled to vest in accordance with the following schedule:</w:t>
      </w:r>
    </w:p>
    <w:p>
      <w:pPr>
        <w:spacing w:after="0" w:line="154"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One hundred percent (100%) of the Restricted Stock Units shall vest on the one (1) year anniversary of the Date of Grant, subject to Participant continuing to be a Service Provider through such date.</w:t>
      </w:r>
    </w:p>
    <w:p>
      <w:pPr>
        <w:spacing w:after="0" w:line="154" w:lineRule="exact"/>
        <w:rPr>
          <w:sz w:val="20"/>
          <w:szCs w:val="20"/>
          <w:color w:val="auto"/>
        </w:rPr>
      </w:pPr>
    </w:p>
    <w:p>
      <w:pPr>
        <w:jc w:val="both"/>
        <w:ind w:firstLine="618"/>
        <w:spacing w:after="0" w:line="262" w:lineRule="auto"/>
        <w:rPr>
          <w:sz w:val="20"/>
          <w:szCs w:val="20"/>
          <w:color w:val="auto"/>
        </w:rPr>
      </w:pPr>
      <w:r>
        <w:rPr>
          <w:rFonts w:ascii="Times New Roman" w:cs="Times New Roman" w:eastAsia="Times New Roman" w:hAnsi="Times New Roman"/>
          <w:sz w:val="21"/>
          <w:szCs w:val="21"/>
          <w:color w:val="auto"/>
        </w:rPr>
        <w:t>In the event of cessation of Participant’s status as a Service Provider for any or no reason before Participant vests in the Restricted Stock Units, the Restricted Stock Units and Participant’s right to acquire any Shares hereunder will terminate immediately, unless</w:t>
      </w:r>
    </w:p>
    <w:p>
      <w:pPr>
        <w:sectPr>
          <w:pgSz w:w="11900" w:h="16838" w:orient="portrait"/>
          <w:cols w:equalWidth="0" w:num="1">
            <w:col w:w="11240"/>
          </w:cols>
          <w:pgMar w:left="320" w:top="127" w:right="339" w:bottom="1440" w:gutter="0" w:footer="0" w:header="0"/>
          <w:type w:val="continuous"/>
        </w:sectPr>
      </w:pPr>
    </w:p>
    <w:bookmarkStart w:id="202" w:name="page203"/>
    <w:bookmarkEnd w:id="202"/>
    <w:p>
      <w:pPr>
        <w:spacing w:after="0" w:line="33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specifically provided otherwise in this Award Agreement or other written agreement between Participant and the Company or any of its Subsidiaries or Parents, as applicable.</w:t>
      </w:r>
    </w:p>
    <w:p>
      <w:pPr>
        <w:spacing w:after="0" w:line="154"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By Participant’s signature and the signature of the representative of Whitehawk Therapeutics,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below, or by Participant’s acceptance of the Award Agreement via the Company’s designated electronic acceptance procedures,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Country Addendum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200" w:lineRule="exact"/>
        <w:rPr>
          <w:sz w:val="20"/>
          <w:szCs w:val="20"/>
          <w:color w:val="auto"/>
        </w:rPr>
      </w:pPr>
    </w:p>
    <w:p>
      <w:pPr>
        <w:spacing w:after="0" w:line="21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1"/>
          <w:szCs w:val="21"/>
          <w:color w:val="auto"/>
        </w:rPr>
        <w:t>PARTICIPANT</w:t>
      </w:r>
      <w:r>
        <w:rPr>
          <w:sz w:val="20"/>
          <w:szCs w:val="20"/>
          <w:color w:val="auto"/>
        </w:rPr>
        <w:tab/>
      </w:r>
      <w:r>
        <w:rPr>
          <w:rFonts w:ascii="Times New Roman" w:cs="Times New Roman" w:eastAsia="Times New Roman" w:hAnsi="Times New Roman"/>
          <w:sz w:val="21"/>
          <w:szCs w:val="21"/>
          <w:color w:val="auto"/>
        </w:rPr>
        <w:t>WHITEHAWK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533400</wp:posOffset>
            </wp:positionV>
            <wp:extent cx="6540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654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7"/>
          <w:szCs w:val="17"/>
          <w:color w:val="auto"/>
        </w:rPr>
        <w:t>Signature</w:t>
      </w:r>
      <w:r>
        <w:rPr>
          <w:sz w:val="20"/>
          <w:szCs w:val="20"/>
          <w:color w:val="auto"/>
        </w:rPr>
        <w:tab/>
      </w: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540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654050" cy="8255"/>
                    </a:xfrm>
                    <a:prstGeom prst="rect">
                      <a:avLst/>
                    </a:prstGeom>
                    <a:noFill/>
                  </pic:spPr>
                </pic:pic>
              </a:graphicData>
            </a:graphic>
          </wp:anchor>
        </w:drawing>
      </w:r>
    </w:p>
    <w:p>
      <w:pPr>
        <w:spacing w:after="0" w:line="33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color w:val="auto"/>
        </w:rPr>
        <w:t>Print Name</w:t>
      </w:r>
      <w:r>
        <w:rPr>
          <w:sz w:val="20"/>
          <w:szCs w:val="20"/>
          <w:color w:val="auto"/>
        </w:rPr>
        <w:tab/>
      </w: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213360</wp:posOffset>
            </wp:positionV>
            <wp:extent cx="2616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261620" cy="8255"/>
                    </a:xfrm>
                    <a:prstGeom prst="rect">
                      <a:avLst/>
                    </a:prstGeom>
                    <a:noFill/>
                  </pic:spPr>
                </pic:pic>
              </a:graphicData>
            </a:graphic>
          </wp:anchor>
        </w:drawing>
      </w:r>
    </w:p>
    <w:p>
      <w:pPr>
        <w:spacing w:after="0" w:line="3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- 2 -</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TERMS AND CONDITIONS OF RESTRICTED STOCK UNIT GRANT</w:t>
      </w:r>
    </w:p>
    <w:p>
      <w:pPr>
        <w:spacing w:after="0" w:line="200" w:lineRule="exact"/>
        <w:rPr>
          <w:sz w:val="20"/>
          <w:szCs w:val="20"/>
          <w:color w:val="auto"/>
        </w:rPr>
      </w:pPr>
    </w:p>
    <w:p>
      <w:pPr>
        <w:spacing w:after="0" w:line="245" w:lineRule="exact"/>
        <w:rPr>
          <w:sz w:val="20"/>
          <w:szCs w:val="20"/>
          <w:color w:val="auto"/>
        </w:rPr>
      </w:pPr>
    </w:p>
    <w:p>
      <w:pPr>
        <w:jc w:val="both"/>
        <w:ind w:firstLine="621"/>
        <w:spacing w:after="0" w:line="250" w:lineRule="auto"/>
        <w:tabs>
          <w:tab w:leader="none" w:pos="992"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Restricted Stock Units</w:t>
      </w:r>
      <w:r>
        <w:rPr>
          <w:rFonts w:ascii="Times New Roman" w:cs="Times New Roman" w:eastAsia="Times New Roman" w:hAnsi="Times New Roman"/>
          <w:sz w:val="21"/>
          <w:szCs w:val="21"/>
          <w:color w:val="auto"/>
        </w:rPr>
        <w:t>. The Company hereby grants to the individual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named in the Notice of Grant of Restricted Stock Units of this Award Agreement (the “</w:t>
      </w:r>
      <w:r>
        <w:rPr>
          <w:rFonts w:ascii="Times New Roman" w:cs="Times New Roman" w:eastAsia="Times New Roman" w:hAnsi="Times New Roman"/>
          <w:sz w:val="21"/>
          <w:szCs w:val="21"/>
          <w:u w:val="single" w:color="auto"/>
          <w:color w:val="auto"/>
        </w:rPr>
        <w:t>Notice of Grant</w:t>
      </w:r>
      <w:r>
        <w:rPr>
          <w:rFonts w:ascii="Times New Roman" w:cs="Times New Roman" w:eastAsia="Times New Roman" w:hAnsi="Times New Roman"/>
          <w:sz w:val="21"/>
          <w:szCs w:val="21"/>
          <w:color w:val="auto"/>
        </w:rPr>
        <w:t>”) under the Plan an Award of Restricted Stock Units, and subject to the terms and conditions of this Award Agreement and the Plan, which is incorporated herein by reference. Subject to Section 19 of the Plan, in the event of a conflict between the terms and conditions of the Plan and this Award Agreement, the terms and conditions of the Plan shall prevail. Unless otherwise defined herein, capitalized terms used but not defined herein shall have the same meanings as set forth in the Notice of Grant or the Plan.</w:t>
      </w:r>
    </w:p>
    <w:p>
      <w:pPr>
        <w:spacing w:after="0" w:line="87" w:lineRule="exact"/>
        <w:rPr>
          <w:rFonts w:ascii="Times New Roman" w:cs="Times New Roman" w:eastAsia="Times New Roman" w:hAnsi="Times New Roman"/>
          <w:sz w:val="21"/>
          <w:szCs w:val="21"/>
          <w:color w:val="auto"/>
        </w:rPr>
      </w:pPr>
    </w:p>
    <w:p>
      <w:pPr>
        <w:jc w:val="both"/>
        <w:ind w:firstLine="621"/>
        <w:spacing w:after="0" w:line="251" w:lineRule="auto"/>
        <w:tabs>
          <w:tab w:leader="none" w:pos="992"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Company’s Obligation to Pay</w:t>
      </w:r>
      <w:r>
        <w:rPr>
          <w:rFonts w:ascii="Times New Roman" w:cs="Times New Roman" w:eastAsia="Times New Roman" w:hAnsi="Times New Roman"/>
          <w:sz w:val="21"/>
          <w:szCs w:val="21"/>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71" w:lineRule="exact"/>
        <w:rPr>
          <w:rFonts w:ascii="Times New Roman" w:cs="Times New Roman" w:eastAsia="Times New Roman" w:hAnsi="Times New Roman"/>
          <w:sz w:val="21"/>
          <w:szCs w:val="21"/>
          <w:color w:val="auto"/>
        </w:rPr>
      </w:pPr>
    </w:p>
    <w:p>
      <w:pPr>
        <w:jc w:val="both"/>
        <w:ind w:firstLine="621"/>
        <w:spacing w:after="0" w:line="262" w:lineRule="auto"/>
        <w:tabs>
          <w:tab w:leader="none" w:pos="1043"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 Except as provided in Section 4, and subject to Section 5, the Restricted Stock Units awarded by this Award Agreement will vest in accordance with the vesting provisions set forth in the Notice of Grant, subject to Participant continuing to be a Service Provider through each applicable vesting date.</w:t>
      </w:r>
    </w:p>
    <w:p>
      <w:pPr>
        <w:spacing w:after="0" w:line="59" w:lineRule="exact"/>
        <w:rPr>
          <w:rFonts w:ascii="Times New Roman" w:cs="Times New Roman" w:eastAsia="Times New Roman" w:hAnsi="Times New Roman"/>
          <w:sz w:val="21"/>
          <w:szCs w:val="21"/>
          <w:color w:val="auto"/>
        </w:rPr>
      </w:pPr>
    </w:p>
    <w:p>
      <w:pPr>
        <w:ind w:left="980" w:hanging="359"/>
        <w:spacing w:after="0"/>
        <w:tabs>
          <w:tab w:leader="none" w:pos="980"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after Vesting</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1317"/>
        <w:spacing w:after="0" w:line="263" w:lineRule="auto"/>
        <w:tabs>
          <w:tab w:leader="none" w:pos="1761" w:val="left"/>
        </w:tabs>
        <w:numPr>
          <w:ilvl w:val="2"/>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Rule</w:t>
      </w:r>
      <w:r>
        <w:rPr>
          <w:rFonts w:ascii="Times New Roman" w:cs="Times New Roman" w:eastAsia="Times New Roman" w:hAnsi="Times New Roman"/>
          <w:sz w:val="20"/>
          <w:szCs w:val="20"/>
          <w:color w:val="auto"/>
        </w:rPr>
        <w:t>. Subject to Section 7, any Restricted Stock Units that vest will be paid to Participant (or in the event of Participant’s death, to his or her properly designated beneficiary or estate) in whole Shares. Subject to the provisions of Section 4(b), such vested Restricted Stock Units shall be paid in whole Shares as soon as practicable after vesting, but in each such case within sixty</w:t>
      </w:r>
    </w:p>
    <w:p>
      <w:pPr>
        <w:ind w:firstLine="3"/>
        <w:spacing w:after="0" w:line="259" w:lineRule="auto"/>
        <w:tabs>
          <w:tab w:leader="none" w:pos="421"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the vesting date. In no event will Participant be permitted, directly or indirectly, to specify the taxable year of payment of any Restricted Stock Units payable under this Award Agreement.</w:t>
      </w:r>
    </w:p>
    <w:p>
      <w:pPr>
        <w:spacing w:after="0" w:line="61" w:lineRule="exact"/>
        <w:rPr>
          <w:rFonts w:ascii="Times New Roman" w:cs="Times New Roman" w:eastAsia="Times New Roman" w:hAnsi="Times New Roman"/>
          <w:sz w:val="21"/>
          <w:szCs w:val="21"/>
          <w:color w:val="auto"/>
        </w:rPr>
      </w:pPr>
    </w:p>
    <w:p>
      <w:pPr>
        <w:ind w:left="1760" w:hanging="443"/>
        <w:spacing w:after="0"/>
        <w:tabs>
          <w:tab w:leader="none" w:pos="1760" w:val="left"/>
        </w:tabs>
        <w:numPr>
          <w:ilvl w:val="2"/>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Acceleration</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1857"/>
        <w:spacing w:after="0" w:line="250" w:lineRule="auto"/>
        <w:tabs>
          <w:tab w:leader="none" w:pos="2255" w:val="left"/>
        </w:tabs>
        <w:numPr>
          <w:ilvl w:val="3"/>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Acceleration</w:t>
      </w:r>
      <w:r>
        <w:rPr>
          <w:rFonts w:ascii="Times New Roman" w:cs="Times New Roman" w:eastAsia="Times New Roman" w:hAnsi="Times New Roman"/>
          <w:sz w:val="21"/>
          <w:szCs w:val="21"/>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74" w:lineRule="exact"/>
        <w:rPr>
          <w:rFonts w:ascii="Times New Roman" w:cs="Times New Roman" w:eastAsia="Times New Roman" w:hAnsi="Times New Roman"/>
          <w:sz w:val="21"/>
          <w:szCs w:val="21"/>
          <w:color w:val="auto"/>
        </w:rPr>
      </w:pPr>
    </w:p>
    <w:p>
      <w:pPr>
        <w:ind w:firstLine="1857"/>
        <w:spacing w:after="0" w:line="269" w:lineRule="auto"/>
        <w:tabs>
          <w:tab w:leader="none" w:pos="2381" w:val="left"/>
        </w:tabs>
        <w:numPr>
          <w:ilvl w:val="3"/>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the Plan or this Award Agreement or any other agreement (whether entered into before, on or after the Date of Grant), if the vesting of the</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balance, or some lesser portion of the balance, of the Restricted Stock Units is accelerated in connection with the cessation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63" w:lineRule="exact"/>
        <w:rPr>
          <w:sz w:val="20"/>
          <w:szCs w:val="20"/>
          <w:color w:val="auto"/>
        </w:rPr>
      </w:pPr>
    </w:p>
    <w:p>
      <w:pPr>
        <w:jc w:val="both"/>
        <w:ind w:firstLine="1239"/>
        <w:spacing w:after="0" w:line="249" w:lineRule="auto"/>
        <w:tabs>
          <w:tab w:leader="none" w:pos="1825"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74" w:lineRule="exact"/>
        <w:rPr>
          <w:rFonts w:ascii="Times New Roman" w:cs="Times New Roman" w:eastAsia="Times New Roman" w:hAnsi="Times New Roman"/>
          <w:sz w:val="21"/>
          <w:szCs w:val="21"/>
          <w:color w:val="auto"/>
        </w:rPr>
      </w:pPr>
    </w:p>
    <w:p>
      <w:pPr>
        <w:jc w:val="both"/>
        <w:ind w:firstLine="621"/>
        <w:spacing w:after="0" w:line="247" w:lineRule="auto"/>
        <w:tabs>
          <w:tab w:leader="none" w:pos="1069"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Upon Termination as a Service Provider</w:t>
      </w:r>
      <w:r>
        <w:rPr>
          <w:rFonts w:ascii="Times New Roman" w:cs="Times New Roman" w:eastAsia="Times New Roman" w:hAnsi="Times New Roman"/>
          <w:sz w:val="21"/>
          <w:szCs w:val="21"/>
          <w:color w:val="auto"/>
        </w:rPr>
        <w:t>. Unless specifically provided otherwise in this Award Agreement or other written agreement between Participant and the Company or any of its Subsidiaries or Parents, as applicable, if Participant ceases to be a Service Provider for any or no reason, the then-unvested Restricted Stock Units awarded by this Award Agreement will thereupon be forfeited at no cost to the Company and Participant will have no further rights thereunder. For the avoidance of doubt, service during any portion of the vesting period shall not entitle Participant to vest in a pro rata portion of unvested Restricted Stock Units. For purposes of the Restricted Stock Units, Participant’s status as a Service Provider will be considered to terminated as of the date Participant is no longer actively providing services to the Company or, if different, Participant’s employer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or the Subsidiary or Parent to which Participant is providing services (the Employer, Subsidiary or Parent, as applicable, the “</w:t>
      </w: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Recipient</w:t>
      </w:r>
      <w:r>
        <w:rPr>
          <w:rFonts w:ascii="Times New Roman" w:cs="Times New Roman" w:eastAsia="Times New Roman" w:hAnsi="Times New Roman"/>
          <w:sz w:val="21"/>
          <w:szCs w:val="21"/>
          <w:color w:val="auto"/>
        </w:rPr>
        <w:t>”)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The Administrator shall have the exclusive discretion to determine when Participant is no longer actively providing services for purposes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Restricted Stock Units (including whether Participant may still be considered to be providing services while on a leave of absence).</w:t>
      </w:r>
    </w:p>
    <w:p>
      <w:pPr>
        <w:spacing w:after="0" w:line="106" w:lineRule="exact"/>
        <w:rPr>
          <w:sz w:val="20"/>
          <w:szCs w:val="20"/>
          <w:color w:val="auto"/>
        </w:rPr>
      </w:pPr>
    </w:p>
    <w:p>
      <w:pPr>
        <w:jc w:val="both"/>
        <w:ind w:firstLine="621"/>
        <w:spacing w:after="0" w:line="250" w:lineRule="auto"/>
        <w:tabs>
          <w:tab w:leader="none" w:pos="992"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of Participant</w:t>
      </w:r>
      <w:r>
        <w:rPr>
          <w:rFonts w:ascii="Times New Roman" w:cs="Times New Roman" w:eastAsia="Times New Roman" w:hAnsi="Times New Roman"/>
          <w:sz w:val="21"/>
          <w:szCs w:val="21"/>
          <w:color w:val="auto"/>
        </w:rPr>
        <w:t>. Any distribution or delivery to be made to Participant under this Award Agreement will, if Participant is then deceased and has been permitted by the Administrator to designate a beneficiary, be made to Participant’s designated beneficiary, or if no beneficiary survives Participant or Participant has not been permitted to designate a beneficiary, the administrator or executor of Participant’s estate, unless otherwise required to comply with Applicable Laws.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74" w:lineRule="exact"/>
        <w:rPr>
          <w:rFonts w:ascii="Times New Roman" w:cs="Times New Roman" w:eastAsia="Times New Roman" w:hAnsi="Times New Roman"/>
          <w:sz w:val="21"/>
          <w:szCs w:val="21"/>
          <w:color w:val="auto"/>
        </w:rPr>
      </w:pPr>
    </w:p>
    <w:p>
      <w:pPr>
        <w:ind w:left="980" w:hanging="359"/>
        <w:spacing w:after="0"/>
        <w:tabs>
          <w:tab w:leader="none" w:pos="98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Tax </w:t>
      </w:r>
      <w:r>
        <w:rPr>
          <w:rFonts w:ascii="Times New Roman" w:cs="Times New Roman" w:eastAsia="Times New Roman" w:hAnsi="Times New Roman"/>
          <w:sz w:val="21"/>
          <w:szCs w:val="21"/>
          <w:u w:val="single" w:color="auto"/>
          <w:color w:val="auto"/>
        </w:rPr>
        <w:t>Obligations.</w:t>
      </w:r>
    </w:p>
    <w:p>
      <w:pPr>
        <w:spacing w:after="0" w:line="119" w:lineRule="exact"/>
        <w:rPr>
          <w:rFonts w:ascii="Times New Roman" w:cs="Times New Roman" w:eastAsia="Times New Roman" w:hAnsi="Times New Roman"/>
          <w:sz w:val="21"/>
          <w:szCs w:val="21"/>
          <w:color w:val="auto"/>
        </w:rPr>
      </w:pPr>
    </w:p>
    <w:p>
      <w:pPr>
        <w:jc w:val="both"/>
        <w:ind w:firstLine="1239"/>
        <w:spacing w:after="0" w:line="246" w:lineRule="auto"/>
        <w:tabs>
          <w:tab w:leader="none" w:pos="1813"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Responsibility for Taxes</w:t>
      </w:r>
      <w:r>
        <w:rPr>
          <w:rFonts w:ascii="Times New Roman" w:cs="Times New Roman" w:eastAsia="Times New Roman" w:hAnsi="Times New Roman"/>
          <w:sz w:val="21"/>
          <w:szCs w:val="21"/>
          <w:color w:val="auto"/>
        </w:rPr>
        <w:t>. Participant acknowledges that, regardless of any action taken by the Company, the Employer or the Service Recipient,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21"/>
          <w:szCs w:val="21"/>
          <w:u w:val="single" w:color="auto"/>
          <w:color w:val="auto"/>
        </w:rPr>
        <w:t>Tax Obligations</w:t>
      </w:r>
      <w:r>
        <w:rPr>
          <w:rFonts w:ascii="Times New Roman" w:cs="Times New Roman" w:eastAsia="Times New Roman" w:hAnsi="Times New Roman"/>
          <w:sz w:val="21"/>
          <w:szCs w:val="21"/>
          <w:color w:val="auto"/>
        </w:rPr>
        <w:t>”), is and remains Participant’s sole responsibility and may exceed the amount, if any,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Participant acknowledges that the applicable Service Recipient(s) (or former service recipient, as applicable) may be required to withhold or account for Tax Obligations in more than one jurisdiction. If Participant fails to make satisfactory arrangements for the payment of any applicable Tax Obligations hereunder, Participant acknowledges and agrees that the Company may refuse to issue or deliver the Shares or proceeds from the sale of Shares.</w:t>
      </w:r>
    </w:p>
    <w:p>
      <w:pPr>
        <w:spacing w:after="0" w:line="87" w:lineRule="exact"/>
        <w:rPr>
          <w:rFonts w:ascii="Times New Roman" w:cs="Times New Roman" w:eastAsia="Times New Roman" w:hAnsi="Times New Roman"/>
          <w:sz w:val="21"/>
          <w:szCs w:val="21"/>
          <w:color w:val="auto"/>
        </w:rPr>
      </w:pPr>
    </w:p>
    <w:p>
      <w:pPr>
        <w:jc w:val="both"/>
        <w:ind w:firstLine="1239"/>
        <w:spacing w:after="0" w:line="250" w:lineRule="auto"/>
        <w:tabs>
          <w:tab w:leader="none" w:pos="1863"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 and Default Method of Tax Withholding</w:t>
      </w:r>
      <w:r>
        <w:rPr>
          <w:rFonts w:ascii="Times New Roman" w:cs="Times New Roman" w:eastAsia="Times New Roman" w:hAnsi="Times New Roman"/>
          <w:sz w:val="21"/>
          <w:szCs w:val="21"/>
          <w:color w:val="auto"/>
        </w:rPr>
        <w:t>. When Shares are issued as payment for vested Restricted Stock Units, Participant generally will recognize immediate U.S. taxable income if Participant is a U.S. taxpayer. If Participant is a non-U.S. taxpayer, Participant will be subject to applicable taxes (if any) in his or her jurisdiction. The amount of Tax Obligations which the Company determines must be withheld with respect to this Award (“</w:t>
      </w:r>
      <w:r>
        <w:rPr>
          <w:rFonts w:ascii="Times New Roman" w:cs="Times New Roman" w:eastAsia="Times New Roman" w:hAnsi="Times New Roman"/>
          <w:sz w:val="21"/>
          <w:szCs w:val="21"/>
          <w:u w:val="single" w:color="auto"/>
          <w:color w:val="auto"/>
        </w:rPr>
        <w:t>Tax Withholding Obligation</w:t>
      </w:r>
      <w:r>
        <w:rPr>
          <w:rFonts w:ascii="Times New Roman" w:cs="Times New Roman" w:eastAsia="Times New Roman" w:hAnsi="Times New Roman"/>
          <w:sz w:val="21"/>
          <w:szCs w:val="21"/>
          <w:color w:val="auto"/>
        </w:rPr>
        <w:t>”) will be satisfied by Shares being sold on Participant’s behalf at the prevailing market price pursuant to such procedures as the Administrator may specify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time, including through a broker-assisted arrangement (it being understood that the Shares to be sold must have vested pursuant to the terms of this Award Agreement and the Plan). The proceeds from the sale will be used to satisfy Participant’s Tax Withholding Obligation arising with respect to this Award. In addition to Shares sold to satisfy the Tax Withholding Obligation, additional Shares will be sold to satisfy any associated broker or other fees. Only whole Shares will be sold to satisfy any Tax Withholding Obligation. Any proceeds from the sale of Shares in excess of the Tax Withholding Obligation and any associated broker or other fees will be paid to Participant in accordance with procedures the Company may specify from time to time. </w:t>
      </w:r>
      <w:r>
        <w:rPr>
          <w:rFonts w:ascii="Times New Roman" w:cs="Times New Roman" w:eastAsia="Times New Roman" w:hAnsi="Times New Roman"/>
          <w:sz w:val="21"/>
          <w:szCs w:val="21"/>
          <w:b w:val="1"/>
          <w:bCs w:val="1"/>
          <w:color w:val="auto"/>
        </w:rPr>
        <w:t>By accepting this Award, Participant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expressly consents to the sale of Shares to cover the Tax Withholding Obligations (and any associated broker or other fees) and agrees and acknowledges that Participant may not satisfy them by any means other than such sale of Shares, unless required to do so by the Administrator or pursuant to the Administrator’s express written consent.</w:t>
      </w:r>
    </w:p>
    <w:p>
      <w:pPr>
        <w:spacing w:after="0" w:line="76" w:lineRule="exact"/>
        <w:rPr>
          <w:sz w:val="20"/>
          <w:szCs w:val="20"/>
          <w:color w:val="auto"/>
        </w:rPr>
      </w:pPr>
    </w:p>
    <w:p>
      <w:pPr>
        <w:jc w:val="both"/>
        <w:ind w:firstLine="1239"/>
        <w:spacing w:after="0" w:line="259" w:lineRule="auto"/>
        <w:tabs>
          <w:tab w:leader="none" w:pos="189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Administrator Discretion</w:t>
      </w:r>
      <w:r>
        <w:rPr>
          <w:rFonts w:ascii="Times New Roman" w:cs="Times New Roman" w:eastAsia="Times New Roman" w:hAnsi="Times New Roman"/>
          <w:sz w:val="20"/>
          <w:szCs w:val="20"/>
          <w:color w:val="auto"/>
        </w:rPr>
        <w:t>. If the Administrator determines that Participant cannot satisfy Participant’s Tax Withholding Obligation through the default procedure described in Section 8(b) or the Administrator otherwise determines to allow Participant to satisfy Participant’s Tax Withholding Obligation by a method other than through the default procedure set forth in Section 8(b), it may permit or require Participant to satisfy Participant’s Tax Withholding Obligation, in whole or in part (without limitation), if permissible by applicable local law, by (i) making a cash payment to the Company, Employer or Service recipient in U.S. dollars or other form of currency, (ii) having the Company withhold otherwise deliverable Shares having a value equal to the Tax Withholding Obligation,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w:t>
      </w:r>
    </w:p>
    <w:p>
      <w:pPr>
        <w:ind w:left="300" w:hanging="297"/>
        <w:spacing w:after="0"/>
        <w:tabs>
          <w:tab w:leader="none" w:pos="30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means as the Administrator deems appropriate.</w:t>
      </w:r>
    </w:p>
    <w:p>
      <w:pPr>
        <w:spacing w:after="0" w:line="96" w:lineRule="exact"/>
        <w:rPr>
          <w:rFonts w:ascii="Times New Roman" w:cs="Times New Roman" w:eastAsia="Times New Roman" w:hAnsi="Times New Roman"/>
          <w:sz w:val="21"/>
          <w:szCs w:val="21"/>
          <w:color w:val="auto"/>
        </w:rPr>
      </w:pPr>
    </w:p>
    <w:p>
      <w:pPr>
        <w:jc w:val="both"/>
        <w:ind w:firstLine="1239"/>
        <w:spacing w:after="0" w:line="248" w:lineRule="auto"/>
        <w:tabs>
          <w:tab w:leader="none" w:pos="1721"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Rates</w:t>
      </w:r>
      <w:r>
        <w:rPr>
          <w:rFonts w:ascii="Times New Roman" w:cs="Times New Roman" w:eastAsia="Times New Roman" w:hAnsi="Times New Roman"/>
          <w:sz w:val="21"/>
          <w:szCs w:val="21"/>
          <w:color w:val="auto"/>
        </w:rPr>
        <w:t>. The Company may withhold or account for Tax Obligations by considering statutory or other withholding rates, including minimum or maximum rates applicable in Participant’s jurisdiction(s). In the event of over-withholding, Participant may receive a refund of any over-withheld amount in cash (with no entitlement to the equivalent in Common Stock), or if not refunded, Participant may seek a refund from the local tax authorities. In the event of under-withholding, Participant may be required to pay any additional Tax Obligations directly to the applicable tax authority or to the Company, the Employer and/or the Service Recipient. If the obligation for Tax Obligations is satisfied by withholding in Shares, for tax purposes, Participant will be deemed to have been issued the full number of Shares subject to the vested Restricted Stock Units, notwithstanding that a number of the Shares is held back solely for the purpose of paying the Tax Obligations.</w:t>
      </w:r>
    </w:p>
    <w:p>
      <w:pPr>
        <w:spacing w:after="0" w:line="77" w:lineRule="exact"/>
        <w:rPr>
          <w:rFonts w:ascii="Times New Roman" w:cs="Times New Roman" w:eastAsia="Times New Roman" w:hAnsi="Times New Roman"/>
          <w:sz w:val="21"/>
          <w:szCs w:val="21"/>
          <w:color w:val="auto"/>
        </w:rPr>
      </w:pPr>
    </w:p>
    <w:p>
      <w:pPr>
        <w:jc w:val="both"/>
        <w:ind w:firstLine="1239"/>
        <w:spacing w:after="0" w:line="256" w:lineRule="auto"/>
        <w:tabs>
          <w:tab w:leader="none" w:pos="1697"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Representations</w:t>
      </w:r>
      <w:r>
        <w:rPr>
          <w:rFonts w:ascii="Times New Roman" w:cs="Times New Roman" w:eastAsia="Times New Roman" w:hAnsi="Times New Roman"/>
          <w:sz w:val="21"/>
          <w:szCs w:val="21"/>
          <w:color w:val="auto"/>
        </w:rPr>
        <w:t>. Participant has reviewed with his or her own tax advisers the U.S. and non-U.S. federal, state and local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responsible for Participant’s own tax liability that may arise as a result of this investment or the transactions contemplated by this Award Agreement.</w:t>
      </w:r>
    </w:p>
    <w:p>
      <w:pPr>
        <w:spacing w:after="0" w:line="51" w:lineRule="exact"/>
        <w:rPr>
          <w:sz w:val="20"/>
          <w:szCs w:val="20"/>
          <w:color w:val="auto"/>
        </w:rPr>
      </w:pPr>
    </w:p>
    <w:p>
      <w:pPr>
        <w:jc w:val="both"/>
        <w:ind w:firstLine="1239"/>
        <w:spacing w:after="0" w:line="251" w:lineRule="auto"/>
        <w:tabs>
          <w:tab w:leader="none" w:pos="1661"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Company’s Obligation to Deliver Shares</w:t>
      </w:r>
      <w:r>
        <w:rPr>
          <w:rFonts w:ascii="Times New Roman" w:cs="Times New Roman" w:eastAsia="Times New Roman" w:hAnsi="Times New Roman"/>
          <w:sz w:val="21"/>
          <w:szCs w:val="21"/>
          <w:color w:val="auto"/>
        </w:rPr>
        <w:t>.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w:t>
      </w:r>
    </w:p>
    <w:p>
      <w:pPr>
        <w:spacing w:after="0" w:line="73" w:lineRule="exact"/>
        <w:rPr>
          <w:rFonts w:ascii="Times New Roman" w:cs="Times New Roman" w:eastAsia="Times New Roman" w:hAnsi="Times New Roman"/>
          <w:sz w:val="21"/>
          <w:szCs w:val="21"/>
          <w:color w:val="auto"/>
        </w:rPr>
      </w:pPr>
    </w:p>
    <w:p>
      <w:pPr>
        <w:jc w:val="both"/>
        <w:ind w:firstLine="621"/>
        <w:spacing w:after="0" w:line="250" w:lineRule="auto"/>
        <w:tabs>
          <w:tab w:leader="none" w:pos="1004"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Stockholder</w:t>
      </w:r>
      <w:r>
        <w:rPr>
          <w:rFonts w:ascii="Times New Roman" w:cs="Times New Roman" w:eastAsia="Times New Roman" w:hAnsi="Times New Roman"/>
          <w:sz w:val="21"/>
          <w:szCs w:val="21"/>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74" w:lineRule="exact"/>
        <w:rPr>
          <w:rFonts w:ascii="Times New Roman" w:cs="Times New Roman" w:eastAsia="Times New Roman" w:hAnsi="Times New Roman"/>
          <w:sz w:val="21"/>
          <w:szCs w:val="21"/>
          <w:color w:val="auto"/>
        </w:rPr>
      </w:pPr>
    </w:p>
    <w:p>
      <w:pPr>
        <w:jc w:val="both"/>
        <w:ind w:firstLine="621"/>
        <w:spacing w:after="0" w:line="247" w:lineRule="auto"/>
        <w:tabs>
          <w:tab w:leader="none" w:pos="1133"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Employment or Service Contract or Guarantee of Continued Service</w:t>
      </w:r>
      <w:r>
        <w:rPr>
          <w:rFonts w:ascii="Times New Roman" w:cs="Times New Roman" w:eastAsia="Times New Roman" w:hAnsi="Times New Roman"/>
          <w:sz w:val="21"/>
          <w:szCs w:val="21"/>
          <w:color w:val="auto"/>
        </w:rPr>
        <w:t>. PARTICIPANT ACKNOWLEDGES AND AGREES THAT THE VESTING OF THE RESTRICTED STOCK UNITS PURSUANT TO THE VESTING SCHEDULE HEREOF IS EARNED ONLY BY CONTINUING AS A SERVICE PROVIDER, WHICH UNLESS PROVIDED OTHERWISE UNDER APPLICABLE LAW IS AT THE WILL OF THE COMPANY OR THE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SHALL NOT BE INTERPRETED AS FORMING OR AMENDING AN EMPLOYMENT OR SERVICE CONTRACT, DO NOT CONSTITUTE AN EXPRESS OR IMPLIED PROMISE OF CONTINUED ENGAGEMENT AS A SERVICE PROVIDER FOR THE VESTING PERIOD, FOR ANY PERIOD, OR AT ALL, AND SHALL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78" w:lineRule="exact"/>
        <w:rPr>
          <w:rFonts w:ascii="Times New Roman" w:cs="Times New Roman" w:eastAsia="Times New Roman" w:hAnsi="Times New Roman"/>
          <w:sz w:val="21"/>
          <w:szCs w:val="21"/>
          <w:color w:val="auto"/>
        </w:rPr>
      </w:pPr>
    </w:p>
    <w:p>
      <w:pPr>
        <w:jc w:val="both"/>
        <w:ind w:firstLine="621"/>
        <w:spacing w:after="0" w:line="256" w:lineRule="auto"/>
        <w:tabs>
          <w:tab w:leader="none" w:pos="1185"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is Not Transferable</w:t>
      </w:r>
      <w:r>
        <w:rPr>
          <w:rFonts w:ascii="Times New Roman" w:cs="Times New Roman" w:eastAsia="Times New Roman" w:hAnsi="Times New Roman"/>
          <w:sz w:val="21"/>
          <w:szCs w:val="21"/>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any attempted sale under any execution, attachment or similar process, this grant and the rights and privileges conferred hereby immediately will become null and void.</w:t>
      </w:r>
    </w:p>
    <w:p>
      <w:pPr>
        <w:spacing w:after="0" w:line="51" w:lineRule="exact"/>
        <w:rPr>
          <w:sz w:val="20"/>
          <w:szCs w:val="20"/>
          <w:color w:val="auto"/>
        </w:rPr>
      </w:pPr>
    </w:p>
    <w:p>
      <w:pPr>
        <w:ind w:left="1080" w:hanging="459"/>
        <w:spacing w:after="0"/>
        <w:tabs>
          <w:tab w:leader="none" w:pos="108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In accepting this Award of Restricted Stock Units, Participant acknowledges, understands and agrees that:</w:t>
      </w:r>
    </w:p>
    <w:p>
      <w:pPr>
        <w:spacing w:after="0" w:line="130" w:lineRule="exact"/>
        <w:rPr>
          <w:rFonts w:ascii="Times New Roman" w:cs="Times New Roman" w:eastAsia="Times New Roman" w:hAnsi="Times New Roman"/>
          <w:sz w:val="20"/>
          <w:szCs w:val="20"/>
          <w:color w:val="auto"/>
        </w:rPr>
      </w:pPr>
    </w:p>
    <w:p>
      <w:pPr>
        <w:jc w:val="both"/>
        <w:ind w:firstLine="1239"/>
        <w:spacing w:after="0" w:line="256" w:lineRule="auto"/>
        <w:tabs>
          <w:tab w:leader="none" w:pos="1691"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64" w:lineRule="exact"/>
        <w:rPr>
          <w:rFonts w:ascii="Times New Roman" w:cs="Times New Roman" w:eastAsia="Times New Roman" w:hAnsi="Times New Roman"/>
          <w:sz w:val="21"/>
          <w:szCs w:val="21"/>
          <w:color w:val="auto"/>
        </w:rPr>
      </w:pPr>
    </w:p>
    <w:p>
      <w:pPr>
        <w:ind w:left="1700" w:hanging="461"/>
        <w:spacing w:after="0"/>
        <w:tabs>
          <w:tab w:leader="none" w:pos="170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Restricted Stock Units or other grants, if any, will be at the sole discretion of the</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Administrator;</w:t>
      </w:r>
    </w:p>
    <w:p>
      <w:pPr>
        <w:spacing w:after="0" w:line="97" w:lineRule="exact"/>
        <w:rPr>
          <w:rFonts w:ascii="Times New Roman" w:cs="Times New Roman" w:eastAsia="Times New Roman" w:hAnsi="Times New Roman"/>
          <w:sz w:val="20"/>
          <w:szCs w:val="20"/>
          <w:color w:val="auto"/>
        </w:rPr>
      </w:pPr>
    </w:p>
    <w:p>
      <w:pPr>
        <w:ind w:left="1680" w:hanging="441"/>
        <w:spacing w:after="0"/>
        <w:tabs>
          <w:tab w:leader="none" w:pos="168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is voluntarily participating in the Plan;</w:t>
      </w:r>
    </w:p>
    <w:p>
      <w:pPr>
        <w:spacing w:after="0" w:line="106" w:lineRule="exact"/>
        <w:rPr>
          <w:rFonts w:ascii="Times New Roman" w:cs="Times New Roman" w:eastAsia="Times New Roman" w:hAnsi="Times New Roman"/>
          <w:sz w:val="21"/>
          <w:szCs w:val="21"/>
          <w:color w:val="auto"/>
        </w:rPr>
      </w:pPr>
    </w:p>
    <w:p>
      <w:pPr>
        <w:ind w:firstLine="1239"/>
        <w:spacing w:after="0" w:line="269" w:lineRule="auto"/>
        <w:tabs>
          <w:tab w:leader="none" w:pos="1718"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and the Shares subject to the Restricted Stock Units, and the income from and value of same, are not intended to replace any pension rights or compensation;</w:t>
      </w:r>
    </w:p>
    <w:p>
      <w:pPr>
        <w:spacing w:after="0" w:line="51" w:lineRule="exact"/>
        <w:rPr>
          <w:rFonts w:ascii="Times New Roman" w:cs="Times New Roman" w:eastAsia="Times New Roman" w:hAnsi="Times New Roman"/>
          <w:sz w:val="21"/>
          <w:szCs w:val="21"/>
          <w:color w:val="auto"/>
        </w:rPr>
      </w:pPr>
    </w:p>
    <w:p>
      <w:pPr>
        <w:jc w:val="both"/>
        <w:ind w:firstLine="1239"/>
        <w:spacing w:after="0" w:line="256" w:lineRule="auto"/>
        <w:tabs>
          <w:tab w:leader="none" w:pos="1709"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and the Shares subject to the Restricted Stock Units, and the income from and value of same, are not part of normal or expected compensation for any purpose, including, but not limited to, calculating any severance, resignation, termination, redundancy, dismissal, end-of-service payments, bonuses, holiday pay, long-service awards, pension or retirement or welfare benefits or similar payments;</w:t>
      </w:r>
    </w:p>
    <w:p>
      <w:pPr>
        <w:spacing w:after="0" w:line="64" w:lineRule="exact"/>
        <w:rPr>
          <w:rFonts w:ascii="Times New Roman" w:cs="Times New Roman" w:eastAsia="Times New Roman" w:hAnsi="Times New Roman"/>
          <w:sz w:val="21"/>
          <w:szCs w:val="21"/>
          <w:color w:val="auto"/>
        </w:rPr>
      </w:pPr>
    </w:p>
    <w:p>
      <w:pPr>
        <w:ind w:left="1740" w:hanging="501"/>
        <w:spacing w:after="0"/>
        <w:tabs>
          <w:tab w:leader="none" w:pos="174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Shares underlying the Restricted Stock Units is unknown, indeterminable and cannot be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predicted;</w:t>
      </w:r>
    </w:p>
    <w:p>
      <w:pPr>
        <w:spacing w:after="0" w:line="84" w:lineRule="exact"/>
        <w:rPr>
          <w:rFonts w:ascii="Times New Roman" w:cs="Times New Roman" w:eastAsia="Times New Roman" w:hAnsi="Times New Roman"/>
          <w:sz w:val="21"/>
          <w:szCs w:val="21"/>
          <w:color w:val="auto"/>
        </w:rPr>
      </w:pPr>
    </w:p>
    <w:p>
      <w:pPr>
        <w:jc w:val="both"/>
        <w:ind w:firstLine="1239"/>
        <w:spacing w:after="0" w:line="256" w:lineRule="auto"/>
        <w:tabs>
          <w:tab w:leader="none" w:pos="1727"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w:t>
      </w:r>
    </w:p>
    <w:p>
      <w:pPr>
        <w:spacing w:after="0" w:line="64" w:lineRule="exact"/>
        <w:rPr>
          <w:rFonts w:ascii="Times New Roman" w:cs="Times New Roman" w:eastAsia="Times New Roman" w:hAnsi="Times New Roman"/>
          <w:sz w:val="21"/>
          <w:szCs w:val="21"/>
          <w:color w:val="auto"/>
        </w:rPr>
      </w:pPr>
    </w:p>
    <w:p>
      <w:pPr>
        <w:jc w:val="both"/>
        <w:ind w:firstLine="1239"/>
        <w:spacing w:after="0" w:line="256" w:lineRule="auto"/>
        <w:tabs>
          <w:tab w:leader="none" w:pos="1811"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w:t>
      </w:r>
    </w:p>
    <w:p>
      <w:pPr>
        <w:spacing w:after="0" w:line="64" w:lineRule="exact"/>
        <w:rPr>
          <w:rFonts w:ascii="Times New Roman" w:cs="Times New Roman" w:eastAsia="Times New Roman" w:hAnsi="Times New Roman"/>
          <w:sz w:val="21"/>
          <w:szCs w:val="21"/>
          <w:color w:val="auto"/>
        </w:rPr>
      </w:pPr>
    </w:p>
    <w:p>
      <w:pPr>
        <w:jc w:val="both"/>
        <w:ind w:firstLine="1239"/>
        <w:spacing w:after="0" w:line="274" w:lineRule="auto"/>
        <w:tabs>
          <w:tab w:leader="none" w:pos="1704"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w:t>
      </w:r>
    </w:p>
    <w:p>
      <w:pPr>
        <w:spacing w:after="0" w:line="49" w:lineRule="exact"/>
        <w:rPr>
          <w:rFonts w:ascii="Times New Roman" w:cs="Times New Roman" w:eastAsia="Times New Roman" w:hAnsi="Times New Roman"/>
          <w:sz w:val="20"/>
          <w:szCs w:val="20"/>
          <w:color w:val="auto"/>
        </w:rPr>
      </w:pPr>
    </w:p>
    <w:p>
      <w:pPr>
        <w:jc w:val="both"/>
        <w:ind w:firstLine="621"/>
        <w:spacing w:after="0" w:line="262" w:lineRule="auto"/>
        <w:tabs>
          <w:tab w:leader="none" w:pos="1082"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The Company is not providing any tax, legal or financial advice, nor is the Company making any recommendations regarding Participant’s participation in the Plan, or Participant’s acquisition or sale of the Shares underlying the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Stock Units. Participant should consult with his or her own personal tax, legal and financial advisors regarding his or her participation in the Plan before taking any action related to the Plan.</w:t>
      </w:r>
    </w:p>
    <w:p>
      <w:pPr>
        <w:spacing w:after="0" w:line="51" w:lineRule="exact"/>
        <w:rPr>
          <w:sz w:val="20"/>
          <w:szCs w:val="20"/>
          <w:color w:val="auto"/>
        </w:rPr>
      </w:pPr>
    </w:p>
    <w:p>
      <w:pPr>
        <w:jc w:val="both"/>
        <w:ind w:firstLine="621"/>
        <w:spacing w:after="0" w:line="262" w:lineRule="auto"/>
        <w:tabs>
          <w:tab w:leader="none" w:pos="1082"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Address for Notices</w:t>
      </w:r>
      <w:r>
        <w:rPr>
          <w:rFonts w:ascii="Times New Roman" w:cs="Times New Roman" w:eastAsia="Times New Roman" w:hAnsi="Times New Roman"/>
          <w:sz w:val="21"/>
          <w:szCs w:val="21"/>
          <w:color w:val="auto"/>
        </w:rPr>
        <w:t>. Any notice to be given to the Company under the terms of this Award Agreement will be addressed to the Company at Whitehawk Therapeutics, Inc., 2 Headquarters Plaza, East Building, 11th Floor, Morristown, NJ 07960, USA, or at such other address as the Company may hereafter designate in writing.</w:t>
      </w:r>
    </w:p>
    <w:p>
      <w:pPr>
        <w:spacing w:after="0" w:line="59" w:lineRule="exact"/>
        <w:rPr>
          <w:rFonts w:ascii="Times New Roman" w:cs="Times New Roman" w:eastAsia="Times New Roman" w:hAnsi="Times New Roman"/>
          <w:sz w:val="21"/>
          <w:szCs w:val="21"/>
          <w:color w:val="auto"/>
        </w:rPr>
      </w:pPr>
    </w:p>
    <w:p>
      <w:pPr>
        <w:jc w:val="both"/>
        <w:ind w:firstLine="621"/>
        <w:spacing w:after="0" w:line="252" w:lineRule="auto"/>
        <w:tabs>
          <w:tab w:leader="none" w:pos="1107"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Delivery and Acceptance</w:t>
      </w:r>
      <w:r>
        <w:rPr>
          <w:rFonts w:ascii="Times New Roman" w:cs="Times New Roman" w:eastAsia="Times New Roman" w:hAnsi="Times New Roman"/>
          <w:sz w:val="21"/>
          <w:szCs w:val="21"/>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71" w:lineRule="exact"/>
        <w:rPr>
          <w:rFonts w:ascii="Times New Roman" w:cs="Times New Roman" w:eastAsia="Times New Roman" w:hAnsi="Times New Roman"/>
          <w:sz w:val="21"/>
          <w:szCs w:val="21"/>
          <w:color w:val="auto"/>
        </w:rPr>
      </w:pPr>
    </w:p>
    <w:p>
      <w:pPr>
        <w:jc w:val="both"/>
        <w:ind w:firstLine="621"/>
        <w:spacing w:after="0" w:line="251" w:lineRule="auto"/>
        <w:tabs>
          <w:tab w:leader="none" w:pos="1107"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84" w:lineRule="exact"/>
        <w:rPr>
          <w:rFonts w:ascii="Times New Roman" w:cs="Times New Roman" w:eastAsia="Times New Roman" w:hAnsi="Times New Roman"/>
          <w:sz w:val="21"/>
          <w:szCs w:val="21"/>
          <w:color w:val="auto"/>
        </w:rPr>
      </w:pPr>
    </w:p>
    <w:p>
      <w:pPr>
        <w:jc w:val="both"/>
        <w:ind w:firstLine="621"/>
        <w:spacing w:after="0" w:line="249" w:lineRule="auto"/>
        <w:tabs>
          <w:tab w:leader="none" w:pos="1159"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86" w:lineRule="exact"/>
        <w:rPr>
          <w:rFonts w:ascii="Times New Roman" w:cs="Times New Roman" w:eastAsia="Times New Roman" w:hAnsi="Times New Roman"/>
          <w:sz w:val="21"/>
          <w:szCs w:val="21"/>
          <w:color w:val="auto"/>
        </w:rPr>
      </w:pPr>
    </w:p>
    <w:p>
      <w:pPr>
        <w:jc w:val="both"/>
        <w:ind w:firstLine="621"/>
        <w:spacing w:after="0" w:line="247" w:lineRule="auto"/>
        <w:tabs>
          <w:tab w:leader="none" w:pos="112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Conditions to Issuance of Stock</w:t>
      </w:r>
      <w:r>
        <w:rPr>
          <w:rFonts w:ascii="Times New Roman" w:cs="Times New Roman" w:eastAsia="Times New Roman" w:hAnsi="Times New Roman"/>
          <w:sz w:val="21"/>
          <w:szCs w:val="21"/>
          <w:color w:val="auto"/>
        </w:rPr>
        <w:t>. If at any time the Company will determine, in its discretion, that the listing, registration, qualification or rule compliance of the Shares upon any securities exchange or under any U.S. or non-U.S. federal, state or local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86" w:lineRule="exact"/>
        <w:rPr>
          <w:rFonts w:ascii="Times New Roman" w:cs="Times New Roman" w:eastAsia="Times New Roman" w:hAnsi="Times New Roman"/>
          <w:sz w:val="21"/>
          <w:szCs w:val="21"/>
          <w:color w:val="auto"/>
        </w:rPr>
      </w:pPr>
    </w:p>
    <w:p>
      <w:pPr>
        <w:jc w:val="both"/>
        <w:ind w:firstLine="621"/>
        <w:spacing w:after="0" w:line="256" w:lineRule="auto"/>
        <w:tabs>
          <w:tab w:leader="none" w:pos="1107"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Language</w:t>
      </w:r>
      <w:r>
        <w:rPr>
          <w:rFonts w:ascii="Times New Roman" w:cs="Times New Roman" w:eastAsia="Times New Roman" w:hAnsi="Times New Roman"/>
          <w:sz w:val="21"/>
          <w:szCs w:val="21"/>
          <w:color w:val="auto"/>
        </w:rPr>
        <w:t>. Participant acknowledges that Participant is sufficiently proficient in English, or has consulted with an advisor who is sufficiently proficient in English, so as to allow Participant to understand the terms and conditions of this Award Agreement. If Participant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received this Award Agreement or any other document related to the Plan translated into a language other than English and if the meaning of the translated version is different than the English version, the English version will control.</w:t>
      </w:r>
    </w:p>
    <w:p>
      <w:pPr>
        <w:spacing w:after="0" w:line="51" w:lineRule="exact"/>
        <w:rPr>
          <w:sz w:val="20"/>
          <w:szCs w:val="20"/>
          <w:color w:val="auto"/>
        </w:rPr>
      </w:pPr>
    </w:p>
    <w:p>
      <w:pPr>
        <w:jc w:val="both"/>
        <w:ind w:firstLine="621"/>
        <w:spacing w:after="0" w:line="250" w:lineRule="auto"/>
        <w:tabs>
          <w:tab w:leader="none" w:pos="1133"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87" w:lineRule="exact"/>
        <w:rPr>
          <w:rFonts w:ascii="Times New Roman" w:cs="Times New Roman" w:eastAsia="Times New Roman" w:hAnsi="Times New Roman"/>
          <w:sz w:val="21"/>
          <w:szCs w:val="21"/>
          <w:color w:val="auto"/>
        </w:rPr>
      </w:pPr>
    </w:p>
    <w:p>
      <w:pPr>
        <w:ind w:firstLine="621"/>
        <w:spacing w:after="0" w:line="269" w:lineRule="auto"/>
        <w:tabs>
          <w:tab w:leader="none" w:pos="1249"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Captions</w:t>
      </w:r>
      <w:r>
        <w:rPr>
          <w:rFonts w:ascii="Times New Roman" w:cs="Times New Roman" w:eastAsia="Times New Roman" w:hAnsi="Times New Roman"/>
          <w:sz w:val="21"/>
          <w:szCs w:val="21"/>
          <w:color w:val="auto"/>
        </w:rPr>
        <w:t>. Captions provided herein are for convenience only and are not to serve as a basis for interpretation or construction of this Award Agreement.</w:t>
      </w:r>
    </w:p>
    <w:p>
      <w:pPr>
        <w:spacing w:after="0" w:line="51" w:lineRule="exact"/>
        <w:rPr>
          <w:rFonts w:ascii="Times New Roman" w:cs="Times New Roman" w:eastAsia="Times New Roman" w:hAnsi="Times New Roman"/>
          <w:sz w:val="21"/>
          <w:szCs w:val="21"/>
          <w:color w:val="auto"/>
        </w:rPr>
      </w:pPr>
    </w:p>
    <w:p>
      <w:pPr>
        <w:jc w:val="both"/>
        <w:ind w:firstLine="621"/>
        <w:spacing w:after="0" w:line="251" w:lineRule="auto"/>
        <w:tabs>
          <w:tab w:leader="none" w:pos="1082"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Suspension or Termination of the Plan</w:t>
      </w:r>
      <w:r>
        <w:rPr>
          <w:rFonts w:ascii="Times New Roman" w:cs="Times New Roman" w:eastAsia="Times New Roman" w:hAnsi="Times New Roman"/>
          <w:sz w:val="21"/>
          <w:szCs w:val="21"/>
          <w:color w:val="auto"/>
        </w:rPr>
        <w:t>. By accepting this Award, Participant expressly warrants that he or she has received an Award of Restricted Stock Units under the Plan, and has received, read and understood a description of the Plan. Participant understands that the Plan is voluntarily established by the Company, is discretionary in nature and may be amended, suspended or terminated by the Administrator at any time, to the extent provided for in the Plan.</w:t>
      </w:r>
    </w:p>
    <w:p>
      <w:pPr>
        <w:spacing w:after="0" w:line="84" w:lineRule="exact"/>
        <w:rPr>
          <w:rFonts w:ascii="Times New Roman" w:cs="Times New Roman" w:eastAsia="Times New Roman" w:hAnsi="Times New Roman"/>
          <w:sz w:val="21"/>
          <w:szCs w:val="21"/>
          <w:color w:val="auto"/>
        </w:rPr>
      </w:pPr>
    </w:p>
    <w:p>
      <w:pPr>
        <w:jc w:val="both"/>
        <w:ind w:firstLine="621"/>
        <w:spacing w:after="0" w:line="249" w:lineRule="auto"/>
        <w:tabs>
          <w:tab w:leader="none" w:pos="112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to the Award Agreement</w:t>
      </w:r>
      <w:r>
        <w:rPr>
          <w:rFonts w:ascii="Times New Roman" w:cs="Times New Roman" w:eastAsia="Times New Roman" w:hAnsi="Times New Roman"/>
          <w:sz w:val="21"/>
          <w:szCs w:val="21"/>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74" w:lineRule="exact"/>
        <w:rPr>
          <w:rFonts w:ascii="Times New Roman" w:cs="Times New Roman" w:eastAsia="Times New Roman" w:hAnsi="Times New Roman"/>
          <w:sz w:val="21"/>
          <w:szCs w:val="21"/>
          <w:color w:val="auto"/>
        </w:rPr>
      </w:pPr>
    </w:p>
    <w:p>
      <w:pPr>
        <w:jc w:val="both"/>
        <w:ind w:firstLine="621"/>
        <w:spacing w:after="0" w:line="256" w:lineRule="auto"/>
        <w:tabs>
          <w:tab w:leader="none" w:pos="1249"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Imposition of Other Requirements</w:t>
      </w:r>
      <w:r>
        <w:rPr>
          <w:rFonts w:ascii="Times New Roman" w:cs="Times New Roman" w:eastAsia="Times New Roman" w:hAnsi="Times New Roman"/>
          <w:sz w:val="21"/>
          <w:szCs w:val="21"/>
          <w:color w:val="auto"/>
        </w:rPr>
        <w:t>. The Company reserves the right to impose other requirements on Participant’s participation in the Plan, on the Restricted Stock Units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64" w:lineRule="exact"/>
        <w:rPr>
          <w:rFonts w:ascii="Times New Roman" w:cs="Times New Roman" w:eastAsia="Times New Roman" w:hAnsi="Times New Roman"/>
          <w:sz w:val="21"/>
          <w:szCs w:val="21"/>
          <w:color w:val="auto"/>
        </w:rPr>
      </w:pPr>
    </w:p>
    <w:p>
      <w:pPr>
        <w:jc w:val="both"/>
        <w:ind w:firstLine="621"/>
        <w:spacing w:after="0" w:line="265" w:lineRule="auto"/>
        <w:tabs>
          <w:tab w:leader="none" w:pos="1082"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Award Agreement and the Restricted Stock Units are governed by the internal substantive laws, but not the choice of law rules, of California. For purposes of litigating any dispute that arises under these Restricted Stock Units or this Award Agreement, the parties hereby submit to and consent to the jurisdiction of the State of California, and agree that such litigation will be conducted in the courts of Los Angeles County, California, or the United States federal courts for the Central District California – Western Division, and no other courts, where this Award Agreement is made and/or to be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33" w:lineRule="exact"/>
        <w:rPr>
          <w:sz w:val="20"/>
          <w:szCs w:val="20"/>
          <w:color w:val="auto"/>
        </w:rPr>
      </w:pPr>
    </w:p>
    <w:p>
      <w:pPr>
        <w:ind w:firstLine="621"/>
        <w:spacing w:after="0" w:line="269" w:lineRule="auto"/>
        <w:tabs>
          <w:tab w:leader="none" w:pos="1172"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the event that any provision hereof becomes or is declared by a court of competent jurisdiction to be illegal, unenforceable or void, this Award Agreement shall continue in full force and effect.</w:t>
      </w:r>
    </w:p>
    <w:p>
      <w:pPr>
        <w:spacing w:after="0" w:line="51" w:lineRule="exact"/>
        <w:rPr>
          <w:rFonts w:ascii="Times New Roman" w:cs="Times New Roman" w:eastAsia="Times New Roman" w:hAnsi="Times New Roman"/>
          <w:sz w:val="21"/>
          <w:szCs w:val="21"/>
          <w:color w:val="auto"/>
        </w:rPr>
      </w:pPr>
    </w:p>
    <w:p>
      <w:pPr>
        <w:jc w:val="both"/>
        <w:ind w:firstLine="621"/>
        <w:spacing w:after="0" w:line="256" w:lineRule="auto"/>
        <w:tabs>
          <w:tab w:leader="none" w:pos="1133"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64" w:lineRule="exact"/>
        <w:rPr>
          <w:rFonts w:ascii="Times New Roman" w:cs="Times New Roman" w:eastAsia="Times New Roman" w:hAnsi="Times New Roman"/>
          <w:sz w:val="21"/>
          <w:szCs w:val="21"/>
          <w:color w:val="auto"/>
        </w:rPr>
      </w:pPr>
    </w:p>
    <w:p>
      <w:pPr>
        <w:jc w:val="both"/>
        <w:ind w:firstLine="621"/>
        <w:spacing w:after="0" w:line="249" w:lineRule="auto"/>
        <w:tabs>
          <w:tab w:leader="none" w:pos="1146"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Country Addendum</w:t>
      </w:r>
      <w:r>
        <w:rPr>
          <w:rFonts w:ascii="Times New Roman" w:cs="Times New Roman" w:eastAsia="Times New Roman" w:hAnsi="Times New Roman"/>
          <w:sz w:val="21"/>
          <w:szCs w:val="21"/>
          <w:color w:val="auto"/>
        </w:rPr>
        <w:t>. Notwithstanding any provisions in this Award Agreement, the Restricted Stock Unit grant shall be subject to any special terms and conditions set forth in the addendum (if any) to this Award Agreement for any country whose laws are applicable to Participant and this Award of Restricted Stock Units (as determined by the Administrator in its sole discretion) (the “</w:t>
      </w:r>
      <w:r>
        <w:rPr>
          <w:rFonts w:ascii="Times New Roman" w:cs="Times New Roman" w:eastAsia="Times New Roman" w:hAnsi="Times New Roman"/>
          <w:sz w:val="21"/>
          <w:szCs w:val="21"/>
          <w:u w:val="single" w:color="auto"/>
          <w:color w:val="auto"/>
        </w:rPr>
        <w:t>Country Addendum</w:t>
      </w:r>
      <w:r>
        <w:rPr>
          <w:rFonts w:ascii="Times New Roman" w:cs="Times New Roman" w:eastAsia="Times New Roman" w:hAnsi="Times New Roman"/>
          <w:sz w:val="21"/>
          <w:szCs w:val="21"/>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74" w:lineRule="exact"/>
        <w:rPr>
          <w:rFonts w:ascii="Times New Roman" w:cs="Times New Roman" w:eastAsia="Times New Roman" w:hAnsi="Times New Roman"/>
          <w:sz w:val="21"/>
          <w:szCs w:val="21"/>
          <w:color w:val="auto"/>
        </w:rPr>
      </w:pPr>
    </w:p>
    <w:p>
      <w:pPr>
        <w:jc w:val="both"/>
        <w:ind w:firstLine="621"/>
        <w:spacing w:after="0" w:line="262" w:lineRule="auto"/>
        <w:tabs>
          <w:tab w:leader="none" w:pos="109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 Trading/Market Abuse Laws</w:t>
      </w:r>
      <w:r>
        <w:rPr>
          <w:rFonts w:ascii="Times New Roman" w:cs="Times New Roman" w:eastAsia="Times New Roman" w:hAnsi="Times New Roman"/>
          <w:sz w:val="20"/>
          <w:szCs w:val="20"/>
          <w:color w:val="auto"/>
        </w:rPr>
        <w:t>. Participant acknowledges that he or she may be subject to insider trading restrictions and/or market abuse laws in applicable jurisdictions including, but not limited to, the United States and Participant’s country of residence, which may affect Participant’s ability to acquire or sell Shares or rights to Shares (e.g., Restricted Stock Units) under the Plan during such time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Participant should keep in mind third parties includes fellow employees. Any restrictions under these laws or regulations are separate from and in addition to any restrictions that may be imposed under any applicable insider trading policy of the Company. Participant is responsible for ensuring compliance with any applicable restrictions and should consult with his or her personal legal advisor on this matter.</w:t>
      </w:r>
    </w:p>
    <w:p>
      <w:pPr>
        <w:spacing w:after="0" w:line="167" w:lineRule="exact"/>
        <w:rPr>
          <w:rFonts w:ascii="Times New Roman" w:cs="Times New Roman" w:eastAsia="Times New Roman" w:hAnsi="Times New Roman"/>
          <w:sz w:val="20"/>
          <w:szCs w:val="20"/>
          <w:color w:val="auto"/>
        </w:rPr>
      </w:pPr>
    </w:p>
    <w:p>
      <w:pPr>
        <w:ind w:left="4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WHITEHAWK THERAPEUTICS,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2021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COUNTRY ADDENDUM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This Country Addendum includes additional terms and conditions that govern the Award of Restricted Stock Units granted pursuant to the terms and conditions of the Whitehawk Therapeutics, Inc. 2021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the Global Restricted Stock Unit Agreement to which this Country Addendum is attached (the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to the extent the individual to whom the Restricted Stock Units were granted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resides and/or works in one of the countries listed below. Unless otherwise defined herein, capitalized terms used but not defined herein shall have the same meanings as set forth in the Plan or the Award Agreement.</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If Participant is a citizen or resident of a country (or if Participant is considered as such for local law purposes) other than the one in which Participant is currently residing and/or working, or if Participant transfers to another country after being granted the Restricted Stock Units, the Company will, in its discretion, determine the extent to which the terms and conditions contained herein will be applicable to Participant.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This Country Addendum also includes information regarding securities laws, exchange controls and certain other issues of which Participant should be aware with respect to his or her participation in the Plan. The information is based on the securities, exchange control and other laws in effect in the respective countries as of [GRANT DATE] Such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 in or receives or sells the Shares covered by the Restricted Stock Units.</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of Participant’s country may apply to his or her situation.</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Finally, if Participant is a citizen or resident of a country other than the one in which Participant currently is residing and/or working or transfers to another country after the grant of the</w:t>
      </w:r>
    </w:p>
    <w:p>
      <w:pPr>
        <w:sectPr>
          <w:pgSz w:w="11900" w:h="16838" w:orient="portrait"/>
          <w:cols w:equalWidth="0" w:num="1">
            <w:col w:w="11240"/>
          </w:cols>
          <w:pgMar w:left="320" w:top="1360" w:right="339" w:bottom="1440" w:gutter="0" w:footer="0" w:header="0"/>
        </w:sectPr>
      </w:pPr>
    </w:p>
    <w:bookmarkStart w:id="213" w:name="page214"/>
    <w:bookmarkEnd w:id="213"/>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Restricted Stock Units, or is considered a resident of another country for local law purposes, the information contained herein may not be applicable to Participant in the same manner. In addition, the Company, in its discretion, shall determine the extent to which the terms and conditions contained herein shall apply to Participant under these circumstances.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All Countries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b w:val="1"/>
          <w:bCs w:val="1"/>
          <w:i w:val="1"/>
          <w:iCs w:val="1"/>
          <w:u w:val="single" w:color="auto"/>
          <w:color w:val="auto"/>
        </w:rPr>
        <w:t>Data Privacy</w:t>
      </w:r>
      <w:r>
        <w:rPr>
          <w:rFonts w:ascii="Times New Roman" w:cs="Times New Roman" w:eastAsia="Times New Roman" w:hAnsi="Times New Roman"/>
          <w:sz w:val="21"/>
          <w:szCs w:val="21"/>
          <w:b w:val="1"/>
          <w:bCs w:val="1"/>
          <w:i w:val="1"/>
          <w:iCs w:val="1"/>
          <w:color w:val="auto"/>
        </w:rPr>
        <w:t>. If Participant would like to participate in the Plan, Participant understands that he or she will need to review the information provided in this Data Privacy section and, where applicable, declare consent to the processing and/or transfer of personal data as described below.</w:t>
      </w:r>
    </w:p>
    <w:p>
      <w:pPr>
        <w:spacing w:after="0" w:line="192" w:lineRule="exact"/>
        <w:rPr>
          <w:sz w:val="20"/>
          <w:szCs w:val="20"/>
          <w:color w:val="auto"/>
        </w:rPr>
      </w:pPr>
    </w:p>
    <w:p>
      <w:pPr>
        <w:jc w:val="both"/>
        <w:ind w:firstLine="621"/>
        <w:spacing w:after="0" w:line="253" w:lineRule="auto"/>
        <w:tabs>
          <w:tab w:leader="none" w:pos="1233"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u w:val="single" w:color="auto"/>
          <w:color w:val="auto"/>
        </w:rPr>
        <w:t>EEA+ Controller</w:t>
      </w:r>
      <w:r>
        <w:rPr>
          <w:rFonts w:ascii="Times New Roman" w:cs="Times New Roman" w:eastAsia="Times New Roman" w:hAnsi="Times New Roman"/>
          <w:sz w:val="21"/>
          <w:szCs w:val="21"/>
          <w:b w:val="1"/>
          <w:bCs w:val="1"/>
          <w:i w:val="1"/>
          <w:iCs w:val="1"/>
          <w:color w:val="auto"/>
        </w:rPr>
        <w:t xml:space="preserve">. If Participant is based in the European Union (“EU”), the European Economic Area or the United Kingdom (collectively “EEA+”), Participant should note that the Company, with its registered address at </w:t>
      </w:r>
      <w:r>
        <w:rPr>
          <w:rFonts w:ascii="Times New Roman" w:cs="Times New Roman" w:eastAsia="Times New Roman" w:hAnsi="Times New Roman"/>
          <w:sz w:val="21"/>
          <w:szCs w:val="21"/>
          <w:b w:val="1"/>
          <w:bCs w:val="1"/>
          <w:i w:val="1"/>
          <w:iCs w:val="1"/>
          <w:color w:val="202124"/>
        </w:rPr>
        <w:t>17383 Sunset Blvd, Pacific</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b w:val="1"/>
          <w:bCs w:val="1"/>
          <w:i w:val="1"/>
          <w:iCs w:val="1"/>
          <w:color w:val="202124"/>
        </w:rPr>
        <w:t>Palisades, CA 90272</w:t>
      </w:r>
      <w:r>
        <w:rPr>
          <w:rFonts w:ascii="Times New Roman" w:cs="Times New Roman" w:eastAsia="Times New Roman" w:hAnsi="Times New Roman"/>
          <w:sz w:val="21"/>
          <w:szCs w:val="21"/>
          <w:b w:val="1"/>
          <w:bCs w:val="1"/>
          <w:i w:val="1"/>
          <w:iCs w:val="1"/>
          <w:color w:val="000000"/>
        </w:rPr>
        <w:t>, United States of America, is the controller responsible for the processing of Participant’s personal data in</w:t>
      </w:r>
      <w:r>
        <w:rPr>
          <w:rFonts w:ascii="Times New Roman" w:cs="Times New Roman" w:eastAsia="Times New Roman" w:hAnsi="Times New Roman"/>
          <w:sz w:val="21"/>
          <w:szCs w:val="21"/>
          <w:b w:val="1"/>
          <w:bCs w:val="1"/>
          <w:i w:val="1"/>
          <w:iCs w:val="1"/>
          <w:color w:val="202124"/>
        </w:rPr>
        <w:t xml:space="preserve"> </w:t>
      </w:r>
      <w:r>
        <w:rPr>
          <w:rFonts w:ascii="Times New Roman" w:cs="Times New Roman" w:eastAsia="Times New Roman" w:hAnsi="Times New Roman"/>
          <w:sz w:val="21"/>
          <w:szCs w:val="21"/>
          <w:b w:val="1"/>
          <w:bCs w:val="1"/>
          <w:i w:val="1"/>
          <w:iCs w:val="1"/>
          <w:color w:val="000000"/>
        </w:rPr>
        <w:t>connection with the Award Agreement and the Plan.</w:t>
      </w:r>
    </w:p>
    <w:p>
      <w:pPr>
        <w:spacing w:after="0" w:line="76" w:lineRule="exact"/>
        <w:rPr>
          <w:rFonts w:ascii="Times New Roman" w:cs="Times New Roman" w:eastAsia="Times New Roman" w:hAnsi="Times New Roman"/>
          <w:sz w:val="21"/>
          <w:szCs w:val="21"/>
          <w:color w:val="auto"/>
        </w:rPr>
      </w:pPr>
    </w:p>
    <w:p>
      <w:pPr>
        <w:jc w:val="both"/>
        <w:ind w:firstLine="621"/>
        <w:spacing w:after="0" w:line="249" w:lineRule="auto"/>
        <w:tabs>
          <w:tab w:leader="none" w:pos="1232"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u w:val="single" w:color="auto"/>
          <w:color w:val="auto"/>
        </w:rPr>
        <w:t>Data Collection and Usage</w:t>
      </w:r>
      <w:r>
        <w:rPr>
          <w:rFonts w:ascii="Times New Roman" w:cs="Times New Roman" w:eastAsia="Times New Roman" w:hAnsi="Times New Roman"/>
          <w:sz w:val="21"/>
          <w:szCs w:val="21"/>
          <w:b w:val="1"/>
          <w:bCs w:val="1"/>
          <w:i w:val="1"/>
          <w:iCs w:val="1"/>
          <w:color w:val="auto"/>
        </w:rPr>
        <w:t>. The Company collects, uses and otherwise processes certain personal data about Participant, including, but not limited to, Participant’s name, home address and telephone number, email address, date of birth, social insurance number, passport or other identification number (e.g., resident registration number), salary, nationality, job title, any shares of stock or directorships held in the Company, details of all Restricted Stock Units granted under the Plan or any other entitlement to shares of stock or equivalent benefits awarded, canceled, exercised, vested, unvested or outstanding in Participant’s favor, which the Company receives from Participant, the Service Recipient or otherwise in connection with the Award Agreement or the Plan (“</w:t>
      </w:r>
      <w:r>
        <w:rPr>
          <w:rFonts w:ascii="Times New Roman" w:cs="Times New Roman" w:eastAsia="Times New Roman" w:hAnsi="Times New Roman"/>
          <w:sz w:val="21"/>
          <w:szCs w:val="21"/>
          <w:b w:val="1"/>
          <w:bCs w:val="1"/>
          <w:i w:val="1"/>
          <w:iCs w:val="1"/>
          <w:u w:val="single" w:color="auto"/>
          <w:color w:val="auto"/>
        </w:rPr>
        <w:t>Data</w:t>
      </w:r>
      <w:r>
        <w:rPr>
          <w:rFonts w:ascii="Times New Roman" w:cs="Times New Roman" w:eastAsia="Times New Roman" w:hAnsi="Times New Roman"/>
          <w:sz w:val="21"/>
          <w:szCs w:val="21"/>
          <w:b w:val="1"/>
          <w:bCs w:val="1"/>
          <w:i w:val="1"/>
          <w:iCs w:val="1"/>
          <w:color w:val="auto"/>
        </w:rPr>
        <w:t>”), for the purposes of implementing, administering and managing the Plan and allocating Shares pursuant to the Plan.</w:t>
      </w:r>
    </w:p>
    <w:p>
      <w:pPr>
        <w:spacing w:after="0" w:line="68" w:lineRule="exact"/>
        <w:rPr>
          <w:rFonts w:ascii="Times New Roman" w:cs="Times New Roman" w:eastAsia="Times New Roman" w:hAnsi="Times New Roman"/>
          <w:sz w:val="21"/>
          <w:szCs w:val="21"/>
          <w:color w:val="auto"/>
        </w:rPr>
      </w:pPr>
    </w:p>
    <w:p>
      <w:pPr>
        <w:jc w:val="both"/>
        <w:ind w:firstLine="1239"/>
        <w:spacing w:after="0" w:line="258" w:lineRule="auto"/>
        <w:tabs>
          <w:tab w:leader="none" w:pos="1843"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If Participant is based in the EEA+, the legal basis, where required, for the processing of Data by the Company is the necessity of the data processing for the Company to (i) perform its contractual obligations under the Award Agreement, (ii) comply with legal obligations established in the EEA+, or (iii) pursue the legitimate interest of complying with legal obligations established outside the EEA+.</w:t>
      </w:r>
    </w:p>
    <w:p>
      <w:pPr>
        <w:spacing w:after="0" w:line="69" w:lineRule="exact"/>
        <w:rPr>
          <w:rFonts w:ascii="Times New Roman" w:cs="Times New Roman" w:eastAsia="Times New Roman" w:hAnsi="Times New Roman"/>
          <w:sz w:val="21"/>
          <w:szCs w:val="21"/>
          <w:color w:val="auto"/>
        </w:rPr>
      </w:pPr>
    </w:p>
    <w:p>
      <w:pPr>
        <w:ind w:firstLine="1239"/>
        <w:spacing w:after="0" w:line="300" w:lineRule="auto"/>
        <w:tabs>
          <w:tab w:leader="none" w:pos="1849"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If Participant is based outside the EEA+, the legal basis, where required, for the processing of Data by the Company is Participant’s consent, as further described below.</w:t>
      </w:r>
    </w:p>
    <w:p>
      <w:pPr>
        <w:spacing w:after="0" w:line="181" w:lineRule="exact"/>
        <w:rPr>
          <w:rFonts w:ascii="Times New Roman" w:cs="Times New Roman" w:eastAsia="Times New Roman" w:hAnsi="Times New Roman"/>
          <w:sz w:val="21"/>
          <w:szCs w:val="21"/>
          <w:color w:val="auto"/>
        </w:rPr>
      </w:pPr>
    </w:p>
    <w:p>
      <w:pPr>
        <w:jc w:val="both"/>
        <w:ind w:firstLine="621"/>
        <w:spacing w:after="0" w:line="259" w:lineRule="auto"/>
        <w:tabs>
          <w:tab w:leader="none" w:pos="1233"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u w:val="single" w:color="auto"/>
          <w:color w:val="auto"/>
        </w:rPr>
        <w:t>Stock Plan Administration Service Providers</w:t>
      </w:r>
      <w:r>
        <w:rPr>
          <w:rFonts w:ascii="Times New Roman" w:cs="Times New Roman" w:eastAsia="Times New Roman" w:hAnsi="Times New Roman"/>
          <w:sz w:val="21"/>
          <w:szCs w:val="21"/>
          <w:b w:val="1"/>
          <w:bCs w:val="1"/>
          <w:i w:val="1"/>
          <w:iCs w:val="1"/>
          <w:color w:val="auto"/>
        </w:rPr>
        <w:t>. The Company transfers Data to Shareworks by Morgan Stanley (f/k/a Solium Capital LLC) (the “</w:t>
      </w:r>
      <w:r>
        <w:rPr>
          <w:rFonts w:ascii="Times New Roman" w:cs="Times New Roman" w:eastAsia="Times New Roman" w:hAnsi="Times New Roman"/>
          <w:sz w:val="21"/>
          <w:szCs w:val="21"/>
          <w:b w:val="1"/>
          <w:bCs w:val="1"/>
          <w:i w:val="1"/>
          <w:iCs w:val="1"/>
          <w:u w:val="single" w:color="auto"/>
          <w:color w:val="auto"/>
        </w:rPr>
        <w:t>Designated Broker</w:t>
      </w:r>
      <w:r>
        <w:rPr>
          <w:rFonts w:ascii="Times New Roman" w:cs="Times New Roman" w:eastAsia="Times New Roman" w:hAnsi="Times New Roman"/>
          <w:sz w:val="21"/>
          <w:szCs w:val="21"/>
          <w:b w:val="1"/>
          <w:bCs w:val="1"/>
          <w:i w:val="1"/>
          <w:iCs w:val="1"/>
          <w:color w:val="auto"/>
        </w:rPr>
        <w:t>”), an independent service provider, which is assisting the Company with the implementation, administration and management of the Plan. In the future, the Company may select a</w:t>
      </w:r>
    </w:p>
    <w:p>
      <w:pPr>
        <w:sectPr>
          <w:pgSz w:w="11900" w:h="16838" w:orient="portrait"/>
          <w:cols w:equalWidth="0" w:num="1">
            <w:col w:w="11240"/>
          </w:cols>
          <w:pgMar w:left="320" w:top="1440" w:right="339" w:bottom="1440" w:gutter="0" w:footer="0" w:header="0"/>
        </w:sectPr>
      </w:pPr>
    </w:p>
    <w:bookmarkStart w:id="214" w:name="page215"/>
    <w:bookmarkEnd w:id="214"/>
    <w:p>
      <w:pPr>
        <w:jc w:val="both"/>
        <w:spacing w:after="0" w:line="258" w:lineRule="auto"/>
        <w:rPr>
          <w:sz w:val="20"/>
          <w:szCs w:val="20"/>
          <w:color w:val="auto"/>
        </w:rPr>
      </w:pPr>
      <w:r>
        <w:rPr>
          <w:rFonts w:ascii="Times New Roman" w:cs="Times New Roman" w:eastAsia="Times New Roman" w:hAnsi="Times New Roman"/>
          <w:sz w:val="21"/>
          <w:szCs w:val="21"/>
          <w:b w:val="1"/>
          <w:bCs w:val="1"/>
          <w:i w:val="1"/>
          <w:iCs w:val="1"/>
          <w:color w:val="auto"/>
        </w:rPr>
        <w:t>different service provider and share Data with such other provider serving in a similar manner. The Designated Broker will open an account for Participant to receive and trade Shares acquired under the Plan. Participant may be asked to agree on separate terms and data processing practices with the Designated Broker, with such agreement being a condition to the ability to participate in the Plan.</w:t>
      </w:r>
    </w:p>
    <w:p>
      <w:pPr>
        <w:spacing w:after="0" w:line="198" w:lineRule="exact"/>
        <w:rPr>
          <w:sz w:val="20"/>
          <w:szCs w:val="20"/>
          <w:color w:val="auto"/>
        </w:rPr>
      </w:pPr>
    </w:p>
    <w:p>
      <w:pPr>
        <w:jc w:val="both"/>
        <w:ind w:firstLine="621"/>
        <w:spacing w:after="0" w:line="254" w:lineRule="auto"/>
        <w:tabs>
          <w:tab w:leader="none" w:pos="1232"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u w:val="single" w:color="auto"/>
          <w:color w:val="auto"/>
        </w:rPr>
        <w:t>International Data Transfers.</w:t>
      </w:r>
      <w:r>
        <w:rPr>
          <w:rFonts w:ascii="Times New Roman" w:cs="Times New Roman" w:eastAsia="Times New Roman" w:hAnsi="Times New Roman"/>
          <w:sz w:val="21"/>
          <w:szCs w:val="21"/>
          <w:b w:val="1"/>
          <w:bCs w:val="1"/>
          <w:i w:val="1"/>
          <w:iCs w:val="1"/>
          <w:color w:val="auto"/>
        </w:rPr>
        <w:t xml:space="preserve"> Participant understands that the Company and, as of the date hereof, any third parties assisting in the implementation, administration and management of the Plan, such as the Designated Broker, are based in the United States. If Participant is located outside the United States, Participant understands and acknowledges that Participant’s country may have enacted data privacy laws that are different from the laws of the United States. The Company’s legal basis for the transfer of Participant’s Data, where required, is Participant’s consent.</w:t>
      </w:r>
    </w:p>
    <w:p>
      <w:pPr>
        <w:spacing w:after="0" w:line="203" w:lineRule="exact"/>
        <w:rPr>
          <w:rFonts w:ascii="Times New Roman" w:cs="Times New Roman" w:eastAsia="Times New Roman" w:hAnsi="Times New Roman"/>
          <w:sz w:val="21"/>
          <w:szCs w:val="21"/>
          <w:color w:val="auto"/>
        </w:rPr>
      </w:pPr>
    </w:p>
    <w:p>
      <w:pPr>
        <w:jc w:val="both"/>
        <w:ind w:firstLine="621"/>
        <w:spacing w:after="0" w:line="259" w:lineRule="auto"/>
        <w:tabs>
          <w:tab w:leader="none" w:pos="123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u w:val="single" w:color="auto"/>
          <w:color w:val="auto"/>
        </w:rPr>
        <w:t>Data Retention</w:t>
      </w:r>
      <w:r>
        <w:rPr>
          <w:rFonts w:ascii="Times New Roman" w:cs="Times New Roman" w:eastAsia="Times New Roman" w:hAnsi="Times New Roman"/>
          <w:sz w:val="21"/>
          <w:szCs w:val="21"/>
          <w:b w:val="1"/>
          <w:bCs w:val="1"/>
          <w:i w:val="1"/>
          <w:iCs w:val="1"/>
          <w:color w:val="auto"/>
        </w:rPr>
        <w:t>. The Company will hold and use the Data only as long as is necessary to implement, administer and manage Participant’s participation in the Plan, or as required to comply with legal or regulatory obligations, including under tax and securities laws.</w:t>
      </w:r>
    </w:p>
    <w:p>
      <w:pPr>
        <w:spacing w:after="0" w:line="209" w:lineRule="exact"/>
        <w:rPr>
          <w:rFonts w:ascii="Times New Roman" w:cs="Times New Roman" w:eastAsia="Times New Roman" w:hAnsi="Times New Roman"/>
          <w:sz w:val="21"/>
          <w:szCs w:val="21"/>
          <w:color w:val="auto"/>
        </w:rPr>
      </w:pPr>
    </w:p>
    <w:p>
      <w:pPr>
        <w:jc w:val="both"/>
        <w:ind w:firstLine="621"/>
        <w:spacing w:after="0" w:line="250" w:lineRule="auto"/>
        <w:tabs>
          <w:tab w:leader="none" w:pos="1236"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u w:val="single" w:color="auto"/>
          <w:color w:val="auto"/>
        </w:rPr>
        <w:t>Data Subject Rights</w:t>
      </w:r>
      <w:r>
        <w:rPr>
          <w:rFonts w:ascii="Times New Roman" w:cs="Times New Roman" w:eastAsia="Times New Roman" w:hAnsi="Times New Roman"/>
          <w:sz w:val="21"/>
          <w:szCs w:val="21"/>
          <w:b w:val="1"/>
          <w:bCs w:val="1"/>
          <w:i w:val="1"/>
          <w:iCs w:val="1"/>
          <w:color w:val="auto"/>
        </w:rPr>
        <w:t>. Participant may have a number of rights under data privacy laws in Participant’s jurisdiction. Depending on where Participant is based, such rights may include the right to (i) request access or copies of Data the Company processes, (ii) the rectification or amendment of incorrect or incomplete Data, (iii) the deletion of Data, (iv) request restrictions on the processing of Data, (v) object to the processing of Data for legitimate interests, (vi) the portability of Data, (vi) lodge complaints with competent authorities in Participant’s jurisdiction, and/or to (viii) receive a list with the names and addresses of any potential recipients of Data. To receive additional information regarding these rights or to exercise these rights, Participant can contact the Company’s human resources department at HumanResources@whitehawktx.com.</w:t>
      </w:r>
    </w:p>
    <w:p>
      <w:pPr>
        <w:spacing w:after="0" w:line="209" w:lineRule="exact"/>
        <w:rPr>
          <w:rFonts w:ascii="Times New Roman" w:cs="Times New Roman" w:eastAsia="Times New Roman" w:hAnsi="Times New Roman"/>
          <w:sz w:val="21"/>
          <w:szCs w:val="21"/>
          <w:color w:val="auto"/>
        </w:rPr>
      </w:pPr>
    </w:p>
    <w:p>
      <w:pPr>
        <w:jc w:val="both"/>
        <w:ind w:firstLine="621"/>
        <w:spacing w:after="0" w:line="265" w:lineRule="auto"/>
        <w:tabs>
          <w:tab w:leader="none" w:pos="1232"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u w:val="single" w:color="auto"/>
          <w:color w:val="auto"/>
        </w:rPr>
        <w:t>Necessary Disclosure of Personal Data</w:t>
      </w:r>
      <w:r>
        <w:rPr>
          <w:rFonts w:ascii="Times New Roman" w:cs="Times New Roman" w:eastAsia="Times New Roman" w:hAnsi="Times New Roman"/>
          <w:sz w:val="21"/>
          <w:szCs w:val="21"/>
          <w:b w:val="1"/>
          <w:bCs w:val="1"/>
          <w:i w:val="1"/>
          <w:iCs w:val="1"/>
          <w:color w:val="auto"/>
        </w:rPr>
        <w:t>. Participant understands that providing the Company with Data is necessary for the performance of the Award Agreement and that Participant’s refusal to provide Data would make it impossible for the Company to perform its contractual obligations and may affect Participant’s ability to participate in the Plan.</w:t>
      </w:r>
    </w:p>
    <w:p>
      <w:pPr>
        <w:spacing w:after="0" w:line="191" w:lineRule="exact"/>
        <w:rPr>
          <w:rFonts w:ascii="Times New Roman" w:cs="Times New Roman" w:eastAsia="Times New Roman" w:hAnsi="Times New Roman"/>
          <w:sz w:val="21"/>
          <w:szCs w:val="21"/>
          <w:color w:val="auto"/>
        </w:rPr>
      </w:pPr>
    </w:p>
    <w:p>
      <w:pPr>
        <w:jc w:val="both"/>
        <w:ind w:firstLine="621"/>
        <w:spacing w:after="0" w:line="250" w:lineRule="auto"/>
        <w:tabs>
          <w:tab w:leader="none" w:pos="1232"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u w:val="single" w:color="auto"/>
          <w:color w:val="auto"/>
        </w:rPr>
        <w:t>Voluntariness and Consequences of Consent Denial or Withdrawal</w:t>
      </w:r>
      <w:r>
        <w:rPr>
          <w:rFonts w:ascii="Times New Roman" w:cs="Times New Roman" w:eastAsia="Times New Roman" w:hAnsi="Times New Roman"/>
          <w:sz w:val="21"/>
          <w:szCs w:val="21"/>
          <w:b w:val="1"/>
          <w:bCs w:val="1"/>
          <w:i w:val="1"/>
          <w:iCs w:val="1"/>
          <w:color w:val="auto"/>
        </w:rPr>
        <w:t>. Participation in the Plan is voluntary and Participant is providing any consents referred to herein on a purely voluntary basis. Participant understands that Participant may withdraw any such consent at any time with future effect for any or no reason. If Participant does not consent, or if Participant later seeks to withdraw his or her consent, Participant’s salary from or employment and career with the Service Recipient will not be affected; the only consequence of refusing or withdrawing consent is that the Company would not be able to grant Restricted Stock Units under the Plan to Participant or administer or maintain the Plan. For more information on the consequences of refusal to consent or withdrawal of consent,</w:t>
      </w:r>
    </w:p>
    <w:p>
      <w:pPr>
        <w:sectPr>
          <w:pgSz w:w="11900" w:h="16838" w:orient="portrait"/>
          <w:cols w:equalWidth="0" w:num="1">
            <w:col w:w="11240"/>
          </w:cols>
          <w:pgMar w:left="320" w:top="1358"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21"/>
          <w:szCs w:val="21"/>
          <w:b w:val="1"/>
          <w:bCs w:val="1"/>
          <w:i w:val="1"/>
          <w:iCs w:val="1"/>
          <w:color w:val="auto"/>
        </w:rPr>
        <w:t>Participant should contact the Company’s human resources department at HumanResources@whitehawktx.com.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185420</wp:posOffset>
            </wp:positionV>
            <wp:extent cx="6806565" cy="16192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6806565" cy="1619250"/>
                    </a:xfrm>
                    <a:prstGeom prst="rect">
                      <a:avLst/>
                    </a:prstGeom>
                    <a:noFill/>
                  </pic:spPr>
                </pic:pic>
              </a:graphicData>
            </a:graphic>
          </wp:anchor>
        </w:drawing>
      </w:r>
    </w:p>
    <w:p>
      <w:pPr>
        <w:spacing w:after="0" w:line="292" w:lineRule="exact"/>
        <w:rPr>
          <w:sz w:val="20"/>
          <w:szCs w:val="20"/>
          <w:color w:val="auto"/>
        </w:rPr>
      </w:pPr>
    </w:p>
    <w:p>
      <w:pPr>
        <w:jc w:val="both"/>
        <w:ind w:left="700"/>
        <w:spacing w:after="0" w:line="258" w:lineRule="auto"/>
        <w:rPr>
          <w:sz w:val="20"/>
          <w:szCs w:val="20"/>
          <w:color w:val="auto"/>
        </w:rPr>
      </w:pPr>
      <w:r>
        <w:rPr>
          <w:rFonts w:ascii="Times New Roman" w:cs="Times New Roman" w:eastAsia="Times New Roman" w:hAnsi="Times New Roman"/>
          <w:sz w:val="21"/>
          <w:szCs w:val="21"/>
          <w:b w:val="1"/>
          <w:bCs w:val="1"/>
          <w:i w:val="1"/>
          <w:iCs w:val="1"/>
          <w:u w:val="single" w:color="auto"/>
          <w:color w:val="auto"/>
        </w:rPr>
        <w:t>Declaration of Consent</w:t>
      </w:r>
      <w:r>
        <w:rPr>
          <w:rFonts w:ascii="Times New Roman" w:cs="Times New Roman" w:eastAsia="Times New Roman" w:hAnsi="Times New Roman"/>
          <w:sz w:val="21"/>
          <w:szCs w:val="21"/>
          <w:b w:val="1"/>
          <w:bCs w:val="1"/>
          <w:i w:val="1"/>
          <w:iCs w:val="1"/>
          <w:color w:val="auto"/>
        </w:rPr>
        <w:t>. If Participant is based in the EEA+, by accepting the grant of Restricted Stock Units and indic consent via the Company’s online acceptance procedure, Participant explicitly declares his or her consent to the onward tra of Data by the Company to the Designated Broker or, as the case may be, a different service provider of the Company in the as described in this Data Privacy section.</w:t>
      </w:r>
    </w:p>
    <w:p>
      <w:pPr>
        <w:spacing w:after="0" w:line="198" w:lineRule="exact"/>
        <w:rPr>
          <w:sz w:val="20"/>
          <w:szCs w:val="20"/>
          <w:color w:val="auto"/>
        </w:rPr>
      </w:pPr>
    </w:p>
    <w:p>
      <w:pPr>
        <w:jc w:val="both"/>
        <w:ind w:left="700"/>
        <w:spacing w:after="0" w:line="258" w:lineRule="auto"/>
        <w:rPr>
          <w:sz w:val="20"/>
          <w:szCs w:val="20"/>
          <w:color w:val="auto"/>
        </w:rPr>
      </w:pPr>
      <w:r>
        <w:rPr>
          <w:rFonts w:ascii="Times New Roman" w:cs="Times New Roman" w:eastAsia="Times New Roman" w:hAnsi="Times New Roman"/>
          <w:sz w:val="21"/>
          <w:szCs w:val="21"/>
          <w:b w:val="1"/>
          <w:bCs w:val="1"/>
          <w:i w:val="1"/>
          <w:iCs w:val="1"/>
          <w:color w:val="auto"/>
        </w:rPr>
        <w:t>If Participant is based outside the EEA+, by accepting the grant of Restricted Stock Units and indicating consent vi Company’s online acceptance procedure, Participant explicitly declares his or her consent to the entirety of the Data proce operations described in this Data Privacy section including, without limitation, the onward transfer of Data by the Compa Designated Broker or, as the case may be, a different service provider of the Company in the U.S.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Notifications</w:t>
      </w:r>
    </w:p>
    <w:p>
      <w:pPr>
        <w:spacing w:after="0" w:line="215"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20"/>
          <w:szCs w:val="20"/>
          <w:u w:val="single" w:color="auto"/>
          <w:color w:val="auto"/>
        </w:rPr>
        <w:t>Foreign Asset/Account, Exchange Control and Tax Reporting and Other Requirements</w:t>
      </w:r>
      <w:r>
        <w:rPr>
          <w:rFonts w:ascii="Times New Roman" w:cs="Times New Roman" w:eastAsia="Times New Roman" w:hAnsi="Times New Roman"/>
          <w:sz w:val="20"/>
          <w:szCs w:val="20"/>
          <w:color w:val="auto"/>
        </w:rPr>
        <w:t>. Depending on Participant’s country, Participant may be subject to foreign asset/account, exchange control and/or tax reporting requirements as a result of the vesting of the Restricted Stock Units, the acquisition, holding and/or transfer of Shares or cash resulting from participation in the Plan and/or the opening and maintaining of a brokerage or bank account in connection with the Plan. Participant may be required to report such assets, accounts, account balances and values, and/or related transactions to the applicable authorities in his or her country. Participant may also be required to repatriate sale proceeds or other funds received as a result of his or her participation in the Plan to his or her country through a designated bank or broker and/or within a certain time after receipt. Participant acknowledges that he or she is responsible for ensuring compliance with any applicable foreign asset/account, exchange control and tax reporting and other requirements. Participant further understands that he or she should consult Participant’s personal tax and legal advisors, as applicable on these matters.</w:t>
      </w:r>
    </w:p>
    <w:p>
      <w:pPr>
        <w:sectPr>
          <w:pgSz w:w="11900" w:h="16838" w:orient="portrait"/>
          <w:cols w:equalWidth="0" w:num="1">
            <w:col w:w="11340"/>
          </w:cols>
          <w:pgMar w:left="320" w:top="1358" w:right="2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4862-6160-5247.3 - 9/25/2023 10:47:15 AM</w:t>
      </w:r>
    </w:p>
    <w:p>
      <w:pPr>
        <w:spacing w:after="0" w:line="20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WHITEHAWK THERAPEUTICS, INC.</w:t>
      </w:r>
    </w:p>
    <w:p>
      <w:pPr>
        <w:spacing w:after="0" w:line="20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b w:val="1"/>
          <w:bCs w:val="1"/>
          <w:color w:val="auto"/>
        </w:rPr>
        <w:t>2023 INDUCEMENT EQUITY INCENTIVE PLAN</w:t>
      </w:r>
    </w:p>
    <w:p>
      <w:pPr>
        <w:spacing w:after="0" w:line="123" w:lineRule="exact"/>
        <w:rPr>
          <w:sz w:val="20"/>
          <w:szCs w:val="20"/>
          <w:color w:val="auto"/>
        </w:rPr>
      </w:pPr>
    </w:p>
    <w:p>
      <w:pPr>
        <w:jc w:val="both"/>
        <w:ind w:firstLine="621"/>
        <w:spacing w:after="0" w:line="256" w:lineRule="auto"/>
        <w:tabs>
          <w:tab w:leader="none" w:pos="1236"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 of the Plan</w:t>
      </w:r>
      <w:r>
        <w:rPr>
          <w:rFonts w:ascii="Times New Roman" w:cs="Times New Roman" w:eastAsia="Times New Roman" w:hAnsi="Times New Roman"/>
          <w:sz w:val="21"/>
          <w:szCs w:val="21"/>
          <w:color w:val="auto"/>
        </w:rPr>
        <w:t>. The purpose of this Plan is to attract and retain the best available personnel for positions of substantial responsibility by providing a material inducement to individuals entering into employment with the Company or any Parent or Subsidiary of the Company, including grants to new employees in connection with a merger or acquisition.</w:t>
      </w:r>
    </w:p>
    <w:p>
      <w:pPr>
        <w:spacing w:after="0" w:line="64"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21"/>
          <w:szCs w:val="21"/>
          <w:color w:val="auto"/>
        </w:rPr>
        <w:t>The Plan permits the grant of Nonstatutory Stock Options, Restricted Stock, Restricted Stock Units, Stock Appreciation Rights, Performance Units and Performance Shares. Each Award under the Plan is intended to qualify as an employment inducement grant under Nasdaq Listing Rule 5635(c)(4) and the official regulations thereunder (together, the “Inducement Listing Rule”) or to qualify under the exception relating to plans or arrangements relating to an acquisition or merger under Nasdaq Listing Rule 5635(c)(3) and the official guidance thereunder.</w:t>
      </w:r>
    </w:p>
    <w:p>
      <w:pPr>
        <w:spacing w:after="0" w:line="71" w:lineRule="exact"/>
        <w:rPr>
          <w:sz w:val="20"/>
          <w:szCs w:val="20"/>
          <w:color w:val="auto"/>
        </w:rPr>
      </w:pPr>
    </w:p>
    <w:p>
      <w:pPr>
        <w:ind w:left="1240" w:hanging="619"/>
        <w:spacing w:after="0"/>
        <w:tabs>
          <w:tab w:leader="none" w:pos="124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herein, the following definitions will apply:</w:t>
      </w:r>
    </w:p>
    <w:p>
      <w:pPr>
        <w:spacing w:after="0" w:line="106"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means the Board or any of its Committees as will be administering the Plan, in accordance with</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Section 4 of the Plan.</w:t>
      </w:r>
    </w:p>
    <w:p>
      <w:pPr>
        <w:spacing w:after="0" w:line="97" w:lineRule="exact"/>
        <w:rPr>
          <w:rFonts w:ascii="Times New Roman" w:cs="Times New Roman" w:eastAsia="Times New Roman" w:hAnsi="Times New Roman"/>
          <w:sz w:val="20"/>
          <w:szCs w:val="20"/>
          <w:color w:val="auto"/>
        </w:rPr>
      </w:pPr>
    </w:p>
    <w:p>
      <w:pPr>
        <w:jc w:val="both"/>
        <w:ind w:firstLine="1239"/>
        <w:spacing w:after="0" w:line="268" w:lineRule="auto"/>
        <w:tabs>
          <w:tab w:leader="none" w:pos="1850"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Laws</w:t>
      </w:r>
      <w:r>
        <w:rPr>
          <w:rFonts w:ascii="Times New Roman" w:cs="Times New Roman" w:eastAsia="Times New Roman" w:hAnsi="Times New Roman"/>
          <w:sz w:val="20"/>
          <w:szCs w:val="20"/>
          <w:color w:val="auto"/>
        </w:rPr>
        <w:t>” means the legal and regulatory requirements relating to the administration of equity-based awards, including but not limited to the related issuance of shares of Common Stock, including but not limited to, under U.S.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54" w:lineRule="exact"/>
        <w:rPr>
          <w:rFonts w:ascii="Times New Roman" w:cs="Times New Roman" w:eastAsia="Times New Roman" w:hAnsi="Times New Roman"/>
          <w:sz w:val="20"/>
          <w:szCs w:val="20"/>
          <w:color w:val="auto"/>
        </w:rPr>
      </w:pPr>
    </w:p>
    <w:p>
      <w:pPr>
        <w:ind w:firstLine="1239"/>
        <w:spacing w:after="0" w:line="281" w:lineRule="auto"/>
        <w:tabs>
          <w:tab w:leader="none" w:pos="1851"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means, individually or collectively, a grant under the Plan of Options, Stock Appreciation Rights, Restricted Stock, Restricted Stock Units, Performance Units or Performance Shares.</w:t>
      </w:r>
    </w:p>
    <w:p>
      <w:pPr>
        <w:spacing w:after="0" w:line="39" w:lineRule="exact"/>
        <w:rPr>
          <w:rFonts w:ascii="Times New Roman" w:cs="Times New Roman" w:eastAsia="Times New Roman" w:hAnsi="Times New Roman"/>
          <w:sz w:val="21"/>
          <w:szCs w:val="21"/>
          <w:color w:val="auto"/>
        </w:rPr>
      </w:pPr>
    </w:p>
    <w:p>
      <w:pPr>
        <w:ind w:firstLine="1239"/>
        <w:spacing w:after="0" w:line="269" w:lineRule="auto"/>
        <w:tabs>
          <w:tab w:leader="none" w:pos="1850"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means the written or electronic agreement setting forth the terms and provisions applicable to each Award granted under the Plan. The Award Agreement is subject to the terms and conditions of the Plan.</w:t>
      </w:r>
    </w:p>
    <w:p>
      <w:pPr>
        <w:spacing w:after="0" w:line="51"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106"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the occurrence of any of the following events:</w:t>
      </w:r>
    </w:p>
    <w:p>
      <w:pPr>
        <w:spacing w:after="0" w:line="119" w:lineRule="exact"/>
        <w:rPr>
          <w:rFonts w:ascii="Times New Roman" w:cs="Times New Roman" w:eastAsia="Times New Roman" w:hAnsi="Times New Roman"/>
          <w:sz w:val="21"/>
          <w:szCs w:val="21"/>
          <w:color w:val="auto"/>
        </w:rPr>
      </w:pPr>
    </w:p>
    <w:p>
      <w:pPr>
        <w:jc w:val="both"/>
        <w:ind w:firstLine="2166"/>
        <w:spacing w:after="0" w:line="249" w:lineRule="auto"/>
        <w:tabs>
          <w:tab w:leader="none" w:pos="2461" w:val="left"/>
        </w:tabs>
        <w:numPr>
          <w:ilvl w:val="2"/>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ownership of the Company which occurs on the date that any one person, or more than one person acting as a group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acquires ownership of the stock of the Company that, together with the stock held by such Person, constitutes more than fifty percent (50%) of the total voting power of the stock of the Company; provided, however, that for purposes of this subsection (i), (A) the acquisition of additional stock by any one Person, who is considered to own more than 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w:t>
      </w:r>
    </w:p>
    <w:p>
      <w:pPr>
        <w:sectPr>
          <w:pgSz w:w="11900" w:h="16838" w:orient="portrait"/>
          <w:cols w:equalWidth="0" w:num="1">
            <w:col w:w="11240"/>
          </w:cols>
          <w:pgMar w:left="320" w:top="123" w:right="339" w:bottom="1440" w:gutter="0" w:footer="0" w:header="0"/>
        </w:sectPr>
      </w:pPr>
    </w:p>
    <w:bookmarkStart w:id="217" w:name="page218"/>
    <w:bookmarkEnd w:id="217"/>
    <w:p>
      <w:pPr>
        <w:spacing w:after="0" w:line="2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75" w:lineRule="exact"/>
        <w:rPr>
          <w:sz w:val="20"/>
          <w:szCs w:val="20"/>
          <w:color w:val="auto"/>
        </w:rPr>
      </w:pPr>
    </w:p>
    <w:p>
      <w:pPr>
        <w:jc w:val="both"/>
        <w:ind w:firstLine="2166"/>
        <w:spacing w:after="0" w:line="252" w:lineRule="auto"/>
        <w:tabs>
          <w:tab w:leader="none" w:pos="2467"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71" w:lineRule="exact"/>
        <w:rPr>
          <w:rFonts w:ascii="Times New Roman" w:cs="Times New Roman" w:eastAsia="Times New Roman" w:hAnsi="Times New Roman"/>
          <w:sz w:val="21"/>
          <w:szCs w:val="21"/>
          <w:color w:val="auto"/>
        </w:rPr>
      </w:pPr>
    </w:p>
    <w:p>
      <w:pPr>
        <w:jc w:val="both"/>
        <w:ind w:firstLine="2166"/>
        <w:spacing w:after="0" w:line="248" w:lineRule="auto"/>
        <w:tabs>
          <w:tab w:leader="none" w:pos="2526"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subsection (iii)(B)(3) of this Section 2(f). For purposes of this subsection (iii), gross fair market value means the value of the assets of the Company, or the value of the assets being disposed of, determined without regard to any liabilities associated with such assets.</w:t>
      </w:r>
    </w:p>
    <w:p>
      <w:pPr>
        <w:spacing w:after="0" w:line="78" w:lineRule="exact"/>
        <w:rPr>
          <w:sz w:val="20"/>
          <w:szCs w:val="20"/>
          <w:color w:val="auto"/>
        </w:rPr>
      </w:pPr>
    </w:p>
    <w:p>
      <w:pPr>
        <w:jc w:val="both"/>
        <w:ind w:firstLine="1854"/>
        <w:spacing w:after="0" w:line="294" w:lineRule="auto"/>
        <w:rPr>
          <w:sz w:val="20"/>
          <w:szCs w:val="20"/>
          <w:color w:val="auto"/>
        </w:rPr>
      </w:pPr>
      <w:r>
        <w:rPr>
          <w:rFonts w:ascii="Times New Roman" w:cs="Times New Roman" w:eastAsia="Times New Roman" w:hAnsi="Times New Roman"/>
          <w:sz w:val="20"/>
          <w:szCs w:val="20"/>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29" w:lineRule="exact"/>
        <w:rPr>
          <w:sz w:val="20"/>
          <w:szCs w:val="20"/>
          <w:color w:val="auto"/>
        </w:rPr>
      </w:pPr>
    </w:p>
    <w:p>
      <w:pPr>
        <w:jc w:val="both"/>
        <w:ind w:firstLine="1854"/>
        <w:spacing w:after="0" w:line="256" w:lineRule="auto"/>
        <w:rPr>
          <w:sz w:val="20"/>
          <w:szCs w:val="20"/>
          <w:color w:val="auto"/>
        </w:rPr>
      </w:pPr>
      <w:r>
        <w:rPr>
          <w:rFonts w:ascii="Times New Roman" w:cs="Times New Roman" w:eastAsia="Times New Roman" w:hAnsi="Times New Roman"/>
          <w:sz w:val="21"/>
          <w:szCs w:val="21"/>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64" w:lineRule="exact"/>
        <w:rPr>
          <w:sz w:val="20"/>
          <w:szCs w:val="20"/>
          <w:color w:val="auto"/>
        </w:rPr>
      </w:pPr>
    </w:p>
    <w:p>
      <w:pPr>
        <w:jc w:val="both"/>
        <w:ind w:firstLine="1854"/>
        <w:spacing w:after="0" w:line="274" w:lineRule="auto"/>
        <w:rPr>
          <w:sz w:val="20"/>
          <w:szCs w:val="20"/>
          <w:color w:val="auto"/>
        </w:rPr>
      </w:pPr>
      <w:r>
        <w:rPr>
          <w:rFonts w:ascii="Times New Roman" w:cs="Times New Roman" w:eastAsia="Times New Roman" w:hAnsi="Times New Roman"/>
          <w:sz w:val="20"/>
          <w:szCs w:val="20"/>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- 2 -</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272" w:lineRule="exact"/>
        <w:rPr>
          <w:sz w:val="20"/>
          <w:szCs w:val="20"/>
          <w:color w:val="auto"/>
        </w:rPr>
      </w:pPr>
    </w:p>
    <w:p>
      <w:pPr>
        <w:jc w:val="both"/>
        <w:ind w:left="-1120" w:firstLine="1239"/>
        <w:spacing w:after="0" w:line="262" w:lineRule="auto"/>
        <w:tabs>
          <w:tab w:leader="none" w:pos="73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U.S.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59" w:lineRule="exact"/>
        <w:rPr>
          <w:rFonts w:ascii="Times New Roman" w:cs="Times New Roman" w:eastAsia="Times New Roman" w:hAnsi="Times New Roman"/>
          <w:sz w:val="21"/>
          <w:szCs w:val="21"/>
          <w:color w:val="auto"/>
        </w:rPr>
      </w:pPr>
    </w:p>
    <w:p>
      <w:pPr>
        <w:ind w:left="-1120" w:firstLine="1239"/>
        <w:spacing w:after="0" w:line="269" w:lineRule="auto"/>
        <w:tabs>
          <w:tab w:leader="none" w:pos="73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a committee of Directors or of other individuals satisfying Applicable Laws appointed by the Board, or a duly authorized committee of the Board, in accordance with Section 4 hereof.</w:t>
      </w:r>
    </w:p>
    <w:p>
      <w:pPr>
        <w:spacing w:after="0" w:line="51" w:lineRule="exact"/>
        <w:rPr>
          <w:rFonts w:ascii="Times New Roman" w:cs="Times New Roman" w:eastAsia="Times New Roman" w:hAnsi="Times New Roman"/>
          <w:sz w:val="21"/>
          <w:szCs w:val="21"/>
          <w:color w:val="auto"/>
        </w:rPr>
      </w:pPr>
    </w:p>
    <w:p>
      <w:pPr>
        <w:ind w:left="720" w:hanging="601"/>
        <w:spacing w:after="0"/>
        <w:tabs>
          <w:tab w:leader="none" w:pos="72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the common stock of the Company.</w:t>
      </w:r>
    </w:p>
    <w:p>
      <w:pPr>
        <w:spacing w:after="0" w:line="106" w:lineRule="exact"/>
        <w:rPr>
          <w:rFonts w:ascii="Times New Roman" w:cs="Times New Roman" w:eastAsia="Times New Roman" w:hAnsi="Times New Roman"/>
          <w:sz w:val="21"/>
          <w:szCs w:val="21"/>
          <w:color w:val="auto"/>
        </w:rPr>
      </w:pPr>
    </w:p>
    <w:p>
      <w:pPr>
        <w:ind w:left="720" w:hanging="601"/>
        <w:spacing w:after="0"/>
        <w:tabs>
          <w:tab w:leader="none" w:pos="72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Whitehawk Therapeutics, Inc., a Delaware corporation.</w:t>
      </w:r>
    </w:p>
    <w:p>
      <w:pPr>
        <w:spacing w:after="0" w:line="119" w:lineRule="exact"/>
        <w:rPr>
          <w:rFonts w:ascii="Times New Roman" w:cs="Times New Roman" w:eastAsia="Times New Roman" w:hAnsi="Times New Roman"/>
          <w:sz w:val="21"/>
          <w:szCs w:val="21"/>
          <w:color w:val="auto"/>
        </w:rPr>
      </w:pPr>
    </w:p>
    <w:p>
      <w:pPr>
        <w:jc w:val="both"/>
        <w:ind w:left="-1120" w:firstLine="1239"/>
        <w:spacing w:after="0" w:line="249" w:lineRule="auto"/>
        <w:tabs>
          <w:tab w:leader="none" w:pos="73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Consultant</w:t>
      </w:r>
      <w:r>
        <w:rPr>
          <w:rFonts w:ascii="Times New Roman" w:cs="Times New Roman" w:eastAsia="Times New Roman" w:hAnsi="Times New Roman"/>
          <w:sz w:val="21"/>
          <w:szCs w:val="21"/>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73" w:lineRule="exact"/>
        <w:rPr>
          <w:rFonts w:ascii="Times New Roman" w:cs="Times New Roman" w:eastAsia="Times New Roman" w:hAnsi="Times New Roman"/>
          <w:sz w:val="21"/>
          <w:szCs w:val="21"/>
          <w:color w:val="auto"/>
        </w:rPr>
      </w:pPr>
    </w:p>
    <w:p>
      <w:pPr>
        <w:ind w:left="720" w:hanging="601"/>
        <w:spacing w:after="0"/>
        <w:tabs>
          <w:tab w:leader="none" w:pos="72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means a member of the Board.</w:t>
      </w:r>
    </w:p>
    <w:p>
      <w:pPr>
        <w:spacing w:after="0" w:line="119" w:lineRule="exact"/>
        <w:rPr>
          <w:rFonts w:ascii="Times New Roman" w:cs="Times New Roman" w:eastAsia="Times New Roman" w:hAnsi="Times New Roman"/>
          <w:sz w:val="21"/>
          <w:szCs w:val="21"/>
          <w:color w:val="auto"/>
        </w:rPr>
      </w:pPr>
    </w:p>
    <w:p>
      <w:pPr>
        <w:jc w:val="both"/>
        <w:ind w:left="-1120" w:firstLine="1239"/>
        <w:spacing w:after="0" w:line="256" w:lineRule="auto"/>
        <w:tabs>
          <w:tab w:leader="none" w:pos="723"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total and permanent disability as defined in Section 22(e)(3) of the Code, provided that the Administrator in its discretion may determine whether a permanent and total disability exists in accordance with uniform and non-discriminatory standards adopted by the Administrator from time to time.</w:t>
      </w:r>
    </w:p>
    <w:p>
      <w:pPr>
        <w:spacing w:after="0" w:line="64" w:lineRule="exact"/>
        <w:rPr>
          <w:rFonts w:ascii="Times New Roman" w:cs="Times New Roman" w:eastAsia="Times New Roman" w:hAnsi="Times New Roman"/>
          <w:sz w:val="21"/>
          <w:szCs w:val="21"/>
          <w:color w:val="auto"/>
        </w:rPr>
      </w:pPr>
    </w:p>
    <w:p>
      <w:pPr>
        <w:jc w:val="both"/>
        <w:ind w:left="-1120" w:firstLine="1239"/>
        <w:spacing w:after="0" w:line="263" w:lineRule="auto"/>
        <w:tabs>
          <w:tab w:leader="none" w:pos="73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means any person, including Officers and Directors, providing services as an employee to the Company or any Parent or Subsidiary of the Company. Neither service as a Director nor payment of a director’s fee by the Company will be sufficient to constitute “employment” by the Company. However, for the avoidance of doubt, although a person who is an Employee also may be a Director, a person who already is serving as a Director prior to becoming an Employee will not be eligible to be granted an Award under the Plan unless permitted under the Inducement Listing Rule.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62" w:lineRule="exact"/>
        <w:rPr>
          <w:rFonts w:ascii="Times New Roman" w:cs="Times New Roman" w:eastAsia="Times New Roman" w:hAnsi="Times New Roman"/>
          <w:sz w:val="20"/>
          <w:szCs w:val="20"/>
          <w:color w:val="auto"/>
        </w:rPr>
      </w:pPr>
    </w:p>
    <w:p>
      <w:pPr>
        <w:ind w:left="740" w:hanging="621"/>
        <w:spacing w:after="0"/>
        <w:tabs>
          <w:tab w:leader="none" w:pos="74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U.S. Securities Exchange Act of 1934, as amended.</w:t>
      </w:r>
    </w:p>
    <w:p>
      <w:pPr>
        <w:spacing w:after="0" w:line="106" w:lineRule="exact"/>
        <w:rPr>
          <w:rFonts w:ascii="Times New Roman" w:cs="Times New Roman" w:eastAsia="Times New Roman" w:hAnsi="Times New Roman"/>
          <w:sz w:val="21"/>
          <w:szCs w:val="21"/>
          <w:color w:val="auto"/>
        </w:rPr>
      </w:pPr>
    </w:p>
    <w:p>
      <w:pPr>
        <w:jc w:val="both"/>
        <w:ind w:left="-1120" w:firstLine="1239"/>
        <w:spacing w:after="0" w:line="252" w:lineRule="auto"/>
        <w:tabs>
          <w:tab w:leader="none" w:pos="73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Program</w:t>
      </w:r>
      <w:r>
        <w:rPr>
          <w:rFonts w:ascii="Times New Roman" w:cs="Times New Roman" w:eastAsia="Times New Roman" w:hAnsi="Times New Roman"/>
          <w:sz w:val="21"/>
          <w:szCs w:val="21"/>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may not institute an Exchange Program.</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63" w:lineRule="exact"/>
        <w:rPr>
          <w:rFonts w:ascii="Times New Roman" w:cs="Times New Roman" w:eastAsia="Times New Roman" w:hAnsi="Times New Roman"/>
          <w:sz w:val="21"/>
          <w:szCs w:val="21"/>
          <w:color w:val="auto"/>
        </w:rPr>
      </w:pPr>
    </w:p>
    <w:p>
      <w:pPr>
        <w:ind w:left="4460" w:hanging="128"/>
        <w:spacing w:after="0"/>
        <w:tabs>
          <w:tab w:leader="none" w:pos="4460"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3 -</w:t>
      </w:r>
    </w:p>
    <w:p>
      <w:pPr>
        <w:sectPr>
          <w:pgSz w:w="11900" w:h="16838" w:orient="portrait"/>
          <w:cols w:equalWidth="0" w:num="1">
            <w:col w:w="10120"/>
          </w:cols>
          <w:pgMar w:left="1440" w:top="1440" w:right="339" w:bottom="1440" w:gutter="0" w:footer="0" w:header="0"/>
        </w:sectPr>
      </w:pPr>
    </w:p>
    <w:bookmarkStart w:id="219" w:name="page220"/>
    <w:bookmarkEnd w:id="219"/>
    <w:p>
      <w:pPr>
        <w:spacing w:after="0" w:line="272" w:lineRule="exact"/>
        <w:rPr>
          <w:sz w:val="20"/>
          <w:szCs w:val="20"/>
          <w:color w:val="auto"/>
        </w:rPr>
      </w:pPr>
    </w:p>
    <w:p>
      <w:pPr>
        <w:ind w:left="1860" w:hanging="621"/>
        <w:spacing w:after="0"/>
        <w:tabs>
          <w:tab w:leader="none" w:pos="186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means, as of any date, the value of Common Stock determined as follows:</w:t>
      </w:r>
    </w:p>
    <w:p>
      <w:pPr>
        <w:spacing w:after="0" w:line="106" w:lineRule="exact"/>
        <w:rPr>
          <w:rFonts w:ascii="Times New Roman" w:cs="Times New Roman" w:eastAsia="Times New Roman" w:hAnsi="Times New Roman"/>
          <w:sz w:val="21"/>
          <w:szCs w:val="21"/>
          <w:color w:val="auto"/>
        </w:rPr>
      </w:pPr>
    </w:p>
    <w:p>
      <w:pPr>
        <w:jc w:val="both"/>
        <w:ind w:firstLine="2166"/>
        <w:spacing w:after="0" w:line="252" w:lineRule="auto"/>
        <w:tabs>
          <w:tab w:leader="none" w:pos="2461"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w:t>
      </w:r>
    </w:p>
    <w:p>
      <w:pPr>
        <w:spacing w:after="0" w:line="71" w:lineRule="exact"/>
        <w:rPr>
          <w:rFonts w:ascii="Times New Roman" w:cs="Times New Roman" w:eastAsia="Times New Roman" w:hAnsi="Times New Roman"/>
          <w:sz w:val="21"/>
          <w:szCs w:val="21"/>
          <w:color w:val="auto"/>
        </w:rPr>
      </w:pPr>
    </w:p>
    <w:p>
      <w:pPr>
        <w:jc w:val="both"/>
        <w:ind w:firstLine="2166"/>
        <w:spacing w:after="0" w:line="256" w:lineRule="auto"/>
        <w:tabs>
          <w:tab w:leader="none" w:pos="2467"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 or</w:t>
      </w:r>
    </w:p>
    <w:p>
      <w:pPr>
        <w:spacing w:after="0" w:line="64" w:lineRule="exact"/>
        <w:rPr>
          <w:rFonts w:ascii="Times New Roman" w:cs="Times New Roman" w:eastAsia="Times New Roman" w:hAnsi="Times New Roman"/>
          <w:sz w:val="21"/>
          <w:szCs w:val="21"/>
          <w:color w:val="auto"/>
        </w:rPr>
      </w:pPr>
    </w:p>
    <w:p>
      <w:pPr>
        <w:ind w:firstLine="2166"/>
        <w:spacing w:after="0" w:line="269" w:lineRule="auto"/>
        <w:tabs>
          <w:tab w:leader="none" w:pos="2526"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absence of an established market for the Common Stock, the Fair Market Value will be determined in good faith by the Administrator.</w:t>
      </w:r>
    </w:p>
    <w:p>
      <w:pPr>
        <w:spacing w:after="0" w:line="51" w:lineRule="exact"/>
        <w:rPr>
          <w:sz w:val="20"/>
          <w:szCs w:val="20"/>
          <w:color w:val="auto"/>
        </w:rPr>
      </w:pPr>
    </w:p>
    <w:p>
      <w:pPr>
        <w:ind w:firstLine="618"/>
        <w:spacing w:after="0" w:line="281" w:lineRule="auto"/>
        <w:rPr>
          <w:sz w:val="20"/>
          <w:szCs w:val="20"/>
          <w:color w:val="auto"/>
        </w:rPr>
      </w:pPr>
      <w:r>
        <w:rPr>
          <w:rFonts w:ascii="Times New Roman" w:cs="Times New Roman" w:eastAsia="Times New Roman" w:hAnsi="Times New Roman"/>
          <w:sz w:val="21"/>
          <w:szCs w:val="21"/>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40" w:lineRule="exact"/>
        <w:rPr>
          <w:sz w:val="20"/>
          <w:szCs w:val="20"/>
          <w:color w:val="auto"/>
        </w:rPr>
      </w:pPr>
    </w:p>
    <w:p>
      <w:pPr>
        <w:ind w:left="1860" w:hanging="621"/>
        <w:spacing w:after="0"/>
        <w:tabs>
          <w:tab w:leader="none" w:pos="186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the fiscal year of the Company.</w:t>
      </w:r>
    </w:p>
    <w:p>
      <w:pPr>
        <w:spacing w:after="0" w:line="106" w:lineRule="exact"/>
        <w:rPr>
          <w:rFonts w:ascii="Times New Roman" w:cs="Times New Roman" w:eastAsia="Times New Roman" w:hAnsi="Times New Roman"/>
          <w:sz w:val="21"/>
          <w:szCs w:val="21"/>
          <w:color w:val="auto"/>
        </w:rPr>
      </w:pPr>
    </w:p>
    <w:p>
      <w:pPr>
        <w:ind w:firstLine="1239"/>
        <w:spacing w:after="0" w:line="269" w:lineRule="auto"/>
        <w:tabs>
          <w:tab w:leader="none" w:pos="1853"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 Stock Option</w:t>
      </w:r>
      <w:r>
        <w:rPr>
          <w:rFonts w:ascii="Times New Roman" w:cs="Times New Roman" w:eastAsia="Times New Roman" w:hAnsi="Times New Roman"/>
          <w:sz w:val="21"/>
          <w:szCs w:val="21"/>
          <w:color w:val="auto"/>
        </w:rPr>
        <w:t>” means an Option intended to qualify as an incentive stock option within the meaning of Section 422 of the Code and the regulations promulgated thereunder.</w:t>
      </w:r>
    </w:p>
    <w:p>
      <w:pPr>
        <w:spacing w:after="0" w:line="51" w:lineRule="exact"/>
        <w:rPr>
          <w:rFonts w:ascii="Times New Roman" w:cs="Times New Roman" w:eastAsia="Times New Roman" w:hAnsi="Times New Roman"/>
          <w:sz w:val="21"/>
          <w:szCs w:val="21"/>
          <w:color w:val="auto"/>
        </w:rPr>
      </w:pPr>
    </w:p>
    <w:p>
      <w:pPr>
        <w:ind w:firstLine="1239"/>
        <w:spacing w:after="0" w:line="281" w:lineRule="auto"/>
        <w:tabs>
          <w:tab w:leader="none" w:pos="1843"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Nonstatutory Stock Option</w:t>
      </w:r>
      <w:r>
        <w:rPr>
          <w:rFonts w:ascii="Times New Roman" w:cs="Times New Roman" w:eastAsia="Times New Roman" w:hAnsi="Times New Roman"/>
          <w:sz w:val="21"/>
          <w:szCs w:val="21"/>
          <w:color w:val="auto"/>
        </w:rPr>
        <w:t>” means an Option that by its terms does not qualify or is not intended to qualify as an Incentive Stock Option.</w:t>
      </w:r>
    </w:p>
    <w:p>
      <w:pPr>
        <w:spacing w:after="0" w:line="39" w:lineRule="exact"/>
        <w:rPr>
          <w:rFonts w:ascii="Times New Roman" w:cs="Times New Roman" w:eastAsia="Times New Roman" w:hAnsi="Times New Roman"/>
          <w:sz w:val="21"/>
          <w:szCs w:val="21"/>
          <w:color w:val="auto"/>
        </w:rPr>
      </w:pPr>
    </w:p>
    <w:p>
      <w:pPr>
        <w:ind w:firstLine="1239"/>
        <w:spacing w:after="0" w:line="269" w:lineRule="auto"/>
        <w:tabs>
          <w:tab w:leader="none" w:pos="185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Officer</w:t>
      </w:r>
      <w:r>
        <w:rPr>
          <w:rFonts w:ascii="Times New Roman" w:cs="Times New Roman" w:eastAsia="Times New Roman" w:hAnsi="Times New Roman"/>
          <w:sz w:val="21"/>
          <w:szCs w:val="21"/>
          <w:color w:val="auto"/>
        </w:rPr>
        <w:t>” means a person who is an officer of the Company within the meaning of Section 16 of the Exchange Act and the rules and regulations promulgated thereunder.</w:t>
      </w:r>
    </w:p>
    <w:p>
      <w:pPr>
        <w:spacing w:after="0" w:line="51" w:lineRule="exact"/>
        <w:rPr>
          <w:rFonts w:ascii="Times New Roman" w:cs="Times New Roman" w:eastAsia="Times New Roman" w:hAnsi="Times New Roman"/>
          <w:sz w:val="21"/>
          <w:szCs w:val="21"/>
          <w:color w:val="auto"/>
        </w:rPr>
      </w:pPr>
    </w:p>
    <w:p>
      <w:pPr>
        <w:ind w:firstLine="1239"/>
        <w:spacing w:after="0" w:line="269" w:lineRule="auto"/>
        <w:tabs>
          <w:tab w:leader="none" w:pos="185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means a stock option granted pursuant to the Plan, provided that all Options granted under the Plan will be Nonstatutory Stock Options.</w:t>
      </w:r>
    </w:p>
    <w:p>
      <w:pPr>
        <w:spacing w:after="0" w:line="63" w:lineRule="exact"/>
        <w:rPr>
          <w:rFonts w:ascii="Times New Roman" w:cs="Times New Roman" w:eastAsia="Times New Roman" w:hAnsi="Times New Roman"/>
          <w:sz w:val="21"/>
          <w:szCs w:val="21"/>
          <w:color w:val="auto"/>
        </w:rPr>
      </w:pPr>
    </w:p>
    <w:p>
      <w:pPr>
        <w:ind w:left="1840" w:hanging="601"/>
        <w:spacing w:after="0"/>
        <w:tabs>
          <w:tab w:leader="none" w:pos="184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means a “parent corporation,” whether now or hereafter existing, as defined in Section 424(e) of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Code.</w:t>
      </w:r>
    </w:p>
    <w:p>
      <w:pPr>
        <w:spacing w:after="0" w:line="84"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the holder of an outstanding Award.</w:t>
      </w:r>
    </w:p>
    <w:p>
      <w:pPr>
        <w:spacing w:after="0" w:line="106" w:lineRule="exact"/>
        <w:rPr>
          <w:rFonts w:ascii="Times New Roman" w:cs="Times New Roman" w:eastAsia="Times New Roman" w:hAnsi="Times New Roman"/>
          <w:sz w:val="21"/>
          <w:szCs w:val="21"/>
          <w:color w:val="auto"/>
        </w:rPr>
      </w:pPr>
    </w:p>
    <w:p>
      <w:pPr>
        <w:ind w:firstLine="1239"/>
        <w:spacing w:after="0" w:line="269" w:lineRule="auto"/>
        <w:tabs>
          <w:tab w:leader="none" w:pos="185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Share</w:t>
      </w:r>
      <w:r>
        <w:rPr>
          <w:rFonts w:ascii="Times New Roman" w:cs="Times New Roman" w:eastAsia="Times New Roman" w:hAnsi="Times New Roman"/>
          <w:sz w:val="21"/>
          <w:szCs w:val="21"/>
          <w:color w:val="auto"/>
        </w:rPr>
        <w:t>” means an Award denominated in Shares which may be earned in whole or in part upon attainment of performance goals or other vesting criteria as the Administrator may determine pursuant to Section 10.</w:t>
      </w:r>
    </w:p>
    <w:p>
      <w:pPr>
        <w:spacing w:after="0" w:line="51" w:lineRule="exact"/>
        <w:rPr>
          <w:rFonts w:ascii="Times New Roman" w:cs="Times New Roman" w:eastAsia="Times New Roman" w:hAnsi="Times New Roman"/>
          <w:sz w:val="21"/>
          <w:szCs w:val="21"/>
          <w:color w:val="auto"/>
        </w:rPr>
      </w:pPr>
    </w:p>
    <w:p>
      <w:pPr>
        <w:jc w:val="both"/>
        <w:ind w:firstLine="1239"/>
        <w:spacing w:after="0" w:line="262" w:lineRule="auto"/>
        <w:tabs>
          <w:tab w:leader="none" w:pos="1851"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Unit</w:t>
      </w:r>
      <w:r>
        <w:rPr>
          <w:rFonts w:ascii="Times New Roman" w:cs="Times New Roman" w:eastAsia="Times New Roman" w:hAnsi="Times New Roman"/>
          <w:sz w:val="21"/>
          <w:szCs w:val="21"/>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0" w:lineRule="exact"/>
        <w:rPr>
          <w:rFonts w:ascii="Times New Roman" w:cs="Times New Roman" w:eastAsia="Times New Roman" w:hAnsi="Times New Roman"/>
          <w:sz w:val="21"/>
          <w:szCs w:val="21"/>
          <w:color w:val="auto"/>
        </w:rPr>
      </w:pPr>
    </w:p>
    <w:p>
      <w:pPr>
        <w:ind w:left="5580" w:hanging="128"/>
        <w:spacing w:after="0"/>
        <w:tabs>
          <w:tab w:leader="none" w:pos="5580"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4 -</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272" w:lineRule="exact"/>
        <w:rPr>
          <w:sz w:val="20"/>
          <w:szCs w:val="20"/>
          <w:color w:val="auto"/>
        </w:rPr>
      </w:pPr>
    </w:p>
    <w:p>
      <w:pPr>
        <w:jc w:val="both"/>
        <w:ind w:firstLine="1239"/>
        <w:spacing w:after="0" w:line="262" w:lineRule="auto"/>
        <w:tabs>
          <w:tab w:leader="none" w:pos="1853"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Period of Restriction</w:t>
      </w:r>
      <w:r>
        <w:rPr>
          <w:rFonts w:ascii="Times New Roman" w:cs="Times New Roman" w:eastAsia="Times New Roman" w:hAnsi="Times New Roman"/>
          <w:sz w:val="21"/>
          <w:szCs w:val="21"/>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59" w:lineRule="exact"/>
        <w:rPr>
          <w:rFonts w:ascii="Times New Roman" w:cs="Times New Roman" w:eastAsia="Times New Roman" w:hAnsi="Times New Roman"/>
          <w:sz w:val="21"/>
          <w:szCs w:val="21"/>
          <w:color w:val="auto"/>
        </w:rPr>
      </w:pPr>
    </w:p>
    <w:p>
      <w:pPr>
        <w:ind w:left="1780" w:hanging="541"/>
        <w:spacing w:after="0"/>
        <w:tabs>
          <w:tab w:leader="none" w:pos="1780"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this 2023 Inducement Equity Incentive Plan.</w:t>
      </w:r>
    </w:p>
    <w:p>
      <w:pPr>
        <w:spacing w:after="0" w:line="106" w:lineRule="exact"/>
        <w:rPr>
          <w:rFonts w:ascii="Times New Roman" w:cs="Times New Roman" w:eastAsia="Times New Roman" w:hAnsi="Times New Roman"/>
          <w:sz w:val="21"/>
          <w:szCs w:val="21"/>
          <w:color w:val="auto"/>
        </w:rPr>
      </w:pPr>
    </w:p>
    <w:p>
      <w:pPr>
        <w:ind w:firstLine="1239"/>
        <w:spacing w:after="0" w:line="269" w:lineRule="auto"/>
        <w:tabs>
          <w:tab w:leader="none" w:pos="1788"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w:t>
      </w:r>
      <w:r>
        <w:rPr>
          <w:rFonts w:ascii="Times New Roman" w:cs="Times New Roman" w:eastAsia="Times New Roman" w:hAnsi="Times New Roman"/>
          <w:sz w:val="21"/>
          <w:szCs w:val="21"/>
          <w:color w:val="auto"/>
        </w:rPr>
        <w:t>” means Shares issued pursuant to an Award of Restricted Stock under Section 7 of the Plan, or issued pursuant to the early exercise of an Option.</w:t>
      </w:r>
    </w:p>
    <w:p>
      <w:pPr>
        <w:spacing w:after="0" w:line="51" w:lineRule="exact"/>
        <w:rPr>
          <w:rFonts w:ascii="Times New Roman" w:cs="Times New Roman" w:eastAsia="Times New Roman" w:hAnsi="Times New Roman"/>
          <w:sz w:val="21"/>
          <w:szCs w:val="21"/>
          <w:color w:val="auto"/>
        </w:rPr>
      </w:pPr>
    </w:p>
    <w:p>
      <w:pPr>
        <w:ind w:firstLine="1239"/>
        <w:spacing w:after="0" w:line="308" w:lineRule="auto"/>
        <w:tabs>
          <w:tab w:leader="none" w:pos="1798"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Stock Unit</w:t>
      </w:r>
      <w:r>
        <w:rPr>
          <w:rFonts w:ascii="Times New Roman" w:cs="Times New Roman" w:eastAsia="Times New Roman" w:hAnsi="Times New Roman"/>
          <w:sz w:val="20"/>
          <w:szCs w:val="20"/>
          <w:color w:val="auto"/>
        </w:rPr>
        <w:t>” means a bookkeeping entry representing an amount equal to the Fair Market Value of one Share, granted pursuant to Section 8. Each Restricted Stock Unit represents an unfunded and unsecured obligation of the Company.</w:t>
      </w:r>
    </w:p>
    <w:p>
      <w:pPr>
        <w:spacing w:after="0" w:line="14" w:lineRule="exact"/>
        <w:rPr>
          <w:rFonts w:ascii="Times New Roman" w:cs="Times New Roman" w:eastAsia="Times New Roman" w:hAnsi="Times New Roman"/>
          <w:sz w:val="20"/>
          <w:szCs w:val="20"/>
          <w:color w:val="auto"/>
        </w:rPr>
      </w:pPr>
    </w:p>
    <w:p>
      <w:pPr>
        <w:ind w:firstLine="1239"/>
        <w:spacing w:after="0" w:line="269" w:lineRule="auto"/>
        <w:tabs>
          <w:tab w:leader="none" w:pos="1775"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Rule 16b-3</w:t>
      </w:r>
      <w:r>
        <w:rPr>
          <w:rFonts w:ascii="Times New Roman" w:cs="Times New Roman" w:eastAsia="Times New Roman" w:hAnsi="Times New Roman"/>
          <w:sz w:val="21"/>
          <w:szCs w:val="21"/>
          <w:color w:val="auto"/>
        </w:rPr>
        <w:t>” means Rule 16b-3 of the Exchange Act or any successor to Rule 16b-3, as in effect when discretion is being exercised with respect to the Plan.</w:t>
      </w:r>
    </w:p>
    <w:p>
      <w:pPr>
        <w:spacing w:after="0" w:line="51" w:lineRule="exact"/>
        <w:rPr>
          <w:rFonts w:ascii="Times New Roman" w:cs="Times New Roman" w:eastAsia="Times New Roman" w:hAnsi="Times New Roman"/>
          <w:sz w:val="21"/>
          <w:szCs w:val="21"/>
          <w:color w:val="auto"/>
        </w:rPr>
      </w:pPr>
    </w:p>
    <w:p>
      <w:pPr>
        <w:ind w:left="1720" w:hanging="481"/>
        <w:spacing w:after="0"/>
        <w:tabs>
          <w:tab w:leader="none" w:pos="1720"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Section 16(b)</w:t>
      </w:r>
      <w:r>
        <w:rPr>
          <w:rFonts w:ascii="Times New Roman" w:cs="Times New Roman" w:eastAsia="Times New Roman" w:hAnsi="Times New Roman"/>
          <w:sz w:val="21"/>
          <w:szCs w:val="21"/>
          <w:color w:val="auto"/>
        </w:rPr>
        <w:t>” means Section 16(b) of the Exchange Act.</w:t>
      </w:r>
    </w:p>
    <w:p>
      <w:pPr>
        <w:spacing w:after="0" w:line="106" w:lineRule="exact"/>
        <w:rPr>
          <w:rFonts w:ascii="Times New Roman" w:cs="Times New Roman" w:eastAsia="Times New Roman" w:hAnsi="Times New Roman"/>
          <w:sz w:val="21"/>
          <w:szCs w:val="21"/>
          <w:color w:val="auto"/>
        </w:rPr>
      </w:pPr>
    </w:p>
    <w:p>
      <w:pPr>
        <w:jc w:val="both"/>
        <w:ind w:firstLine="1239"/>
        <w:spacing w:after="0" w:line="262" w:lineRule="auto"/>
        <w:tabs>
          <w:tab w:leader="none" w:pos="1889"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means Code Section 409A, as it has been and may be amended from time to time, and any proposed or final Treasury Regulations and U.S. Internal Revenue Service guidance that has been promulgated or may be promulgated thereunder from time to time.</w:t>
      </w:r>
    </w:p>
    <w:p>
      <w:pPr>
        <w:spacing w:after="0" w:line="59" w:lineRule="exact"/>
        <w:rPr>
          <w:rFonts w:ascii="Times New Roman" w:cs="Times New Roman" w:eastAsia="Times New Roman" w:hAnsi="Times New Roman"/>
          <w:sz w:val="21"/>
          <w:szCs w:val="21"/>
          <w:color w:val="auto"/>
        </w:rPr>
      </w:pPr>
    </w:p>
    <w:p>
      <w:pPr>
        <w:ind w:left="1780" w:hanging="541"/>
        <w:spacing w:after="0"/>
        <w:tabs>
          <w:tab w:leader="none" w:pos="1780"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U.S. Securities Act of 1933, as amended.</w:t>
      </w:r>
    </w:p>
    <w:p>
      <w:pPr>
        <w:spacing w:after="0" w:line="106" w:lineRule="exact"/>
        <w:rPr>
          <w:rFonts w:ascii="Times New Roman" w:cs="Times New Roman" w:eastAsia="Times New Roman" w:hAnsi="Times New Roman"/>
          <w:sz w:val="21"/>
          <w:szCs w:val="21"/>
          <w:color w:val="auto"/>
        </w:rPr>
      </w:pPr>
    </w:p>
    <w:p>
      <w:pPr>
        <w:ind w:left="1700" w:hanging="461"/>
        <w:spacing w:after="0"/>
        <w:tabs>
          <w:tab w:leader="none" w:pos="1700"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 Provider</w:t>
      </w:r>
      <w:r>
        <w:rPr>
          <w:rFonts w:ascii="Times New Roman" w:cs="Times New Roman" w:eastAsia="Times New Roman" w:hAnsi="Times New Roman"/>
          <w:sz w:val="21"/>
          <w:szCs w:val="21"/>
          <w:color w:val="auto"/>
        </w:rPr>
        <w:t>” means an Employee, Director or Consultant.</w:t>
      </w:r>
    </w:p>
    <w:p>
      <w:pPr>
        <w:spacing w:after="0" w:line="106" w:lineRule="exact"/>
        <w:rPr>
          <w:rFonts w:ascii="Times New Roman" w:cs="Times New Roman" w:eastAsia="Times New Roman" w:hAnsi="Times New Roman"/>
          <w:sz w:val="21"/>
          <w:szCs w:val="21"/>
          <w:color w:val="auto"/>
        </w:rPr>
      </w:pPr>
    </w:p>
    <w:p>
      <w:pPr>
        <w:ind w:left="1700" w:hanging="461"/>
        <w:spacing w:after="0"/>
        <w:tabs>
          <w:tab w:leader="none" w:pos="1700"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Share</w:t>
      </w:r>
      <w:r>
        <w:rPr>
          <w:rFonts w:ascii="Times New Roman" w:cs="Times New Roman" w:eastAsia="Times New Roman" w:hAnsi="Times New Roman"/>
          <w:sz w:val="21"/>
          <w:szCs w:val="21"/>
          <w:color w:val="auto"/>
        </w:rPr>
        <w:t>” means a share of the Common Stock, as adjusted in accordance with Section 14 of the Plan.</w:t>
      </w:r>
    </w:p>
    <w:p>
      <w:pPr>
        <w:spacing w:after="0" w:line="106" w:lineRule="exact"/>
        <w:rPr>
          <w:rFonts w:ascii="Times New Roman" w:cs="Times New Roman" w:eastAsia="Times New Roman" w:hAnsi="Times New Roman"/>
          <w:sz w:val="21"/>
          <w:szCs w:val="21"/>
          <w:color w:val="auto"/>
        </w:rPr>
      </w:pPr>
    </w:p>
    <w:p>
      <w:pPr>
        <w:ind w:firstLine="1239"/>
        <w:spacing w:after="0" w:line="281" w:lineRule="auto"/>
        <w:tabs>
          <w:tab w:leader="none" w:pos="1876"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 Appreciation Right</w:t>
      </w:r>
      <w:r>
        <w:rPr>
          <w:rFonts w:ascii="Times New Roman" w:cs="Times New Roman" w:eastAsia="Times New Roman" w:hAnsi="Times New Roman"/>
          <w:sz w:val="21"/>
          <w:szCs w:val="21"/>
          <w:color w:val="auto"/>
        </w:rPr>
        <w:t>” means an Award, granted alone or in connection with an Option, that pursuant to Section 9 is designated as a Stock Appreciation Right.</w:t>
      </w:r>
    </w:p>
    <w:p>
      <w:pPr>
        <w:spacing w:after="0" w:line="39" w:lineRule="exact"/>
        <w:rPr>
          <w:rFonts w:ascii="Times New Roman" w:cs="Times New Roman" w:eastAsia="Times New Roman" w:hAnsi="Times New Roman"/>
          <w:sz w:val="21"/>
          <w:szCs w:val="21"/>
          <w:color w:val="auto"/>
        </w:rPr>
      </w:pPr>
    </w:p>
    <w:p>
      <w:pPr>
        <w:ind w:left="1720" w:hanging="481"/>
        <w:spacing w:after="0"/>
        <w:tabs>
          <w:tab w:leader="none" w:pos="172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 “subsidiary corporation,” whether now or hereafter existing, as defined in Section 424(f) of</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the Code.</w:t>
      </w:r>
    </w:p>
    <w:p>
      <w:pPr>
        <w:spacing w:after="0" w:line="84" w:lineRule="exact"/>
        <w:rPr>
          <w:rFonts w:ascii="Times New Roman" w:cs="Times New Roman" w:eastAsia="Times New Roman" w:hAnsi="Times New Roman"/>
          <w:sz w:val="20"/>
          <w:szCs w:val="20"/>
          <w:color w:val="auto"/>
        </w:rPr>
      </w:pPr>
    </w:p>
    <w:p>
      <w:pPr>
        <w:ind w:left="1240" w:hanging="619"/>
        <w:spacing w:after="0"/>
        <w:tabs>
          <w:tab w:leader="none" w:pos="124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Subject to the Plan</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1239"/>
        <w:spacing w:after="0" w:line="262" w:lineRule="auto"/>
        <w:tabs>
          <w:tab w:leader="none" w:pos="1851"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Subject to the Plan</w:t>
      </w:r>
      <w:r>
        <w:rPr>
          <w:rFonts w:ascii="Times New Roman" w:cs="Times New Roman" w:eastAsia="Times New Roman" w:hAnsi="Times New Roman"/>
          <w:sz w:val="21"/>
          <w:szCs w:val="21"/>
          <w:color w:val="auto"/>
        </w:rPr>
        <w:t>. Subject to the provisions of Section 14 of the Plan, the maximum aggregate number of Shares that may be issued under the Plan is 600,000 Shares. In addition, Shares may become available for issuance under the Plan pursuant to Section 3(b). The Shares may be authorized, but unissued, or reacquired Common Stock.</w:t>
      </w:r>
    </w:p>
    <w:p>
      <w:pPr>
        <w:spacing w:after="0" w:line="59" w:lineRule="exact"/>
        <w:rPr>
          <w:rFonts w:ascii="Times New Roman" w:cs="Times New Roman" w:eastAsia="Times New Roman" w:hAnsi="Times New Roman"/>
          <w:sz w:val="21"/>
          <w:szCs w:val="21"/>
          <w:color w:val="auto"/>
        </w:rPr>
      </w:pPr>
    </w:p>
    <w:p>
      <w:pPr>
        <w:jc w:val="both"/>
        <w:ind w:firstLine="1239"/>
        <w:spacing w:after="0" w:line="249" w:lineRule="auto"/>
        <w:tabs>
          <w:tab w:leader="none" w:pos="185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Lapsed Awards</w:t>
      </w:r>
      <w:r>
        <w:rPr>
          <w:rFonts w:ascii="Times New Roman" w:cs="Times New Roman" w:eastAsia="Times New Roman" w:hAnsi="Times New Roman"/>
          <w:sz w:val="21"/>
          <w:szCs w:val="21"/>
          <w:color w:val="auto"/>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66" w:lineRule="exact"/>
        <w:rPr>
          <w:rFonts w:ascii="Times New Roman" w:cs="Times New Roman" w:eastAsia="Times New Roman" w:hAnsi="Times New Roman"/>
          <w:sz w:val="21"/>
          <w:szCs w:val="21"/>
          <w:color w:val="auto"/>
        </w:rPr>
      </w:pPr>
    </w:p>
    <w:p>
      <w:pPr>
        <w:ind w:left="5580" w:hanging="128"/>
        <w:spacing w:after="0"/>
        <w:tabs>
          <w:tab w:leader="none" w:pos="5580"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5 -</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2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75" w:lineRule="exact"/>
        <w:rPr>
          <w:sz w:val="20"/>
          <w:szCs w:val="20"/>
          <w:color w:val="auto"/>
        </w:rPr>
      </w:pPr>
    </w:p>
    <w:p>
      <w:pPr>
        <w:ind w:firstLine="1239"/>
        <w:spacing w:after="0" w:line="281" w:lineRule="auto"/>
        <w:tabs>
          <w:tab w:leader="none" w:pos="1851"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Reserve</w:t>
      </w:r>
      <w:r>
        <w:rPr>
          <w:rFonts w:ascii="Times New Roman" w:cs="Times New Roman" w:eastAsia="Times New Roman" w:hAnsi="Times New Roman"/>
          <w:sz w:val="21"/>
          <w:szCs w:val="21"/>
          <w:color w:val="auto"/>
        </w:rPr>
        <w:t>. The Company, during the term of this Plan, will at all times reserve and keep available such number of Shares as will be sufficient to satisfy the requirements of the Plan.</w:t>
      </w:r>
    </w:p>
    <w:p>
      <w:pPr>
        <w:spacing w:after="0" w:line="39"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Plan</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ind w:firstLine="2166"/>
        <w:spacing w:after="0" w:line="269" w:lineRule="auto"/>
        <w:tabs>
          <w:tab w:leader="none" w:pos="2461" w:val="left"/>
        </w:tabs>
        <w:numPr>
          <w:ilvl w:val="2"/>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Multiple Administrative Bodies</w:t>
      </w:r>
      <w:r>
        <w:rPr>
          <w:rFonts w:ascii="Times New Roman" w:cs="Times New Roman" w:eastAsia="Times New Roman" w:hAnsi="Times New Roman"/>
          <w:sz w:val="21"/>
          <w:szCs w:val="21"/>
          <w:color w:val="auto"/>
        </w:rPr>
        <w:t>. Different Committees with respect to different groups of Employees or Participants may administer the Plan.</w:t>
      </w:r>
    </w:p>
    <w:p>
      <w:pPr>
        <w:spacing w:after="0" w:line="51" w:lineRule="exact"/>
        <w:rPr>
          <w:rFonts w:ascii="Times New Roman" w:cs="Times New Roman" w:eastAsia="Times New Roman" w:hAnsi="Times New Roman"/>
          <w:sz w:val="21"/>
          <w:szCs w:val="21"/>
          <w:color w:val="auto"/>
        </w:rPr>
      </w:pPr>
    </w:p>
    <w:p>
      <w:pPr>
        <w:ind w:firstLine="2166"/>
        <w:spacing w:after="0" w:line="281" w:lineRule="auto"/>
        <w:tabs>
          <w:tab w:leader="none" w:pos="2467" w:val="left"/>
        </w:tabs>
        <w:numPr>
          <w:ilvl w:val="2"/>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Rule 16b-3</w:t>
      </w:r>
      <w:r>
        <w:rPr>
          <w:rFonts w:ascii="Times New Roman" w:cs="Times New Roman" w:eastAsia="Times New Roman" w:hAnsi="Times New Roman"/>
          <w:sz w:val="21"/>
          <w:szCs w:val="21"/>
          <w:color w:val="auto"/>
        </w:rPr>
        <w:t>. To the extent desirable to qualify transactions hereunder as exempt under Rule 16b-3, the transactions contemplated hereunder will be structured to satisfy the requirements for exemption under Rule 16b-3.</w:t>
      </w:r>
    </w:p>
    <w:p>
      <w:pPr>
        <w:spacing w:after="0" w:line="40" w:lineRule="exact"/>
        <w:rPr>
          <w:sz w:val="20"/>
          <w:szCs w:val="20"/>
          <w:color w:val="auto"/>
        </w:rPr>
      </w:pPr>
    </w:p>
    <w:p>
      <w:pPr>
        <w:ind w:firstLine="2163"/>
        <w:spacing w:after="0" w:line="269" w:lineRule="auto"/>
        <w:rPr>
          <w:sz w:val="20"/>
          <w:szCs w:val="20"/>
          <w:color w:val="auto"/>
        </w:rPr>
      </w:pPr>
      <w:r>
        <w:rPr>
          <w:rFonts w:ascii="Times New Roman" w:cs="Times New Roman" w:eastAsia="Times New Roman" w:hAnsi="Times New Roman"/>
          <w:sz w:val="21"/>
          <w:szCs w:val="21"/>
          <w:color w:val="auto"/>
        </w:rPr>
        <w:t>(iii)</w:t>
      </w:r>
      <w:r>
        <w:rPr>
          <w:rFonts w:ascii="Times New Roman" w:cs="Times New Roman" w:eastAsia="Times New Roman" w:hAnsi="Times New Roman"/>
          <w:sz w:val="21"/>
          <w:szCs w:val="21"/>
          <w:u w:val="single" w:color="auto"/>
          <w:color w:val="auto"/>
        </w:rPr>
        <w:t>Other Administration</w:t>
      </w:r>
      <w:r>
        <w:rPr>
          <w:rFonts w:ascii="Times New Roman" w:cs="Times New Roman" w:eastAsia="Times New Roman" w:hAnsi="Times New Roman"/>
          <w:sz w:val="21"/>
          <w:szCs w:val="21"/>
          <w:color w:val="auto"/>
        </w:rPr>
        <w:t>. Other than as provided above, the Plan will be administered by (A) the Board or (B) a Committee, which committee will be constituted to satisfy Applicable Laws.</w:t>
      </w:r>
    </w:p>
    <w:p>
      <w:pPr>
        <w:spacing w:after="0" w:line="51" w:lineRule="exact"/>
        <w:rPr>
          <w:sz w:val="20"/>
          <w:szCs w:val="20"/>
          <w:color w:val="auto"/>
        </w:rPr>
      </w:pPr>
    </w:p>
    <w:p>
      <w:pPr>
        <w:jc w:val="both"/>
        <w:ind w:firstLine="2163"/>
        <w:spacing w:after="0" w:line="262" w:lineRule="auto"/>
        <w:rPr>
          <w:sz w:val="20"/>
          <w:szCs w:val="20"/>
          <w:color w:val="auto"/>
        </w:rPr>
      </w:pPr>
      <w:r>
        <w:rPr>
          <w:rFonts w:ascii="Times New Roman" w:cs="Times New Roman" w:eastAsia="Times New Roman" w:hAnsi="Times New Roman"/>
          <w:sz w:val="21"/>
          <w:szCs w:val="21"/>
          <w:color w:val="auto"/>
        </w:rPr>
        <w:t>(iv)</w:t>
      </w:r>
      <w:r>
        <w:rPr>
          <w:rFonts w:ascii="Times New Roman" w:cs="Times New Roman" w:eastAsia="Times New Roman" w:hAnsi="Times New Roman"/>
          <w:sz w:val="21"/>
          <w:szCs w:val="21"/>
          <w:u w:val="single" w:color="auto"/>
          <w:color w:val="auto"/>
        </w:rPr>
        <w:t>Approval</w:t>
      </w:r>
      <w:r>
        <w:rPr>
          <w:rFonts w:ascii="Times New Roman" w:cs="Times New Roman" w:eastAsia="Times New Roman" w:hAnsi="Times New Roman"/>
          <w:sz w:val="21"/>
          <w:szCs w:val="21"/>
          <w:color w:val="auto"/>
        </w:rPr>
        <w:t>. Awards granted under the Plan must be approved by a majority of the Company’s “Independent Directors” (as defined under the Nasdaq Listing Rules) or the Compensation Committee of the Board, in each case acting as the Administrator.</w:t>
      </w:r>
    </w:p>
    <w:p>
      <w:pPr>
        <w:spacing w:after="0" w:line="59" w:lineRule="exact"/>
        <w:rPr>
          <w:sz w:val="20"/>
          <w:szCs w:val="20"/>
          <w:color w:val="auto"/>
        </w:rPr>
      </w:pPr>
    </w:p>
    <w:p>
      <w:pPr>
        <w:ind w:firstLine="1239"/>
        <w:spacing w:after="0" w:line="269" w:lineRule="auto"/>
        <w:tabs>
          <w:tab w:leader="none" w:pos="185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Powers of the Administrator</w:t>
      </w:r>
      <w:r>
        <w:rPr>
          <w:rFonts w:ascii="Times New Roman" w:cs="Times New Roman" w:eastAsia="Times New Roman" w:hAnsi="Times New Roman"/>
          <w:sz w:val="21"/>
          <w:szCs w:val="21"/>
          <w:color w:val="auto"/>
        </w:rPr>
        <w:t>. Subject to the provisions of the Plan, and in the case of a Committee, subject to the specific duties delegated by the Board to such Committee, the Administrator will have the authority, in its discretion:</w:t>
      </w:r>
    </w:p>
    <w:p>
      <w:pPr>
        <w:spacing w:after="0" w:line="51" w:lineRule="exact"/>
        <w:rPr>
          <w:rFonts w:ascii="Times New Roman" w:cs="Times New Roman" w:eastAsia="Times New Roman" w:hAnsi="Times New Roman"/>
          <w:sz w:val="21"/>
          <w:szCs w:val="21"/>
          <w:color w:val="auto"/>
        </w:rPr>
      </w:pPr>
    </w:p>
    <w:p>
      <w:pPr>
        <w:ind w:left="2460" w:hanging="294"/>
        <w:spacing w:after="0"/>
        <w:tabs>
          <w:tab w:leader="none" w:pos="2460"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the Fair Market Value;</w:t>
      </w:r>
    </w:p>
    <w:p>
      <w:pPr>
        <w:spacing w:after="0" w:line="106" w:lineRule="exact"/>
        <w:rPr>
          <w:rFonts w:ascii="Times New Roman" w:cs="Times New Roman" w:eastAsia="Times New Roman" w:hAnsi="Times New Roman"/>
          <w:sz w:val="21"/>
          <w:szCs w:val="21"/>
          <w:color w:val="auto"/>
        </w:rPr>
      </w:pPr>
    </w:p>
    <w:p>
      <w:pPr>
        <w:jc w:val="both"/>
        <w:ind w:firstLine="2166"/>
        <w:spacing w:after="0" w:line="262" w:lineRule="auto"/>
        <w:tabs>
          <w:tab w:leader="none" w:pos="2467"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select the individuals to whom Awards may be granted hereunder, subject to Section 5 (which Awards will be intended as a material inducement to the individual becoming an Employee or will otherwise be permitted under Nasdaq Listing Rule 5635(c) and the official guidance thereunder);</w:t>
      </w:r>
    </w:p>
    <w:p>
      <w:pPr>
        <w:spacing w:after="0" w:line="59" w:lineRule="exact"/>
        <w:rPr>
          <w:rFonts w:ascii="Times New Roman" w:cs="Times New Roman" w:eastAsia="Times New Roman" w:hAnsi="Times New Roman"/>
          <w:sz w:val="21"/>
          <w:szCs w:val="21"/>
          <w:color w:val="auto"/>
        </w:rPr>
      </w:pPr>
    </w:p>
    <w:p>
      <w:pPr>
        <w:ind w:left="2520" w:hanging="354"/>
        <w:spacing w:after="0"/>
        <w:tabs>
          <w:tab w:leader="none" w:pos="2520"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the number of Shares to be covered by each Award granted hereunder;</w:t>
      </w:r>
    </w:p>
    <w:p>
      <w:pPr>
        <w:spacing w:after="0" w:line="106" w:lineRule="exact"/>
        <w:rPr>
          <w:rFonts w:ascii="Times New Roman" w:cs="Times New Roman" w:eastAsia="Times New Roman" w:hAnsi="Times New Roman"/>
          <w:sz w:val="21"/>
          <w:szCs w:val="21"/>
          <w:color w:val="auto"/>
        </w:rPr>
      </w:pPr>
    </w:p>
    <w:p>
      <w:pPr>
        <w:ind w:left="2520" w:hanging="354"/>
        <w:spacing w:after="0"/>
        <w:tabs>
          <w:tab w:leader="none" w:pos="2520"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forms of Award Agreements for use under the Plan;</w:t>
      </w:r>
    </w:p>
    <w:p>
      <w:pPr>
        <w:spacing w:after="0" w:line="106" w:lineRule="exact"/>
        <w:rPr>
          <w:rFonts w:ascii="Times New Roman" w:cs="Times New Roman" w:eastAsia="Times New Roman" w:hAnsi="Times New Roman"/>
          <w:sz w:val="21"/>
          <w:szCs w:val="21"/>
          <w:color w:val="auto"/>
        </w:rPr>
      </w:pPr>
    </w:p>
    <w:p>
      <w:pPr>
        <w:jc w:val="both"/>
        <w:ind w:firstLine="2166"/>
        <w:spacing w:after="0" w:line="262" w:lineRule="auto"/>
        <w:tabs>
          <w:tab w:leader="none" w:pos="2468"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0" w:lineRule="exact"/>
        <w:rPr>
          <w:rFonts w:ascii="Times New Roman" w:cs="Times New Roman" w:eastAsia="Times New Roman" w:hAnsi="Times New Roman"/>
          <w:sz w:val="21"/>
          <w:szCs w:val="21"/>
          <w:color w:val="auto"/>
        </w:rPr>
      </w:pPr>
    </w:p>
    <w:p>
      <w:pPr>
        <w:ind w:left="5580" w:hanging="128"/>
        <w:spacing w:after="0"/>
        <w:tabs>
          <w:tab w:leader="none" w:pos="5580" w:val="left"/>
        </w:tabs>
        <w:numPr>
          <w:ilvl w:val="2"/>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6 -</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27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criteria), any vesting acceleration or waiver of forfeiture restrictions, and any restriction or limitation regarding any Award or the Shares relating thereto, based in each case on such factors as the Administrator will determine);</w:t>
      </w:r>
    </w:p>
    <w:p>
      <w:pPr>
        <w:spacing w:after="0" w:line="64" w:lineRule="exact"/>
        <w:rPr>
          <w:sz w:val="20"/>
          <w:szCs w:val="20"/>
          <w:color w:val="auto"/>
        </w:rPr>
      </w:pPr>
    </w:p>
    <w:p>
      <w:pPr>
        <w:ind w:left="2520" w:hanging="354"/>
        <w:spacing w:after="0"/>
        <w:tabs>
          <w:tab w:leader="none" w:pos="2520" w:val="left"/>
        </w:tabs>
        <w:numPr>
          <w:ilvl w:val="2"/>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construe and interpret the terms of the Plan and Awards granted pursuant to the Plan;</w:t>
      </w:r>
    </w:p>
    <w:p>
      <w:pPr>
        <w:spacing w:after="0" w:line="106" w:lineRule="exact"/>
        <w:rPr>
          <w:rFonts w:ascii="Times New Roman" w:cs="Times New Roman" w:eastAsia="Times New Roman" w:hAnsi="Times New Roman"/>
          <w:sz w:val="21"/>
          <w:szCs w:val="21"/>
          <w:color w:val="auto"/>
        </w:rPr>
      </w:pPr>
    </w:p>
    <w:p>
      <w:pPr>
        <w:jc w:val="both"/>
        <w:ind w:firstLine="2166"/>
        <w:spacing w:after="0" w:line="251" w:lineRule="auto"/>
        <w:tabs>
          <w:tab w:leader="none" w:pos="3085" w:val="left"/>
        </w:tabs>
        <w:numPr>
          <w:ilvl w:val="2"/>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prescribe, amend and rescind rules and regulations and adopt sub-plans relating to the Plan, including rules, regulations and sub-plans for the purposes of facilitating compliance with foreign laws, easing the administration of the Plan and/or taking advantage of tax-favorable treatment for Awards granted to individuals outside the U.S., in each case as the Administrator may deem necessary or advisable;</w:t>
      </w:r>
    </w:p>
    <w:p>
      <w:pPr>
        <w:spacing w:after="0" w:line="84" w:lineRule="exact"/>
        <w:rPr>
          <w:rFonts w:ascii="Times New Roman" w:cs="Times New Roman" w:eastAsia="Times New Roman" w:hAnsi="Times New Roman"/>
          <w:sz w:val="21"/>
          <w:szCs w:val="21"/>
          <w:color w:val="auto"/>
        </w:rPr>
      </w:pPr>
    </w:p>
    <w:p>
      <w:pPr>
        <w:jc w:val="both"/>
        <w:ind w:firstLine="2166"/>
        <w:spacing w:after="0" w:line="256" w:lineRule="auto"/>
        <w:tabs>
          <w:tab w:leader="none" w:pos="3090" w:val="left"/>
        </w:tabs>
        <w:numPr>
          <w:ilvl w:val="2"/>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modify or amend each Award (subject to Section 19 of the Plan), including but not limited to the discretionary authority to extend the post-termination exercisability period of Awards and to extend the maximum term of an Option (subject to Section 409A of the Code);</w:t>
      </w:r>
    </w:p>
    <w:p>
      <w:pPr>
        <w:spacing w:after="0" w:line="64" w:lineRule="exact"/>
        <w:rPr>
          <w:rFonts w:ascii="Times New Roman" w:cs="Times New Roman" w:eastAsia="Times New Roman" w:hAnsi="Times New Roman"/>
          <w:sz w:val="21"/>
          <w:szCs w:val="21"/>
          <w:color w:val="auto"/>
        </w:rPr>
      </w:pPr>
    </w:p>
    <w:p>
      <w:pPr>
        <w:ind w:left="2520" w:hanging="354"/>
        <w:spacing w:after="0"/>
        <w:tabs>
          <w:tab w:leader="none" w:pos="2520" w:val="left"/>
        </w:tabs>
        <w:numPr>
          <w:ilvl w:val="2"/>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allow Participants to satisfy tax withholding obligations in such manner as prescribed in Section 15 of</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the Plan;</w:t>
      </w:r>
    </w:p>
    <w:p>
      <w:pPr>
        <w:spacing w:after="0" w:line="84" w:lineRule="exact"/>
        <w:rPr>
          <w:rFonts w:ascii="Times New Roman" w:cs="Times New Roman" w:eastAsia="Times New Roman" w:hAnsi="Times New Roman"/>
          <w:sz w:val="20"/>
          <w:szCs w:val="20"/>
          <w:color w:val="auto"/>
        </w:rPr>
      </w:pPr>
    </w:p>
    <w:p>
      <w:pPr>
        <w:ind w:firstLine="2166"/>
        <w:spacing w:after="0" w:line="281" w:lineRule="auto"/>
        <w:tabs>
          <w:tab w:leader="none" w:pos="2468" w:val="left"/>
        </w:tabs>
        <w:numPr>
          <w:ilvl w:val="2"/>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authorize any person to execute on behalf of the Company any instrument required to effect the grant of an Award previously granted by the Administrator;</w:t>
      </w:r>
    </w:p>
    <w:p>
      <w:pPr>
        <w:spacing w:after="0" w:line="39" w:lineRule="exact"/>
        <w:rPr>
          <w:rFonts w:ascii="Times New Roman" w:cs="Times New Roman" w:eastAsia="Times New Roman" w:hAnsi="Times New Roman"/>
          <w:sz w:val="21"/>
          <w:szCs w:val="21"/>
          <w:color w:val="auto"/>
        </w:rPr>
      </w:pPr>
    </w:p>
    <w:p>
      <w:pPr>
        <w:ind w:firstLine="2166"/>
        <w:spacing w:after="0" w:line="269" w:lineRule="auto"/>
        <w:tabs>
          <w:tab w:leader="none" w:pos="2534" w:val="left"/>
        </w:tabs>
        <w:numPr>
          <w:ilvl w:val="2"/>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allow a Participant to defer the receipt of the payment of cash or the delivery of Shares that would otherwise be due to such Participant under an Award; and</w:t>
      </w:r>
    </w:p>
    <w:p>
      <w:pPr>
        <w:spacing w:after="0" w:line="51" w:lineRule="exact"/>
        <w:rPr>
          <w:rFonts w:ascii="Times New Roman" w:cs="Times New Roman" w:eastAsia="Times New Roman" w:hAnsi="Times New Roman"/>
          <w:sz w:val="21"/>
          <w:szCs w:val="21"/>
          <w:color w:val="auto"/>
        </w:rPr>
      </w:pPr>
    </w:p>
    <w:p>
      <w:pPr>
        <w:ind w:left="3080" w:hanging="914"/>
        <w:spacing w:after="0"/>
        <w:tabs>
          <w:tab w:leader="none" w:pos="3080" w:val="left"/>
        </w:tabs>
        <w:numPr>
          <w:ilvl w:val="2"/>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make all other determinations deemed necessary or advisable for administering the Plan.</w:t>
      </w:r>
    </w:p>
    <w:p>
      <w:pPr>
        <w:spacing w:after="0" w:line="106" w:lineRule="exact"/>
        <w:rPr>
          <w:rFonts w:ascii="Times New Roman" w:cs="Times New Roman" w:eastAsia="Times New Roman" w:hAnsi="Times New Roman"/>
          <w:sz w:val="21"/>
          <w:szCs w:val="21"/>
          <w:color w:val="auto"/>
        </w:rPr>
      </w:pPr>
    </w:p>
    <w:p>
      <w:pPr>
        <w:jc w:val="both"/>
        <w:ind w:firstLine="1239"/>
        <w:spacing w:after="0" w:line="262" w:lineRule="auto"/>
        <w:tabs>
          <w:tab w:leader="none" w:pos="1851" w:val="left"/>
        </w:tabs>
        <w:numPr>
          <w:ilvl w:val="1"/>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Administrator’s Decision</w:t>
      </w:r>
      <w:r>
        <w:rPr>
          <w:rFonts w:ascii="Times New Roman" w:cs="Times New Roman" w:eastAsia="Times New Roman" w:hAnsi="Times New Roman"/>
          <w:sz w:val="21"/>
          <w:szCs w:val="21"/>
          <w:color w:val="auto"/>
        </w:rPr>
        <w:t>. The Administrator’s decisions, determinations and interpretations will be final and binding on all Participants and any other holders of Awards and will be given the maximum deference permitted by Applicable Laws.</w:t>
      </w:r>
    </w:p>
    <w:p>
      <w:pPr>
        <w:spacing w:after="0" w:line="59"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Exchange Program</w:t>
      </w:r>
      <w:r>
        <w:rPr>
          <w:rFonts w:ascii="Times New Roman" w:cs="Times New Roman" w:eastAsia="Times New Roman" w:hAnsi="Times New Roman"/>
          <w:sz w:val="20"/>
          <w:szCs w:val="20"/>
          <w:color w:val="auto"/>
        </w:rPr>
        <w:t>. Notwithstanding anything herein to the contrary, the Administrator may not institute and</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Exchange Program.</w:t>
      </w:r>
    </w:p>
    <w:p>
      <w:pPr>
        <w:spacing w:after="0" w:line="84" w:lineRule="exact"/>
        <w:rPr>
          <w:rFonts w:ascii="Times New Roman" w:cs="Times New Roman" w:eastAsia="Times New Roman" w:hAnsi="Times New Roman"/>
          <w:sz w:val="20"/>
          <w:szCs w:val="20"/>
          <w:color w:val="auto"/>
        </w:rPr>
      </w:pPr>
    </w:p>
    <w:p>
      <w:pPr>
        <w:ind w:firstLine="621"/>
        <w:spacing w:after="0" w:line="281" w:lineRule="auto"/>
        <w:tabs>
          <w:tab w:leader="none" w:pos="1236"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w:t>
      </w:r>
      <w:r>
        <w:rPr>
          <w:rFonts w:ascii="Times New Roman" w:cs="Times New Roman" w:eastAsia="Times New Roman" w:hAnsi="Times New Roman"/>
          <w:sz w:val="21"/>
          <w:szCs w:val="21"/>
          <w:color w:val="auto"/>
        </w:rPr>
        <w:t>. Nonstatutory Stock Options, Stock Appreciation Rights, Restricted Stock, Restricted Stock Units, Performance Shares and Performance Units may be granted to Employees, so long as the following requirements are met:</w:t>
      </w:r>
    </w:p>
    <w:p>
      <w:pPr>
        <w:spacing w:after="0" w:line="39" w:lineRule="exact"/>
        <w:rPr>
          <w:rFonts w:ascii="Times New Roman" w:cs="Times New Roman" w:eastAsia="Times New Roman" w:hAnsi="Times New Roman"/>
          <w:sz w:val="21"/>
          <w:szCs w:val="21"/>
          <w:color w:val="auto"/>
        </w:rPr>
      </w:pPr>
    </w:p>
    <w:p>
      <w:pPr>
        <w:ind w:right="120" w:firstLine="1239"/>
        <w:spacing w:after="0" w:line="256" w:lineRule="auto"/>
        <w:tabs>
          <w:tab w:leader="none" w:pos="1851"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Employee was not previously an Employee or Director, or the Employee is to become employed by the Company or any of its Parents or Subsidiaries following a bona fide period of non-employment (within the meaning of the Inducement Listing Rule); and</w:t>
      </w:r>
    </w:p>
    <w:p>
      <w:pPr>
        <w:spacing w:after="0" w:line="64" w:lineRule="exact"/>
        <w:rPr>
          <w:rFonts w:ascii="Times New Roman" w:cs="Times New Roman" w:eastAsia="Times New Roman" w:hAnsi="Times New Roman"/>
          <w:sz w:val="21"/>
          <w:szCs w:val="21"/>
          <w:color w:val="auto"/>
        </w:rPr>
      </w:pPr>
    </w:p>
    <w:p>
      <w:pPr>
        <w:ind w:right="140" w:firstLine="1239"/>
        <w:spacing w:after="0" w:line="269" w:lineRule="auto"/>
        <w:tabs>
          <w:tab w:leader="none" w:pos="1850"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an Award is an inducement material to the Employee’s entering into employment with the Company or any of its Parents or Subsidiaries in accordance with the Inducement Listing Rule.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2" w:lineRule="exact"/>
        <w:rPr>
          <w:rFonts w:ascii="Times New Roman" w:cs="Times New Roman" w:eastAsia="Times New Roman" w:hAnsi="Times New Roman"/>
          <w:sz w:val="21"/>
          <w:szCs w:val="21"/>
          <w:color w:val="auto"/>
        </w:rPr>
      </w:pPr>
    </w:p>
    <w:p>
      <w:pPr>
        <w:ind w:left="5580" w:hanging="128"/>
        <w:spacing w:after="0"/>
        <w:tabs>
          <w:tab w:leader="none" w:pos="5580" w:val="left"/>
        </w:tabs>
        <w:numPr>
          <w:ilvl w:val="3"/>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7 -</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72" w:lineRule="exact"/>
        <w:rPr>
          <w:sz w:val="20"/>
          <w:szCs w:val="20"/>
          <w:color w:val="auto"/>
        </w:rPr>
      </w:pPr>
    </w:p>
    <w:p>
      <w:pPr>
        <w:ind w:right="140" w:firstLine="618"/>
        <w:spacing w:after="0" w:line="269" w:lineRule="auto"/>
        <w:rPr>
          <w:sz w:val="20"/>
          <w:szCs w:val="20"/>
          <w:color w:val="auto"/>
        </w:rPr>
      </w:pPr>
      <w:r>
        <w:rPr>
          <w:rFonts w:ascii="Times New Roman" w:cs="Times New Roman" w:eastAsia="Times New Roman" w:hAnsi="Times New Roman"/>
          <w:sz w:val="21"/>
          <w:szCs w:val="21"/>
          <w:color w:val="auto"/>
        </w:rPr>
        <w:t>Notwithstanding the foregoing, an Employee may be granted an Award in connection with a merger or acquisition to the extent permitted by Nasdaq Listing Rule 5635(c)(3) and the official guidance thereunder.</w:t>
      </w:r>
    </w:p>
    <w:p>
      <w:pPr>
        <w:spacing w:after="0" w:line="64" w:lineRule="exact"/>
        <w:rPr>
          <w:sz w:val="20"/>
          <w:szCs w:val="20"/>
          <w:color w:val="auto"/>
        </w:rPr>
      </w:pPr>
    </w:p>
    <w:p>
      <w:pPr>
        <w:ind w:left="1240" w:hanging="619"/>
        <w:spacing w:after="0"/>
        <w:tabs>
          <w:tab w:leader="none" w:pos="1240"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Options</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1239"/>
        <w:spacing w:after="0" w:line="264" w:lineRule="auto"/>
        <w:tabs>
          <w:tab w:leader="none" w:pos="1851"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Options</w:t>
      </w:r>
      <w:r>
        <w:rPr>
          <w:rFonts w:ascii="Times New Roman" w:cs="Times New Roman" w:eastAsia="Times New Roman" w:hAnsi="Times New Roman"/>
          <w:sz w:val="20"/>
          <w:szCs w:val="20"/>
          <w:color w:val="auto"/>
        </w:rPr>
        <w:t>. The Administrator, in its sole discretion and subject to the terms and conditions of the Plan, may grant Options to any individual as a material inducement to the individual becoming an Employee or as otherwise permitted under Section 5, in each case, which grant shall become effective only if the individual actually becomes an Employee. Subject to this Section 6 and the other terms and conditions of the Plan, the Administrator will have complete discretion to determine the number of Shares covered by an Option granted to any Employee. Each Option shall be evidenced by an Award Agreement (which may be in electronic form) that shall specify the exercise price, the expiration date of the Option, the number of Shares covered by the Option, any conditions to exercise the Option, and such other terms and conditions as the Administrator, in its discretion, shall determine.</w:t>
      </w:r>
    </w:p>
    <w:p>
      <w:pPr>
        <w:spacing w:after="0" w:line="57" w:lineRule="exact"/>
        <w:rPr>
          <w:rFonts w:ascii="Times New Roman" w:cs="Times New Roman" w:eastAsia="Times New Roman" w:hAnsi="Times New Roman"/>
          <w:sz w:val="20"/>
          <w:szCs w:val="20"/>
          <w:color w:val="auto"/>
        </w:rPr>
      </w:pPr>
    </w:p>
    <w:p>
      <w:pPr>
        <w:ind w:left="1860" w:hanging="621"/>
        <w:spacing w:after="0"/>
        <w:tabs>
          <w:tab w:leader="none" w:pos="1860"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Option</w:t>
      </w:r>
      <w:r>
        <w:rPr>
          <w:rFonts w:ascii="Times New Roman" w:cs="Times New Roman" w:eastAsia="Times New Roman" w:hAnsi="Times New Roman"/>
          <w:sz w:val="21"/>
          <w:szCs w:val="21"/>
          <w:color w:val="auto"/>
        </w:rPr>
        <w:t>. The term of each Option will be stated in the Award Agreement.</w:t>
      </w:r>
    </w:p>
    <w:p>
      <w:pPr>
        <w:spacing w:after="0" w:line="106"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Exercise Price and Consideration</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ind w:firstLine="2166"/>
        <w:spacing w:after="0" w:line="281" w:lineRule="auto"/>
        <w:tabs>
          <w:tab w:leader="none" w:pos="2461" w:val="left"/>
        </w:tabs>
        <w:numPr>
          <w:ilvl w:val="2"/>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Price</w:t>
      </w:r>
      <w:r>
        <w:rPr>
          <w:rFonts w:ascii="Times New Roman" w:cs="Times New Roman" w:eastAsia="Times New Roman" w:hAnsi="Times New Roman"/>
          <w:sz w:val="21"/>
          <w:szCs w:val="21"/>
          <w:color w:val="auto"/>
        </w:rPr>
        <w:t>. The per share exercise price for the Shares to be issued pursuant to exercise of an Option will be determined by the Administrator.</w:t>
      </w:r>
    </w:p>
    <w:p>
      <w:pPr>
        <w:spacing w:after="0" w:line="39" w:lineRule="exact"/>
        <w:rPr>
          <w:rFonts w:ascii="Times New Roman" w:cs="Times New Roman" w:eastAsia="Times New Roman" w:hAnsi="Times New Roman"/>
          <w:sz w:val="21"/>
          <w:szCs w:val="21"/>
          <w:color w:val="auto"/>
        </w:rPr>
      </w:pPr>
    </w:p>
    <w:p>
      <w:pPr>
        <w:jc w:val="both"/>
        <w:ind w:firstLine="2166"/>
        <w:spacing w:after="0" w:line="294" w:lineRule="auto"/>
        <w:tabs>
          <w:tab w:leader="none" w:pos="2467"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Waiting Period and Exercise Dates</w:t>
      </w:r>
      <w:r>
        <w:rPr>
          <w:rFonts w:ascii="Times New Roman" w:cs="Times New Roman" w:eastAsia="Times New Roman" w:hAnsi="Times New Roman"/>
          <w:sz w:val="20"/>
          <w:szCs w:val="20"/>
          <w:color w:val="auto"/>
        </w:rPr>
        <w:t>. At the time an Option is granted, the Administrator will fix the period within which the Option may be exercised and will determine any conditions that must be satisfied before the Option may be exercised.</w:t>
      </w:r>
    </w:p>
    <w:p>
      <w:pPr>
        <w:spacing w:after="0" w:line="29" w:lineRule="exact"/>
        <w:rPr>
          <w:sz w:val="20"/>
          <w:szCs w:val="20"/>
          <w:color w:val="auto"/>
        </w:rPr>
      </w:pPr>
    </w:p>
    <w:p>
      <w:pPr>
        <w:jc w:val="both"/>
        <w:ind w:firstLine="2163"/>
        <w:spacing w:after="0" w:line="261"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Form of Consideration</w:t>
      </w:r>
      <w:r>
        <w:rPr>
          <w:rFonts w:ascii="Times New Roman" w:cs="Times New Roman" w:eastAsia="Times New Roman" w:hAnsi="Times New Roman"/>
          <w:sz w:val="20"/>
          <w:szCs w:val="20"/>
          <w:color w:val="auto"/>
        </w:rPr>
        <w:t>. The Administrator will determine the acceptable form of consideration for exercising an Option, including the method of payment. Such consideration may consist entirely of: (1) cash (including cash equivalents);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w:t>
      </w:r>
    </w:p>
    <w:p>
      <w:pPr>
        <w:spacing w:after="0" w:line="4" w:lineRule="exact"/>
        <w:rPr>
          <w:sz w:val="20"/>
          <w:szCs w:val="20"/>
          <w:color w:val="auto"/>
        </w:rPr>
      </w:pPr>
    </w:p>
    <w:p>
      <w:pPr>
        <w:ind w:left="300" w:hanging="297"/>
        <w:spacing w:after="0"/>
        <w:tabs>
          <w:tab w:leader="none" w:pos="30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combination of the foregoing methods of payment.</w:t>
      </w:r>
    </w:p>
    <w:p>
      <w:pPr>
        <w:spacing w:after="0" w:line="84"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2166"/>
        <w:spacing w:after="0" w:line="256" w:lineRule="auto"/>
        <w:tabs>
          <w:tab w:leader="none" w:pos="2461" w:val="left"/>
        </w:tabs>
        <w:numPr>
          <w:ilvl w:val="2"/>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 for Exercise; Rights as a Stockholder</w:t>
      </w:r>
      <w:r>
        <w:rPr>
          <w:rFonts w:ascii="Times New Roman" w:cs="Times New Roman" w:eastAsia="Times New Roman" w:hAnsi="Times New Roman"/>
          <w:sz w:val="21"/>
          <w:szCs w:val="21"/>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77" w:lineRule="exact"/>
        <w:rPr>
          <w:sz w:val="20"/>
          <w:szCs w:val="20"/>
          <w:color w:val="auto"/>
        </w:rPr>
      </w:pPr>
    </w:p>
    <w:p>
      <w:pPr>
        <w:jc w:val="both"/>
        <w:ind w:firstLine="2472"/>
        <w:spacing w:after="0" w:line="256" w:lineRule="auto"/>
        <w:rPr>
          <w:sz w:val="20"/>
          <w:szCs w:val="20"/>
          <w:color w:val="auto"/>
        </w:rPr>
      </w:pPr>
      <w:r>
        <w:rPr>
          <w:rFonts w:ascii="Times New Roman" w:cs="Times New Roman" w:eastAsia="Times New Roman" w:hAnsi="Times New Roman"/>
          <w:sz w:val="21"/>
          <w:szCs w:val="21"/>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- 8 -</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74" w:lineRule="exact"/>
        <w:rPr>
          <w:sz w:val="20"/>
          <w:szCs w:val="20"/>
          <w:color w:val="auto"/>
        </w:rPr>
      </w:pPr>
    </w:p>
    <w:p>
      <w:pPr>
        <w:jc w:val="both"/>
        <w:ind w:firstLine="1854"/>
        <w:spacing w:after="0" w:line="269" w:lineRule="auto"/>
        <w:rPr>
          <w:sz w:val="20"/>
          <w:szCs w:val="20"/>
          <w:color w:val="auto"/>
        </w:rPr>
      </w:pPr>
      <w:r>
        <w:rPr>
          <w:rFonts w:ascii="Times New Roman" w:cs="Times New Roman" w:eastAsia="Times New Roman" w:hAnsi="Times New Roman"/>
          <w:sz w:val="21"/>
          <w:szCs w:val="21"/>
          <w:color w:val="auto"/>
        </w:rPr>
        <w:t>Exercising an Option in any manner will decrease the number of Shares thereafter available, both for purposes of the Plan and for sale under the Option, by the number of Shares as to which the Option is exercised.</w:t>
      </w:r>
    </w:p>
    <w:p>
      <w:pPr>
        <w:spacing w:after="0" w:line="51" w:lineRule="exact"/>
        <w:rPr>
          <w:sz w:val="20"/>
          <w:szCs w:val="20"/>
          <w:color w:val="auto"/>
        </w:rPr>
      </w:pPr>
    </w:p>
    <w:p>
      <w:pPr>
        <w:jc w:val="both"/>
        <w:ind w:firstLine="2166"/>
        <w:spacing w:after="0" w:line="249" w:lineRule="auto"/>
        <w:tabs>
          <w:tab w:leader="none" w:pos="2467"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Relationship as a Service Provider</w:t>
      </w:r>
      <w:r>
        <w:rPr>
          <w:rFonts w:ascii="Times New Roman" w:cs="Times New Roman" w:eastAsia="Times New Roman" w:hAnsi="Times New Roman"/>
          <w:sz w:val="21"/>
          <w:szCs w:val="21"/>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76" w:lineRule="exact"/>
        <w:rPr>
          <w:sz w:val="20"/>
          <w:szCs w:val="20"/>
          <w:color w:val="auto"/>
        </w:rPr>
      </w:pPr>
    </w:p>
    <w:p>
      <w:pPr>
        <w:jc w:val="both"/>
        <w:ind w:firstLine="2163"/>
        <w:spacing w:after="0" w:line="248" w:lineRule="auto"/>
        <w:rPr>
          <w:sz w:val="20"/>
          <w:szCs w:val="20"/>
          <w:color w:val="auto"/>
        </w:rPr>
      </w:pPr>
      <w:r>
        <w:rPr>
          <w:rFonts w:ascii="Times New Roman" w:cs="Times New Roman" w:eastAsia="Times New Roman" w:hAnsi="Times New Roman"/>
          <w:sz w:val="21"/>
          <w:szCs w:val="21"/>
          <w:color w:val="auto"/>
        </w:rPr>
        <w:t>(iii)</w:t>
      </w:r>
      <w:r>
        <w:rPr>
          <w:rFonts w:ascii="Times New Roman" w:cs="Times New Roman" w:eastAsia="Times New Roman" w:hAnsi="Times New Roman"/>
          <w:sz w:val="21"/>
          <w:szCs w:val="21"/>
          <w:u w:val="single" w:color="auto"/>
          <w:color w:val="auto"/>
        </w:rPr>
        <w:t>Disability of Participant</w:t>
      </w:r>
      <w:r>
        <w:rPr>
          <w:rFonts w:ascii="Times New Roman" w:cs="Times New Roman" w:eastAsia="Times New Roman" w:hAnsi="Times New Roman"/>
          <w:sz w:val="21"/>
          <w:szCs w:val="21"/>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w:t>
      </w:r>
    </w:p>
    <w:p>
      <w:pPr>
        <w:spacing w:after="0" w:line="3" w:lineRule="exact"/>
        <w:rPr>
          <w:sz w:val="20"/>
          <w:szCs w:val="20"/>
          <w:color w:val="auto"/>
        </w:rPr>
      </w:pPr>
    </w:p>
    <w:p>
      <w:pPr>
        <w:jc w:val="both"/>
        <w:ind w:firstLine="3"/>
        <w:spacing w:after="0" w:line="248" w:lineRule="auto"/>
        <w:tabs>
          <w:tab w:leader="none" w:pos="406"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74" w:lineRule="exact"/>
        <w:rPr>
          <w:sz w:val="20"/>
          <w:szCs w:val="20"/>
          <w:color w:val="auto"/>
        </w:rPr>
      </w:pPr>
    </w:p>
    <w:p>
      <w:pPr>
        <w:jc w:val="both"/>
        <w:ind w:firstLine="2163"/>
        <w:spacing w:after="0" w:line="249" w:lineRule="auto"/>
        <w:rPr>
          <w:sz w:val="20"/>
          <w:szCs w:val="20"/>
          <w:color w:val="auto"/>
        </w:rPr>
      </w:pPr>
      <w:r>
        <w:rPr>
          <w:rFonts w:ascii="Times New Roman" w:cs="Times New Roman" w:eastAsia="Times New Roman" w:hAnsi="Times New Roman"/>
          <w:sz w:val="21"/>
          <w:szCs w:val="21"/>
          <w:color w:val="auto"/>
        </w:rPr>
        <w:t>(iv)</w:t>
      </w:r>
      <w:r>
        <w:rPr>
          <w:rFonts w:ascii="Times New Roman" w:cs="Times New Roman" w:eastAsia="Times New Roman" w:hAnsi="Times New Roman"/>
          <w:sz w:val="21"/>
          <w:szCs w:val="21"/>
          <w:u w:val="single" w:color="auto"/>
          <w:color w:val="auto"/>
        </w:rPr>
        <w:t>Death of Participant</w:t>
      </w:r>
      <w:r>
        <w:rPr>
          <w:rFonts w:ascii="Times New Roman" w:cs="Times New Roman" w:eastAsia="Times New Roman" w:hAnsi="Times New Roman"/>
          <w:sz w:val="21"/>
          <w:szCs w:val="21"/>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Participant’s death in a form acceptable to the Administrator. If the Administrator has not permitted the designation of a beneficiary or if no such beneficiary has been designated by the Participant, then such Option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- 9 -</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75" w:lineRule="exact"/>
        <w:rPr>
          <w:sz w:val="20"/>
          <w:szCs w:val="20"/>
          <w:color w:val="auto"/>
        </w:rPr>
      </w:pPr>
    </w:p>
    <w:p>
      <w:pPr>
        <w:ind w:left="2480" w:hanging="314"/>
        <w:spacing w:after="0"/>
        <w:tabs>
          <w:tab w:leader="none" w:pos="2480" w:val="left"/>
        </w:tabs>
        <w:numPr>
          <w:ilvl w:val="2"/>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Tolling Expiration</w:t>
      </w:r>
      <w:r>
        <w:rPr>
          <w:rFonts w:ascii="Times New Roman" w:cs="Times New Roman" w:eastAsia="Times New Roman" w:hAnsi="Times New Roman"/>
          <w:sz w:val="21"/>
          <w:szCs w:val="21"/>
          <w:color w:val="auto"/>
        </w:rPr>
        <w:t>. A Participant’s Award Agreement may also provide that:</w:t>
      </w:r>
    </w:p>
    <w:p>
      <w:pPr>
        <w:spacing w:after="0" w:line="119" w:lineRule="exact"/>
        <w:rPr>
          <w:rFonts w:ascii="Times New Roman" w:cs="Times New Roman" w:eastAsia="Times New Roman" w:hAnsi="Times New Roman"/>
          <w:sz w:val="21"/>
          <w:szCs w:val="21"/>
          <w:color w:val="auto"/>
        </w:rPr>
      </w:pPr>
    </w:p>
    <w:p>
      <w:pPr>
        <w:jc w:val="both"/>
        <w:ind w:firstLine="2475"/>
        <w:spacing w:after="0" w:line="234" w:lineRule="auto"/>
        <w:tabs>
          <w:tab w:leader="none" w:pos="3086" w:val="left"/>
        </w:tabs>
        <w:numPr>
          <w:ilvl w:val="3"/>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exercise of the Option following the termination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day after the last date on which such exercise would result in liability under Section 16(b); or</w:t>
      </w:r>
    </w:p>
    <w:p>
      <w:pPr>
        <w:spacing w:after="0" w:line="83" w:lineRule="exact"/>
        <w:rPr>
          <w:rFonts w:ascii="Times New Roman" w:cs="Times New Roman" w:eastAsia="Times New Roman" w:hAnsi="Times New Roman"/>
          <w:sz w:val="21"/>
          <w:szCs w:val="21"/>
          <w:color w:val="auto"/>
        </w:rPr>
      </w:pPr>
    </w:p>
    <w:p>
      <w:pPr>
        <w:jc w:val="both"/>
        <w:ind w:firstLine="2475"/>
        <w:spacing w:after="0" w:line="268" w:lineRule="auto"/>
        <w:tabs>
          <w:tab w:leader="none" w:pos="3086" w:val="left"/>
        </w:tabs>
        <w:numPr>
          <w:ilvl w:val="3"/>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exercise of the Option following the termination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(30)-day period after the termination of the Participant’s status as a Service Provider during which the exercise of the Option would not be in violation of such registration requirements.</w:t>
      </w:r>
    </w:p>
    <w:p>
      <w:pPr>
        <w:spacing w:after="0" w:line="55" w:lineRule="exact"/>
        <w:rPr>
          <w:rFonts w:ascii="Times New Roman" w:cs="Times New Roman" w:eastAsia="Times New Roman" w:hAnsi="Times New Roman"/>
          <w:sz w:val="20"/>
          <w:szCs w:val="20"/>
          <w:color w:val="auto"/>
        </w:rPr>
      </w:pPr>
    </w:p>
    <w:p>
      <w:pPr>
        <w:ind w:left="1240" w:hanging="619"/>
        <w:spacing w:after="0"/>
        <w:tabs>
          <w:tab w:leader="none" w:pos="124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1239"/>
        <w:spacing w:after="0" w:line="256" w:lineRule="auto"/>
        <w:tabs>
          <w:tab w:leader="none" w:pos="1851"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Restricted Stock</w:t>
      </w:r>
      <w:r>
        <w:rPr>
          <w:rFonts w:ascii="Times New Roman" w:cs="Times New Roman" w:eastAsia="Times New Roman" w:hAnsi="Times New Roman"/>
          <w:sz w:val="21"/>
          <w:szCs w:val="21"/>
          <w:color w:val="auto"/>
        </w:rPr>
        <w:t>. Subject to the terms and provisions of the Plan, the Administrator, at any time and from time to time, may grant Shares of Restricted Stock to any individual as a material inducement to the individual becoming an Employee or as otherwise permitted under Section 5, in each case, which grant shall become effective only if the individual actually becomes an Employee, in such amounts as the Administrator, in its sole discretion, will determine.</w:t>
      </w:r>
    </w:p>
    <w:p>
      <w:pPr>
        <w:spacing w:after="0" w:line="64" w:lineRule="exact"/>
        <w:rPr>
          <w:rFonts w:ascii="Times New Roman" w:cs="Times New Roman" w:eastAsia="Times New Roman" w:hAnsi="Times New Roman"/>
          <w:sz w:val="21"/>
          <w:szCs w:val="21"/>
          <w:color w:val="auto"/>
        </w:rPr>
      </w:pPr>
    </w:p>
    <w:p>
      <w:pPr>
        <w:jc w:val="both"/>
        <w:ind w:firstLine="1239"/>
        <w:spacing w:after="0" w:line="256" w:lineRule="auto"/>
        <w:tabs>
          <w:tab w:leader="none" w:pos="1850"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Agreement</w:t>
      </w:r>
      <w:r>
        <w:rPr>
          <w:rFonts w:ascii="Times New Roman" w:cs="Times New Roman" w:eastAsia="Times New Roman" w:hAnsi="Times New Roman"/>
          <w:sz w:val="21"/>
          <w:szCs w:val="21"/>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64" w:lineRule="exact"/>
        <w:rPr>
          <w:rFonts w:ascii="Times New Roman" w:cs="Times New Roman" w:eastAsia="Times New Roman" w:hAnsi="Times New Roman"/>
          <w:sz w:val="21"/>
          <w:szCs w:val="21"/>
          <w:color w:val="auto"/>
        </w:rPr>
      </w:pPr>
    </w:p>
    <w:p>
      <w:pPr>
        <w:ind w:firstLine="1239"/>
        <w:spacing w:after="0" w:line="294" w:lineRule="auto"/>
        <w:tabs>
          <w:tab w:leader="none" w:pos="1851"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28" w:lineRule="exact"/>
        <w:rPr>
          <w:rFonts w:ascii="Times New Roman" w:cs="Times New Roman" w:eastAsia="Times New Roman" w:hAnsi="Times New Roman"/>
          <w:sz w:val="20"/>
          <w:szCs w:val="20"/>
          <w:color w:val="auto"/>
        </w:rPr>
      </w:pPr>
    </w:p>
    <w:p>
      <w:pPr>
        <w:ind w:firstLine="1239"/>
        <w:spacing w:after="0" w:line="269" w:lineRule="auto"/>
        <w:tabs>
          <w:tab w:leader="none" w:pos="1850"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Restrictions</w:t>
      </w:r>
      <w:r>
        <w:rPr>
          <w:rFonts w:ascii="Times New Roman" w:cs="Times New Roman" w:eastAsia="Times New Roman" w:hAnsi="Times New Roman"/>
          <w:sz w:val="21"/>
          <w:szCs w:val="21"/>
          <w:color w:val="auto"/>
        </w:rPr>
        <w:t>. The Administrator, in its sole discretion, may impose such other restrictions on Shares of Restricted Stock as it may deem advisable or appropriate.</w:t>
      </w:r>
    </w:p>
    <w:p>
      <w:pPr>
        <w:spacing w:after="0" w:line="63" w:lineRule="exact"/>
        <w:rPr>
          <w:rFonts w:ascii="Times New Roman" w:cs="Times New Roman" w:eastAsia="Times New Roman" w:hAnsi="Times New Roman"/>
          <w:sz w:val="21"/>
          <w:szCs w:val="21"/>
          <w:color w:val="auto"/>
        </w:rPr>
      </w:pPr>
    </w:p>
    <w:p>
      <w:pPr>
        <w:ind w:firstLine="1239"/>
        <w:spacing w:after="0" w:line="269" w:lineRule="auto"/>
        <w:tabs>
          <w:tab w:leader="none" w:pos="1851"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Removal of Restrictions</w:t>
      </w:r>
      <w:r>
        <w:rPr>
          <w:rFonts w:ascii="Times New Roman" w:cs="Times New Roman" w:eastAsia="Times New Roman" w:hAnsi="Times New Roman"/>
          <w:sz w:val="21"/>
          <w:szCs w:val="21"/>
          <w:color w:val="auto"/>
        </w:rPr>
        <w:t>. Except as otherwise provided in this Section 7, Shares of Restricted Stock covered by each Restricted Stock grant made under the Plan will be released from</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2" w:lineRule="exact"/>
        <w:rPr>
          <w:rFonts w:ascii="Times New Roman" w:cs="Times New Roman" w:eastAsia="Times New Roman" w:hAnsi="Times New Roman"/>
          <w:sz w:val="21"/>
          <w:szCs w:val="21"/>
          <w:color w:val="auto"/>
        </w:rPr>
      </w:pPr>
    </w:p>
    <w:p>
      <w:pPr>
        <w:ind w:left="5520" w:hanging="119"/>
        <w:spacing w:after="0"/>
        <w:tabs>
          <w:tab w:leader="none" w:pos="5520" w:val="left"/>
        </w:tabs>
        <w:numPr>
          <w:ilvl w:val="4"/>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10 -</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escrow as soon as practicable after the last day of the Period of Restriction or at such other time as the Administrator may determine.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Administrator, in its discretion, may accelerate the time at which any restrictions will lapse or be removed.</w:t>
      </w:r>
    </w:p>
    <w:p>
      <w:pPr>
        <w:spacing w:after="0" w:line="97" w:lineRule="exact"/>
        <w:rPr>
          <w:sz w:val="20"/>
          <w:szCs w:val="20"/>
          <w:color w:val="auto"/>
        </w:rPr>
      </w:pPr>
    </w:p>
    <w:p>
      <w:pPr>
        <w:ind w:firstLine="1239"/>
        <w:spacing w:after="0" w:line="269" w:lineRule="auto"/>
        <w:tabs>
          <w:tab w:leader="none" w:pos="1854"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Voting Rights</w:t>
      </w:r>
      <w:r>
        <w:rPr>
          <w:rFonts w:ascii="Times New Roman" w:cs="Times New Roman" w:eastAsia="Times New Roman" w:hAnsi="Times New Roman"/>
          <w:sz w:val="21"/>
          <w:szCs w:val="21"/>
          <w:color w:val="auto"/>
        </w:rPr>
        <w:t>. During the Period of Restriction, Service Providers holding Shares of Restricted Stock granted hereunder may exercise full voting rights with respect to those Shares, unless the Administrator determines otherwise.</w:t>
      </w:r>
    </w:p>
    <w:p>
      <w:pPr>
        <w:spacing w:after="0" w:line="51" w:lineRule="exact"/>
        <w:rPr>
          <w:rFonts w:ascii="Times New Roman" w:cs="Times New Roman" w:eastAsia="Times New Roman" w:hAnsi="Times New Roman"/>
          <w:sz w:val="21"/>
          <w:szCs w:val="21"/>
          <w:color w:val="auto"/>
        </w:rPr>
      </w:pPr>
    </w:p>
    <w:p>
      <w:pPr>
        <w:jc w:val="both"/>
        <w:ind w:firstLine="1239"/>
        <w:spacing w:after="0" w:line="256" w:lineRule="auto"/>
        <w:tabs>
          <w:tab w:leader="none" w:pos="1850"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Dividends and Other Distributions</w:t>
      </w:r>
      <w:r>
        <w:rPr>
          <w:rFonts w:ascii="Times New Roman" w:cs="Times New Roman" w:eastAsia="Times New Roman" w:hAnsi="Times New Roman"/>
          <w:sz w:val="21"/>
          <w:szCs w:val="21"/>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64" w:lineRule="exact"/>
        <w:rPr>
          <w:rFonts w:ascii="Times New Roman" w:cs="Times New Roman" w:eastAsia="Times New Roman" w:hAnsi="Times New Roman"/>
          <w:sz w:val="21"/>
          <w:szCs w:val="21"/>
          <w:color w:val="auto"/>
        </w:rPr>
      </w:pPr>
    </w:p>
    <w:p>
      <w:pPr>
        <w:ind w:firstLine="1239"/>
        <w:spacing w:after="0" w:line="269" w:lineRule="auto"/>
        <w:tabs>
          <w:tab w:leader="none" w:pos="1850"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Restricted Stock to Company</w:t>
      </w:r>
      <w:r>
        <w:rPr>
          <w:rFonts w:ascii="Times New Roman" w:cs="Times New Roman" w:eastAsia="Times New Roman" w:hAnsi="Times New Roman"/>
          <w:sz w:val="21"/>
          <w:szCs w:val="21"/>
          <w:color w:val="auto"/>
        </w:rPr>
        <w:t>. On the date set forth in the Award Agreement, the Restricted Stock for which restrictions have not lapsed will revert to the Company and again will become available for grant under the Plan.</w:t>
      </w:r>
    </w:p>
    <w:p>
      <w:pPr>
        <w:spacing w:after="0" w:line="51"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Units</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1239"/>
        <w:spacing w:after="0" w:line="252" w:lineRule="auto"/>
        <w:tabs>
          <w:tab w:leader="none" w:pos="1851"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Restricted Stock Units may be granted at any time and from time to time to any individual as a material inducement to the individual becoming an Employee or as otherwise permitted under Section 5, in each case, which grant shall become effective only if the individual actually becomes an Employee.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71" w:lineRule="exact"/>
        <w:rPr>
          <w:rFonts w:ascii="Times New Roman" w:cs="Times New Roman" w:eastAsia="Times New Roman" w:hAnsi="Times New Roman"/>
          <w:sz w:val="21"/>
          <w:szCs w:val="21"/>
          <w:color w:val="auto"/>
        </w:rPr>
      </w:pPr>
    </w:p>
    <w:p>
      <w:pPr>
        <w:jc w:val="both"/>
        <w:ind w:firstLine="1239"/>
        <w:spacing w:after="0" w:line="252" w:lineRule="auto"/>
        <w:tabs>
          <w:tab w:leader="none" w:pos="1850"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Criteria and Other Terms</w:t>
      </w:r>
      <w:r>
        <w:rPr>
          <w:rFonts w:ascii="Times New Roman" w:cs="Times New Roman" w:eastAsia="Times New Roman" w:hAnsi="Times New Roman"/>
          <w:sz w:val="21"/>
          <w:szCs w:val="21"/>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71" w:lineRule="exact"/>
        <w:rPr>
          <w:rFonts w:ascii="Times New Roman" w:cs="Times New Roman" w:eastAsia="Times New Roman" w:hAnsi="Times New Roman"/>
          <w:sz w:val="21"/>
          <w:szCs w:val="21"/>
          <w:color w:val="auto"/>
        </w:rPr>
      </w:pPr>
    </w:p>
    <w:p>
      <w:pPr>
        <w:jc w:val="both"/>
        <w:ind w:firstLine="1239"/>
        <w:spacing w:after="0" w:line="262" w:lineRule="auto"/>
        <w:tabs>
          <w:tab w:leader="none" w:pos="1851"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 Restricted Stock Units</w:t>
      </w:r>
      <w:r>
        <w:rPr>
          <w:rFonts w:ascii="Times New Roman" w:cs="Times New Roman" w:eastAsia="Times New Roman" w:hAnsi="Times New Roman"/>
          <w:sz w:val="21"/>
          <w:szCs w:val="21"/>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59" w:lineRule="exact"/>
        <w:rPr>
          <w:rFonts w:ascii="Times New Roman" w:cs="Times New Roman" w:eastAsia="Times New Roman" w:hAnsi="Times New Roman"/>
          <w:sz w:val="21"/>
          <w:szCs w:val="21"/>
          <w:color w:val="auto"/>
        </w:rPr>
      </w:pPr>
    </w:p>
    <w:p>
      <w:pPr>
        <w:jc w:val="both"/>
        <w:ind w:firstLine="1239"/>
        <w:spacing w:after="0" w:line="256" w:lineRule="auto"/>
        <w:tabs>
          <w:tab w:leader="none" w:pos="1850"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and Timing of Payment</w:t>
      </w:r>
      <w:r>
        <w:rPr>
          <w:rFonts w:ascii="Times New Roman" w:cs="Times New Roman" w:eastAsia="Times New Roman" w:hAnsi="Times New Roman"/>
          <w:sz w:val="21"/>
          <w:szCs w:val="21"/>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64"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w:t>
      </w:r>
      <w:r>
        <w:rPr>
          <w:rFonts w:ascii="Times New Roman" w:cs="Times New Roman" w:eastAsia="Times New Roman" w:hAnsi="Times New Roman"/>
          <w:sz w:val="20"/>
          <w:szCs w:val="20"/>
          <w:color w:val="auto"/>
        </w:rPr>
        <w:t>. On the date set forth in the Award Agreement, all unearned Restricted Stock Units will be forfeited</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to the Company.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75" w:lineRule="exact"/>
        <w:rPr>
          <w:rFonts w:ascii="Times New Roman" w:cs="Times New Roman" w:eastAsia="Times New Roman" w:hAnsi="Times New Roman"/>
          <w:sz w:val="20"/>
          <w:szCs w:val="20"/>
          <w:color w:val="auto"/>
        </w:rPr>
      </w:pPr>
    </w:p>
    <w:p>
      <w:pPr>
        <w:ind w:left="5520" w:hanging="115"/>
        <w:spacing w:after="0"/>
        <w:tabs>
          <w:tab w:leader="none" w:pos="5520" w:val="left"/>
        </w:tabs>
        <w:numPr>
          <w:ilvl w:val="2"/>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11 -</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72" w:lineRule="exact"/>
        <w:rPr>
          <w:sz w:val="20"/>
          <w:szCs w:val="20"/>
          <w:color w:val="auto"/>
        </w:rPr>
      </w:pPr>
    </w:p>
    <w:p>
      <w:pPr>
        <w:ind w:left="1240" w:hanging="619"/>
        <w:spacing w:after="0"/>
        <w:tabs>
          <w:tab w:leader="none" w:pos="124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Appreciation Rights</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1239"/>
        <w:spacing w:after="0" w:line="256" w:lineRule="auto"/>
        <w:tabs>
          <w:tab w:leader="none" w:pos="1851"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Stock Appreciation Rights</w:t>
      </w:r>
      <w:r>
        <w:rPr>
          <w:rFonts w:ascii="Times New Roman" w:cs="Times New Roman" w:eastAsia="Times New Roman" w:hAnsi="Times New Roman"/>
          <w:sz w:val="21"/>
          <w:szCs w:val="21"/>
          <w:color w:val="auto"/>
        </w:rPr>
        <w:t>. Subject to the terms and conditions of the Plan, a Stock Appreciation Right may be granted to any individual as a material inducement to the individual becoming an Employee or as otherwise permitted under Section 5, in each case, which grant shall become effective only if the individual actually becomes an Employee, at any time and from time to time as will be determined by the Administrator, in its sole discretion.</w:t>
      </w:r>
    </w:p>
    <w:p>
      <w:pPr>
        <w:spacing w:after="0" w:line="64" w:lineRule="exact"/>
        <w:rPr>
          <w:rFonts w:ascii="Times New Roman" w:cs="Times New Roman" w:eastAsia="Times New Roman" w:hAnsi="Times New Roman"/>
          <w:sz w:val="21"/>
          <w:szCs w:val="21"/>
          <w:color w:val="auto"/>
        </w:rPr>
      </w:pPr>
    </w:p>
    <w:p>
      <w:pPr>
        <w:ind w:firstLine="1239"/>
        <w:spacing w:after="0" w:line="269" w:lineRule="auto"/>
        <w:tabs>
          <w:tab w:leader="none" w:pos="1850"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Number of Shares</w:t>
      </w:r>
      <w:r>
        <w:rPr>
          <w:rFonts w:ascii="Times New Roman" w:cs="Times New Roman" w:eastAsia="Times New Roman" w:hAnsi="Times New Roman"/>
          <w:sz w:val="21"/>
          <w:szCs w:val="21"/>
          <w:color w:val="auto"/>
        </w:rPr>
        <w:t>. The Administrator will have complete discretion to determine the number of Shares subject to any Award of Stock Appreciation Rights.</w:t>
      </w:r>
    </w:p>
    <w:p>
      <w:pPr>
        <w:spacing w:after="0" w:line="63" w:lineRule="exact"/>
        <w:rPr>
          <w:rFonts w:ascii="Times New Roman" w:cs="Times New Roman" w:eastAsia="Times New Roman" w:hAnsi="Times New Roman"/>
          <w:sz w:val="21"/>
          <w:szCs w:val="21"/>
          <w:color w:val="auto"/>
        </w:rPr>
      </w:pPr>
    </w:p>
    <w:p>
      <w:pPr>
        <w:jc w:val="both"/>
        <w:ind w:firstLine="1239"/>
        <w:spacing w:after="0" w:line="251" w:lineRule="auto"/>
        <w:tabs>
          <w:tab w:leader="none" w:pos="1851"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Price and Other Terms</w:t>
      </w:r>
      <w:r>
        <w:rPr>
          <w:rFonts w:ascii="Times New Roman" w:cs="Times New Roman" w:eastAsia="Times New Roman" w:hAnsi="Times New Roman"/>
          <w:sz w:val="21"/>
          <w:szCs w:val="21"/>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71" w:lineRule="exact"/>
        <w:rPr>
          <w:rFonts w:ascii="Times New Roman" w:cs="Times New Roman" w:eastAsia="Times New Roman" w:hAnsi="Times New Roman"/>
          <w:sz w:val="21"/>
          <w:szCs w:val="21"/>
          <w:color w:val="auto"/>
        </w:rPr>
      </w:pPr>
    </w:p>
    <w:p>
      <w:pPr>
        <w:jc w:val="both"/>
        <w:ind w:firstLine="1239"/>
        <w:spacing w:after="0" w:line="262" w:lineRule="auto"/>
        <w:tabs>
          <w:tab w:leader="none" w:pos="1850"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Appreciation Right Agreement</w:t>
      </w:r>
      <w:r>
        <w:rPr>
          <w:rFonts w:ascii="Times New Roman" w:cs="Times New Roman" w:eastAsia="Times New Roman" w:hAnsi="Times New Roman"/>
          <w:sz w:val="21"/>
          <w:szCs w:val="21"/>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59" w:lineRule="exact"/>
        <w:rPr>
          <w:rFonts w:ascii="Times New Roman" w:cs="Times New Roman" w:eastAsia="Times New Roman" w:hAnsi="Times New Roman"/>
          <w:sz w:val="21"/>
          <w:szCs w:val="21"/>
          <w:color w:val="auto"/>
        </w:rPr>
      </w:pPr>
    </w:p>
    <w:p>
      <w:pPr>
        <w:jc w:val="both"/>
        <w:ind w:firstLine="1239"/>
        <w:spacing w:after="0" w:line="274" w:lineRule="auto"/>
        <w:tabs>
          <w:tab w:leader="none" w:pos="1851"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of Stock Appreciation Rights</w:t>
      </w:r>
      <w:r>
        <w:rPr>
          <w:rFonts w:ascii="Times New Roman" w:cs="Times New Roman" w:eastAsia="Times New Roman" w:hAnsi="Times New Roman"/>
          <w:sz w:val="20"/>
          <w:szCs w:val="20"/>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49" w:lineRule="exact"/>
        <w:rPr>
          <w:rFonts w:ascii="Times New Roman" w:cs="Times New Roman" w:eastAsia="Times New Roman" w:hAnsi="Times New Roman"/>
          <w:sz w:val="20"/>
          <w:szCs w:val="20"/>
          <w:color w:val="auto"/>
        </w:rPr>
      </w:pPr>
    </w:p>
    <w:p>
      <w:pPr>
        <w:ind w:firstLine="1239"/>
        <w:spacing w:after="0" w:line="281" w:lineRule="auto"/>
        <w:tabs>
          <w:tab w:leader="none" w:pos="1854"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Stock Appreciation Right Amount</w:t>
      </w:r>
      <w:r>
        <w:rPr>
          <w:rFonts w:ascii="Times New Roman" w:cs="Times New Roman" w:eastAsia="Times New Roman" w:hAnsi="Times New Roman"/>
          <w:sz w:val="21"/>
          <w:szCs w:val="21"/>
          <w:color w:val="auto"/>
        </w:rPr>
        <w:t>. Upon exercise of a Stock Appreciation Right, a Participant will be entitled to receive payment from the Company in an amount determined by multiplying:</w:t>
      </w:r>
    </w:p>
    <w:p>
      <w:pPr>
        <w:spacing w:after="0" w:line="39" w:lineRule="exact"/>
        <w:rPr>
          <w:rFonts w:ascii="Times New Roman" w:cs="Times New Roman" w:eastAsia="Times New Roman" w:hAnsi="Times New Roman"/>
          <w:sz w:val="21"/>
          <w:szCs w:val="21"/>
          <w:color w:val="auto"/>
        </w:rPr>
      </w:pPr>
    </w:p>
    <w:p>
      <w:pPr>
        <w:ind w:left="2460" w:hanging="294"/>
        <w:spacing w:after="0"/>
        <w:tabs>
          <w:tab w:leader="none" w:pos="2460" w:val="left"/>
        </w:tabs>
        <w:numPr>
          <w:ilvl w:val="2"/>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difference between the Fair Market Value of a Share on the date of exercise over the exercise price;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times</w:t>
      </w:r>
    </w:p>
    <w:p>
      <w:pPr>
        <w:spacing w:after="0" w:line="84" w:lineRule="exact"/>
        <w:rPr>
          <w:rFonts w:ascii="Times New Roman" w:cs="Times New Roman" w:eastAsia="Times New Roman" w:hAnsi="Times New Roman"/>
          <w:sz w:val="21"/>
          <w:szCs w:val="21"/>
          <w:color w:val="auto"/>
        </w:rPr>
      </w:pPr>
    </w:p>
    <w:p>
      <w:pPr>
        <w:ind w:left="2460" w:hanging="294"/>
        <w:spacing w:after="0"/>
        <w:tabs>
          <w:tab w:leader="none" w:pos="2460" w:val="left"/>
        </w:tabs>
        <w:numPr>
          <w:ilvl w:val="2"/>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with respect to which the Stock Appreciation Right is exercised.</w:t>
      </w:r>
    </w:p>
    <w:p>
      <w:pPr>
        <w:spacing w:after="0" w:line="106" w:lineRule="exact"/>
        <w:rPr>
          <w:sz w:val="20"/>
          <w:szCs w:val="20"/>
          <w:color w:val="auto"/>
        </w:rPr>
      </w:pPr>
    </w:p>
    <w:p>
      <w:pPr>
        <w:ind w:firstLine="618"/>
        <w:spacing w:after="0" w:line="281" w:lineRule="auto"/>
        <w:rPr>
          <w:sz w:val="20"/>
          <w:szCs w:val="20"/>
          <w:color w:val="auto"/>
        </w:rPr>
      </w:pPr>
      <w:r>
        <w:rPr>
          <w:rFonts w:ascii="Times New Roman" w:cs="Times New Roman" w:eastAsia="Times New Roman" w:hAnsi="Times New Roman"/>
          <w:sz w:val="21"/>
          <w:szCs w:val="21"/>
          <w:color w:val="auto"/>
        </w:rPr>
        <w:t>At the discretion of the Administrator, the payment upon Stock Appreciation Right exercise may be in cash, in Shares of equivalent value, or in some combination thereof.</w:t>
      </w:r>
    </w:p>
    <w:p>
      <w:pPr>
        <w:spacing w:after="0" w:line="40" w:lineRule="exact"/>
        <w:rPr>
          <w:sz w:val="20"/>
          <w:szCs w:val="20"/>
          <w:color w:val="auto"/>
        </w:rPr>
      </w:pPr>
    </w:p>
    <w:p>
      <w:pPr>
        <w:ind w:left="1240" w:hanging="619"/>
        <w:spacing w:after="0"/>
        <w:tabs>
          <w:tab w:leader="none" w:pos="124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Units and Performance Shares</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1239"/>
        <w:spacing w:after="0" w:line="251" w:lineRule="auto"/>
        <w:tabs>
          <w:tab w:leader="none" w:pos="1851"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Performance Units/Shares</w:t>
      </w:r>
      <w:r>
        <w:rPr>
          <w:rFonts w:ascii="Times New Roman" w:cs="Times New Roman" w:eastAsia="Times New Roman" w:hAnsi="Times New Roman"/>
          <w:sz w:val="21"/>
          <w:szCs w:val="21"/>
          <w:color w:val="auto"/>
        </w:rPr>
        <w:t>. Performance Units and Performance Shares may be granted to any individual as a material inducement to the individual becoming an Employee, which grant shall become effective only if the individual actually becomes an Employee or as otherwise permitted under Section 5, in each case, at any time and from time to time, as will be determined by the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63" w:lineRule="exact"/>
        <w:rPr>
          <w:rFonts w:ascii="Times New Roman" w:cs="Times New Roman" w:eastAsia="Times New Roman" w:hAnsi="Times New Roman"/>
          <w:sz w:val="21"/>
          <w:szCs w:val="21"/>
          <w:color w:val="auto"/>
        </w:rPr>
      </w:pPr>
    </w:p>
    <w:p>
      <w:pPr>
        <w:ind w:left="5520" w:hanging="119"/>
        <w:spacing w:after="0"/>
        <w:tabs>
          <w:tab w:leader="none" w:pos="5520" w:val="left"/>
        </w:tabs>
        <w:numPr>
          <w:ilvl w:val="2"/>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12 -</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7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Administrator, in its sole discretion. The Administrator will have complete discretion in determining the number of Performance Units and Performance Shares granted to each Participant.</w:t>
      </w:r>
    </w:p>
    <w:p>
      <w:pPr>
        <w:spacing w:after="0" w:line="64" w:lineRule="exact"/>
        <w:rPr>
          <w:sz w:val="20"/>
          <w:szCs w:val="20"/>
          <w:color w:val="auto"/>
        </w:rPr>
      </w:pPr>
    </w:p>
    <w:p>
      <w:pPr>
        <w:jc w:val="both"/>
        <w:ind w:firstLine="1239"/>
        <w:spacing w:after="0" w:line="256" w:lineRule="auto"/>
        <w:tabs>
          <w:tab w:leader="none" w:pos="1850"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Value of Performance Units/Shares</w:t>
      </w:r>
      <w:r>
        <w:rPr>
          <w:rFonts w:ascii="Times New Roman" w:cs="Times New Roman" w:eastAsia="Times New Roman" w:hAnsi="Times New Roman"/>
          <w:sz w:val="21"/>
          <w:szCs w:val="21"/>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64" w:lineRule="exact"/>
        <w:rPr>
          <w:rFonts w:ascii="Times New Roman" w:cs="Times New Roman" w:eastAsia="Times New Roman" w:hAnsi="Times New Roman"/>
          <w:sz w:val="21"/>
          <w:szCs w:val="21"/>
          <w:color w:val="auto"/>
        </w:rPr>
      </w:pPr>
    </w:p>
    <w:p>
      <w:pPr>
        <w:jc w:val="both"/>
        <w:ind w:firstLine="1239"/>
        <w:spacing w:after="0" w:line="249" w:lineRule="auto"/>
        <w:tabs>
          <w:tab w:leader="none" w:pos="1851"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Objectives and Other Terms</w:t>
      </w:r>
      <w:r>
        <w:rPr>
          <w:rFonts w:ascii="Times New Roman" w:cs="Times New Roman" w:eastAsia="Times New Roman" w:hAnsi="Times New Roman"/>
          <w:sz w:val="21"/>
          <w:szCs w:val="21"/>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75" w:lineRule="exact"/>
        <w:rPr>
          <w:rFonts w:ascii="Times New Roman" w:cs="Times New Roman" w:eastAsia="Times New Roman" w:hAnsi="Times New Roman"/>
          <w:sz w:val="21"/>
          <w:szCs w:val="21"/>
          <w:color w:val="auto"/>
        </w:rPr>
      </w:pPr>
    </w:p>
    <w:p>
      <w:pPr>
        <w:jc w:val="both"/>
        <w:ind w:firstLine="1239"/>
        <w:spacing w:after="0" w:line="252" w:lineRule="auto"/>
        <w:tabs>
          <w:tab w:leader="none" w:pos="1850"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 of Performance Units/Shares</w:t>
      </w:r>
      <w:r>
        <w:rPr>
          <w:rFonts w:ascii="Times New Roman" w:cs="Times New Roman" w:eastAsia="Times New Roman" w:hAnsi="Times New Roman"/>
          <w:sz w:val="21"/>
          <w:szCs w:val="21"/>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71" w:lineRule="exact"/>
        <w:rPr>
          <w:rFonts w:ascii="Times New Roman" w:cs="Times New Roman" w:eastAsia="Times New Roman" w:hAnsi="Times New Roman"/>
          <w:sz w:val="21"/>
          <w:szCs w:val="21"/>
          <w:color w:val="auto"/>
        </w:rPr>
      </w:pPr>
    </w:p>
    <w:p>
      <w:pPr>
        <w:jc w:val="both"/>
        <w:ind w:firstLine="1239"/>
        <w:spacing w:after="0" w:line="251" w:lineRule="auto"/>
        <w:tabs>
          <w:tab w:leader="none" w:pos="1851"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and Timing of Payment of Performance Units/Shares</w:t>
      </w:r>
      <w:r>
        <w:rPr>
          <w:rFonts w:ascii="Times New Roman" w:cs="Times New Roman" w:eastAsia="Times New Roman" w:hAnsi="Times New Roman"/>
          <w:sz w:val="21"/>
          <w:szCs w:val="21"/>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84" w:lineRule="exact"/>
        <w:rPr>
          <w:rFonts w:ascii="Times New Roman" w:cs="Times New Roman" w:eastAsia="Times New Roman" w:hAnsi="Times New Roman"/>
          <w:sz w:val="21"/>
          <w:szCs w:val="21"/>
          <w:color w:val="auto"/>
        </w:rPr>
      </w:pPr>
    </w:p>
    <w:p>
      <w:pPr>
        <w:ind w:firstLine="1239"/>
        <w:spacing w:after="0" w:line="269" w:lineRule="auto"/>
        <w:tabs>
          <w:tab w:leader="none" w:pos="1854"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Cancellation of Performance Units/Shares</w:t>
      </w:r>
      <w:r>
        <w:rPr>
          <w:rFonts w:ascii="Times New Roman" w:cs="Times New Roman" w:eastAsia="Times New Roman" w:hAnsi="Times New Roman"/>
          <w:sz w:val="21"/>
          <w:szCs w:val="21"/>
          <w:color w:val="auto"/>
        </w:rPr>
        <w:t>. On the date set forth in the Award Agreement, all unearned or unvested Performance Units/Shares will be forfeited to the Company, and again will be available for grant under the Plan.</w:t>
      </w:r>
    </w:p>
    <w:p>
      <w:pPr>
        <w:spacing w:after="0" w:line="51"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621"/>
        <w:spacing w:after="0" w:line="256" w:lineRule="auto"/>
        <w:tabs>
          <w:tab w:leader="none" w:pos="1236"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Leaves of Absence/Transfer Between Locations</w:t>
      </w:r>
      <w:r>
        <w:rPr>
          <w:rFonts w:ascii="Times New Roman" w:cs="Times New Roman" w:eastAsia="Times New Roman" w:hAnsi="Times New Roman"/>
          <w:sz w:val="21"/>
          <w:szCs w:val="21"/>
          <w:color w:val="auto"/>
        </w:rPr>
        <w:t>. Unless the Administrator provides otherwise and subject to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w:t>
      </w:r>
    </w:p>
    <w:p>
      <w:pPr>
        <w:spacing w:after="0" w:line="64" w:lineRule="exact"/>
        <w:rPr>
          <w:rFonts w:ascii="Times New Roman" w:cs="Times New Roman" w:eastAsia="Times New Roman" w:hAnsi="Times New Roman"/>
          <w:sz w:val="21"/>
          <w:szCs w:val="21"/>
          <w:color w:val="auto"/>
        </w:rPr>
      </w:pPr>
    </w:p>
    <w:p>
      <w:pPr>
        <w:ind w:firstLine="621"/>
        <w:spacing w:after="0" w:line="269" w:lineRule="auto"/>
        <w:tabs>
          <w:tab w:leader="none" w:pos="1236"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 of Awards</w:t>
      </w:r>
      <w:r>
        <w:rPr>
          <w:rFonts w:ascii="Times New Roman" w:cs="Times New Roman" w:eastAsia="Times New Roman" w:hAnsi="Times New Roman"/>
          <w:sz w:val="21"/>
          <w:szCs w:val="21"/>
          <w:color w:val="auto"/>
        </w:rPr>
        <w:t>. Unless determined otherwise by the Administrator, an Award may not be sold, pledged, assigned, hypothecated, transferred, or disposed of in any manner other than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2" w:lineRule="exact"/>
        <w:rPr>
          <w:rFonts w:ascii="Times New Roman" w:cs="Times New Roman" w:eastAsia="Times New Roman" w:hAnsi="Times New Roman"/>
          <w:sz w:val="21"/>
          <w:szCs w:val="21"/>
          <w:color w:val="auto"/>
        </w:rPr>
      </w:pPr>
    </w:p>
    <w:p>
      <w:pPr>
        <w:ind w:left="5520" w:hanging="119"/>
        <w:spacing w:after="0"/>
        <w:tabs>
          <w:tab w:leader="none" w:pos="5520" w:val="left"/>
        </w:tabs>
        <w:numPr>
          <w:ilvl w:val="2"/>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13 -</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59" w:lineRule="exact"/>
        <w:rPr>
          <w:sz w:val="20"/>
          <w:szCs w:val="20"/>
          <w:color w:val="auto"/>
        </w:rPr>
      </w:pPr>
    </w:p>
    <w:p>
      <w:pPr>
        <w:ind w:left="1240" w:hanging="619"/>
        <w:spacing w:after="0"/>
        <w:tabs>
          <w:tab w:leader="none" w:pos="124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Dissolution or Liquidation; Merger or Change in Control</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1239"/>
        <w:spacing w:after="0" w:line="249" w:lineRule="auto"/>
        <w:tabs>
          <w:tab w:leader="none" w:pos="1851"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 3 of the Plan.</w:t>
      </w:r>
    </w:p>
    <w:p>
      <w:pPr>
        <w:spacing w:after="0" w:line="74" w:lineRule="exact"/>
        <w:rPr>
          <w:rFonts w:ascii="Times New Roman" w:cs="Times New Roman" w:eastAsia="Times New Roman" w:hAnsi="Times New Roman"/>
          <w:sz w:val="21"/>
          <w:szCs w:val="21"/>
          <w:color w:val="auto"/>
        </w:rPr>
      </w:pPr>
    </w:p>
    <w:p>
      <w:pPr>
        <w:jc w:val="both"/>
        <w:ind w:firstLine="1239"/>
        <w:spacing w:after="0" w:line="262" w:lineRule="auto"/>
        <w:tabs>
          <w:tab w:leader="none" w:pos="1850"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Dissolution or Liquidation</w:t>
      </w:r>
      <w:r>
        <w:rPr>
          <w:rFonts w:ascii="Times New Roman" w:cs="Times New Roman" w:eastAsia="Times New Roman" w:hAnsi="Times New Roman"/>
          <w:sz w:val="21"/>
          <w:szCs w:val="21"/>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59" w:lineRule="exact"/>
        <w:rPr>
          <w:rFonts w:ascii="Times New Roman" w:cs="Times New Roman" w:eastAsia="Times New Roman" w:hAnsi="Times New Roman"/>
          <w:sz w:val="21"/>
          <w:szCs w:val="21"/>
          <w:color w:val="auto"/>
        </w:rPr>
      </w:pPr>
    </w:p>
    <w:p>
      <w:pPr>
        <w:jc w:val="both"/>
        <w:ind w:firstLine="1239"/>
        <w:spacing w:after="0" w:line="260" w:lineRule="auto"/>
        <w:tabs>
          <w:tab w:leader="none" w:pos="1851"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14(c), the Administrator will not be required to treat all Awards or Participants, all Awards held by a Participant, or all Awards of the same type, similarly in the transaction.</w:t>
      </w:r>
    </w:p>
    <w:p>
      <w:pPr>
        <w:spacing w:after="0" w:line="70" w:lineRule="exact"/>
        <w:rPr>
          <w:sz w:val="20"/>
          <w:szCs w:val="20"/>
          <w:color w:val="auto"/>
        </w:rPr>
      </w:pPr>
    </w:p>
    <w:p>
      <w:pPr>
        <w:jc w:val="both"/>
        <w:ind w:firstLine="1236"/>
        <w:spacing w:after="0" w:line="251" w:lineRule="auto"/>
        <w:rPr>
          <w:sz w:val="20"/>
          <w:szCs w:val="20"/>
          <w:color w:val="auto"/>
        </w:rPr>
      </w:pPr>
      <w:r>
        <w:rPr>
          <w:rFonts w:ascii="Times New Roman" w:cs="Times New Roman" w:eastAsia="Times New Roman" w:hAnsi="Times New Roman"/>
          <w:sz w:val="21"/>
          <w:szCs w:val="21"/>
          <w:color w:val="auto"/>
        </w:rPr>
        <w:t>In the event that the successor corporation does not assume or substitute for the Award (or portion thereof), the Participant will fully vest in and have the right to exercise such outstanding Option and Stock Appreciation Right not so assumed or substituted for, including Shares as to which such Award would not otherwise be vested or exercisable, all restrictions on such Restricted Stock and Restricted Stock Units not so assumed or substituted for will lapse, and, with respect to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- 14 -</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with performance-based vesting, all performance goals or other vesting criteria will be deemed achieved at one hundred percent (100%) of target levels and all other terms and conditions met, in all cases, unless specifically provided otherwise under the applicable Award Agreement or other written agreement between the Participant and the Company or any of its Subsidiaries or Parents, as applicable. In addition, if an Option or Stock Appreciation Right is not assumed or substituted in the event of a merger or Change in Control, the Administrator will notify the Participant in writing or electronically that such Option or Stock Appreciation Right not so assumed or substituted for will be exercisable for a period of time determined by the Administrator in its sole discretion, and the Option or Stock Appreciation Right will terminate upon the expiration of such period.</w:t>
      </w:r>
    </w:p>
    <w:p>
      <w:pPr>
        <w:spacing w:after="0" w:line="88" w:lineRule="exact"/>
        <w:rPr>
          <w:sz w:val="20"/>
          <w:szCs w:val="20"/>
          <w:color w:val="auto"/>
        </w:rPr>
      </w:pPr>
    </w:p>
    <w:p>
      <w:pPr>
        <w:jc w:val="both"/>
        <w:ind w:firstLine="1236"/>
        <w:spacing w:after="0" w:line="247" w:lineRule="auto"/>
        <w:rPr>
          <w:sz w:val="20"/>
          <w:szCs w:val="20"/>
          <w:color w:val="auto"/>
        </w:rPr>
      </w:pPr>
      <w:r>
        <w:rPr>
          <w:rFonts w:ascii="Times New Roman" w:cs="Times New Roman" w:eastAsia="Times New Roman" w:hAnsi="Times New Roman"/>
          <w:sz w:val="21"/>
          <w:szCs w:val="21"/>
          <w:color w:val="auto"/>
        </w:rPr>
        <w:t>For the purposes of this subsection (c),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77" w:lineRule="exact"/>
        <w:rPr>
          <w:sz w:val="20"/>
          <w:szCs w:val="20"/>
          <w:color w:val="auto"/>
        </w:rPr>
      </w:pPr>
    </w:p>
    <w:p>
      <w:pPr>
        <w:jc w:val="both"/>
        <w:ind w:firstLine="1236"/>
        <w:spacing w:after="0" w:line="252" w:lineRule="auto"/>
        <w:rPr>
          <w:sz w:val="20"/>
          <w:szCs w:val="20"/>
          <w:color w:val="auto"/>
        </w:rPr>
      </w:pPr>
      <w:r>
        <w:rPr>
          <w:rFonts w:ascii="Times New Roman" w:cs="Times New Roman" w:eastAsia="Times New Roman" w:hAnsi="Times New Roman"/>
          <w:sz w:val="21"/>
          <w:szCs w:val="21"/>
          <w:color w:val="auto"/>
        </w:rPr>
        <w:t>Notwithstanding anything in this Section 14(c) to the contrary, and unless otherwise provided in an Award Agreement,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71" w:lineRule="exact"/>
        <w:rPr>
          <w:sz w:val="20"/>
          <w:szCs w:val="20"/>
          <w:color w:val="auto"/>
        </w:rPr>
      </w:pPr>
    </w:p>
    <w:p>
      <w:pPr>
        <w:jc w:val="both"/>
        <w:ind w:firstLine="1236"/>
        <w:spacing w:after="0" w:line="252" w:lineRule="auto"/>
        <w:rPr>
          <w:sz w:val="20"/>
          <w:szCs w:val="20"/>
          <w:color w:val="auto"/>
        </w:rPr>
      </w:pPr>
      <w:r>
        <w:rPr>
          <w:rFonts w:ascii="Times New Roman" w:cs="Times New Roman" w:eastAsia="Times New Roman" w:hAnsi="Times New Roman"/>
          <w:sz w:val="21"/>
          <w:szCs w:val="21"/>
          <w:color w:val="auto"/>
        </w:rPr>
        <w:t>Notwithstanding anything in this Section 14(c)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- 15 -</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272" w:lineRule="exact"/>
        <w:rPr>
          <w:sz w:val="20"/>
          <w:szCs w:val="20"/>
          <w:color w:val="auto"/>
        </w:rPr>
      </w:pPr>
    </w:p>
    <w:p>
      <w:pPr>
        <w:ind w:left="619" w:hanging="619"/>
        <w:spacing w:after="0"/>
        <w:tabs>
          <w:tab w:leader="none" w:pos="619"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left="-621" w:firstLine="1239"/>
        <w:spacing w:after="0" w:line="252" w:lineRule="auto"/>
        <w:tabs>
          <w:tab w:leader="none" w:pos="1230"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Requirements</w:t>
      </w:r>
      <w:r>
        <w:rPr>
          <w:rFonts w:ascii="Times New Roman" w:cs="Times New Roman" w:eastAsia="Times New Roman" w:hAnsi="Times New Roman"/>
          <w:sz w:val="21"/>
          <w:szCs w:val="21"/>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U.S. federal, state, or local taxes, non-U.S. taxes, or other taxes (including the Participant’s FICA or other social insurance contribution obligation) required to be withheld with respect to such Award (or exercise thereof).</w:t>
      </w:r>
    </w:p>
    <w:p>
      <w:pPr>
        <w:spacing w:after="0" w:line="71" w:lineRule="exact"/>
        <w:rPr>
          <w:rFonts w:ascii="Times New Roman" w:cs="Times New Roman" w:eastAsia="Times New Roman" w:hAnsi="Times New Roman"/>
          <w:sz w:val="21"/>
          <w:szCs w:val="21"/>
          <w:color w:val="auto"/>
        </w:rPr>
      </w:pPr>
    </w:p>
    <w:p>
      <w:pPr>
        <w:jc w:val="both"/>
        <w:ind w:left="-621" w:firstLine="1239"/>
        <w:spacing w:after="0" w:line="247" w:lineRule="auto"/>
        <w:tabs>
          <w:tab w:leader="none" w:pos="1229"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Arrangements</w:t>
      </w:r>
      <w:r>
        <w:rPr>
          <w:rFonts w:ascii="Times New Roman" w:cs="Times New Roman" w:eastAsia="Times New Roman" w:hAnsi="Times New Roman"/>
          <w:sz w:val="21"/>
          <w:szCs w:val="21"/>
          <w:color w:val="auto"/>
        </w:rPr>
        <w:t>. The Administrator, in its sole discretion and pursuant to such procedures as it may specify from time to time, may permit a Participant to satisfy such tax withholding obligation, in whole or in part by (without limitation) (i) paying cash, check or other cash equivalents,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(e) any combination of the foregoing methods of payment. The fair market value of the Shares to be withheld or delivered will be determined as of the date that the taxes are required to be withheld.</w:t>
      </w:r>
    </w:p>
    <w:p>
      <w:pPr>
        <w:spacing w:after="0" w:line="95" w:lineRule="exact"/>
        <w:rPr>
          <w:rFonts w:ascii="Times New Roman" w:cs="Times New Roman" w:eastAsia="Times New Roman" w:hAnsi="Times New Roman"/>
          <w:sz w:val="21"/>
          <w:szCs w:val="21"/>
          <w:color w:val="auto"/>
        </w:rPr>
      </w:pPr>
    </w:p>
    <w:p>
      <w:pPr>
        <w:jc w:val="both"/>
        <w:ind w:left="-621" w:firstLine="1239"/>
        <w:spacing w:after="0" w:line="247" w:lineRule="auto"/>
        <w:tabs>
          <w:tab w:leader="none" w:pos="1230"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Section 409A</w:t>
      </w:r>
      <w:r>
        <w:rPr>
          <w:rFonts w:ascii="Times New Roman" w:cs="Times New Roman" w:eastAsia="Times New Roman" w:hAnsi="Times New Roman"/>
          <w:sz w:val="21"/>
          <w:szCs w:val="21"/>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obligation under the terms of this Plan to reimburse, indemnify, or hold harmless a Participant for any taxes, interest or penalties imposed, or other costs incurred, as a result of Section 409A.</w:t>
      </w:r>
    </w:p>
    <w:p>
      <w:pPr>
        <w:spacing w:after="0" w:line="77" w:lineRule="exact"/>
        <w:rPr>
          <w:rFonts w:ascii="Times New Roman" w:cs="Times New Roman" w:eastAsia="Times New Roman" w:hAnsi="Times New Roman"/>
          <w:sz w:val="21"/>
          <w:szCs w:val="21"/>
          <w:color w:val="auto"/>
        </w:rPr>
      </w:pPr>
    </w:p>
    <w:p>
      <w:pPr>
        <w:jc w:val="both"/>
        <w:ind w:left="-621" w:firstLine="621"/>
        <w:spacing w:after="0" w:line="256" w:lineRule="auto"/>
        <w:tabs>
          <w:tab w:leader="none" w:pos="615"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Effect on Employment or Service</w:t>
      </w:r>
      <w:r>
        <w:rPr>
          <w:rFonts w:ascii="Times New Roman" w:cs="Times New Roman" w:eastAsia="Times New Roman" w:hAnsi="Times New Roman"/>
          <w:sz w:val="21"/>
          <w:szCs w:val="21"/>
          <w:color w:val="auto"/>
        </w:rPr>
        <w:t>. Neither the Plan nor any Award will confer upon a Participant any right with respect to continuing the Participant’s relationship as a Service Provider, nor will they interfere in any way with the Participant’s right or the right of the Company (or any Parent or Subsidiary of the Company) to terminate such relationship at any time, with or without cause, to the extent permitted by Applicable Laws.</w:t>
      </w:r>
    </w:p>
    <w:p>
      <w:pPr>
        <w:spacing w:after="0" w:line="64" w:lineRule="exact"/>
        <w:rPr>
          <w:rFonts w:ascii="Times New Roman" w:cs="Times New Roman" w:eastAsia="Times New Roman" w:hAnsi="Times New Roman"/>
          <w:sz w:val="21"/>
          <w:szCs w:val="21"/>
          <w:color w:val="auto"/>
        </w:rPr>
      </w:pPr>
    </w:p>
    <w:p>
      <w:pPr>
        <w:ind w:left="-621" w:firstLine="621"/>
        <w:spacing w:after="0" w:line="269" w:lineRule="auto"/>
        <w:tabs>
          <w:tab w:leader="none" w:pos="615"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The date of grant of an Award will be, for all purposes, the date on which the Administrator makes the determination granting such Award, or such other later date as is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2" w:lineRule="exact"/>
        <w:rPr>
          <w:rFonts w:ascii="Times New Roman" w:cs="Times New Roman" w:eastAsia="Times New Roman" w:hAnsi="Times New Roman"/>
          <w:sz w:val="21"/>
          <w:szCs w:val="21"/>
          <w:color w:val="auto"/>
        </w:rPr>
      </w:pPr>
    </w:p>
    <w:p>
      <w:pPr>
        <w:ind w:left="4899" w:hanging="119"/>
        <w:spacing w:after="0"/>
        <w:tabs>
          <w:tab w:leader="none" w:pos="4899" w:val="left"/>
        </w:tabs>
        <w:numPr>
          <w:ilvl w:val="2"/>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16 -</w:t>
      </w:r>
    </w:p>
    <w:p>
      <w:pPr>
        <w:sectPr>
          <w:pgSz w:w="11900" w:h="16838" w:orient="portrait"/>
          <w:cols w:equalWidth="0" w:num="1">
            <w:col w:w="10619"/>
          </w:cols>
          <w:pgMar w:left="941" w:top="1440" w:right="339" w:bottom="1440" w:gutter="0" w:footer="0" w:header="0"/>
        </w:sectPr>
      </w:pPr>
    </w:p>
    <w:bookmarkStart w:id="232" w:name="page233"/>
    <w:bookmarkEnd w:id="232"/>
    <w:p>
      <w:pPr>
        <w:spacing w:after="0" w:line="27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determined by the Administrator. Notice of the determination will be provided to each Participant within a reasonable time after the date of such grant.</w:t>
      </w:r>
    </w:p>
    <w:p>
      <w:pPr>
        <w:spacing w:after="0" w:line="64" w:lineRule="exact"/>
        <w:rPr>
          <w:sz w:val="20"/>
          <w:szCs w:val="20"/>
          <w:color w:val="auto"/>
        </w:rPr>
      </w:pPr>
    </w:p>
    <w:p>
      <w:pPr>
        <w:ind w:firstLine="621"/>
        <w:spacing w:after="0" w:line="269" w:lineRule="auto"/>
        <w:tabs>
          <w:tab w:leader="none" w:pos="1236"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Plan</w:t>
      </w:r>
      <w:r>
        <w:rPr>
          <w:rFonts w:ascii="Times New Roman" w:cs="Times New Roman" w:eastAsia="Times New Roman" w:hAnsi="Times New Roman"/>
          <w:sz w:val="21"/>
          <w:szCs w:val="21"/>
          <w:color w:val="auto"/>
        </w:rPr>
        <w:t>. The Plan will become effective upon its adoption by the Board. The Plan will continue in effect until terminated under Section 19 of the Plan.</w:t>
      </w:r>
    </w:p>
    <w:p>
      <w:pPr>
        <w:spacing w:after="0" w:line="51"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Termination of the Plan</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Termination</w:t>
      </w:r>
      <w:r>
        <w:rPr>
          <w:rFonts w:ascii="Times New Roman" w:cs="Times New Roman" w:eastAsia="Times New Roman" w:hAnsi="Times New Roman"/>
          <w:sz w:val="21"/>
          <w:szCs w:val="21"/>
          <w:color w:val="auto"/>
        </w:rPr>
        <w:t>. The Administrator may at any time amend, alter, suspend or terminate the Plan.</w:t>
      </w:r>
    </w:p>
    <w:p>
      <w:pPr>
        <w:spacing w:after="0" w:line="106" w:lineRule="exact"/>
        <w:rPr>
          <w:rFonts w:ascii="Times New Roman" w:cs="Times New Roman" w:eastAsia="Times New Roman" w:hAnsi="Times New Roman"/>
          <w:sz w:val="21"/>
          <w:szCs w:val="21"/>
          <w:color w:val="auto"/>
        </w:rPr>
      </w:pPr>
    </w:p>
    <w:p>
      <w:pPr>
        <w:jc w:val="both"/>
        <w:ind w:firstLine="1239"/>
        <w:spacing w:after="0" w:line="252" w:lineRule="auto"/>
        <w:tabs>
          <w:tab w:leader="none" w:pos="1850"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Amendment or Termination</w:t>
      </w:r>
      <w:r>
        <w:rPr>
          <w:rFonts w:ascii="Times New Roman" w:cs="Times New Roman" w:eastAsia="Times New Roman" w:hAnsi="Times New Roman"/>
          <w:sz w:val="21"/>
          <w:szCs w:val="21"/>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71"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Upon Issuance of Shares</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1239"/>
        <w:spacing w:after="0" w:line="262" w:lineRule="auto"/>
        <w:tabs>
          <w:tab w:leader="none" w:pos="1851"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Compliance</w:t>
      </w:r>
      <w:r>
        <w:rPr>
          <w:rFonts w:ascii="Times New Roman" w:cs="Times New Roman" w:eastAsia="Times New Roman" w:hAnsi="Times New Roman"/>
          <w:sz w:val="21"/>
          <w:szCs w:val="21"/>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59" w:lineRule="exact"/>
        <w:rPr>
          <w:rFonts w:ascii="Times New Roman" w:cs="Times New Roman" w:eastAsia="Times New Roman" w:hAnsi="Times New Roman"/>
          <w:sz w:val="21"/>
          <w:szCs w:val="21"/>
          <w:color w:val="auto"/>
        </w:rPr>
      </w:pPr>
    </w:p>
    <w:p>
      <w:pPr>
        <w:jc w:val="both"/>
        <w:ind w:firstLine="1239"/>
        <w:spacing w:after="0" w:line="256" w:lineRule="auto"/>
        <w:tabs>
          <w:tab w:leader="none" w:pos="1850"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Investment Representations</w:t>
      </w:r>
      <w:r>
        <w:rPr>
          <w:rFonts w:ascii="Times New Roman" w:cs="Times New Roman" w:eastAsia="Times New Roman" w:hAnsi="Times New Roman"/>
          <w:sz w:val="21"/>
          <w:szCs w:val="21"/>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64" w:lineRule="exact"/>
        <w:rPr>
          <w:rFonts w:ascii="Times New Roman" w:cs="Times New Roman" w:eastAsia="Times New Roman" w:hAnsi="Times New Roman"/>
          <w:sz w:val="21"/>
          <w:szCs w:val="21"/>
          <w:color w:val="auto"/>
        </w:rPr>
      </w:pPr>
    </w:p>
    <w:p>
      <w:pPr>
        <w:jc w:val="both"/>
        <w:ind w:firstLine="621"/>
        <w:spacing w:after="0" w:line="249" w:lineRule="auto"/>
        <w:tabs>
          <w:tab w:leader="none" w:pos="1236"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Inability to Obtain Authority</w:t>
      </w:r>
      <w:r>
        <w:rPr>
          <w:rFonts w:ascii="Times New Roman" w:cs="Times New Roman" w:eastAsia="Times New Roman" w:hAnsi="Times New Roman"/>
          <w:sz w:val="21"/>
          <w:szCs w:val="21"/>
          <w:color w:val="auto"/>
        </w:rPr>
        <w:t>. If the Company determines it to be impossible or impractical to obtain authority from any regulatory body having jurisdiction or to complete or comply with the requirements of any registration or other qualification of the Shares under any U.S. federal or state law, any non-U.S. law, or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74"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Events</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1239"/>
        <w:spacing w:after="0" w:line="252" w:lineRule="auto"/>
        <w:tabs>
          <w:tab w:leader="none" w:pos="1851"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Awards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63" w:lineRule="exact"/>
        <w:rPr>
          <w:rFonts w:ascii="Times New Roman" w:cs="Times New Roman" w:eastAsia="Times New Roman" w:hAnsi="Times New Roman"/>
          <w:sz w:val="21"/>
          <w:szCs w:val="21"/>
          <w:color w:val="auto"/>
        </w:rPr>
      </w:pPr>
    </w:p>
    <w:p>
      <w:pPr>
        <w:ind w:left="5520" w:hanging="119"/>
        <w:spacing w:after="0"/>
        <w:tabs>
          <w:tab w:leader="none" w:pos="5520" w:val="left"/>
        </w:tabs>
        <w:numPr>
          <w:ilvl w:val="2"/>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17 -</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reacquisition right regarding previously acquired Shares or other cash or property. Unless this Section 22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or Parent of the Company.</w:t>
      </w:r>
    </w:p>
    <w:p>
      <w:pPr>
        <w:spacing w:after="0" w:line="64" w:lineRule="exact"/>
        <w:rPr>
          <w:sz w:val="20"/>
          <w:szCs w:val="20"/>
          <w:color w:val="auto"/>
        </w:rPr>
      </w:pPr>
    </w:p>
    <w:p>
      <w:pPr>
        <w:jc w:val="both"/>
        <w:ind w:firstLine="1239"/>
        <w:spacing w:after="0" w:line="268" w:lineRule="auto"/>
        <w:tabs>
          <w:tab w:leader="none" w:pos="185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ind w:left="5520" w:hanging="119"/>
        <w:spacing w:after="0"/>
        <w:tabs>
          <w:tab w:leader="none" w:pos="5520"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18 -</w:t>
      </w:r>
    </w:p>
    <w:p>
      <w:pPr>
        <w:sectPr>
          <w:pgSz w:w="11900" w:h="16838" w:orient="portrait"/>
          <w:cols w:equalWidth="0" w:num="1">
            <w:col w:w="11240"/>
          </w:cols>
          <w:pgMar w:left="320" w:top="1440" w:right="339" w:bottom="1440" w:gutter="0" w:footer="0" w:header="0"/>
        </w:sectPr>
      </w:pPr>
    </w:p>
    <w:bookmarkStart w:id="234" w:name="page235"/>
    <w:bookmarkEnd w:id="234"/>
    <w:p>
      <w:pPr>
        <w:ind w:left="10080"/>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WHITEHAWK THERAPEUTICS,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2023 INDUCEMENT EQUITY INCENTIVE PLAN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STOCK OPTION AGREEMENT</w:t>
      </w:r>
    </w:p>
    <w:p>
      <w:pPr>
        <w:spacing w:after="0" w:line="187"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 xml:space="preserve">Unless otherwise defined herein, the terms defined in the Whitehawk Therapetutics, Inc. 2023 Inducement Equity Incentive Plan (the “Plan”) will have the same defined meanings in this Stock Option Agreement which includes the Notice of Stock Option Grant, the Terms and Conditions of Stock Option Grant,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and all appendices and exhibits attached thereto (all together, the “Option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NOTICE OF STOCK OPTION GRANT</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Address:</w:t>
      </w:r>
    </w:p>
    <w:p>
      <w:pPr>
        <w:spacing w:after="0" w:line="200" w:lineRule="exact"/>
        <w:rPr>
          <w:sz w:val="20"/>
          <w:szCs w:val="20"/>
          <w:color w:val="auto"/>
        </w:rPr>
      </w:pPr>
    </w:p>
    <w:p>
      <w:pPr>
        <w:spacing w:after="0" w:line="271"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The undersigned Participant has been granted an Option to purchase Common Stock of Whitehawk Therapeutics, Inc. (the “Company”), subject to the terms and conditions of the Plan and this Option Agreement, as follows:</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1280795</wp:posOffset>
            </wp:positionH>
            <wp:positionV relativeFrom="paragraph">
              <wp:posOffset>-13970</wp:posOffset>
            </wp:positionV>
            <wp:extent cx="1308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-13970</wp:posOffset>
            </wp:positionV>
            <wp:extent cx="1308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Number of 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-13970</wp:posOffset>
            </wp:positionV>
            <wp:extent cx="13081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-13970</wp:posOffset>
            </wp:positionV>
            <wp:extent cx="1308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1612900</wp:posOffset>
            </wp:positionH>
            <wp:positionV relativeFrom="paragraph">
              <wp:posOffset>-13970</wp:posOffset>
            </wp:positionV>
            <wp:extent cx="13081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89" w:lineRule="exact"/>
        <w:rPr>
          <w:sz w:val="20"/>
          <w:szCs w:val="20"/>
          <w:color w:val="auto"/>
        </w:rPr>
      </w:pPr>
    </w:p>
    <w:p>
      <w:pPr>
        <w:ind w:left="620"/>
        <w:spacing w:after="0"/>
        <w:tabs>
          <w:tab w:leader="none" w:pos="2120" w:val="left"/>
        </w:tabs>
        <w:rPr>
          <w:sz w:val="20"/>
          <w:szCs w:val="20"/>
          <w:color w:val="auto"/>
        </w:rPr>
      </w:pPr>
      <w:r>
        <w:rPr>
          <w:rFonts w:ascii="Times New Roman" w:cs="Times New Roman" w:eastAsia="Times New Roman" w:hAnsi="Times New Roman"/>
          <w:sz w:val="21"/>
          <w:szCs w:val="21"/>
          <w:color w:val="auto"/>
        </w:rPr>
        <w:t>Type of Option:</w:t>
      </w:r>
      <w:r>
        <w:rPr>
          <w:sz w:val="20"/>
          <w:szCs w:val="20"/>
          <w:color w:val="auto"/>
        </w:rPr>
        <w:tab/>
      </w:r>
      <w:r>
        <w:rPr>
          <w:rFonts w:ascii="Times New Roman" w:cs="Times New Roman" w:eastAsia="Times New Roman" w:hAnsi="Times New Roman"/>
          <w:sz w:val="20"/>
          <w:szCs w:val="20"/>
          <w:color w:val="auto"/>
        </w:rPr>
        <w:t>Nonstatutory Stock Option</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Term/Expiration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-13970</wp:posOffset>
            </wp:positionV>
            <wp:extent cx="1308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Subject to any accelerated vesting as set forth below or in the Plan, this Option will be scheduled to vest in accordance with the following schedule:</w:t>
      </w:r>
    </w:p>
    <w:p>
      <w:pPr>
        <w:spacing w:after="0" w:line="154"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color w:val="auto"/>
        </w:rPr>
        <w:t>[Twenty-five percent (25%) of the Shares subject to the Option will be scheduled to vest on the one (1) year anniversary of the Vesting Commencement Date, and one forty-eighth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of the Shares subject to the Option will be scheduled to vest each month thereafter on the same day of the month as the Vesting Commencement Date (and if there is no corresponding day, on the last day of the month), subject to Participant continuing to be a Service Provider through each such date.]</w:t>
      </w:r>
    </w:p>
    <w:p>
      <w:pPr>
        <w:sectPr>
          <w:pgSz w:w="11900" w:h="16838" w:orient="portrait"/>
          <w:cols w:equalWidth="0" w:num="1">
            <w:col w:w="11240"/>
          </w:cols>
          <w:pgMar w:left="320" w:top="110" w:right="339" w:bottom="1440" w:gutter="0" w:footer="0" w:header="0"/>
        </w:sectPr>
      </w:pPr>
    </w:p>
    <w:bookmarkStart w:id="235" w:name="page236"/>
    <w:bookmarkEnd w:id="235"/>
    <w:p>
      <w:pPr>
        <w:spacing w:after="0" w:line="400"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21"/>
          <w:szCs w:val="21"/>
          <w:color w:val="auto"/>
        </w:rPr>
        <w:t>Notwithstanding the foregoing, the vesting of the Option shall be subject to any vesting acceleration provisions applicable to the Option contained in any employment or service agreement, offer letter, change in control severance agreement, change of control severance policy, or any other agreement that, prior to and effective as of the date of this Option Agreement, has been entered into between Participant and the Company or any parent or subsidiary corporation of the Company (such agreement, a “Separate Agreement”) to the extent not otherwise duplicative of the vesting terms described above.</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Termination Period</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21"/>
          <w:szCs w:val="21"/>
          <w:color w:val="auto"/>
        </w:rPr>
        <w:t>In the event of cessation of Participant’s status as a Service Provider, this Option will be exercisable, to the extent vested, for a period of three (3) months after Participant ceases to be a Service Provider, unless such termination is due to Participant’s death or Disability, in which case this Option will be exercisable, to the extent vested, for a period of twelve (12) months after Participant ceases to be a Service Provider. Notwithstanding the foregoing sentence, in no event may this Option be exercised after the Term/Expiration Date as provided above and may be subject to earlier termination as provided in Section 14 of the Plan.</w:t>
      </w:r>
    </w:p>
    <w:p>
      <w:pPr>
        <w:spacing w:after="0" w:line="174"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this Option Agreement. Participant hereby agrees to accept as binding, conclusive, and final all decisions or interpretations of the Administrator upon any questions relating to the Plan and the Option Agreement. Participant further agrees to notify the Company upon any change in the residence address indicated below.</w:t>
      </w:r>
    </w:p>
    <w:p>
      <w:pPr>
        <w:spacing w:after="0" w:line="200" w:lineRule="exact"/>
        <w:rPr>
          <w:sz w:val="20"/>
          <w:szCs w:val="20"/>
          <w:color w:val="auto"/>
        </w:rPr>
      </w:pPr>
    </w:p>
    <w:p>
      <w:pPr>
        <w:spacing w:after="0" w:line="21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1"/>
          <w:szCs w:val="21"/>
          <w:color w:val="auto"/>
        </w:rPr>
        <w:t>PARTICIPANT</w:t>
      </w:r>
      <w:r>
        <w:rPr>
          <w:sz w:val="20"/>
          <w:szCs w:val="20"/>
          <w:color w:val="auto"/>
        </w:rPr>
        <w:tab/>
      </w:r>
      <w:r>
        <w:rPr>
          <w:rFonts w:ascii="Times New Roman" w:cs="Times New Roman" w:eastAsia="Times New Roman" w:hAnsi="Times New Roman"/>
          <w:sz w:val="21"/>
          <w:szCs w:val="21"/>
          <w:color w:val="auto"/>
        </w:rPr>
        <w:t>WHITEHAWK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533400</wp:posOffset>
            </wp:positionV>
            <wp:extent cx="1308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533400</wp:posOffset>
            </wp:positionV>
            <wp:extent cx="1308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206375</wp:posOffset>
            </wp:positionV>
            <wp:extent cx="1308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206375</wp:posOffset>
            </wp:positionV>
            <wp:extent cx="1308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33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1"/>
          <w:szCs w:val="21"/>
          <w:color w:val="auto"/>
        </w:rPr>
        <w:t>Print Name</w:t>
      </w:r>
      <w:r>
        <w:rPr>
          <w:sz w:val="20"/>
          <w:szCs w:val="20"/>
          <w:color w:val="auto"/>
        </w:rPr>
        <w:tab/>
      </w: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214630</wp:posOffset>
            </wp:positionV>
            <wp:extent cx="1308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344" w:lineRule="exact"/>
        <w:rPr>
          <w:sz w:val="20"/>
          <w:szCs w:val="20"/>
          <w:color w:val="auto"/>
        </w:rPr>
      </w:pPr>
    </w:p>
    <w:p>
      <w:pPr>
        <w:jc w:val="right"/>
        <w:ind w:right="10440"/>
        <w:spacing w:after="0"/>
        <w:rPr>
          <w:sz w:val="20"/>
          <w:szCs w:val="20"/>
          <w:color w:val="auto"/>
        </w:rPr>
      </w:pPr>
      <w:r>
        <w:rPr>
          <w:rFonts w:ascii="Times New Roman" w:cs="Times New Roman" w:eastAsia="Times New Roman" w:hAnsi="Times New Roman"/>
          <w:sz w:val="21"/>
          <w:szCs w:val="21"/>
          <w:color w:val="auto"/>
        </w:rPr>
        <w:t>Title</w:t>
      </w:r>
    </w:p>
    <w:p>
      <w:pPr>
        <w:spacing w:after="0" w:line="25" w:lineRule="exact"/>
        <w:rPr>
          <w:sz w:val="20"/>
          <w:szCs w:val="20"/>
          <w:color w:val="auto"/>
        </w:rPr>
      </w:pPr>
    </w:p>
    <w:p>
      <w:pPr>
        <w:jc w:val="right"/>
        <w:ind w:right="1050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13081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420370</wp:posOffset>
            </wp:positionV>
            <wp:extent cx="13081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- 2 -</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WHITEHAWK THERAPEUTICS, INC.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2023 INDUCEMENT EQUITY INCENTIVE PLAN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TERMS AND CONDITIONS OF STOCK OPTION GRANT</w:t>
      </w:r>
    </w:p>
    <w:p>
      <w:pPr>
        <w:spacing w:after="0" w:line="187" w:lineRule="exact"/>
        <w:rPr>
          <w:sz w:val="20"/>
          <w:szCs w:val="20"/>
          <w:color w:val="auto"/>
        </w:rPr>
      </w:pPr>
    </w:p>
    <w:p>
      <w:pPr>
        <w:ind w:left="1240" w:hanging="619"/>
        <w:spacing w:after="0"/>
        <w:tabs>
          <w:tab w:leader="none" w:pos="124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Option</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239"/>
        <w:spacing w:after="0" w:line="214" w:lineRule="auto"/>
        <w:tabs>
          <w:tab w:leader="none" w:pos="1851"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hereby grants to the individual (“Participant”) named in the Notice of Stock Option Grant of this Option Agreement (the “Notice of Grant”) an option (the “Option”) to purchase the number of Shares set forth in the Notice of Grant, at the exercise price per Share set forth in the Notice of Grant (the “Exercise Price”), subject to all of the terms and conditions in this Option Agreement and the Plan, which is incorporated herein by this reference. Subject to Section 19(c) of the Plan, in the event of a conflict between the terms and conditions of the Plan and the terms and conditions of this Option Agreement, the terms and conditions of the Plan will prevail.</w:t>
      </w:r>
    </w:p>
    <w:p>
      <w:pPr>
        <w:spacing w:after="0" w:line="15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will be designated as a Nonstatutory Stock Option.</w:t>
      </w:r>
    </w:p>
    <w:p>
      <w:pPr>
        <w:spacing w:after="0" w:line="170" w:lineRule="exact"/>
        <w:rPr>
          <w:rFonts w:ascii="Times New Roman" w:cs="Times New Roman" w:eastAsia="Times New Roman" w:hAnsi="Times New Roman"/>
          <w:sz w:val="21"/>
          <w:szCs w:val="21"/>
          <w:color w:val="auto"/>
        </w:rPr>
      </w:pPr>
    </w:p>
    <w:p>
      <w:pPr>
        <w:jc w:val="both"/>
        <w:ind w:firstLine="621"/>
        <w:spacing w:after="0" w:line="220" w:lineRule="auto"/>
        <w:tabs>
          <w:tab w:leader="none" w:pos="1236"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 Except as provided in Section 3, the Option awarded by this Option Agreement will vest in accordance with the vesting provisions set forth in the Notice of Grant. Shares scheduled to vest on a certain date or upon the occurrence of a certain condition will not vest in Participant in accordance with any of the provisions of this Option Agreement, unless Participant will have been continuously a Service Provider from the Date of Grant until the date such vesting occurs.</w:t>
      </w:r>
    </w:p>
    <w:p>
      <w:pPr>
        <w:spacing w:after="0" w:line="144" w:lineRule="exact"/>
        <w:rPr>
          <w:rFonts w:ascii="Times New Roman" w:cs="Times New Roman" w:eastAsia="Times New Roman" w:hAnsi="Times New Roman"/>
          <w:sz w:val="21"/>
          <w:szCs w:val="21"/>
          <w:color w:val="auto"/>
        </w:rPr>
      </w:pPr>
    </w:p>
    <w:p>
      <w:pPr>
        <w:jc w:val="both"/>
        <w:ind w:firstLine="621"/>
        <w:spacing w:after="0" w:line="225" w:lineRule="auto"/>
        <w:tabs>
          <w:tab w:leader="none" w:pos="1236"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Administrator Discretion</w:t>
      </w:r>
      <w:r>
        <w:rPr>
          <w:rFonts w:ascii="Times New Roman" w:cs="Times New Roman" w:eastAsia="Times New Roman" w:hAnsi="Times New Roman"/>
          <w:sz w:val="21"/>
          <w:szCs w:val="21"/>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44"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239"/>
        <w:spacing w:after="0" w:line="225" w:lineRule="auto"/>
        <w:tabs>
          <w:tab w:leader="none" w:pos="1851"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Exercise</w:t>
      </w:r>
      <w:r>
        <w:rPr>
          <w:rFonts w:ascii="Times New Roman" w:cs="Times New Roman" w:eastAsia="Times New Roman" w:hAnsi="Times New Roman"/>
          <w:sz w:val="21"/>
          <w:szCs w:val="21"/>
          <w:color w:val="auto"/>
        </w:rPr>
        <w:t>. This Option may be exercised only within the term set out in the Notice of Grant, and may be exercised during such term only in accordance with the Vesting Schedule set out in the Notice of Option Grant and with the applicable provisions of the Plan and the terms of this Option Agreement.</w:t>
      </w:r>
    </w:p>
    <w:p>
      <w:pPr>
        <w:spacing w:after="0" w:line="144" w:lineRule="exact"/>
        <w:rPr>
          <w:rFonts w:ascii="Times New Roman" w:cs="Times New Roman" w:eastAsia="Times New Roman" w:hAnsi="Times New Roman"/>
          <w:sz w:val="21"/>
          <w:szCs w:val="21"/>
          <w:color w:val="auto"/>
        </w:rPr>
      </w:pPr>
    </w:p>
    <w:p>
      <w:pPr>
        <w:jc w:val="both"/>
        <w:ind w:firstLine="1239"/>
        <w:spacing w:after="0" w:line="212" w:lineRule="auto"/>
        <w:tabs>
          <w:tab w:leader="none" w:pos="1850"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Method of Exercise</w:t>
      </w:r>
      <w:r>
        <w:rPr>
          <w:rFonts w:ascii="Times New Roman" w:cs="Times New Roman" w:eastAsia="Times New Roman" w:hAnsi="Times New Roman"/>
          <w:sz w:val="21"/>
          <w:szCs w:val="21"/>
          <w:color w:val="auto"/>
        </w:rPr>
        <w:t xml:space="preserve">. This Option is exercisable by delivery of an exercise notice (the “Exercise Notice”) in the form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to the Notice of Grant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and of any Tax Obligations (as defined in Section 8(a)). This Option will be deemed to be exercised upon receipt by the Company of such fully executed Exercise Notice accompanied by the aggregate Exercise Price, together with any applicable Tax Obligations.</w:t>
      </w:r>
    </w:p>
    <w:p>
      <w:pPr>
        <w:spacing w:after="0" w:line="147" w:lineRule="exact"/>
        <w:rPr>
          <w:rFonts w:ascii="Times New Roman" w:cs="Times New Roman" w:eastAsia="Times New Roman" w:hAnsi="Times New Roman"/>
          <w:sz w:val="21"/>
          <w:szCs w:val="21"/>
          <w:color w:val="auto"/>
        </w:rPr>
      </w:pPr>
    </w:p>
    <w:p>
      <w:pPr>
        <w:ind w:firstLine="621"/>
        <w:spacing w:after="0" w:line="235" w:lineRule="auto"/>
        <w:tabs>
          <w:tab w:leader="none" w:pos="1236"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Method of Payment</w:t>
      </w:r>
      <w:r>
        <w:rPr>
          <w:rFonts w:ascii="Times New Roman" w:cs="Times New Roman" w:eastAsia="Times New Roman" w:hAnsi="Times New Roman"/>
          <w:sz w:val="21"/>
          <w:szCs w:val="21"/>
          <w:color w:val="auto"/>
        </w:rPr>
        <w:t>. Payment of the aggregate Exercise Price will be by any of the following, or a combination thereof, at the election of Participant:</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00" w:lineRule="exact"/>
        <w:rPr>
          <w:sz w:val="20"/>
          <w:szCs w:val="20"/>
          <w:color w:val="auto"/>
        </w:rPr>
      </w:pPr>
    </w:p>
    <w:p>
      <w:pPr>
        <w:spacing w:after="0" w:line="355" w:lineRule="exact"/>
        <w:rPr>
          <w:sz w:val="20"/>
          <w:szCs w:val="20"/>
          <w:color w:val="auto"/>
        </w:rPr>
      </w:pPr>
    </w:p>
    <w:p>
      <w:pPr>
        <w:ind w:left="1860" w:hanging="621"/>
        <w:spacing w:after="0"/>
        <w:tabs>
          <w:tab w:leader="none" w:pos="186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w:t>
      </w:r>
    </w:p>
    <w:p>
      <w:pPr>
        <w:spacing w:after="0" w:line="170" w:lineRule="exact"/>
        <w:rPr>
          <w:rFonts w:ascii="Times New Roman" w:cs="Times New Roman" w:eastAsia="Times New Roman" w:hAnsi="Times New Roman"/>
          <w:sz w:val="21"/>
          <w:szCs w:val="21"/>
          <w:color w:val="auto"/>
        </w:rPr>
      </w:pPr>
    </w:p>
    <w:p>
      <w:pPr>
        <w:ind w:firstLine="1239"/>
        <w:spacing w:after="0" w:line="235" w:lineRule="auto"/>
        <w:tabs>
          <w:tab w:leader="none" w:pos="1851"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consideration received by the Company under a formal cashless exercise program adopted by the Company in connection with the Plan; or</w:t>
      </w:r>
    </w:p>
    <w:p>
      <w:pPr>
        <w:spacing w:after="0" w:line="145" w:lineRule="exact"/>
        <w:rPr>
          <w:rFonts w:ascii="Times New Roman" w:cs="Times New Roman" w:eastAsia="Times New Roman" w:hAnsi="Times New Roman"/>
          <w:sz w:val="21"/>
          <w:szCs w:val="21"/>
          <w:color w:val="auto"/>
        </w:rPr>
      </w:pPr>
    </w:p>
    <w:p>
      <w:pPr>
        <w:jc w:val="both"/>
        <w:ind w:firstLine="1239"/>
        <w:spacing w:after="0" w:line="220" w:lineRule="auto"/>
        <w:tabs>
          <w:tab w:leader="none" w:pos="185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Participant is a U.S. employee, surrender of other Shares which have a Fair Market Value on the date of surrender equal to the aggregate Exercise Price of the Exercised Shares and that are owned free and clear of any liens, claims, encumbrances, or security interests, provided that accepting such Shares, in the sole discretion of the Administrator, will not result in any adverse accounting consequences to the Company.</w:t>
      </w:r>
    </w:p>
    <w:p>
      <w:pPr>
        <w:spacing w:after="0" w:line="145" w:lineRule="exact"/>
        <w:rPr>
          <w:sz w:val="20"/>
          <w:szCs w:val="20"/>
          <w:color w:val="auto"/>
        </w:rPr>
      </w:pPr>
    </w:p>
    <w:p>
      <w:pPr>
        <w:ind w:firstLine="287"/>
        <w:spacing w:after="0" w:line="235" w:lineRule="auto"/>
        <w:rPr>
          <w:sz w:val="20"/>
          <w:szCs w:val="20"/>
          <w:color w:val="auto"/>
        </w:rPr>
      </w:pPr>
      <w:r>
        <w:rPr>
          <w:rFonts w:ascii="Times New Roman" w:cs="Times New Roman" w:eastAsia="Times New Roman" w:hAnsi="Times New Roman"/>
          <w:sz w:val="21"/>
          <w:szCs w:val="21"/>
          <w:color w:val="auto"/>
        </w:rPr>
        <w:t>A non-U.S. resident’s methods of exercise may be restricted by the terms and conditions of any appendix to this Agreement for Participant’s country (including the Country Addendum, as defined below).</w:t>
      </w:r>
    </w:p>
    <w:p>
      <w:pPr>
        <w:spacing w:after="0" w:line="145" w:lineRule="exact"/>
        <w:rPr>
          <w:sz w:val="20"/>
          <w:szCs w:val="20"/>
          <w:color w:val="auto"/>
        </w:rPr>
      </w:pPr>
    </w:p>
    <w:p>
      <w:pPr>
        <w:ind w:firstLine="621"/>
        <w:spacing w:after="0" w:line="235" w:lineRule="auto"/>
        <w:tabs>
          <w:tab w:leader="none" w:pos="1236"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Non-Transferability of Option</w:t>
      </w:r>
      <w:r>
        <w:rPr>
          <w:rFonts w:ascii="Times New Roman" w:cs="Times New Roman" w:eastAsia="Times New Roman" w:hAnsi="Times New Roman"/>
          <w:sz w:val="21"/>
          <w:szCs w:val="21"/>
          <w:color w:val="auto"/>
        </w:rPr>
        <w:t>. This Option may not be transferred in any manner otherwise than by will or by the laws of descent or distribution and may be exercised during the lifetime of Participant only by Participant.</w:t>
      </w:r>
    </w:p>
    <w:p>
      <w:pPr>
        <w:spacing w:after="0" w:line="145" w:lineRule="exact"/>
        <w:rPr>
          <w:rFonts w:ascii="Times New Roman" w:cs="Times New Roman" w:eastAsia="Times New Roman" w:hAnsi="Times New Roman"/>
          <w:sz w:val="21"/>
          <w:szCs w:val="21"/>
          <w:color w:val="auto"/>
        </w:rPr>
      </w:pPr>
    </w:p>
    <w:p>
      <w:pPr>
        <w:ind w:firstLine="621"/>
        <w:spacing w:after="0" w:line="235" w:lineRule="auto"/>
        <w:tabs>
          <w:tab w:leader="none" w:pos="1236"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Option</w:t>
      </w:r>
      <w:r>
        <w:rPr>
          <w:rFonts w:ascii="Times New Roman" w:cs="Times New Roman" w:eastAsia="Times New Roman" w:hAnsi="Times New Roman"/>
          <w:sz w:val="21"/>
          <w:szCs w:val="21"/>
          <w:color w:val="auto"/>
        </w:rPr>
        <w:t>. This Option may be exercised only within the term set out in the Notice of Grant, and may be exercised during such term only in accordance with the Plan and the terms of this Option Agreement.</w:t>
      </w:r>
    </w:p>
    <w:p>
      <w:pPr>
        <w:spacing w:after="0" w:line="145"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Obligations</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239"/>
        <w:spacing w:after="0" w:line="207" w:lineRule="auto"/>
        <w:tabs>
          <w:tab w:leader="none" w:pos="1851" w:val="left"/>
        </w:tabs>
        <w:numPr>
          <w:ilvl w:val="2"/>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Responsibility for Taxes</w:t>
      </w:r>
      <w:r>
        <w:rPr>
          <w:rFonts w:ascii="Times New Roman" w:cs="Times New Roman" w:eastAsia="Times New Roman" w:hAnsi="Times New Roman"/>
          <w:sz w:val="21"/>
          <w:szCs w:val="21"/>
          <w:color w:val="auto"/>
        </w:rPr>
        <w:t>. Participant acknowledges that, regardless of any action taken by the Company or, if different, Participant’s employer (the “Employer”) or any Parent or Subsidiary to which Participant is providing services (together, the Company, Employer and/or Parent or Subsidiary to which Participant is providing services, the “Service Recipient”), the ultimate liability for any tax and/or social insurance liability obligations and requirements in connection with the Option,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exercise of the Option or sale of Shares, and (iii) any other Company (or Service Recipient) taxes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72" w:lineRule="exact"/>
        <w:rPr>
          <w:rFonts w:ascii="Times New Roman" w:cs="Times New Roman" w:eastAsia="Times New Roman" w:hAnsi="Times New Roman"/>
          <w:sz w:val="21"/>
          <w:szCs w:val="21"/>
          <w:color w:val="auto"/>
        </w:rPr>
      </w:pPr>
    </w:p>
    <w:p>
      <w:pPr>
        <w:ind w:left="320" w:hanging="120"/>
        <w:spacing w:after="0"/>
        <w:tabs>
          <w:tab w:leader="none" w:pos="32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2 -</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200" w:lineRule="exact"/>
        <w:rPr>
          <w:sz w:val="20"/>
          <w:szCs w:val="20"/>
          <w:color w:val="auto"/>
        </w:rPr>
      </w:pPr>
    </w:p>
    <w:p>
      <w:pPr>
        <w:spacing w:after="0" w:line="35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payment of any required Tax Obligations hereunder at the time of the applicable taxable event, Participant acknowledges and agrees that the Company may refuse to issue or deliver the Shares.</w:t>
      </w:r>
    </w:p>
    <w:p>
      <w:pPr>
        <w:spacing w:after="0" w:line="145" w:lineRule="exact"/>
        <w:rPr>
          <w:sz w:val="20"/>
          <w:szCs w:val="20"/>
          <w:color w:val="auto"/>
        </w:rPr>
      </w:pPr>
    </w:p>
    <w:p>
      <w:pPr>
        <w:jc w:val="both"/>
        <w:ind w:firstLine="1239"/>
        <w:spacing w:after="0" w:line="207" w:lineRule="auto"/>
        <w:tabs>
          <w:tab w:leader="none" w:pos="1850" w:val="left"/>
        </w:tabs>
        <w:numPr>
          <w:ilvl w:val="2"/>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156" w:lineRule="exact"/>
        <w:rPr>
          <w:rFonts w:ascii="Times New Roman" w:cs="Times New Roman" w:eastAsia="Times New Roman" w:hAnsi="Times New Roman"/>
          <w:sz w:val="21"/>
          <w:szCs w:val="21"/>
          <w:color w:val="auto"/>
        </w:rPr>
      </w:pPr>
    </w:p>
    <w:p>
      <w:pPr>
        <w:jc w:val="both"/>
        <w:ind w:firstLine="1239"/>
        <w:spacing w:after="0" w:line="220" w:lineRule="auto"/>
        <w:tabs>
          <w:tab w:leader="none" w:pos="1851" w:val="left"/>
        </w:tabs>
        <w:numPr>
          <w:ilvl w:val="2"/>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an underlying share on the date of grant (a “discount option”) may be considered “deferred compensation.” A stock right that is a “discount option” may result in</w:t>
      </w:r>
    </w:p>
    <w:p>
      <w:pPr>
        <w:spacing w:after="0" w:line="2" w:lineRule="exact"/>
        <w:rPr>
          <w:rFonts w:ascii="Times New Roman" w:cs="Times New Roman" w:eastAsia="Times New Roman" w:hAnsi="Times New Roman"/>
          <w:sz w:val="20"/>
          <w:szCs w:val="20"/>
          <w:color w:val="auto"/>
        </w:rPr>
      </w:pPr>
    </w:p>
    <w:p>
      <w:pPr>
        <w:jc w:val="both"/>
        <w:ind w:firstLine="3"/>
        <w:spacing w:after="0" w:line="209" w:lineRule="auto"/>
        <w:tabs>
          <w:tab w:leader="none" w:pos="252"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income recognition by the recipient of the stock right prior to the exercise of the stock right, (ii) an additional twenty percent (20%) federal income tax, and (iii) potential penalty and interest charges. The “discount option” also may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7" w:lineRule="exact"/>
        <w:rPr>
          <w:rFonts w:ascii="Times New Roman" w:cs="Times New Roman" w:eastAsia="Times New Roman" w:hAnsi="Times New Roman"/>
          <w:sz w:val="21"/>
          <w:szCs w:val="21"/>
          <w:color w:val="auto"/>
        </w:rPr>
      </w:pPr>
    </w:p>
    <w:p>
      <w:pPr>
        <w:ind w:left="320" w:hanging="120"/>
        <w:spacing w:after="0"/>
        <w:tabs>
          <w:tab w:leader="none" w:pos="320"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3 -</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00" w:lineRule="exact"/>
        <w:rPr>
          <w:sz w:val="20"/>
          <w:szCs w:val="20"/>
          <w:color w:val="auto"/>
        </w:rPr>
      </w:pPr>
    </w:p>
    <w:p>
      <w:pPr>
        <w:spacing w:after="0" w:line="355" w:lineRule="exact"/>
        <w:rPr>
          <w:sz w:val="20"/>
          <w:szCs w:val="20"/>
          <w:color w:val="auto"/>
        </w:rPr>
      </w:pPr>
    </w:p>
    <w:p>
      <w:pPr>
        <w:jc w:val="both"/>
        <w:ind w:left="-200" w:firstLine="621"/>
        <w:spacing w:after="0" w:line="214" w:lineRule="auto"/>
        <w:tabs>
          <w:tab w:leader="none" w:pos="1036"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Stockholder</w:t>
      </w:r>
      <w:r>
        <w:rPr>
          <w:rFonts w:ascii="Times New Roman" w:cs="Times New Roman" w:eastAsia="Times New Roman" w:hAnsi="Times New Roman"/>
          <w:sz w:val="21"/>
          <w:szCs w:val="21"/>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50" w:lineRule="exact"/>
        <w:rPr>
          <w:rFonts w:ascii="Times New Roman" w:cs="Times New Roman" w:eastAsia="Times New Roman" w:hAnsi="Times New Roman"/>
          <w:sz w:val="21"/>
          <w:szCs w:val="21"/>
          <w:color w:val="auto"/>
        </w:rPr>
      </w:pPr>
    </w:p>
    <w:p>
      <w:pPr>
        <w:jc w:val="both"/>
        <w:ind w:left="-200" w:firstLine="621"/>
        <w:spacing w:after="0" w:line="217" w:lineRule="auto"/>
        <w:tabs>
          <w:tab w:leader="none" w:pos="1036"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Governing Law</w:t>
      </w:r>
      <w:r>
        <w:rPr>
          <w:rFonts w:ascii="Times New Roman" w:cs="Times New Roman" w:eastAsia="Times New Roman" w:hAnsi="Times New Roman"/>
          <w:sz w:val="21"/>
          <w:szCs w:val="21"/>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California.</w:t>
      </w:r>
    </w:p>
    <w:p>
      <w:pPr>
        <w:spacing w:after="0" w:line="144" w:lineRule="exact"/>
        <w:rPr>
          <w:rFonts w:ascii="Times New Roman" w:cs="Times New Roman" w:eastAsia="Times New Roman" w:hAnsi="Times New Roman"/>
          <w:sz w:val="21"/>
          <w:szCs w:val="21"/>
          <w:color w:val="auto"/>
        </w:rPr>
      </w:pPr>
    </w:p>
    <w:p>
      <w:pPr>
        <w:jc w:val="both"/>
        <w:ind w:left="-200" w:firstLine="621"/>
        <w:spacing w:after="0" w:line="210" w:lineRule="auto"/>
        <w:tabs>
          <w:tab w:leader="none" w:pos="1028"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Guarantee of Continued Service</w:t>
      </w:r>
      <w:r>
        <w:rPr>
          <w:rFonts w:ascii="Times New Roman" w:cs="Times New Roman" w:eastAsia="Times New Roman" w:hAnsi="Times New Roman"/>
          <w:sz w:val="21"/>
          <w:szCs w:val="21"/>
          <w:color w:val="auto"/>
        </w:rPr>
        <w:t>. PARTICIPANT ACKNOWLEDGES AND AGREES THAT THE VESTING OF SHARES PURSUANT TO THE VESTING SCHEDULE HEREOF IS EARNED ONLY BY CONTINUING AS A SERVICE PROVIDER, WHICH UNLESS PROVIDED OTHERWISE UNDER APPLICABLE LAW IS AT THE WILL OF THE COMPANY (OR THE SERVICE RECIPIENT)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148" w:lineRule="exact"/>
        <w:rPr>
          <w:rFonts w:ascii="Times New Roman" w:cs="Times New Roman" w:eastAsia="Times New Roman" w:hAnsi="Times New Roman"/>
          <w:sz w:val="21"/>
          <w:szCs w:val="21"/>
          <w:color w:val="auto"/>
        </w:rPr>
      </w:pPr>
    </w:p>
    <w:p>
      <w:pPr>
        <w:jc w:val="both"/>
        <w:ind w:left="-200" w:firstLine="621"/>
        <w:spacing w:after="0" w:line="220" w:lineRule="auto"/>
        <w:tabs>
          <w:tab w:leader="none" w:pos="1036"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44" w:lineRule="exact"/>
        <w:rPr>
          <w:rFonts w:ascii="Times New Roman" w:cs="Times New Roman" w:eastAsia="Times New Roman" w:hAnsi="Times New Roman"/>
          <w:sz w:val="21"/>
          <w:szCs w:val="21"/>
          <w:color w:val="auto"/>
        </w:rPr>
      </w:pPr>
    </w:p>
    <w:p>
      <w:pPr>
        <w:jc w:val="both"/>
        <w:ind w:left="-200" w:firstLine="621"/>
        <w:spacing w:after="0" w:line="225" w:lineRule="auto"/>
        <w:tabs>
          <w:tab w:leader="none" w:pos="1036"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Address for Notices</w:t>
      </w:r>
      <w:r>
        <w:rPr>
          <w:rFonts w:ascii="Times New Roman" w:cs="Times New Roman" w:eastAsia="Times New Roman" w:hAnsi="Times New Roman"/>
          <w:sz w:val="21"/>
          <w:szCs w:val="21"/>
          <w:color w:val="auto"/>
        </w:rPr>
        <w:t>. Any notice to be given to the Company under the terms of this Option Agreement will be addressed to the Company at Whitehawk Therapeutics, Inc., 2 Headquarters Plaza, East Building, 11th Floor, Morristown, NJ 07960, or at such other address as the Company may hereafter designate in writing.</w:t>
      </w:r>
    </w:p>
    <w:p>
      <w:pPr>
        <w:spacing w:after="0" w:line="144" w:lineRule="exact"/>
        <w:rPr>
          <w:rFonts w:ascii="Times New Roman" w:cs="Times New Roman" w:eastAsia="Times New Roman" w:hAnsi="Times New Roman"/>
          <w:sz w:val="21"/>
          <w:szCs w:val="21"/>
          <w:color w:val="auto"/>
        </w:rPr>
      </w:pPr>
    </w:p>
    <w:p>
      <w:pPr>
        <w:jc w:val="both"/>
        <w:ind w:left="-200" w:firstLine="621"/>
        <w:spacing w:after="0" w:line="217" w:lineRule="auto"/>
        <w:tabs>
          <w:tab w:leader="none" w:pos="1036"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Delivery and Acceptance</w:t>
      </w:r>
      <w:r>
        <w:rPr>
          <w:rFonts w:ascii="Times New Roman" w:cs="Times New Roman" w:eastAsia="Times New Roman" w:hAnsi="Times New Roman"/>
          <w:sz w:val="21"/>
          <w:szCs w:val="21"/>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44" w:lineRule="exact"/>
        <w:rPr>
          <w:rFonts w:ascii="Times New Roman" w:cs="Times New Roman" w:eastAsia="Times New Roman" w:hAnsi="Times New Roman"/>
          <w:sz w:val="21"/>
          <w:szCs w:val="21"/>
          <w:color w:val="auto"/>
        </w:rPr>
      </w:pPr>
    </w:p>
    <w:p>
      <w:pPr>
        <w:ind w:left="-200" w:firstLine="621"/>
        <w:spacing w:after="0" w:line="235" w:lineRule="auto"/>
        <w:tabs>
          <w:tab w:leader="none" w:pos="1036"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Captions</w:t>
      </w:r>
      <w:r>
        <w:rPr>
          <w:rFonts w:ascii="Times New Roman" w:cs="Times New Roman" w:eastAsia="Times New Roman" w:hAnsi="Times New Roman"/>
          <w:sz w:val="21"/>
          <w:szCs w:val="21"/>
          <w:color w:val="auto"/>
        </w:rPr>
        <w:t>. Captions provided herein are for convenience only and are not to serve as a basis for interpretation or construction of this Option Agreement.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6" w:lineRule="exact"/>
        <w:rPr>
          <w:rFonts w:ascii="Times New Roman" w:cs="Times New Roman" w:eastAsia="Times New Roman" w:hAnsi="Times New Roman"/>
          <w:sz w:val="21"/>
          <w:szCs w:val="21"/>
          <w:color w:val="auto"/>
        </w:rPr>
      </w:pPr>
    </w:p>
    <w:p>
      <w:pPr>
        <w:ind w:left="120" w:hanging="120"/>
        <w:spacing w:after="0"/>
        <w:tabs>
          <w:tab w:leader="none" w:pos="12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4 -</w:t>
      </w:r>
    </w:p>
    <w:p>
      <w:pPr>
        <w:sectPr>
          <w:pgSz w:w="11900" w:h="16838" w:orient="portrait"/>
          <w:cols w:equalWidth="0" w:num="1">
            <w:col w:w="11040"/>
          </w:cols>
          <w:pgMar w:left="520" w:top="1440" w:right="339" w:bottom="1440" w:gutter="0" w:footer="0" w:header="0"/>
        </w:sectPr>
      </w:pPr>
    </w:p>
    <w:bookmarkStart w:id="240" w:name="page241"/>
    <w:bookmarkEnd w:id="240"/>
    <w:p>
      <w:pPr>
        <w:spacing w:after="0" w:line="200" w:lineRule="exact"/>
        <w:rPr>
          <w:sz w:val="20"/>
          <w:szCs w:val="20"/>
          <w:color w:val="auto"/>
        </w:rPr>
      </w:pPr>
    </w:p>
    <w:p>
      <w:pPr>
        <w:spacing w:after="0" w:line="355" w:lineRule="exact"/>
        <w:rPr>
          <w:sz w:val="20"/>
          <w:szCs w:val="20"/>
          <w:color w:val="auto"/>
        </w:rPr>
      </w:pPr>
    </w:p>
    <w:p>
      <w:pPr>
        <w:jc w:val="both"/>
        <w:ind w:left="-200" w:firstLine="621"/>
        <w:spacing w:after="0" w:line="225" w:lineRule="auto"/>
        <w:tabs>
          <w:tab w:leader="none" w:pos="1036"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Agreement Severable</w:t>
      </w:r>
      <w:r>
        <w:rPr>
          <w:rFonts w:ascii="Times New Roman" w:cs="Times New Roman" w:eastAsia="Times New Roman" w:hAnsi="Times New Roman"/>
          <w:sz w:val="21"/>
          <w:szCs w:val="21"/>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44" w:lineRule="exact"/>
        <w:rPr>
          <w:rFonts w:ascii="Times New Roman" w:cs="Times New Roman" w:eastAsia="Times New Roman" w:hAnsi="Times New Roman"/>
          <w:sz w:val="21"/>
          <w:szCs w:val="21"/>
          <w:color w:val="auto"/>
        </w:rPr>
      </w:pPr>
    </w:p>
    <w:p>
      <w:pPr>
        <w:jc w:val="both"/>
        <w:ind w:left="-200" w:firstLine="621"/>
        <w:spacing w:after="0" w:line="220" w:lineRule="auto"/>
        <w:tabs>
          <w:tab w:leader="none" w:pos="1036"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44" w:lineRule="exact"/>
        <w:rPr>
          <w:rFonts w:ascii="Times New Roman" w:cs="Times New Roman" w:eastAsia="Times New Roman" w:hAnsi="Times New Roman"/>
          <w:sz w:val="21"/>
          <w:szCs w:val="21"/>
          <w:color w:val="auto"/>
        </w:rPr>
      </w:pPr>
    </w:p>
    <w:p>
      <w:pPr>
        <w:jc w:val="both"/>
        <w:ind w:left="-200" w:firstLine="621"/>
        <w:spacing w:after="0" w:line="217" w:lineRule="auto"/>
        <w:tabs>
          <w:tab w:leader="none" w:pos="1036"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Option Agreement to single or multiple assignees, and this Option Agreement shall inure to the benefit of the successors and assigns of the Company. Subject to the restrictions on transfer herein set forth, this Option Agreement shall be binding upon Participant and his or her heirs, executors, administrators, successors and assigns. The rights and obligations of Participant under this Option Agreement may be assigned only with the prior written consent of the Company.</w:t>
      </w:r>
    </w:p>
    <w:p>
      <w:pPr>
        <w:spacing w:after="0" w:line="144" w:lineRule="exact"/>
        <w:rPr>
          <w:rFonts w:ascii="Times New Roman" w:cs="Times New Roman" w:eastAsia="Times New Roman" w:hAnsi="Times New Roman"/>
          <w:sz w:val="21"/>
          <w:szCs w:val="21"/>
          <w:color w:val="auto"/>
        </w:rPr>
      </w:pPr>
    </w:p>
    <w:p>
      <w:pPr>
        <w:jc w:val="both"/>
        <w:ind w:left="-200" w:firstLine="621"/>
        <w:spacing w:after="0" w:line="220" w:lineRule="auto"/>
        <w:tabs>
          <w:tab w:leader="none" w:pos="1036"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Conditions to Issuance of Stock</w:t>
      </w:r>
      <w:r>
        <w:rPr>
          <w:rFonts w:ascii="Times New Roman" w:cs="Times New Roman" w:eastAsia="Times New Roman" w:hAnsi="Times New Roman"/>
          <w:sz w:val="20"/>
          <w:szCs w:val="20"/>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153" w:lineRule="exact"/>
        <w:rPr>
          <w:rFonts w:ascii="Times New Roman" w:cs="Times New Roman" w:eastAsia="Times New Roman" w:hAnsi="Times New Roman"/>
          <w:sz w:val="20"/>
          <w:szCs w:val="20"/>
          <w:color w:val="auto"/>
        </w:rPr>
      </w:pPr>
    </w:p>
    <w:p>
      <w:pPr>
        <w:jc w:val="both"/>
        <w:ind w:left="-200" w:firstLine="621"/>
        <w:spacing w:after="0" w:line="225" w:lineRule="auto"/>
        <w:tabs>
          <w:tab w:leader="none" w:pos="1036"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Language</w:t>
      </w:r>
      <w:r>
        <w:rPr>
          <w:rFonts w:ascii="Times New Roman" w:cs="Times New Roman" w:eastAsia="Times New Roman" w:hAnsi="Times New Roman"/>
          <w:sz w:val="21"/>
          <w:szCs w:val="21"/>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44" w:lineRule="exact"/>
        <w:rPr>
          <w:rFonts w:ascii="Times New Roman" w:cs="Times New Roman" w:eastAsia="Times New Roman" w:hAnsi="Times New Roman"/>
          <w:sz w:val="21"/>
          <w:szCs w:val="21"/>
          <w:color w:val="auto"/>
        </w:rPr>
      </w:pPr>
    </w:p>
    <w:p>
      <w:pPr>
        <w:jc w:val="both"/>
        <w:ind w:left="-200" w:firstLine="621"/>
        <w:spacing w:after="0" w:line="225" w:lineRule="auto"/>
        <w:tabs>
          <w:tab w:leader="none" w:pos="1036"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48" w:lineRule="exact"/>
        <w:rPr>
          <w:rFonts w:ascii="Times New Roman" w:cs="Times New Roman" w:eastAsia="Times New Roman" w:hAnsi="Times New Roman"/>
          <w:sz w:val="20"/>
          <w:szCs w:val="20"/>
          <w:color w:val="auto"/>
        </w:rPr>
      </w:pPr>
    </w:p>
    <w:p>
      <w:pPr>
        <w:jc w:val="both"/>
        <w:ind w:left="-200" w:firstLine="621"/>
        <w:spacing w:after="0" w:line="225" w:lineRule="auto"/>
        <w:tabs>
          <w:tab w:leader="none" w:pos="1036"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Suspension or Termination of the Plan</w:t>
      </w:r>
      <w:r>
        <w:rPr>
          <w:rFonts w:ascii="Times New Roman" w:cs="Times New Roman" w:eastAsia="Times New Roman" w:hAnsi="Times New Roman"/>
          <w:sz w:val="21"/>
          <w:szCs w:val="21"/>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6" w:lineRule="exact"/>
        <w:rPr>
          <w:rFonts w:ascii="Times New Roman" w:cs="Times New Roman" w:eastAsia="Times New Roman" w:hAnsi="Times New Roman"/>
          <w:sz w:val="21"/>
          <w:szCs w:val="21"/>
          <w:color w:val="auto"/>
        </w:rPr>
      </w:pPr>
    </w:p>
    <w:p>
      <w:pPr>
        <w:ind w:left="120" w:hanging="120"/>
        <w:spacing w:after="0"/>
        <w:tabs>
          <w:tab w:leader="none" w:pos="12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5 -</w:t>
      </w:r>
    </w:p>
    <w:p>
      <w:pPr>
        <w:sectPr>
          <w:pgSz w:w="11900" w:h="16838" w:orient="portrait"/>
          <w:cols w:equalWidth="0" w:num="1">
            <w:col w:w="11040"/>
          </w:cols>
          <w:pgMar w:left="520" w:top="1440" w:right="339" w:bottom="1440" w:gutter="0" w:footer="0" w:header="0"/>
        </w:sectPr>
      </w:pPr>
    </w:p>
    <w:bookmarkStart w:id="241" w:name="page242"/>
    <w:bookmarkEnd w:id="241"/>
    <w:p>
      <w:pPr>
        <w:spacing w:after="0" w:line="200" w:lineRule="exact"/>
        <w:rPr>
          <w:sz w:val="20"/>
          <w:szCs w:val="20"/>
          <w:color w:val="auto"/>
        </w:rPr>
      </w:pPr>
    </w:p>
    <w:p>
      <w:pPr>
        <w:spacing w:after="0" w:line="355" w:lineRule="exact"/>
        <w:rPr>
          <w:sz w:val="20"/>
          <w:szCs w:val="20"/>
          <w:color w:val="auto"/>
        </w:rPr>
      </w:pPr>
    </w:p>
    <w:p>
      <w:pPr>
        <w:jc w:val="both"/>
        <w:ind w:left="-200" w:firstLine="621"/>
        <w:spacing w:after="0" w:line="213" w:lineRule="auto"/>
        <w:tabs>
          <w:tab w:leader="none" w:pos="1036"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to the Option Agreement</w:t>
      </w:r>
      <w:r>
        <w:rPr>
          <w:rFonts w:ascii="Times New Roman" w:cs="Times New Roman" w:eastAsia="Times New Roman" w:hAnsi="Times New Roman"/>
          <w:sz w:val="21"/>
          <w:szCs w:val="21"/>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48" w:lineRule="exact"/>
        <w:rPr>
          <w:rFonts w:ascii="Times New Roman" w:cs="Times New Roman" w:eastAsia="Times New Roman" w:hAnsi="Times New Roman"/>
          <w:sz w:val="21"/>
          <w:szCs w:val="21"/>
          <w:color w:val="auto"/>
        </w:rPr>
      </w:pPr>
    </w:p>
    <w:p>
      <w:pPr>
        <w:jc w:val="both"/>
        <w:ind w:left="-200" w:firstLine="621"/>
        <w:spacing w:after="0" w:line="217" w:lineRule="auto"/>
        <w:tabs>
          <w:tab w:leader="none" w:pos="1036"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The Plan is incorporated herein by reference. The Plan and this Option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44" w:lineRule="exact"/>
        <w:rPr>
          <w:rFonts w:ascii="Times New Roman" w:cs="Times New Roman" w:eastAsia="Times New Roman" w:hAnsi="Times New Roman"/>
          <w:sz w:val="21"/>
          <w:szCs w:val="21"/>
          <w:color w:val="auto"/>
        </w:rPr>
      </w:pPr>
    </w:p>
    <w:p>
      <w:pPr>
        <w:jc w:val="both"/>
        <w:ind w:left="-200" w:firstLine="621"/>
        <w:spacing w:after="0" w:line="214" w:lineRule="auto"/>
        <w:tabs>
          <w:tab w:leader="none" w:pos="1036"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Country Addendum</w:t>
      </w:r>
      <w:r>
        <w:rPr>
          <w:rFonts w:ascii="Times New Roman" w:cs="Times New Roman" w:eastAsia="Times New Roman" w:hAnsi="Times New Roman"/>
          <w:sz w:val="21"/>
          <w:szCs w:val="21"/>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50" w:lineRule="exact"/>
        <w:rPr>
          <w:rFonts w:ascii="Times New Roman" w:cs="Times New Roman" w:eastAsia="Times New Roman" w:hAnsi="Times New Roman"/>
          <w:sz w:val="21"/>
          <w:szCs w:val="21"/>
          <w:color w:val="auto"/>
        </w:rPr>
      </w:pPr>
    </w:p>
    <w:p>
      <w:pPr>
        <w:jc w:val="both"/>
        <w:ind w:left="-200" w:firstLine="621"/>
        <w:spacing w:after="0" w:line="217" w:lineRule="auto"/>
        <w:tabs>
          <w:tab w:leader="none" w:pos="1036"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Consequences</w:t>
      </w:r>
      <w:r>
        <w:rPr>
          <w:rFonts w:ascii="Times New Roman" w:cs="Times New Roman" w:eastAsia="Times New Roman" w:hAnsi="Times New Roman"/>
          <w:sz w:val="21"/>
          <w:szCs w:val="21"/>
          <w:color w:val="auto"/>
        </w:rPr>
        <w:t>. Participant has reviewed with his or her own tax advisors the U.S. federal, state, local and non-U.S. tax consequences of this investment and the transactions contemplated by this Option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70" w:lineRule="exact"/>
        <w:rPr>
          <w:rFonts w:ascii="Times New Roman" w:cs="Times New Roman" w:eastAsia="Times New Roman" w:hAnsi="Times New Roman"/>
          <w:sz w:val="21"/>
          <w:szCs w:val="21"/>
          <w:color w:val="auto"/>
        </w:rPr>
      </w:pPr>
    </w:p>
    <w:p>
      <w:pPr>
        <w:ind w:left="4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94" w:lineRule="exact"/>
        <w:rPr>
          <w:rFonts w:ascii="Times New Roman" w:cs="Times New Roman" w:eastAsia="Times New Roman" w:hAnsi="Times New Roman"/>
          <w:sz w:val="21"/>
          <w:szCs w:val="21"/>
          <w:color w:val="auto"/>
        </w:rPr>
      </w:pPr>
    </w:p>
    <w:p>
      <w:pPr>
        <w:ind w:left="120" w:hanging="120"/>
        <w:spacing w:after="0"/>
        <w:tabs>
          <w:tab w:leader="none" w:pos="12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6 -</w:t>
      </w:r>
    </w:p>
    <w:p>
      <w:pPr>
        <w:sectPr>
          <w:pgSz w:w="11900" w:h="16838" w:orient="portrait"/>
          <w:cols w:equalWidth="0" w:num="1">
            <w:col w:w="11040"/>
          </w:cols>
          <w:pgMar w:left="520" w:top="1440" w:right="339" w:bottom="1440" w:gutter="0" w:footer="0" w:header="0"/>
        </w:sectPr>
      </w:pPr>
    </w:p>
    <w:bookmarkStart w:id="242" w:name="page243"/>
    <w:bookmarkEnd w:id="242"/>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WHITEHAWK THERAPEUTICS, INC.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2023 INDUCEMENT EQUITY INCENTIVE PLAN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EXERCISE NOTICE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Whitehawk Therapeutics,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 Headquarters Plaza</w:t>
      </w:r>
    </w:p>
    <w:p>
      <w:pPr>
        <w:spacing w:after="0" w:line="209" w:lineRule="auto"/>
        <w:rPr>
          <w:sz w:val="20"/>
          <w:szCs w:val="20"/>
          <w:color w:val="auto"/>
        </w:rPr>
      </w:pPr>
      <w:r>
        <w:rPr>
          <w:rFonts w:ascii="Times New Roman" w:cs="Times New Roman" w:eastAsia="Times New Roman" w:hAnsi="Times New Roman"/>
          <w:sz w:val="21"/>
          <w:szCs w:val="21"/>
          <w:color w:val="auto"/>
        </w:rPr>
        <w:t>East Building,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w:t>
      </w:r>
    </w:p>
    <w:p>
      <w:pPr>
        <w:spacing w:after="0"/>
        <w:rPr>
          <w:sz w:val="20"/>
          <w:szCs w:val="20"/>
          <w:color w:val="auto"/>
        </w:rPr>
      </w:pPr>
      <w:r>
        <w:rPr>
          <w:rFonts w:ascii="Times New Roman" w:cs="Times New Roman" w:eastAsia="Times New Roman" w:hAnsi="Times New Roman"/>
          <w:sz w:val="21"/>
          <w:szCs w:val="21"/>
          <w:color w:val="auto"/>
        </w:rPr>
        <w:t>Morristown, NJ 07960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Stock Administration</w:t>
      </w:r>
    </w:p>
    <w:p>
      <w:pPr>
        <w:spacing w:after="0" w:line="200" w:lineRule="exact"/>
        <w:rPr>
          <w:sz w:val="20"/>
          <w:szCs w:val="20"/>
          <w:color w:val="auto"/>
        </w:rPr>
      </w:pPr>
    </w:p>
    <w:p>
      <w:pPr>
        <w:spacing w:after="0" w:line="215" w:lineRule="exact"/>
        <w:rPr>
          <w:sz w:val="20"/>
          <w:szCs w:val="20"/>
          <w:color w:val="auto"/>
        </w:rPr>
      </w:pPr>
    </w:p>
    <w:p>
      <w:pPr>
        <w:jc w:val="both"/>
        <w:ind w:firstLine="621"/>
        <w:spacing w:after="0" w:line="213" w:lineRule="auto"/>
        <w:tabs>
          <w:tab w:leader="none" w:pos="1236"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 Effective as of today, ________________, _____, the undersigned (“Purchaser”) hereby elects to purchase ______________ shares (the “Shares”) of the Common Stock of Whitehawk Therapeutics, Inc. (the “Company”) under and pursuant to the 2023 Inducement Equity Incentive Plan (the “Plan”) and the Stock Option Agreement, dated ________ and including the Notice of Grant, the Terms and Conditions of Stock Option Grant, and exhibits attached thereto (the “Option Agreement”). The purchase price for the Shares will be $_____________, as required by the Option Agreement. Unless otherwise defined herein, capitalized terms used in this Exercise Notice shall be ascribed the same defined meanings as set forth in the Option Agreement (or, as applicable, the Plan or other written agreement or arrangement as specified in the Option Agreement).</w:t>
      </w:r>
    </w:p>
    <w:p>
      <w:pPr>
        <w:spacing w:after="0" w:line="148" w:lineRule="exact"/>
        <w:rPr>
          <w:rFonts w:ascii="Times New Roman" w:cs="Times New Roman" w:eastAsia="Times New Roman" w:hAnsi="Times New Roman"/>
          <w:sz w:val="21"/>
          <w:szCs w:val="21"/>
          <w:color w:val="auto"/>
        </w:rPr>
      </w:pPr>
    </w:p>
    <w:p>
      <w:pPr>
        <w:ind w:firstLine="621"/>
        <w:spacing w:after="0" w:line="235" w:lineRule="auto"/>
        <w:tabs>
          <w:tab w:leader="none" w:pos="1236"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Payment</w:t>
      </w:r>
      <w:r>
        <w:rPr>
          <w:rFonts w:ascii="Times New Roman" w:cs="Times New Roman" w:eastAsia="Times New Roman" w:hAnsi="Times New Roman"/>
          <w:sz w:val="21"/>
          <w:szCs w:val="21"/>
          <w:color w:val="auto"/>
        </w:rPr>
        <w:t>. Purchaser herewith delivers to the Company the full purchase price of the Shares and any Tax Obligations (as defined in Section 8(a) of the Option Agreement) to be paid in connection with the exercise of the Option.</w:t>
      </w:r>
    </w:p>
    <w:p>
      <w:pPr>
        <w:spacing w:after="0" w:line="145" w:lineRule="exact"/>
        <w:rPr>
          <w:rFonts w:ascii="Times New Roman" w:cs="Times New Roman" w:eastAsia="Times New Roman" w:hAnsi="Times New Roman"/>
          <w:sz w:val="21"/>
          <w:szCs w:val="21"/>
          <w:color w:val="auto"/>
        </w:rPr>
      </w:pPr>
    </w:p>
    <w:p>
      <w:pPr>
        <w:ind w:firstLine="621"/>
        <w:spacing w:after="0" w:line="235" w:lineRule="auto"/>
        <w:tabs>
          <w:tab w:leader="none" w:pos="1236"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of Purchaser</w:t>
      </w:r>
      <w:r>
        <w:rPr>
          <w:rFonts w:ascii="Times New Roman" w:cs="Times New Roman" w:eastAsia="Times New Roman" w:hAnsi="Times New Roman"/>
          <w:sz w:val="21"/>
          <w:szCs w:val="21"/>
          <w:color w:val="auto"/>
        </w:rPr>
        <w:t>. Purchaser acknowledges that Purchaser has received, read and understood the Plan and the Option Agreement and agrees to abide by and be bound by their terms and conditions.</w:t>
      </w:r>
    </w:p>
    <w:p>
      <w:pPr>
        <w:spacing w:after="0" w:line="145" w:lineRule="exact"/>
        <w:rPr>
          <w:rFonts w:ascii="Times New Roman" w:cs="Times New Roman" w:eastAsia="Times New Roman" w:hAnsi="Times New Roman"/>
          <w:sz w:val="21"/>
          <w:szCs w:val="21"/>
          <w:color w:val="auto"/>
        </w:rPr>
      </w:pPr>
    </w:p>
    <w:p>
      <w:pPr>
        <w:jc w:val="both"/>
        <w:ind w:firstLine="621"/>
        <w:spacing w:after="0" w:line="217" w:lineRule="auto"/>
        <w:tabs>
          <w:tab w:leader="none" w:pos="1236"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Stockholder</w:t>
      </w:r>
      <w:r>
        <w:rPr>
          <w:rFonts w:ascii="Times New Roman" w:cs="Times New Roman" w:eastAsia="Times New Roman" w:hAnsi="Times New Roman"/>
          <w:sz w:val="21"/>
          <w:szCs w:val="21"/>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14 of the Plan.</w:t>
      </w:r>
    </w:p>
    <w:p>
      <w:pPr>
        <w:spacing w:after="0" w:line="144" w:lineRule="exact"/>
        <w:rPr>
          <w:rFonts w:ascii="Times New Roman" w:cs="Times New Roman" w:eastAsia="Times New Roman" w:hAnsi="Times New Roman"/>
          <w:sz w:val="21"/>
          <w:szCs w:val="21"/>
          <w:color w:val="auto"/>
        </w:rPr>
      </w:pPr>
    </w:p>
    <w:p>
      <w:pPr>
        <w:jc w:val="both"/>
        <w:ind w:firstLine="621"/>
        <w:spacing w:after="0" w:line="220" w:lineRule="auto"/>
        <w:tabs>
          <w:tab w:leader="none" w:pos="1236"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Consultation</w:t>
      </w:r>
      <w:r>
        <w:rPr>
          <w:rFonts w:ascii="Times New Roman" w:cs="Times New Roman" w:eastAsia="Times New Roman" w:hAnsi="Times New Roman"/>
          <w:sz w:val="21"/>
          <w:szCs w:val="21"/>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44" w:lineRule="exact"/>
        <w:rPr>
          <w:rFonts w:ascii="Times New Roman" w:cs="Times New Roman" w:eastAsia="Times New Roman" w:hAnsi="Times New Roman"/>
          <w:sz w:val="21"/>
          <w:szCs w:val="21"/>
          <w:color w:val="auto"/>
        </w:rPr>
      </w:pPr>
    </w:p>
    <w:p>
      <w:pPr>
        <w:jc w:val="both"/>
        <w:ind w:firstLine="621"/>
        <w:spacing w:after="0" w:line="225" w:lineRule="auto"/>
        <w:tabs>
          <w:tab w:leader="none" w:pos="1236"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Governing Law</w:t>
      </w:r>
      <w:r>
        <w:rPr>
          <w:rFonts w:ascii="Times New Roman" w:cs="Times New Roman" w:eastAsia="Times New Roman" w:hAnsi="Times New Roman"/>
          <w:sz w:val="21"/>
          <w:szCs w:val="21"/>
          <w:color w:val="auto"/>
        </w:rPr>
        <w:t>. The Plan and Option Agreement are incorporated herein by reference. This Exercise Notice, the Plan and the Option Agreement constitute the entire agreement of the parties with respect to the subject matter hereof and supersede in their entirety all prior</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34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undertakings and agreements of the Company and Purchaser with respect to the subject matter hereof, and may not be modified adversely to the Purchaser’s interest except by means of a writing signed by the Company and Purchaser. This Option Agreement is governed by the internal substantive laws, but not the choice of law rules, of California.</w:t>
      </w:r>
    </w:p>
    <w:p>
      <w:pPr>
        <w:sectPr>
          <w:pgSz w:w="11900" w:h="16838" w:orient="portrait"/>
          <w:cols w:equalWidth="0" w:num="1">
            <w:col w:w="11240"/>
          </w:cols>
          <w:pgMar w:left="320" w:top="1440" w:right="3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Submitted 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by:</w:t>
      </w:r>
    </w:p>
    <w:p>
      <w:pPr>
        <w:spacing w:after="0" w:line="200" w:lineRule="exact"/>
        <w:rPr>
          <w:sz w:val="20"/>
          <w:szCs w:val="20"/>
          <w:color w:val="auto"/>
        </w:rPr>
      </w:pPr>
    </w:p>
    <w:p>
      <w:pPr>
        <w:sectPr>
          <w:pgSz w:w="11900" w:h="16838" w:orient="portrait"/>
          <w:cols w:equalWidth="0" w:num="2">
            <w:col w:w="1160" w:space="400"/>
            <w:col w:w="9680"/>
          </w:cols>
          <w:pgMar w:left="320" w:top="144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450850</wp:posOffset>
            </wp:positionV>
            <wp:extent cx="13081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450850</wp:posOffset>
            </wp:positionV>
            <wp:extent cx="1308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WHITEHAWK THERAPEUTICS, INC.</w:t>
      </w:r>
    </w:p>
    <w:p>
      <w:pPr>
        <w:spacing w:after="0" w:line="200"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271780</wp:posOffset>
            </wp:positionV>
            <wp:extent cx="13081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271780</wp:posOffset>
            </wp:positionV>
            <wp:extent cx="1308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1"/>
          <w:szCs w:val="21"/>
          <w:color w:val="auto"/>
        </w:rPr>
        <w:t>Print Name</w:t>
      </w:r>
      <w:r>
        <w:rPr>
          <w:sz w:val="20"/>
          <w:szCs w:val="20"/>
          <w:color w:val="auto"/>
        </w:rPr>
        <w:tab/>
      </w:r>
      <w:r>
        <w:rPr>
          <w:rFonts w:ascii="Times New Roman" w:cs="Times New Roman" w:eastAsia="Times New Roman" w:hAnsi="Times New Roman"/>
          <w:sz w:val="20"/>
          <w:szCs w:val="20"/>
          <w:color w:val="auto"/>
        </w:rPr>
        <w:t>Print Name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-13970</wp:posOffset>
            </wp:positionV>
            <wp:extent cx="1308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1308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436880</wp:posOffset>
            </wp:positionV>
            <wp:extent cx="1308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1017270</wp:posOffset>
            </wp:positionV>
            <wp:extent cx="1308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Date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- 2 -</w:t>
      </w:r>
    </w:p>
    <w:p>
      <w:pPr>
        <w:sectPr>
          <w:pgSz w:w="11900" w:h="16838" w:orient="portrait"/>
          <w:cols w:equalWidth="0" w:num="1">
            <w:col w:w="11240"/>
          </w:cols>
          <w:pgMar w:left="320" w:top="1440" w:right="339" w:bottom="1440" w:gutter="0" w:footer="0" w:header="0"/>
          <w:type w:val="continuous"/>
        </w:sectPr>
      </w:pPr>
    </w:p>
    <w:bookmarkStart w:id="244" w:name="page245"/>
    <w:bookmarkEnd w:id="244"/>
    <w:p>
      <w:pPr>
        <w:ind w:left="9900"/>
        <w:spacing w:after="0"/>
        <w:rPr>
          <w:sz w:val="20"/>
          <w:szCs w:val="20"/>
          <w:color w:val="auto"/>
        </w:rPr>
      </w:pPr>
      <w:r>
        <w:rPr>
          <w:rFonts w:ascii="Times New Roman" w:cs="Times New Roman" w:eastAsia="Times New Roman" w:hAnsi="Times New Roman"/>
          <w:sz w:val="20"/>
          <w:szCs w:val="20"/>
          <w:b w:val="1"/>
          <w:bCs w:val="1"/>
          <w:color w:val="auto"/>
        </w:rPr>
        <w:t>Exhibit 10.25</w:t>
      </w:r>
    </w:p>
    <w:p>
      <w:pPr>
        <w:spacing w:after="0" w:line="244" w:lineRule="exact"/>
        <w:rPr>
          <w:sz w:val="20"/>
          <w:szCs w:val="20"/>
          <w:color w:val="auto"/>
        </w:rPr>
      </w:pPr>
    </w:p>
    <w:p>
      <w:pPr>
        <w:jc w:val="center"/>
        <w:ind w:right="160"/>
        <w:spacing w:after="0" w:line="275" w:lineRule="auto"/>
        <w:rPr>
          <w:sz w:val="20"/>
          <w:szCs w:val="20"/>
          <w:color w:val="auto"/>
        </w:rPr>
      </w:pPr>
      <w:r>
        <w:rPr>
          <w:rFonts w:ascii="Times New Roman" w:cs="Times New Roman" w:eastAsia="Times New Roman" w:hAnsi="Times New Roman"/>
          <w:sz w:val="21"/>
          <w:szCs w:val="21"/>
          <w:b w:val="1"/>
          <w:bCs w:val="1"/>
          <w:i w:val="1"/>
          <w:iCs w:val="1"/>
          <w:color w:val="auto"/>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INTELLECTUAL PROPERTY LICENSE AGREEMENT</w:t>
      </w:r>
    </w:p>
    <w:p>
      <w:pPr>
        <w:spacing w:after="0" w:line="23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BETWEEN</w:t>
      </w:r>
    </w:p>
    <w:p>
      <w:pPr>
        <w:spacing w:after="0" w:line="24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WUXI BIOLOGICS (SHANGHAI FX) CO., LTD.</w:t>
      </w:r>
    </w:p>
    <w:p>
      <w:pPr>
        <w:spacing w:after="0" w:line="23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3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AADI BIOSCIENCE, INC.</w:t>
      </w:r>
    </w:p>
    <w:p>
      <w:pPr>
        <w:sectPr>
          <w:pgSz w:w="11900" w:h="16838" w:orient="portrait"/>
          <w:cols w:equalWidth="0" w:num="1">
            <w:col w:w="11060"/>
          </w:cols>
          <w:pgMar w:left="500" w:top="123"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b w:val="1"/>
          <w:bCs w:val="1"/>
          <w:color w:val="auto"/>
        </w:rPr>
        <w:t>INTELLECTUAL PROPERTY LICENSE AGREEMENT</w:t>
      </w:r>
    </w:p>
    <w:p>
      <w:pPr>
        <w:spacing w:after="0" w:line="209" w:lineRule="exact"/>
        <w:rPr>
          <w:sz w:val="20"/>
          <w:szCs w:val="20"/>
          <w:color w:val="auto"/>
        </w:rPr>
      </w:pPr>
    </w:p>
    <w:p>
      <w:pPr>
        <w:jc w:val="both"/>
        <w:ind w:firstLine="618"/>
        <w:spacing w:after="0" w:line="239" w:lineRule="auto"/>
        <w:rPr>
          <w:sz w:val="20"/>
          <w:szCs w:val="20"/>
          <w:color w:val="auto"/>
        </w:rPr>
      </w:pPr>
      <w:r>
        <w:rPr>
          <w:rFonts w:ascii="Times New Roman" w:cs="Times New Roman" w:eastAsia="Times New Roman" w:hAnsi="Times New Roman"/>
          <w:sz w:val="21"/>
          <w:szCs w:val="21"/>
          <w:color w:val="auto"/>
        </w:rPr>
        <w:t>THIS INTELLECTUAL PROPERTY LICENSE AGREEMENT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dated as of December 19, 2024 (“</w:t>
      </w:r>
      <w:r>
        <w:rPr>
          <w:rFonts w:ascii="Times New Roman" w:cs="Times New Roman" w:eastAsia="Times New Roman" w:hAnsi="Times New Roman"/>
          <w:sz w:val="21"/>
          <w:szCs w:val="21"/>
          <w:b w:val="1"/>
          <w:bCs w:val="1"/>
          <w:color w:val="auto"/>
        </w:rPr>
        <w:t>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is entered into between WuXi Biologics (Shanghai FX) Co., Ltd., a corporation organized and existing under the laws of China,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having offices at Room 2481, Building No.1,1150 Lan Feng Road, Fengxian District, Shanghai, 201403, China (“</w:t>
      </w:r>
      <w:r>
        <w:rPr>
          <w:rFonts w:ascii="Times New Roman" w:cs="Times New Roman" w:eastAsia="Times New Roman" w:hAnsi="Times New Roman"/>
          <w:sz w:val="21"/>
          <w:szCs w:val="21"/>
          <w:b w:val="1"/>
          <w:bCs w:val="1"/>
          <w:color w:val="auto"/>
        </w:rPr>
        <w:t>WuXi Biologics</w:t>
      </w:r>
      <w:r>
        <w:rPr>
          <w:rFonts w:ascii="Times New Roman" w:cs="Times New Roman" w:eastAsia="Times New Roman" w:hAnsi="Times New Roman"/>
          <w:sz w:val="21"/>
          <w:szCs w:val="21"/>
          <w:color w:val="auto"/>
        </w:rPr>
        <w:t>”) and Aadi Bioscience, Inc., a Delaware corporation having offices at 2 Headquarters Plaza, East Building,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 Morristown, NJ 07960 (“</w:t>
      </w:r>
      <w:r>
        <w:rPr>
          <w:rFonts w:ascii="Times New Roman" w:cs="Times New Roman" w:eastAsia="Times New Roman" w:hAnsi="Times New Roman"/>
          <w:sz w:val="21"/>
          <w:szCs w:val="21"/>
          <w:b w:val="1"/>
          <w:bCs w:val="1"/>
          <w:color w:val="auto"/>
        </w:rPr>
        <w:t>Aadi</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1"/>
          <w:szCs w:val="21"/>
          <w:b w:val="1"/>
          <w:bCs w:val="1"/>
          <w:color w:val="auto"/>
        </w:rPr>
        <w:t>BACKGROUND</w:t>
      </w:r>
    </w:p>
    <w:p>
      <w:pPr>
        <w:spacing w:after="0" w:line="226" w:lineRule="exact"/>
        <w:rPr>
          <w:sz w:val="20"/>
          <w:szCs w:val="20"/>
          <w:color w:val="auto"/>
        </w:rPr>
      </w:pPr>
    </w:p>
    <w:p>
      <w:pPr>
        <w:jc w:val="both"/>
        <w:ind w:left="620" w:hanging="308"/>
        <w:spacing w:after="0" w:line="256" w:lineRule="auto"/>
        <w:tabs>
          <w:tab w:leader="none" w:pos="614"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WuXi Biologics has pre-clinical stage development programs relating to antibody drug conjugates targeting each of Mucin-16 (“</w:t>
      </w:r>
      <w:r>
        <w:rPr>
          <w:rFonts w:ascii="Times New Roman" w:cs="Times New Roman" w:eastAsia="Times New Roman" w:hAnsi="Times New Roman"/>
          <w:sz w:val="21"/>
          <w:szCs w:val="21"/>
          <w:b w:val="1"/>
          <w:bCs w:val="1"/>
          <w:color w:val="auto"/>
        </w:rPr>
        <w:t>MUC16</w:t>
      </w:r>
      <w:r>
        <w:rPr>
          <w:rFonts w:ascii="Times New Roman" w:cs="Times New Roman" w:eastAsia="Times New Roman" w:hAnsi="Times New Roman"/>
          <w:sz w:val="21"/>
          <w:szCs w:val="21"/>
          <w:color w:val="auto"/>
        </w:rPr>
        <w:t>”), Protein Tyrosine Kinase 7 (“</w:t>
      </w:r>
      <w:r>
        <w:rPr>
          <w:rFonts w:ascii="Times New Roman" w:cs="Times New Roman" w:eastAsia="Times New Roman" w:hAnsi="Times New Roman"/>
          <w:sz w:val="21"/>
          <w:szCs w:val="21"/>
          <w:b w:val="1"/>
          <w:bCs w:val="1"/>
          <w:color w:val="auto"/>
        </w:rPr>
        <w:t>PTK7</w:t>
      </w:r>
      <w:r>
        <w:rPr>
          <w:rFonts w:ascii="Times New Roman" w:cs="Times New Roman" w:eastAsia="Times New Roman" w:hAnsi="Times New Roman"/>
          <w:sz w:val="21"/>
          <w:szCs w:val="21"/>
          <w:color w:val="auto"/>
        </w:rPr>
        <w:t>”) and Seizure Related 6 Homolog (“</w:t>
      </w:r>
      <w:r>
        <w:rPr>
          <w:rFonts w:ascii="Times New Roman" w:cs="Times New Roman" w:eastAsia="Times New Roman" w:hAnsi="Times New Roman"/>
          <w:sz w:val="21"/>
          <w:szCs w:val="21"/>
          <w:b w:val="1"/>
          <w:bCs w:val="1"/>
          <w:color w:val="auto"/>
        </w:rPr>
        <w:t>SEZ6</w:t>
      </w:r>
      <w:r>
        <w:rPr>
          <w:rFonts w:ascii="Times New Roman" w:cs="Times New Roman" w:eastAsia="Times New Roman" w:hAnsi="Times New Roman"/>
          <w:sz w:val="21"/>
          <w:szCs w:val="21"/>
          <w:color w:val="auto"/>
        </w:rPr>
        <w:t>”), and Controls certain patents, know-how and other intellectual property related to each of these programs.</w:t>
      </w:r>
    </w:p>
    <w:p>
      <w:pPr>
        <w:spacing w:after="0" w:line="205" w:lineRule="exact"/>
        <w:rPr>
          <w:rFonts w:ascii="Times New Roman" w:cs="Times New Roman" w:eastAsia="Times New Roman" w:hAnsi="Times New Roman"/>
          <w:sz w:val="21"/>
          <w:szCs w:val="21"/>
          <w:color w:val="auto"/>
        </w:rPr>
      </w:pPr>
    </w:p>
    <w:p>
      <w:pPr>
        <w:ind w:left="620" w:hanging="308"/>
        <w:spacing w:after="0" w:line="269" w:lineRule="auto"/>
        <w:tabs>
          <w:tab w:leader="none" w:pos="616"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Aadi desires to obtain an exclusive license to the patents, know-how and other intellectual property Controlled by WuXi Biologics relating to the foregoing programs in order to research, develop and commercially exploit products.</w:t>
      </w:r>
    </w:p>
    <w:p>
      <w:pPr>
        <w:spacing w:after="0" w:line="192" w:lineRule="exact"/>
        <w:rPr>
          <w:rFonts w:ascii="Times New Roman" w:cs="Times New Roman" w:eastAsia="Times New Roman" w:hAnsi="Times New Roman"/>
          <w:sz w:val="21"/>
          <w:szCs w:val="21"/>
          <w:color w:val="auto"/>
        </w:rPr>
      </w:pPr>
    </w:p>
    <w:p>
      <w:pPr>
        <w:ind w:left="620" w:hanging="308"/>
        <w:spacing w:after="0" w:line="269" w:lineRule="auto"/>
        <w:tabs>
          <w:tab w:leader="none" w:pos="616"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WuXi Biologics desires to grant an exclusive license to Aadi under WuXi Biologics’ rights to such patents, know-how and other intellectual property, upon the terms and conditions set forth herein.</w:t>
      </w:r>
    </w:p>
    <w:p>
      <w:pPr>
        <w:spacing w:after="0" w:line="386"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NOW, THEREFORE, in consideration of the foregoing premises and the mutual covenants herein contained, and for other good and valuable consideration, the receipt and sufficiency of which are hereby acknowledged, the Parties hereby agree as follows:</w:t>
      </w:r>
    </w:p>
    <w:p>
      <w:pPr>
        <w:spacing w:after="0" w:line="11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I</w:t>
      </w:r>
    </w:p>
    <w:p>
      <w:pPr>
        <w:ind w:left="4940"/>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45"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1.1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Acquirer</w:t>
      </w:r>
      <w:r>
        <w:rPr>
          <w:rFonts w:ascii="Times New Roman" w:cs="Times New Roman" w:eastAsia="Times New Roman" w:hAnsi="Times New Roman"/>
          <w:sz w:val="21"/>
          <w:szCs w:val="21"/>
          <w:color w:val="auto"/>
        </w:rPr>
        <w:t>” means (a) a Third Party that merges or consolidates with or acquires a Party, or to which a Party transfers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substantially all of its assets to which this Agreement pertains, and (b) any Affiliate of such Third Party described in (a) that is not an Affiliate of such Party at the time of such merger, consolidation, acquisition or transfer, as applicable.</w:t>
      </w:r>
    </w:p>
    <w:p>
      <w:pPr>
        <w:spacing w:after="0" w:line="142"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1.2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ADC</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Antibody Drug Conjugate</w:t>
      </w:r>
      <w:r>
        <w:rPr>
          <w:rFonts w:ascii="Times New Roman" w:cs="Times New Roman" w:eastAsia="Times New Roman" w:hAnsi="Times New Roman"/>
          <w:sz w:val="21"/>
          <w:szCs w:val="21"/>
          <w:color w:val="auto"/>
        </w:rPr>
        <w:t>” means a pharmaceutical product that contains an antibody chemically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conjugated or otherwise attached to a payload with a linker.</w:t>
      </w:r>
    </w:p>
    <w:p>
      <w:pPr>
        <w:spacing w:after="0" w:line="141"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1.3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of a Person means any Person that, directly or indirectly, controls, is controlled by, or is under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control with such Person, as the case may be. As used in this Section 1.3, the word “</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(including, with correlative meaning, the terms “controlled by” or “under the common control with”) means the actual power, either directly or indirectly through one or more intermediaries, to direct or cause the direction of the management and policies of such Person, whether by the ownership of more than fifty percent (50%) of the voting share capital in such Person, or by contract or otherwise. Notwithstanding the foregoing, WuXi Biologics (Hong Kong) Limited will be deemed an Affiliate of WuXi Biologics hereunder.</w:t>
      </w:r>
    </w:p>
    <w:p>
      <w:pPr>
        <w:sectPr>
          <w:pgSz w:w="11900" w:h="16838" w:orient="portrait"/>
          <w:cols w:equalWidth="0" w:num="1">
            <w:col w:w="11240"/>
          </w:cols>
          <w:pgMar w:left="320" w:top="121" w:right="339" w:bottom="1440" w:gutter="0" w:footer="0" w:header="0"/>
        </w:sectPr>
      </w:pPr>
    </w:p>
    <w:bookmarkStart w:id="246" w:name="page247"/>
    <w:bookmarkEnd w:id="246"/>
    <w:p>
      <w:pPr>
        <w:spacing w:after="0" w:line="345"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1.4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Annual Net Sales</w:t>
      </w:r>
      <w:r>
        <w:rPr>
          <w:rFonts w:ascii="Times New Roman" w:cs="Times New Roman" w:eastAsia="Times New Roman" w:hAnsi="Times New Roman"/>
          <w:sz w:val="21"/>
          <w:szCs w:val="21"/>
          <w:color w:val="auto"/>
        </w:rPr>
        <w:t>” means the aggregate Net Sales by Aadi, its Affiliates and Sublicensees of the applicable Licensed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Product(s) in the Territory in a particular Calendar Year.</w:t>
      </w:r>
    </w:p>
    <w:p>
      <w:pPr>
        <w:spacing w:after="0" w:line="141" w:lineRule="exact"/>
        <w:rPr>
          <w:sz w:val="20"/>
          <w:szCs w:val="20"/>
          <w:color w:val="auto"/>
        </w:rPr>
      </w:pPr>
    </w:p>
    <w:p>
      <w:pPr>
        <w:jc w:val="both"/>
        <w:ind w:firstLine="618"/>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1.5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Laws</w:t>
      </w:r>
      <w:r>
        <w:rPr>
          <w:rFonts w:ascii="Times New Roman" w:cs="Times New Roman" w:eastAsia="Times New Roman" w:hAnsi="Times New Roman"/>
          <w:sz w:val="21"/>
          <w:szCs w:val="21"/>
          <w:color w:val="auto"/>
        </w:rPr>
        <w:t>” means all laws, statutes, rules, regulations and other pronouncements having the effect of law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federal, national, multinational, state, provincial, county, city or other political subdivision, agency or other body, domestic or foreign applicable to this transaction or the activities hereunder, including any applicable rules, regulations, guidelines, or other requirements of the Regulatory Authorities that may be in effect from time to time.</w:t>
      </w:r>
    </w:p>
    <w:p>
      <w:pPr>
        <w:spacing w:after="0" w:line="141"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1.6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Biosimilar Product</w:t>
      </w:r>
      <w:r>
        <w:rPr>
          <w:rFonts w:ascii="Times New Roman" w:cs="Times New Roman" w:eastAsia="Times New Roman" w:hAnsi="Times New Roman"/>
          <w:sz w:val="21"/>
          <w:szCs w:val="21"/>
          <w:color w:val="auto"/>
        </w:rPr>
        <w:t>” means, with respect to a Licensed Product and on a Region-by-Region basis in the Territory,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 that (a) is marketed for sale in such Region by a Third Party (not directly or indirectly licensed, supplied or otherwise authorized by Aadi or any of its Affiliates or Sublicensees); and (b) has received Marketing Approval in such Region by means of an abbreviated procedure that relies in whole or in part on the safety and efficacy data contained in the BLA or MAA for such Licensed Product submitted by or on behalf of Aadi or its Affiliate or Sublicensee in such Region to establish bioequivalence to such Licensed Product.</w:t>
      </w:r>
    </w:p>
    <w:p>
      <w:pPr>
        <w:spacing w:after="0" w:line="13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Calendar Quarter</w:t>
      </w:r>
      <w:r>
        <w:rPr>
          <w:rFonts w:ascii="Times New Roman" w:cs="Times New Roman" w:eastAsia="Times New Roman" w:hAnsi="Times New Roman"/>
          <w:sz w:val="20"/>
          <w:szCs w:val="20"/>
          <w:color w:val="auto"/>
        </w:rPr>
        <w:t>” means the respective periods of three (3) consecutive calendar months ending on March 31, June</w:t>
      </w:r>
    </w:p>
    <w:p>
      <w:pPr>
        <w:spacing w:after="0"/>
        <w:rPr>
          <w:sz w:val="20"/>
          <w:szCs w:val="20"/>
          <w:color w:val="auto"/>
        </w:rPr>
      </w:pPr>
      <w:r>
        <w:rPr>
          <w:rFonts w:ascii="Times New Roman" w:cs="Times New Roman" w:eastAsia="Times New Roman" w:hAnsi="Times New Roman"/>
          <w:sz w:val="20"/>
          <w:szCs w:val="20"/>
          <w:color w:val="auto"/>
        </w:rPr>
        <w:t>30, September 30 or December 31, during the Term, or the applicable part thereof during the first or last calendar quarter of the Term.</w:t>
      </w:r>
    </w:p>
    <w:p>
      <w:pPr>
        <w:spacing w:after="0" w:line="156"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1.8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Calendar Year</w:t>
      </w:r>
      <w:r>
        <w:rPr>
          <w:rFonts w:ascii="Times New Roman" w:cs="Times New Roman" w:eastAsia="Times New Roman" w:hAnsi="Times New Roman"/>
          <w:sz w:val="21"/>
          <w:szCs w:val="21"/>
          <w:color w:val="auto"/>
        </w:rPr>
        <w:t>” means any year commencing on January 1 and ending on December 31, or the applicable part thereof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first or last year of the Term.</w:t>
      </w:r>
    </w:p>
    <w:p>
      <w:pPr>
        <w:spacing w:after="0" w:line="14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Clinical Trial</w:t>
      </w:r>
      <w:r>
        <w:rPr>
          <w:rFonts w:ascii="Times New Roman" w:cs="Times New Roman" w:eastAsia="Times New Roman" w:hAnsi="Times New Roman"/>
          <w:sz w:val="20"/>
          <w:szCs w:val="20"/>
          <w:color w:val="auto"/>
        </w:rPr>
        <w:t>” means any human clinical study or clinical trial of a Licensed Product.</w:t>
      </w:r>
    </w:p>
    <w:p>
      <w:pPr>
        <w:spacing w:after="0" w:line="171"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1.10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China</w:t>
      </w:r>
      <w:r>
        <w:rPr>
          <w:rFonts w:ascii="Times New Roman" w:cs="Times New Roman" w:eastAsia="Times New Roman" w:hAnsi="Times New Roman"/>
          <w:sz w:val="21"/>
          <w:szCs w:val="21"/>
          <w:color w:val="auto"/>
        </w:rPr>
        <w:t>” means the People’s Republic of China, excluding, for purposes of this Agreement, Hong Kong, Macau,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Taiwan.</w:t>
      </w:r>
    </w:p>
    <w:p>
      <w:pPr>
        <w:spacing w:after="0" w:line="141"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1.11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Combination Product</w:t>
      </w:r>
      <w:r>
        <w:rPr>
          <w:rFonts w:ascii="Times New Roman" w:cs="Times New Roman" w:eastAsia="Times New Roman" w:hAnsi="Times New Roman"/>
          <w:sz w:val="21"/>
          <w:szCs w:val="21"/>
          <w:color w:val="auto"/>
        </w:rPr>
        <w:t>” means a Licensed Product that is comprised of or contains one (1) or more Licensed ADCs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active ingredient together with one (1) or more Other Active Ingredients, whether in the same or different formulations, so long as both the Licensed ADC(s) and Other Active Ingredient(s) are sold as a single unit or for a single price.</w:t>
      </w:r>
    </w:p>
    <w:p>
      <w:pPr>
        <w:spacing w:after="0" w:line="142" w:lineRule="exact"/>
        <w:rPr>
          <w:sz w:val="20"/>
          <w:szCs w:val="20"/>
          <w:color w:val="auto"/>
        </w:rPr>
      </w:pPr>
    </w:p>
    <w:p>
      <w:pPr>
        <w:jc w:val="both"/>
        <w:ind w:firstLine="618"/>
        <w:spacing w:after="0" w:line="228" w:lineRule="auto"/>
        <w:rPr>
          <w:sz w:val="20"/>
          <w:szCs w:val="20"/>
          <w:color w:val="auto"/>
        </w:rPr>
      </w:pPr>
      <w:r>
        <w:rPr>
          <w:rFonts w:ascii="Times New Roman" w:cs="Times New Roman" w:eastAsia="Times New Roman" w:hAnsi="Times New Roman"/>
          <w:sz w:val="20"/>
          <w:szCs w:val="20"/>
          <w:b w:val="1"/>
          <w:bCs w:val="1"/>
          <w:color w:val="auto"/>
        </w:rPr>
        <w:t xml:space="preserve">1.12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Commercialization</w:t>
      </w:r>
      <w:r>
        <w:rPr>
          <w:rFonts w:ascii="Times New Roman" w:cs="Times New Roman" w:eastAsia="Times New Roman" w:hAnsi="Times New Roman"/>
          <w:sz w:val="20"/>
          <w:szCs w:val="20"/>
          <w:color w:val="auto"/>
        </w:rPr>
        <w:t>” means any and all activities related to pre-marketing, launching, marketing, promotion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advertising and detailing), labeling, bidding and listing, pricing and reimbursement, distribution, storage, handling, offering for sale, selling, having sold, importing, having imported, exporting, having exported, distributing, having distributed, providing customer service and support, conducting medical affairs, conducting post-marketing safety surveillance and reporting of or otherwise commercializing Licensed ADCs and/or Licensed Products. “</w:t>
      </w:r>
      <w:r>
        <w:rPr>
          <w:rFonts w:ascii="Times New Roman" w:cs="Times New Roman" w:eastAsia="Times New Roman" w:hAnsi="Times New Roman"/>
          <w:sz w:val="20"/>
          <w:szCs w:val="20"/>
          <w:b w:val="1"/>
          <w:bCs w:val="1"/>
          <w:color w:val="auto"/>
        </w:rPr>
        <w:t>Commercialize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Commercializing</w:t>
      </w:r>
      <w:r>
        <w:rPr>
          <w:rFonts w:ascii="Times New Roman" w:cs="Times New Roman" w:eastAsia="Times New Roman" w:hAnsi="Times New Roman"/>
          <w:sz w:val="20"/>
          <w:szCs w:val="20"/>
          <w:color w:val="auto"/>
        </w:rPr>
        <w:t>” have the correlative meanings.</w:t>
      </w:r>
    </w:p>
    <w:p>
      <w:pPr>
        <w:spacing w:after="0" w:line="200" w:lineRule="exact"/>
        <w:rPr>
          <w:sz w:val="20"/>
          <w:szCs w:val="20"/>
          <w:color w:val="auto"/>
        </w:rPr>
      </w:pPr>
    </w:p>
    <w:p>
      <w:pPr>
        <w:spacing w:after="0" w:line="382" w:lineRule="exact"/>
        <w:rPr>
          <w:sz w:val="20"/>
          <w:szCs w:val="20"/>
          <w:color w:val="auto"/>
        </w:rPr>
      </w:pPr>
    </w:p>
    <w:p>
      <w:pPr>
        <w:jc w:val="both"/>
        <w:ind w:firstLine="618"/>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1.13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Commercially Reasonable Efforts</w:t>
      </w:r>
      <w:r>
        <w:rPr>
          <w:rFonts w:ascii="Times New Roman" w:cs="Times New Roman" w:eastAsia="Times New Roman" w:hAnsi="Times New Roman"/>
          <w:sz w:val="21"/>
          <w:szCs w:val="21"/>
          <w:color w:val="auto"/>
        </w:rPr>
        <w:t>” means, with respect to the efforts to be expended by a Party in connection with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particular activity or objective to be conducted under this Agreement, [***]. Commercially Reasonable Efforts shall be determined on a Region-by-Region basis and it is anticipated that the level of effort and resources that constitute “Commercially Reasonable Efforts” with respect to a particular Region will change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34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Competing Product</w:t>
      </w:r>
      <w:r>
        <w:rPr>
          <w:rFonts w:ascii="Times New Roman" w:cs="Times New Roman" w:eastAsia="Times New Roman" w:hAnsi="Times New Roman"/>
          <w:sz w:val="20"/>
          <w:szCs w:val="20"/>
          <w:color w:val="auto"/>
        </w:rPr>
        <w:t>” means (i) an ADC that includes [***] or (ii) an ADC that includes a [***].</w:t>
      </w:r>
    </w:p>
    <w:p>
      <w:pPr>
        <w:spacing w:after="0" w:line="171" w:lineRule="exact"/>
        <w:rPr>
          <w:sz w:val="20"/>
          <w:szCs w:val="20"/>
          <w:color w:val="auto"/>
        </w:rPr>
      </w:pPr>
    </w:p>
    <w:p>
      <w:pPr>
        <w:jc w:val="both"/>
        <w:ind w:firstLine="618"/>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1.15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(including any variations such as “</w:t>
      </w:r>
      <w:r>
        <w:rPr>
          <w:rFonts w:ascii="Times New Roman" w:cs="Times New Roman" w:eastAsia="Times New Roman" w:hAnsi="Times New Roman"/>
          <w:sz w:val="20"/>
          <w:szCs w:val="20"/>
          <w:b w:val="1"/>
          <w:bCs w:val="1"/>
          <w:color w:val="auto"/>
        </w:rPr>
        <w:t>Controlled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Controlling</w:t>
      </w:r>
      <w:r>
        <w:rPr>
          <w:rFonts w:ascii="Times New Roman" w:cs="Times New Roman" w:eastAsia="Times New Roman" w:hAnsi="Times New Roman"/>
          <w:sz w:val="20"/>
          <w:szCs w:val="20"/>
          <w:color w:val="auto"/>
        </w:rPr>
        <w:t>”), in the context of intellectual property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material, data and/or other information or subject matter, means the possession by a Person of the ability (whether by ownership or license, other than pursuant to a license granted to such Person by a Party to this Agreement) to grant the applicable access to, or a license or sublicense under this Agreement, without violating the terms of any agreement or other arrangement with any Third Party.</w:t>
      </w:r>
    </w:p>
    <w:p>
      <w:pPr>
        <w:spacing w:after="0" w:line="141"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1.16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Cover</w:t>
      </w:r>
      <w:r>
        <w:rPr>
          <w:rFonts w:ascii="Times New Roman" w:cs="Times New Roman" w:eastAsia="Times New Roman" w:hAnsi="Times New Roman"/>
          <w:sz w:val="21"/>
          <w:szCs w:val="21"/>
          <w:color w:val="auto"/>
        </w:rPr>
        <w:t>” means, with respect to a product, technology, process or method, that in the absence of ownership of or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license granted under a Valid Claim, the manufacture, use, offer for sale, sale or importation of such product or the practice of such technology, process or method would infringe such Valid Claim. “</w:t>
      </w:r>
      <w:r>
        <w:rPr>
          <w:rFonts w:ascii="Times New Roman" w:cs="Times New Roman" w:eastAsia="Times New Roman" w:hAnsi="Times New Roman"/>
          <w:sz w:val="21"/>
          <w:szCs w:val="21"/>
          <w:b w:val="1"/>
          <w:bCs w:val="1"/>
          <w:color w:val="auto"/>
        </w:rPr>
        <w:t>Covering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Covered by</w:t>
      </w:r>
      <w:r>
        <w:rPr>
          <w:rFonts w:ascii="Times New Roman" w:cs="Times New Roman" w:eastAsia="Times New Roman" w:hAnsi="Times New Roman"/>
          <w:sz w:val="21"/>
          <w:szCs w:val="21"/>
          <w:color w:val="auto"/>
        </w:rPr>
        <w:t>” have the correlative meanings.</w:t>
      </w:r>
    </w:p>
    <w:p>
      <w:pPr>
        <w:spacing w:after="0" w:line="14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CPT113</w:t>
      </w:r>
      <w:r>
        <w:rPr>
          <w:rFonts w:ascii="Times New Roman" w:cs="Times New Roman" w:eastAsia="Times New Roman" w:hAnsi="Times New Roman"/>
          <w:sz w:val="20"/>
          <w:szCs w:val="20"/>
          <w:color w:val="auto"/>
        </w:rPr>
        <w:t>” means the linker-payload with [***].</w:t>
      </w:r>
    </w:p>
    <w:p>
      <w:pPr>
        <w:spacing w:after="0" w:line="171" w:lineRule="exact"/>
        <w:rPr>
          <w:sz w:val="20"/>
          <w:szCs w:val="20"/>
          <w:color w:val="auto"/>
        </w:rPr>
      </w:pPr>
    </w:p>
    <w:p>
      <w:pPr>
        <w:jc w:val="both"/>
        <w:ind w:firstLine="618"/>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1.18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Data</w:t>
      </w:r>
      <w:r>
        <w:rPr>
          <w:rFonts w:ascii="Times New Roman" w:cs="Times New Roman" w:eastAsia="Times New Roman" w:hAnsi="Times New Roman"/>
          <w:sz w:val="21"/>
          <w:szCs w:val="21"/>
          <w:color w:val="auto"/>
        </w:rPr>
        <w:t>” means any and all manufacturing data, research data, pharmacology data, preclinical data, clinical data and/or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Regulatory Filings and/or other regulatory documentation, information and submissions pertaining to, or made in association with an IND, Marketing Approval Application, or Regulatory Approval, for a Licensed ADC or Licensed Product, in each case to the extent Controlled by WuXi Biologics as of the Effective Date or during the Term.</w:t>
      </w:r>
    </w:p>
    <w:p>
      <w:pPr>
        <w:spacing w:after="0" w:line="141"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1.19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Development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Develop</w:t>
      </w:r>
      <w:r>
        <w:rPr>
          <w:rFonts w:ascii="Times New Roman" w:cs="Times New Roman" w:eastAsia="Times New Roman" w:hAnsi="Times New Roman"/>
          <w:sz w:val="21"/>
          <w:szCs w:val="21"/>
          <w:color w:val="auto"/>
        </w:rPr>
        <w:t>” means (a) non-clinical and clinical research and drug development activities with respect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Licensed ADCs and/or Licensed Products, including nonclinical development, toxicology, pharmacology, statistical analysis, Clinical Trials (including pre- and post-approval studies), regulatory affairs, and regulatory activities pertaining to designing and carrying out Clinical Trials and obtaining Regulatory Approvals (excluding regulatory activities directed to obtaining pricing and reimbursement approvals) and (b) manufacturing process development and generation of chemistry, manufacturing and controls Data for Licensed ADCs and/or Licensed Products.</w:t>
      </w:r>
    </w:p>
    <w:p>
      <w:pPr>
        <w:spacing w:after="0" w:line="144" w:lineRule="exact"/>
        <w:rPr>
          <w:sz w:val="20"/>
          <w:szCs w:val="20"/>
          <w:color w:val="auto"/>
        </w:rPr>
      </w:pPr>
    </w:p>
    <w:p>
      <w:pPr>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1.20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Directed To</w:t>
      </w:r>
      <w:r>
        <w:rPr>
          <w:rFonts w:ascii="Times New Roman" w:cs="Times New Roman" w:eastAsia="Times New Roman" w:hAnsi="Times New Roman"/>
          <w:sz w:val="21"/>
          <w:szCs w:val="21"/>
          <w:color w:val="auto"/>
        </w:rPr>
        <w:t>” means, when used to describe the relationship between an ADC and a Licensed Target, that the ADC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 the Licensed Target (or a portion thereof) and (ii) [***] to such Licensed Target (or such portion thereof).</w:t>
      </w:r>
    </w:p>
    <w:p>
      <w:pPr>
        <w:spacing w:after="0" w:line="141"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0"/>
          <w:szCs w:val="20"/>
          <w:b w:val="1"/>
          <w:bCs w:val="1"/>
          <w:color w:val="auto"/>
        </w:rPr>
        <w:t xml:space="preserve">1.21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Divestiture</w:t>
      </w:r>
      <w:r>
        <w:rPr>
          <w:rFonts w:ascii="Times New Roman" w:cs="Times New Roman" w:eastAsia="Times New Roman" w:hAnsi="Times New Roman"/>
          <w:sz w:val="20"/>
          <w:szCs w:val="20"/>
          <w:color w:val="auto"/>
        </w:rPr>
        <w:t>” means, a Competing Product: (a) the divestiture of such Competing Product through (i) an outright sale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assignment of all material rights in such Competing Product to a Third Party, (ii) an exclusive out-license to a Third Party of all Development and Commercialization rights with respect to such Competing Product, with no further material role, influence or authority of the applicable Party, directly or indirectly, with respect to such Competing Product or (iii) a combination of the transactions contemplated by the foregoing clauses (i) and (ii); or (b) the complete cessation of all Development and Commercialization activities with respect to such Competing Product. When used as a verb, “</w:t>
      </w:r>
      <w:r>
        <w:rPr>
          <w:rFonts w:ascii="Times New Roman" w:cs="Times New Roman" w:eastAsia="Times New Roman" w:hAnsi="Times New Roman"/>
          <w:sz w:val="20"/>
          <w:szCs w:val="20"/>
          <w:b w:val="1"/>
          <w:bCs w:val="1"/>
          <w:color w:val="auto"/>
        </w:rPr>
        <w:t>Divest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Divested</w:t>
      </w:r>
      <w:r>
        <w:rPr>
          <w:rFonts w:ascii="Times New Roman" w:cs="Times New Roman" w:eastAsia="Times New Roman" w:hAnsi="Times New Roman"/>
          <w:sz w:val="20"/>
          <w:szCs w:val="20"/>
          <w:color w:val="auto"/>
        </w:rPr>
        <w:t>” means to cause or have caused a Divestiture.</w:t>
      </w:r>
    </w:p>
    <w:p>
      <w:pPr>
        <w:spacing w:after="0" w:line="14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1.22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EMA</w:t>
      </w:r>
      <w:r>
        <w:rPr>
          <w:rFonts w:ascii="Times New Roman" w:cs="Times New Roman" w:eastAsia="Times New Roman" w:hAnsi="Times New Roman"/>
          <w:sz w:val="20"/>
          <w:szCs w:val="20"/>
          <w:color w:val="auto"/>
        </w:rPr>
        <w:t>” means the European Medicines Agency.</w:t>
      </w:r>
    </w:p>
    <w:p>
      <w:pPr>
        <w:spacing w:after="0" w:line="17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1.23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Enforcement Action</w:t>
      </w:r>
      <w:r>
        <w:rPr>
          <w:rFonts w:ascii="Times New Roman" w:cs="Times New Roman" w:eastAsia="Times New Roman" w:hAnsi="Times New Roman"/>
          <w:sz w:val="20"/>
          <w:szCs w:val="20"/>
          <w:color w:val="auto"/>
        </w:rPr>
        <w:t>” means either an ADC Specific Enforcement Action or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345"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1.24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Exploit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Exploitation</w:t>
      </w:r>
      <w:r>
        <w:rPr>
          <w:rFonts w:ascii="Times New Roman" w:cs="Times New Roman" w:eastAsia="Times New Roman" w:hAnsi="Times New Roman"/>
          <w:sz w:val="21"/>
          <w:szCs w:val="21"/>
          <w:color w:val="auto"/>
        </w:rPr>
        <w:t>” means, to make, have made, use, sell, offer for sale, import, export, and otherwise exploit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have exploited, including Develop, Manufacture and Commercialize.</w:t>
      </w:r>
    </w:p>
    <w:p>
      <w:pPr>
        <w:spacing w:after="0" w:line="14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1.25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w:t>
      </w:r>
      <w:r>
        <w:rPr>
          <w:rFonts w:ascii="Times New Roman" w:cs="Times New Roman" w:eastAsia="Times New Roman" w:hAnsi="Times New Roman"/>
          <w:sz w:val="20"/>
          <w:szCs w:val="20"/>
          <w:color w:val="auto"/>
        </w:rPr>
        <w:t xml:space="preserve"> means the European Union, as its membership may be constituted from time to time, and any successor thereto.</w:t>
      </w:r>
    </w:p>
    <w:p>
      <w:pPr>
        <w:spacing w:after="0" w:line="17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1.26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means the U.S. Food and Drug Administration, or any successor entity thereto performing similar functions.</w:t>
      </w:r>
    </w:p>
    <w:p>
      <w:pPr>
        <w:spacing w:after="0" w:line="17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1.27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Field</w:t>
      </w:r>
      <w:r>
        <w:rPr>
          <w:rFonts w:ascii="Times New Roman" w:cs="Times New Roman" w:eastAsia="Times New Roman" w:hAnsi="Times New Roman"/>
          <w:sz w:val="20"/>
          <w:szCs w:val="20"/>
          <w:color w:val="auto"/>
        </w:rPr>
        <w:t>” means any and all indications and uses.</w:t>
      </w:r>
    </w:p>
    <w:p>
      <w:pPr>
        <w:spacing w:after="0" w:line="171" w:lineRule="exact"/>
        <w:rPr>
          <w:sz w:val="20"/>
          <w:szCs w:val="20"/>
          <w:color w:val="auto"/>
        </w:rPr>
      </w:pPr>
    </w:p>
    <w:p>
      <w:pPr>
        <w:jc w:val="both"/>
        <w:ind w:firstLine="618"/>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1.28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First Commercial Sale</w:t>
      </w:r>
      <w:r>
        <w:rPr>
          <w:rFonts w:ascii="Times New Roman" w:cs="Times New Roman" w:eastAsia="Times New Roman" w:hAnsi="Times New Roman"/>
          <w:sz w:val="21"/>
          <w:szCs w:val="21"/>
          <w:color w:val="auto"/>
        </w:rPr>
        <w:t>” means, on a Region-by-Region basis, the first commercial transfer or disposition for monetary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value of a Licensed Product in a Region in the Territory for use or consumption by a Third Party end user, in each case, after all Regulatory Approvals have been obtained for such Region and where such disposition or transfer results in a recordable Net Sale in accordance with Aadi’s, or its Affiliate’s or Sublicensee’s, applicable accounting practices (consistently applied).</w:t>
      </w:r>
    </w:p>
    <w:p>
      <w:pPr>
        <w:spacing w:after="0" w:line="141" w:lineRule="exact"/>
        <w:rPr>
          <w:sz w:val="20"/>
          <w:szCs w:val="20"/>
          <w:color w:val="auto"/>
        </w:rPr>
      </w:pPr>
    </w:p>
    <w:p>
      <w:pPr>
        <w:jc w:val="both"/>
        <w:ind w:firstLine="618"/>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1.29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Clinical Practice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GCP</w:t>
      </w:r>
      <w:r>
        <w:rPr>
          <w:rFonts w:ascii="Times New Roman" w:cs="Times New Roman" w:eastAsia="Times New Roman" w:hAnsi="Times New Roman"/>
          <w:sz w:val="21"/>
          <w:szCs w:val="21"/>
          <w:color w:val="auto"/>
        </w:rPr>
        <w:t>” means the current standards for clinical studies for pharmaceuticals, as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International Council for Harmonisation of Technical Requirements for Pharmaceuticals for Human Use (“</w:t>
      </w:r>
      <w:r>
        <w:rPr>
          <w:rFonts w:ascii="Times New Roman" w:cs="Times New Roman" w:eastAsia="Times New Roman" w:hAnsi="Times New Roman"/>
          <w:sz w:val="21"/>
          <w:szCs w:val="21"/>
          <w:b w:val="1"/>
          <w:bCs w:val="1"/>
          <w:color w:val="auto"/>
        </w:rPr>
        <w:t>ICH</w:t>
      </w:r>
      <w:r>
        <w:rPr>
          <w:rFonts w:ascii="Times New Roman" w:cs="Times New Roman" w:eastAsia="Times New Roman" w:hAnsi="Times New Roman"/>
          <w:sz w:val="21"/>
          <w:szCs w:val="21"/>
          <w:color w:val="auto"/>
        </w:rPr>
        <w:t>”) guidelines and applicable regulations promulgated thereunder, as amended from time to time, and such standards of good clinical practice as are required by the European Union and other organizations and governmental agencies in countries in which a Licensed Product is intended to be sold to the extent such standards are not less stringent than United States Good Clinical Practice.</w:t>
      </w:r>
    </w:p>
    <w:p>
      <w:pPr>
        <w:spacing w:after="0" w:line="145" w:lineRule="exact"/>
        <w:rPr>
          <w:sz w:val="20"/>
          <w:szCs w:val="20"/>
          <w:color w:val="auto"/>
        </w:rPr>
      </w:pPr>
    </w:p>
    <w:p>
      <w:pPr>
        <w:jc w:val="both"/>
        <w:ind w:firstLine="618"/>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1.30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Laboratory Practice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GLP</w:t>
      </w:r>
      <w:r>
        <w:rPr>
          <w:rFonts w:ascii="Times New Roman" w:cs="Times New Roman" w:eastAsia="Times New Roman" w:hAnsi="Times New Roman"/>
          <w:sz w:val="21"/>
          <w:szCs w:val="21"/>
          <w:color w:val="auto"/>
        </w:rPr>
        <w:t>” means the current standards for laboratory activities for pharmaceuticals, as set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forth in the FDA’s Good Laboratory Practice regulations or the Good Laboratory Practice principles of the Organization for Economic Co-Operation and Development, as amended from time to time, and such standards of good laboratory practice as are required by the European Union and other organizations and governmental agencies in countries in which a Licensed Product is intended to be sold, to the extent such standards are not less stringent than United States Good Laboratory Practice.</w:t>
      </w:r>
    </w:p>
    <w:p>
      <w:pPr>
        <w:spacing w:after="0" w:line="145"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1.31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Manufacturing Practices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GMP</w:t>
      </w:r>
      <w:r>
        <w:rPr>
          <w:rFonts w:ascii="Times New Roman" w:cs="Times New Roman" w:eastAsia="Times New Roman" w:hAnsi="Times New Roman"/>
          <w:sz w:val="21"/>
          <w:szCs w:val="21"/>
          <w:color w:val="auto"/>
        </w:rPr>
        <w:t>” means current good manufacturing practices and standards as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(and as amended from time to time) in (i) the principles detailed in the U.S. Current Good Manufacturing Practices, 21 C.F.R. Sections 210, 211, 601 and 610, (ii) European Community Directive 91/356/EEC (Principles and Guidelines of Good Manufacturing Practice for Medicinal Products), (iii) the principles detailed in the ICH Q7 guidelines, and (iv) the equivalent Applicable Law in any relevant Region; in each case, as may be amended and applicable from time to time, subject to any arrangements, additions, or clarifications agreed in writing from time to time between the Parties.</w:t>
      </w:r>
    </w:p>
    <w:p>
      <w:pPr>
        <w:spacing w:after="0" w:line="144"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1.32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w:t>
      </w:r>
      <w:r>
        <w:rPr>
          <w:rFonts w:ascii="Times New Roman" w:cs="Times New Roman" w:eastAsia="Times New Roman" w:hAnsi="Times New Roman"/>
          <w:sz w:val="21"/>
          <w:szCs w:val="21"/>
          <w:color w:val="auto"/>
        </w:rPr>
        <w:t>” means an Investigational New Drug application, as defined in the U.S. Federal Food, Drug and Cosmetic Act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regulations promulgated thereunder, or comparable filing in a foreign jurisdiction, in each case with respect to a Licensed Product for use within the Field.</w:t>
      </w:r>
    </w:p>
    <w:p>
      <w:pPr>
        <w:spacing w:after="0" w:line="142"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1.33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IND-Enabling Study” </w:t>
      </w:r>
      <w:r>
        <w:rPr>
          <w:rFonts w:ascii="Times New Roman" w:cs="Times New Roman" w:eastAsia="Times New Roman" w:hAnsi="Times New Roman"/>
          <w:sz w:val="21"/>
          <w:szCs w:val="21"/>
          <w:color w:val="auto"/>
        </w:rPr>
        <w:t>means any non-clinical study of a compound (a) that is intended to comply with GLP or (b)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results of which are necessary to support the filing of an IND for such compound.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34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1.34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Indication</w:t>
      </w:r>
      <w:r>
        <w:rPr>
          <w:rFonts w:ascii="Times New Roman" w:cs="Times New Roman" w:eastAsia="Times New Roman" w:hAnsi="Times New Roman"/>
          <w:sz w:val="20"/>
          <w:szCs w:val="20"/>
          <w:color w:val="auto"/>
        </w:rPr>
        <w:t>” means a specific commercial product label indication [***].</w:t>
      </w:r>
    </w:p>
    <w:p>
      <w:pPr>
        <w:spacing w:after="0" w:line="17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1.35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Initiation</w:t>
      </w:r>
      <w:r>
        <w:rPr>
          <w:rFonts w:ascii="Times New Roman" w:cs="Times New Roman" w:eastAsia="Times New Roman" w:hAnsi="Times New Roman"/>
          <w:sz w:val="20"/>
          <w:szCs w:val="20"/>
          <w:color w:val="auto"/>
        </w:rPr>
        <w:t>” means the [***] in a Clinical Trial.</w:t>
      </w:r>
    </w:p>
    <w:p>
      <w:pPr>
        <w:spacing w:after="0" w:line="171"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1.36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Invention</w:t>
      </w:r>
      <w:r>
        <w:rPr>
          <w:rFonts w:ascii="Times New Roman" w:cs="Times New Roman" w:eastAsia="Times New Roman" w:hAnsi="Times New Roman"/>
          <w:sz w:val="21"/>
          <w:szCs w:val="21"/>
          <w:color w:val="auto"/>
        </w:rPr>
        <w:t>” means any invention, whether or not patentable, relating to [***] and made in the course and as a result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conduct of activities conducted pursuant to this Agreement, including [***].</w:t>
      </w:r>
    </w:p>
    <w:p>
      <w:pPr>
        <w:spacing w:after="0" w:line="141"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1.37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Know-How</w:t>
      </w:r>
      <w:r>
        <w:rPr>
          <w:rFonts w:ascii="Times New Roman" w:cs="Times New Roman" w:eastAsia="Times New Roman" w:hAnsi="Times New Roman"/>
          <w:sz w:val="21"/>
          <w:szCs w:val="21"/>
          <w:color w:val="auto"/>
        </w:rPr>
        <w:t>” means any data, results, and information of any type whatsoever, in any tangible or intangible form,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know-how, inventions, discoveries, developments, trade secrets, practices, techniques, methods, processes, specifications, formulations, formulae, materials or compositions of matter of any type or kind (patentable or otherwise), software, algorithms, marketing reports, clinical and non-clinical study reports, regulatory submission documents and summaries, technology, test data including pharmacological, biological, chemical, biochemical, toxicological, and clinical test data, analytical and quality control data, stability data, studies and procedures.</w:t>
      </w:r>
    </w:p>
    <w:p>
      <w:pPr>
        <w:spacing w:after="0" w:line="144"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1.38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ADC</w:t>
      </w:r>
      <w:r>
        <w:rPr>
          <w:rFonts w:ascii="Times New Roman" w:cs="Times New Roman" w:eastAsia="Times New Roman" w:hAnsi="Times New Roman"/>
          <w:sz w:val="21"/>
          <w:szCs w:val="21"/>
          <w:color w:val="auto"/>
        </w:rPr>
        <w:t>” means any ADC Controlled by WuXi Biologics, or any of its Affiliates, as of the Effective Date, or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time during the Term, Directed To (a) MUC16, (b) PTK7 or (c) SEZ6, in each case, that includes a [***].</w:t>
      </w:r>
    </w:p>
    <w:p>
      <w:pPr>
        <w:spacing w:after="0" w:line="141"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1.39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ADC Patents</w:t>
      </w:r>
      <w:r>
        <w:rPr>
          <w:rFonts w:ascii="Times New Roman" w:cs="Times New Roman" w:eastAsia="Times New Roman" w:hAnsi="Times New Roman"/>
          <w:sz w:val="21"/>
          <w:szCs w:val="21"/>
          <w:color w:val="auto"/>
        </w:rPr>
        <w:t>” means all Patents Controlled by WuXi Biologics or any of its Affiliates, as of the Effective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or at any time during the Term that are specific to and claim or Cover any of the Licensed ADCs, [***], or any component thereof. [***].</w:t>
      </w:r>
    </w:p>
    <w:p>
      <w:pPr>
        <w:spacing w:after="0" w:line="14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1.40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Antibody</w:t>
      </w:r>
      <w:r>
        <w:rPr>
          <w:rFonts w:ascii="Times New Roman" w:cs="Times New Roman" w:eastAsia="Times New Roman" w:hAnsi="Times New Roman"/>
          <w:sz w:val="20"/>
          <w:szCs w:val="20"/>
          <w:color w:val="auto"/>
        </w:rPr>
        <w:t>” means each antibody which [***].</w:t>
      </w:r>
    </w:p>
    <w:p>
      <w:pPr>
        <w:spacing w:after="0" w:line="17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1.41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IP</w:t>
      </w:r>
      <w:r>
        <w:rPr>
          <w:rFonts w:ascii="Times New Roman" w:cs="Times New Roman" w:eastAsia="Times New Roman" w:hAnsi="Times New Roman"/>
          <w:sz w:val="20"/>
          <w:szCs w:val="20"/>
          <w:color w:val="auto"/>
        </w:rPr>
        <w:t>” means the Licensed ADC Patents, the Licensed Know-How, and Licensed Platform Patents.</w:t>
      </w:r>
    </w:p>
    <w:p>
      <w:pPr>
        <w:spacing w:after="0" w:line="171"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1.42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Know-How</w:t>
      </w:r>
      <w:r>
        <w:rPr>
          <w:rFonts w:ascii="Times New Roman" w:cs="Times New Roman" w:eastAsia="Times New Roman" w:hAnsi="Times New Roman"/>
          <w:sz w:val="21"/>
          <w:szCs w:val="21"/>
          <w:color w:val="auto"/>
        </w:rPr>
        <w:t>” means all Know-How Controlled by WuXi Biologics or any of its Affiliates, as of the Effective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or at any time during the Term, [***]. “Licensed Know-How” shall include, but is not limited to, [***].</w:t>
      </w:r>
    </w:p>
    <w:p>
      <w:pPr>
        <w:spacing w:after="0" w:line="141"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1.43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Platform Patents</w:t>
      </w:r>
      <w:r>
        <w:rPr>
          <w:rFonts w:ascii="Times New Roman" w:cs="Times New Roman" w:eastAsia="Times New Roman" w:hAnsi="Times New Roman"/>
          <w:sz w:val="21"/>
          <w:szCs w:val="21"/>
          <w:color w:val="auto"/>
        </w:rPr>
        <w:t>” means all Patents Controlled by WuXi Biologics or any of its Affiliates, as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Date or at any time during the Term, [***].</w:t>
      </w:r>
    </w:p>
    <w:p>
      <w:pPr>
        <w:spacing w:after="0" w:line="141"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1.44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Product</w:t>
      </w:r>
      <w:r>
        <w:rPr>
          <w:rFonts w:ascii="Times New Roman" w:cs="Times New Roman" w:eastAsia="Times New Roman" w:hAnsi="Times New Roman"/>
          <w:sz w:val="21"/>
          <w:szCs w:val="21"/>
          <w:color w:val="auto"/>
        </w:rPr>
        <w:t>” means any pharmaceutical product(s) containing a Licensed ADC as an active pharmaceutical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ingredient, including all forms, formulations, modes of administration, presentations, and dosages thereof.</w:t>
      </w:r>
    </w:p>
    <w:p>
      <w:pPr>
        <w:spacing w:after="0" w:line="141"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1.45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Target</w:t>
      </w:r>
      <w:r>
        <w:rPr>
          <w:rFonts w:ascii="Times New Roman" w:cs="Times New Roman" w:eastAsia="Times New Roman" w:hAnsi="Times New Roman"/>
          <w:sz w:val="21"/>
          <w:szCs w:val="21"/>
          <w:color w:val="auto"/>
        </w:rPr>
        <w:t>” means, individually, each of (a) MUC16, (b) PTK7 and (c) SEZ6; and collectively, such targets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Targets</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1.46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Major Market</w:t>
      </w:r>
      <w:r>
        <w:rPr>
          <w:rFonts w:ascii="Times New Roman" w:cs="Times New Roman" w:eastAsia="Times New Roman" w:hAnsi="Times New Roman"/>
          <w:sz w:val="20"/>
          <w:szCs w:val="20"/>
          <w:color w:val="auto"/>
        </w:rPr>
        <w:t>” means, individually, each of the [***]; and collectively, such countries the “</w:t>
      </w:r>
      <w:r>
        <w:rPr>
          <w:rFonts w:ascii="Times New Roman" w:cs="Times New Roman" w:eastAsia="Times New Roman" w:hAnsi="Times New Roman"/>
          <w:sz w:val="20"/>
          <w:szCs w:val="20"/>
          <w:b w:val="1"/>
          <w:bCs w:val="1"/>
          <w:color w:val="auto"/>
        </w:rPr>
        <w:t>Major Markets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618"/>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1.47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Manufacture</w:t>
      </w:r>
      <w:r>
        <w:rPr>
          <w:rFonts w:ascii="Times New Roman" w:cs="Times New Roman" w:eastAsia="Times New Roman" w:hAnsi="Times New Roman"/>
          <w:sz w:val="21"/>
          <w:szCs w:val="21"/>
          <w:color w:val="auto"/>
        </w:rPr>
        <w:t>” means, together with all correlative meanings, with respect to a product, all activities related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production of a Licensed ADC or a Licensed Product, including those manufacturing activities involved in or relating to (a) manufacturing process development, (b) CMC activities including analytical development and qualification, formulation development, solubility testing, bulk drug substance manufacturing, stability testing and scale-up activities, bulk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34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drug product manufacturing and stability testing, (c) quality assurance and quality control activities including validation testing, qualification and audit of clinical and commercial manufacturing facilities, and (d) in the case of either a clinical or commercial supply of such product or supply of such product for any non-clinical study, the manufacturing, processing, formulating, packaging, labeling, holding, quality control testing and release of such product.</w:t>
      </w:r>
    </w:p>
    <w:p>
      <w:pPr>
        <w:spacing w:after="0" w:line="141"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1.48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Marketing Approval</w:t>
      </w:r>
      <w:r>
        <w:rPr>
          <w:rFonts w:ascii="Times New Roman" w:cs="Times New Roman" w:eastAsia="Times New Roman" w:hAnsi="Times New Roman"/>
          <w:sz w:val="21"/>
          <w:szCs w:val="21"/>
          <w:color w:val="auto"/>
        </w:rPr>
        <w:t>” shall mean approval of a Marketing Approval Application by the applicable Regulatory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Authority.</w:t>
      </w:r>
    </w:p>
    <w:p>
      <w:pPr>
        <w:spacing w:after="0" w:line="141"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1.49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Marketing Approval Application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MAA</w:t>
      </w:r>
      <w:r>
        <w:rPr>
          <w:rFonts w:ascii="Times New Roman" w:cs="Times New Roman" w:eastAsia="Times New Roman" w:hAnsi="Times New Roman"/>
          <w:sz w:val="21"/>
          <w:szCs w:val="21"/>
          <w:color w:val="auto"/>
        </w:rPr>
        <w:t>” means an application requesting Regulatory Approval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marketing and/or commercialization of a Licensed Product for a particular Indication in a particular jurisdiction filed with the relevant Regulatory Authorities in such jurisdiction, including with respect to the U.S., a Biologics License Application submitted to the FDA pursuant to Section 351(a) of the Public Health Service Act (“</w:t>
      </w:r>
      <w:r>
        <w:rPr>
          <w:rFonts w:ascii="Times New Roman" w:cs="Times New Roman" w:eastAsia="Times New Roman" w:hAnsi="Times New Roman"/>
          <w:sz w:val="21"/>
          <w:szCs w:val="21"/>
          <w:b w:val="1"/>
          <w:bCs w:val="1"/>
          <w:color w:val="auto"/>
        </w:rPr>
        <w:t>BLA”)</w:t>
      </w:r>
      <w:r>
        <w:rPr>
          <w:rFonts w:ascii="Times New Roman" w:cs="Times New Roman" w:eastAsia="Times New Roman" w:hAnsi="Times New Roman"/>
          <w:sz w:val="21"/>
          <w:szCs w:val="21"/>
          <w:color w:val="auto"/>
        </w:rPr>
        <w:t xml:space="preserve"> or a New Drug Application (as more fully defined in 21 CFR 314.5, et seq.) filed with the FDA, or any successor application thereto in the U.S. (“</w:t>
      </w:r>
      <w:r>
        <w:rPr>
          <w:rFonts w:ascii="Times New Roman" w:cs="Times New Roman" w:eastAsia="Times New Roman" w:hAnsi="Times New Roman"/>
          <w:sz w:val="21"/>
          <w:szCs w:val="21"/>
          <w:b w:val="1"/>
          <w:bCs w:val="1"/>
          <w:color w:val="auto"/>
        </w:rPr>
        <w:t>NDA”)</w:t>
      </w:r>
      <w:r>
        <w:rPr>
          <w:rFonts w:ascii="Times New Roman" w:cs="Times New Roman" w:eastAsia="Times New Roman" w:hAnsi="Times New Roman"/>
          <w:sz w:val="21"/>
          <w:szCs w:val="21"/>
          <w:color w:val="auto"/>
        </w:rPr>
        <w:t>. Where used in this Agreement, the “filing” of an NDA shall mean acceptance by the FDA of such NDA for substantive review.</w:t>
      </w:r>
    </w:p>
    <w:p>
      <w:pPr>
        <w:spacing w:after="0" w:line="144"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1.50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MUC16 Program</w:t>
      </w:r>
      <w:r>
        <w:rPr>
          <w:rFonts w:ascii="Times New Roman" w:cs="Times New Roman" w:eastAsia="Times New Roman" w:hAnsi="Times New Roman"/>
          <w:sz w:val="21"/>
          <w:szCs w:val="21"/>
          <w:color w:val="auto"/>
        </w:rPr>
        <w:t>” means WuXi Biologics’ pre-clinical development program relating to MUC16, as licensed to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further Exploited by Aadi hereunder.</w:t>
      </w:r>
    </w:p>
    <w:p>
      <w:pPr>
        <w:spacing w:after="0" w:line="141"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1.51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Sales</w:t>
      </w:r>
      <w:r>
        <w:rPr>
          <w:rFonts w:ascii="Times New Roman" w:cs="Times New Roman" w:eastAsia="Times New Roman" w:hAnsi="Times New Roman"/>
          <w:sz w:val="21"/>
          <w:szCs w:val="21"/>
          <w:color w:val="auto"/>
        </w:rPr>
        <w:t>” means the sales revenues received by Aadi, its Affiliates and/or Sublicensees, from sales of Licensed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Products to Third Party customers, less reasonable and customary deductions for the following items incurred with respect to sales to such customers:</w:t>
      </w:r>
    </w:p>
    <w:p>
      <w:pPr>
        <w:spacing w:after="0" w:line="146" w:lineRule="exact"/>
        <w:rPr>
          <w:sz w:val="20"/>
          <w:szCs w:val="20"/>
          <w:color w:val="auto"/>
        </w:rPr>
      </w:pPr>
    </w:p>
    <w:p>
      <w:pPr>
        <w:ind w:left="1860" w:hanging="621"/>
        <w:spacing w:after="0"/>
        <w:tabs>
          <w:tab w:leader="none" w:pos="1860"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trade, cash and quantity discounts;</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price reductions, chargebacks, rebates and allowances, retroactive or otherwise, [***];</w:t>
      </w:r>
    </w:p>
    <w:p>
      <w:pPr>
        <w:spacing w:after="0" w:line="170" w:lineRule="exact"/>
        <w:rPr>
          <w:rFonts w:ascii="Times New Roman" w:cs="Times New Roman" w:eastAsia="Times New Roman" w:hAnsi="Times New Roman"/>
          <w:sz w:val="21"/>
          <w:szCs w:val="21"/>
          <w:color w:val="auto"/>
        </w:rPr>
      </w:pPr>
    </w:p>
    <w:p>
      <w:pPr>
        <w:ind w:firstLine="1239"/>
        <w:spacing w:after="0" w:line="235" w:lineRule="auto"/>
        <w:tabs>
          <w:tab w:leader="none" w:pos="1851"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repaid or credited by reason of rejections, defects, damaged, outdated or recalled Licensed Products, returned goods allowance, billing errors, or because of retroactive price reductions, including rebates or wholesaler chargebacks;</w:t>
      </w:r>
    </w:p>
    <w:p>
      <w:pPr>
        <w:spacing w:after="0" w:line="143"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of governmental and other rebates (or the equivalent thereof) paid during the relevant reporting period</w:t>
      </w:r>
    </w:p>
    <w:p>
      <w:pPr>
        <w:ind w:left="500" w:hanging="497"/>
        <w:spacing w:after="0"/>
        <w:tabs>
          <w:tab w:leader="none" w:pos="50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relating to such Licensed Product;</w:t>
      </w:r>
    </w:p>
    <w:p>
      <w:pPr>
        <w:spacing w:after="0" w:line="135"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fees paid to wholesalers, distributors, warehousing chains and selling agents [***] with respect to a Licensed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Product;</w:t>
      </w:r>
    </w:p>
    <w:p>
      <w:pPr>
        <w:spacing w:after="0" w:line="148" w:lineRule="exact"/>
        <w:rPr>
          <w:rFonts w:ascii="Times New Roman" w:cs="Times New Roman" w:eastAsia="Times New Roman" w:hAnsi="Times New Roman"/>
          <w:sz w:val="21"/>
          <w:szCs w:val="21"/>
          <w:color w:val="auto"/>
        </w:rPr>
      </w:pPr>
    </w:p>
    <w:p>
      <w:pPr>
        <w:ind w:firstLine="1239"/>
        <w:spacing w:after="0" w:line="235" w:lineRule="auto"/>
        <w:tabs>
          <w:tab w:leader="none" w:pos="1854" w:val="left"/>
        </w:tabs>
        <w:numPr>
          <w:ilvl w:val="1"/>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tariffs, taxes, customs duties and other governmental charges [***] levied on or measured by the billing amount for Licensed Products and actually paid;</w:t>
      </w:r>
    </w:p>
    <w:p>
      <w:pPr>
        <w:spacing w:after="0" w:line="145" w:lineRule="exact"/>
        <w:rPr>
          <w:rFonts w:ascii="Times New Roman" w:cs="Times New Roman" w:eastAsia="Times New Roman" w:hAnsi="Times New Roman"/>
          <w:sz w:val="21"/>
          <w:szCs w:val="21"/>
          <w:color w:val="auto"/>
        </w:rPr>
      </w:pPr>
    </w:p>
    <w:p>
      <w:pPr>
        <w:ind w:firstLine="1239"/>
        <w:spacing w:after="0" w:line="235" w:lineRule="auto"/>
        <w:tabs>
          <w:tab w:leader="none" w:pos="1850" w:val="left"/>
        </w:tabs>
        <w:numPr>
          <w:ilvl w:val="1"/>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freight, postage, insurance, packing, import/export, and other transportation charges as well as any distribution expenses and fees related to the distribution of such Licensed Product; and</w:t>
      </w:r>
    </w:p>
    <w:p>
      <w:pPr>
        <w:spacing w:after="0" w:line="145"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similar and customary deductions that are consistent with generally accepted accounting principles.</w:t>
      </w:r>
    </w:p>
    <w:p>
      <w:pPr>
        <w:spacing w:after="0" w:line="171" w:lineRule="exact"/>
        <w:rPr>
          <w:sz w:val="20"/>
          <w:szCs w:val="20"/>
          <w:color w:val="auto"/>
        </w:rPr>
      </w:pPr>
    </w:p>
    <w:p>
      <w:pPr>
        <w:ind w:firstLine="243"/>
        <w:spacing w:after="0" w:line="235" w:lineRule="auto"/>
        <w:rPr>
          <w:sz w:val="20"/>
          <w:szCs w:val="20"/>
          <w:color w:val="auto"/>
        </w:rPr>
      </w:pPr>
      <w:r>
        <w:rPr>
          <w:rFonts w:ascii="Times New Roman" w:cs="Times New Roman" w:eastAsia="Times New Roman" w:hAnsi="Times New Roman"/>
          <w:sz w:val="21"/>
          <w:szCs w:val="21"/>
          <w:color w:val="auto"/>
        </w:rPr>
        <w:t>For clarity, sales of Licensed Products between or among Aadi and its Affiliates and Sublicensees for resale shall be excluded from Net Sales, but the subsequent resale of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34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Products shall be included in Net Sales. Transfers, use or sales of Licensed Products for research, Development (including for Clinical Trials), promotional or advertising purposes or as donations or the like or as “treatment IND sales,” “named patient sales,” “compassionate use sales” or pursuant to any expanded access programs, in each case, shall not be included in Net Sales.</w:t>
      </w:r>
    </w:p>
    <w:p>
      <w:pPr>
        <w:spacing w:after="0" w:line="145" w:lineRule="exact"/>
        <w:rPr>
          <w:sz w:val="20"/>
          <w:szCs w:val="20"/>
          <w:color w:val="auto"/>
        </w:rPr>
      </w:pPr>
    </w:p>
    <w:p>
      <w:pPr>
        <w:jc w:val="both"/>
        <w:ind w:firstLine="346"/>
        <w:spacing w:after="0" w:line="235" w:lineRule="auto"/>
        <w:rPr>
          <w:sz w:val="20"/>
          <w:szCs w:val="20"/>
          <w:color w:val="auto"/>
        </w:rPr>
      </w:pPr>
      <w:r>
        <w:rPr>
          <w:rFonts w:ascii="Times New Roman" w:cs="Times New Roman" w:eastAsia="Times New Roman" w:hAnsi="Times New Roman"/>
          <w:sz w:val="21"/>
          <w:szCs w:val="21"/>
          <w:color w:val="auto"/>
        </w:rPr>
        <w:t>The gross amount received for any Licensed Product included in a Combination Product in a particular Region and during a particular reporting period shall be calculated by [***].</w:t>
      </w:r>
    </w:p>
    <w:p>
      <w:pPr>
        <w:spacing w:after="0" w:line="141"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1.52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Active Ingredient</w:t>
      </w:r>
      <w:r>
        <w:rPr>
          <w:rFonts w:ascii="Times New Roman" w:cs="Times New Roman" w:eastAsia="Times New Roman" w:hAnsi="Times New Roman"/>
          <w:sz w:val="21"/>
          <w:szCs w:val="21"/>
          <w:color w:val="auto"/>
        </w:rPr>
        <w:t>” means any active pharmaceutical ingredient, which active pharmaceutical ingredient is not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Licensed ADC.</w:t>
      </w:r>
    </w:p>
    <w:p>
      <w:pPr>
        <w:spacing w:after="0" w:line="14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1.53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means WuXi Biologics or Aadi, individually; and “Parties” means WuXi Biologics and Aadi, collectively.</w:t>
      </w:r>
    </w:p>
    <w:p>
      <w:pPr>
        <w:spacing w:after="0" w:line="171" w:lineRule="exact"/>
        <w:rPr>
          <w:sz w:val="20"/>
          <w:szCs w:val="20"/>
          <w:color w:val="auto"/>
        </w:rPr>
      </w:pPr>
    </w:p>
    <w:p>
      <w:pPr>
        <w:jc w:val="both"/>
        <w:ind w:firstLine="773"/>
        <w:spacing w:after="0" w:line="212" w:lineRule="auto"/>
        <w:rPr>
          <w:sz w:val="20"/>
          <w:szCs w:val="20"/>
          <w:color w:val="auto"/>
        </w:rPr>
      </w:pPr>
      <w:r>
        <w:rPr>
          <w:rFonts w:ascii="Times New Roman" w:cs="Times New Roman" w:eastAsia="Times New Roman" w:hAnsi="Times New Roman"/>
          <w:sz w:val="21"/>
          <w:szCs w:val="21"/>
          <w:b w:val="1"/>
          <w:bCs w:val="1"/>
          <w:color w:val="auto"/>
        </w:rPr>
        <w:t xml:space="preserve">1.54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Patent(s)</w:t>
      </w:r>
      <w:r>
        <w:rPr>
          <w:rFonts w:ascii="Times New Roman" w:cs="Times New Roman" w:eastAsia="Times New Roman" w:hAnsi="Times New Roman"/>
          <w:sz w:val="21"/>
          <w:szCs w:val="21"/>
          <w:color w:val="auto"/>
        </w:rPr>
        <w:t>” means (a) all national, regional and international patents and patent applications filed anywhere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world, including without limitation provisional patent applications, (b) all patent applications filed either from such patents and patent applications or from a patent application claiming priority from any of these, including any continuation, continuation-in-part, division, provisional, converted provisional and continued prosecution applications, or any substitute applications, (c) any patent issued with respect to or in the future issued from any such patent applications including utility patents, utility models, petty patents and design patents and certificates of invention, and (d) any and all extensions or restorations by existing or future extension or restoration mechanisms, including revalidations, reissues, reexaminations and extensions (including any supplementary protection certificates and the like) of the foregoing patents or patent applications.</w:t>
      </w:r>
    </w:p>
    <w:p>
      <w:pPr>
        <w:spacing w:after="0" w:line="148" w:lineRule="exact"/>
        <w:rPr>
          <w:sz w:val="20"/>
          <w:szCs w:val="20"/>
          <w:color w:val="auto"/>
        </w:rPr>
      </w:pPr>
    </w:p>
    <w:p>
      <w:pPr>
        <w:jc w:val="both"/>
        <w:ind w:firstLine="773"/>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1.55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any individual, partnership, joint venture, limited liability company, corporation, firm, trust,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association, unincorporated organization, governmental authority or agency, or any other entity not specifically listed herein.</w:t>
      </w:r>
    </w:p>
    <w:p>
      <w:pPr>
        <w:spacing w:after="0" w:line="141" w:lineRule="exact"/>
        <w:rPr>
          <w:sz w:val="20"/>
          <w:szCs w:val="20"/>
          <w:color w:val="auto"/>
        </w:rPr>
      </w:pPr>
    </w:p>
    <w:p>
      <w:pPr>
        <w:jc w:val="both"/>
        <w:ind w:firstLine="773"/>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1.56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Phase 1 Clinical Trial</w:t>
      </w:r>
      <w:r>
        <w:rPr>
          <w:rFonts w:ascii="Times New Roman" w:cs="Times New Roman" w:eastAsia="Times New Roman" w:hAnsi="Times New Roman"/>
          <w:sz w:val="21"/>
          <w:szCs w:val="21"/>
          <w:color w:val="auto"/>
        </w:rPr>
        <w:t>” means a human clinical trial of a Licensed Product, the principal purpose of which is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preliminary determination of safety, tolerability and/or pharmacokinetics in healthy individuals or patients and that would satisfy the requirements under 21 C.F.R. § 312.21(a) for the U.S., as amended from time to time, or the corresponding foreign regulations for a comparable filing with a comparable Regulatory Authority.</w:t>
      </w:r>
    </w:p>
    <w:p>
      <w:pPr>
        <w:spacing w:after="0" w:line="141" w:lineRule="exact"/>
        <w:rPr>
          <w:sz w:val="20"/>
          <w:szCs w:val="20"/>
          <w:color w:val="auto"/>
        </w:rPr>
      </w:pPr>
    </w:p>
    <w:p>
      <w:pPr>
        <w:jc w:val="both"/>
        <w:ind w:firstLine="773"/>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1.57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Phase 2 Clinical Trial</w:t>
      </w:r>
      <w:r>
        <w:rPr>
          <w:rFonts w:ascii="Times New Roman" w:cs="Times New Roman" w:eastAsia="Times New Roman" w:hAnsi="Times New Roman"/>
          <w:sz w:val="20"/>
          <w:szCs w:val="20"/>
          <w:color w:val="auto"/>
        </w:rPr>
        <w:t>” means a human clinical trial of a Licensed Product, the principal purpose of which is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preliminary determination of efficacy and/or preliminary establishment of appropriate dose ranges for efficacy and safety in patients with the disease or condition being studied and that would satisfy the requirements under 21 C.F.R. § 312.21(b) for the U.S., as amended from time to time, or the corresponding foreign regulations for a comparable filing with a comparable Regulatory Authority.</w:t>
      </w:r>
    </w:p>
    <w:p>
      <w:pPr>
        <w:spacing w:after="0" w:line="141" w:lineRule="exact"/>
        <w:rPr>
          <w:sz w:val="20"/>
          <w:szCs w:val="20"/>
          <w:color w:val="auto"/>
        </w:rPr>
      </w:pPr>
    </w:p>
    <w:p>
      <w:pPr>
        <w:jc w:val="both"/>
        <w:ind w:firstLine="773"/>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1.58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Phase 3 Clinical Trial</w:t>
      </w:r>
      <w:r>
        <w:rPr>
          <w:rFonts w:ascii="Times New Roman" w:cs="Times New Roman" w:eastAsia="Times New Roman" w:hAnsi="Times New Roman"/>
          <w:sz w:val="21"/>
          <w:szCs w:val="21"/>
          <w:color w:val="auto"/>
        </w:rPr>
        <w:t>” means a human clinical trial of a Licensed Product, (a) the principal purpose of which is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establish safety and efficacy in patients with the disease being studied and that would satisfy the requirements under 21 C.F.R. §312.21(c) for the U.S., as amended from time to time, or the corresponding foreign regulations for a comparable filing with a comparable Regulatory Authority, and (b) that is designed and intended to be of a size and statistical power sufficient to serve as a pivotal study to support the filing of an MAA for the Indication being studied.</w:t>
      </w:r>
    </w:p>
    <w:p>
      <w:pPr>
        <w:spacing w:after="0" w:line="145" w:lineRule="exact"/>
        <w:rPr>
          <w:sz w:val="20"/>
          <w:szCs w:val="20"/>
          <w:color w:val="auto"/>
        </w:rPr>
      </w:pPr>
    </w:p>
    <w:p>
      <w:pPr>
        <w:ind w:left="78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1.59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Pre-Clinical Candidate</w:t>
      </w:r>
      <w:r>
        <w:rPr>
          <w:rFonts w:ascii="Times New Roman" w:cs="Times New Roman" w:eastAsia="Times New Roman" w:hAnsi="Times New Roman"/>
          <w:sz w:val="20"/>
          <w:szCs w:val="20"/>
          <w:color w:val="auto"/>
        </w:rPr>
        <w:t>” means a Licensed ADC Directed to SEZ6 or MUC16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345" w:lineRule="exact"/>
        <w:rPr>
          <w:sz w:val="20"/>
          <w:szCs w:val="20"/>
          <w:color w:val="auto"/>
        </w:rPr>
      </w:pPr>
    </w:p>
    <w:p>
      <w:pPr>
        <w:jc w:val="both"/>
        <w:ind w:firstLine="773"/>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1.60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Pricing and Reimbursement Approval</w:t>
      </w:r>
      <w:r>
        <w:rPr>
          <w:rFonts w:ascii="Times New Roman" w:cs="Times New Roman" w:eastAsia="Times New Roman" w:hAnsi="Times New Roman"/>
          <w:sz w:val="21"/>
          <w:szCs w:val="21"/>
          <w:color w:val="auto"/>
        </w:rPr>
        <w:t>” means, with respect to any Region in the Territory in which governmental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authorities determine the pricing at which a Licensed Product will be reimbursed, the approval, agreement, determination or decision by the applicable governmental authorities establishing the pricing and reimbursement status for such Licensed Product.</w:t>
      </w:r>
    </w:p>
    <w:p>
      <w:pPr>
        <w:spacing w:after="0" w:line="142" w:lineRule="exact"/>
        <w:rPr>
          <w:sz w:val="20"/>
          <w:szCs w:val="20"/>
          <w:color w:val="auto"/>
        </w:rPr>
      </w:pPr>
    </w:p>
    <w:p>
      <w:pPr>
        <w:jc w:val="both"/>
        <w:ind w:firstLine="773"/>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1.61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Prior CDA</w:t>
      </w:r>
      <w:r>
        <w:rPr>
          <w:rFonts w:ascii="Times New Roman" w:cs="Times New Roman" w:eastAsia="Times New Roman" w:hAnsi="Times New Roman"/>
          <w:sz w:val="20"/>
          <w:szCs w:val="20"/>
          <w:color w:val="auto"/>
        </w:rPr>
        <w:t>” means that certain Mutual Confidentiality Agreement, dated [***], between WuXi Biologics (Hong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Kong) Limited, Hangzhou DAC Biotechnology Co., Ltd. and Aadi [***], as may be amended by the parties thereto from time to time.</w:t>
      </w:r>
    </w:p>
    <w:p>
      <w:pPr>
        <w:spacing w:after="0" w:line="124" w:lineRule="exact"/>
        <w:rPr>
          <w:sz w:val="20"/>
          <w:szCs w:val="20"/>
          <w:color w:val="auto"/>
        </w:rPr>
      </w:pPr>
    </w:p>
    <w:p>
      <w:pPr>
        <w:ind w:left="78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1.62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Program</w:t>
      </w:r>
      <w:r>
        <w:rPr>
          <w:rFonts w:ascii="Times New Roman" w:cs="Times New Roman" w:eastAsia="Times New Roman" w:hAnsi="Times New Roman"/>
          <w:sz w:val="20"/>
          <w:szCs w:val="20"/>
          <w:color w:val="auto"/>
        </w:rPr>
        <w:t>” means (a) the MUC16 Program, (b) the PTK7 Program or (c) the SEZ6 Program.</w:t>
      </w:r>
    </w:p>
    <w:p>
      <w:pPr>
        <w:spacing w:after="0" w:line="171" w:lineRule="exact"/>
        <w:rPr>
          <w:sz w:val="20"/>
          <w:szCs w:val="20"/>
          <w:color w:val="auto"/>
        </w:rPr>
      </w:pPr>
    </w:p>
    <w:p>
      <w:pPr>
        <w:ind w:left="78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1.63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Program Patent</w:t>
      </w:r>
      <w:r>
        <w:rPr>
          <w:rFonts w:ascii="Times New Roman" w:cs="Times New Roman" w:eastAsia="Times New Roman" w:hAnsi="Times New Roman"/>
          <w:sz w:val="20"/>
          <w:szCs w:val="20"/>
          <w:color w:val="auto"/>
        </w:rPr>
        <w:t>” means any Patent claiming an Invention.</w:t>
      </w:r>
    </w:p>
    <w:p>
      <w:pPr>
        <w:spacing w:after="0" w:line="171" w:lineRule="exact"/>
        <w:rPr>
          <w:sz w:val="20"/>
          <w:szCs w:val="20"/>
          <w:color w:val="auto"/>
        </w:rPr>
      </w:pPr>
    </w:p>
    <w:p>
      <w:pPr>
        <w:jc w:val="both"/>
        <w:ind w:firstLine="773"/>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1.64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PTK7 Program</w:t>
      </w:r>
      <w:r>
        <w:rPr>
          <w:rFonts w:ascii="Times New Roman" w:cs="Times New Roman" w:eastAsia="Times New Roman" w:hAnsi="Times New Roman"/>
          <w:sz w:val="21"/>
          <w:szCs w:val="21"/>
          <w:color w:val="auto"/>
        </w:rPr>
        <w:t>” means WuXi Biologics’ pre-clinical development program relating to PTK7, as licensed to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further Exploited by Aadi hereunder.</w:t>
      </w:r>
    </w:p>
    <w:p>
      <w:pPr>
        <w:spacing w:after="0" w:line="141" w:lineRule="exact"/>
        <w:rPr>
          <w:sz w:val="20"/>
          <w:szCs w:val="20"/>
          <w:color w:val="auto"/>
        </w:rPr>
      </w:pPr>
    </w:p>
    <w:p>
      <w:pPr>
        <w:ind w:left="78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1.65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Region</w:t>
      </w:r>
      <w:r>
        <w:rPr>
          <w:rFonts w:ascii="Times New Roman" w:cs="Times New Roman" w:eastAsia="Times New Roman" w:hAnsi="Times New Roman"/>
          <w:sz w:val="20"/>
          <w:szCs w:val="20"/>
          <w:color w:val="auto"/>
        </w:rPr>
        <w:t>” means a jurisdiction (a country or region) in the Territory.</w:t>
      </w:r>
    </w:p>
    <w:p>
      <w:pPr>
        <w:spacing w:after="0" w:line="171" w:lineRule="exact"/>
        <w:rPr>
          <w:sz w:val="20"/>
          <w:szCs w:val="20"/>
          <w:color w:val="auto"/>
        </w:rPr>
      </w:pPr>
    </w:p>
    <w:p>
      <w:pPr>
        <w:jc w:val="both"/>
        <w:ind w:firstLine="773"/>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1.66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Regulatory Approval</w:t>
      </w:r>
      <w:r>
        <w:rPr>
          <w:rFonts w:ascii="Times New Roman" w:cs="Times New Roman" w:eastAsia="Times New Roman" w:hAnsi="Times New Roman"/>
          <w:sz w:val="21"/>
          <w:szCs w:val="21"/>
          <w:color w:val="auto"/>
        </w:rPr>
        <w:t>” means all approvals, licenses, registrations or authorizations of any governmental entity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necessary for the manufacturing, use, storage, import, transport and sale of Licensed ADCs or Licensed Products in a regulatory jurisdiction, including in each case, Pricing and Reimbursement Approval.</w:t>
      </w:r>
    </w:p>
    <w:p>
      <w:pPr>
        <w:spacing w:after="0" w:line="142" w:lineRule="exact"/>
        <w:rPr>
          <w:sz w:val="20"/>
          <w:szCs w:val="20"/>
          <w:color w:val="auto"/>
        </w:rPr>
      </w:pPr>
    </w:p>
    <w:p>
      <w:pPr>
        <w:jc w:val="both"/>
        <w:ind w:firstLine="773"/>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1.67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Regulatory Authority</w:t>
      </w:r>
      <w:r>
        <w:rPr>
          <w:rFonts w:ascii="Times New Roman" w:cs="Times New Roman" w:eastAsia="Times New Roman" w:hAnsi="Times New Roman"/>
          <w:sz w:val="21"/>
          <w:szCs w:val="21"/>
          <w:color w:val="auto"/>
        </w:rPr>
        <w:t>” means any national (e.g., the FDA) or, supra-national (e.g., the EMA), or other governmental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entity in any jurisdiction of the world involved in the granting of Regulatory Approval for pharmaceutical products.</w:t>
      </w:r>
    </w:p>
    <w:p>
      <w:pPr>
        <w:spacing w:after="0" w:line="141" w:lineRule="exact"/>
        <w:rPr>
          <w:sz w:val="20"/>
          <w:szCs w:val="20"/>
          <w:color w:val="auto"/>
        </w:rPr>
      </w:pPr>
    </w:p>
    <w:p>
      <w:pPr>
        <w:jc w:val="both"/>
        <w:ind w:firstLine="773"/>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1.68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Regulatory Filing</w:t>
      </w:r>
      <w:r>
        <w:rPr>
          <w:rFonts w:ascii="Times New Roman" w:cs="Times New Roman" w:eastAsia="Times New Roman" w:hAnsi="Times New Roman"/>
          <w:sz w:val="21"/>
          <w:szCs w:val="21"/>
          <w:color w:val="auto"/>
        </w:rPr>
        <w:t>” means all approvals, licenses, registrations, submissions and authorizations made to or received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a Regulatory Authority in a jurisdiction necessary for or in connection with the development, manufacture and/or commercialization of a pharmaceutical product, including any INDs, Marketing Approval Applications and Regulatory Approvals.</w:t>
      </w:r>
    </w:p>
    <w:p>
      <w:pPr>
        <w:spacing w:after="0" w:line="142" w:lineRule="exact"/>
        <w:rPr>
          <w:sz w:val="20"/>
          <w:szCs w:val="20"/>
          <w:color w:val="auto"/>
        </w:rPr>
      </w:pPr>
    </w:p>
    <w:p>
      <w:pPr>
        <w:jc w:val="both"/>
        <w:ind w:firstLine="773"/>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1.69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Segregate</w:t>
      </w:r>
      <w:r>
        <w:rPr>
          <w:rFonts w:ascii="Times New Roman" w:cs="Times New Roman" w:eastAsia="Times New Roman" w:hAnsi="Times New Roman"/>
          <w:sz w:val="21"/>
          <w:szCs w:val="21"/>
          <w:color w:val="auto"/>
        </w:rPr>
        <w:t>” means, with respect to a Competing Product, to use [***] to segregate the Development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Commercialization activities relating to such Competing Product, as applicable, from Development and Commercialization activities with respect to Licensed ADCs and Licensed Products under this Agreement, [***].</w:t>
      </w:r>
    </w:p>
    <w:p>
      <w:pPr>
        <w:spacing w:after="0" w:line="142" w:lineRule="exact"/>
        <w:rPr>
          <w:sz w:val="20"/>
          <w:szCs w:val="20"/>
          <w:color w:val="auto"/>
        </w:rPr>
      </w:pPr>
    </w:p>
    <w:p>
      <w:pPr>
        <w:jc w:val="both"/>
        <w:ind w:firstLine="773"/>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1.70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Senior Executives</w:t>
      </w:r>
      <w:r>
        <w:rPr>
          <w:rFonts w:ascii="Times New Roman" w:cs="Times New Roman" w:eastAsia="Times New Roman" w:hAnsi="Times New Roman"/>
          <w:sz w:val="21"/>
          <w:szCs w:val="21"/>
          <w:color w:val="auto"/>
        </w:rPr>
        <w:t>” means the Chief Executive Officer or General Counsel of Aadi (or their designee) and the Chief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Officer of WuXi Biologics (or their designee).</w:t>
      </w:r>
    </w:p>
    <w:p>
      <w:pPr>
        <w:spacing w:after="0" w:line="141" w:lineRule="exact"/>
        <w:rPr>
          <w:sz w:val="20"/>
          <w:szCs w:val="20"/>
          <w:color w:val="auto"/>
        </w:rPr>
      </w:pPr>
    </w:p>
    <w:p>
      <w:pPr>
        <w:jc w:val="both"/>
        <w:ind w:firstLine="773"/>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1.71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SEZ6 Program</w:t>
      </w:r>
      <w:r>
        <w:rPr>
          <w:rFonts w:ascii="Times New Roman" w:cs="Times New Roman" w:eastAsia="Times New Roman" w:hAnsi="Times New Roman"/>
          <w:sz w:val="21"/>
          <w:szCs w:val="21"/>
          <w:color w:val="auto"/>
        </w:rPr>
        <w:t>” means WuXi Biologics’ pre-clinical development program relating to SEZ6, as licensed to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further Exploited by Aadi hereunder.</w:t>
      </w:r>
    </w:p>
    <w:p>
      <w:pPr>
        <w:spacing w:after="0" w:line="141" w:lineRule="exact"/>
        <w:rPr>
          <w:sz w:val="20"/>
          <w:szCs w:val="20"/>
          <w:color w:val="auto"/>
        </w:rPr>
      </w:pPr>
    </w:p>
    <w:p>
      <w:pPr>
        <w:jc w:val="both"/>
        <w:ind w:firstLine="773"/>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1.72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Sublicensee</w:t>
      </w:r>
      <w:r>
        <w:rPr>
          <w:rFonts w:ascii="Times New Roman" w:cs="Times New Roman" w:eastAsia="Times New Roman" w:hAnsi="Times New Roman"/>
          <w:sz w:val="21"/>
          <w:szCs w:val="21"/>
          <w:color w:val="auto"/>
        </w:rPr>
        <w:t>” means a Third Party that has been granted a right to sell, market, distribute and/or promote Licensed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Products in the Territory pursuant to Section 2.2 excluding any distributor, wholesaler or reseller of a Licensed Product who does not market or promote such Licensed Product.</w:t>
      </w:r>
    </w:p>
    <w:p>
      <w:pPr>
        <w:spacing w:after="0" w:line="142" w:lineRule="exact"/>
        <w:rPr>
          <w:sz w:val="20"/>
          <w:szCs w:val="20"/>
          <w:color w:val="auto"/>
        </w:rPr>
      </w:pPr>
    </w:p>
    <w:p>
      <w:pPr>
        <w:ind w:left="78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1.73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Territory</w:t>
      </w:r>
      <w:r>
        <w:rPr>
          <w:rFonts w:ascii="Times New Roman" w:cs="Times New Roman" w:eastAsia="Times New Roman" w:hAnsi="Times New Roman"/>
          <w:sz w:val="20"/>
          <w:szCs w:val="20"/>
          <w:color w:val="auto"/>
        </w:rPr>
        <w:t>” means worldwide.</w:t>
      </w:r>
    </w:p>
    <w:p>
      <w:pPr>
        <w:spacing w:after="0" w:line="171" w:lineRule="exact"/>
        <w:rPr>
          <w:sz w:val="20"/>
          <w:szCs w:val="20"/>
          <w:color w:val="auto"/>
        </w:rPr>
      </w:pPr>
    </w:p>
    <w:p>
      <w:pPr>
        <w:ind w:left="78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1.74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w:t>
      </w:r>
      <w:r>
        <w:rPr>
          <w:rFonts w:ascii="Times New Roman" w:cs="Times New Roman" w:eastAsia="Times New Roman" w:hAnsi="Times New Roman"/>
          <w:sz w:val="20"/>
          <w:szCs w:val="20"/>
          <w:color w:val="auto"/>
        </w:rPr>
        <w:t>” means any Person other than a Party or an Affiliate of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345" w:lineRule="exact"/>
        <w:rPr>
          <w:sz w:val="20"/>
          <w:szCs w:val="20"/>
          <w:color w:val="auto"/>
        </w:rPr>
      </w:pPr>
    </w:p>
    <w:p>
      <w:pPr>
        <w:ind w:right="100" w:firstLine="773"/>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1.75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Upstream Agreements</w:t>
      </w:r>
      <w:r>
        <w:rPr>
          <w:rFonts w:ascii="Times New Roman" w:cs="Times New Roman" w:eastAsia="Times New Roman" w:hAnsi="Times New Roman"/>
          <w:sz w:val="21"/>
          <w:szCs w:val="21"/>
          <w:color w:val="auto"/>
        </w:rPr>
        <w:t>” means [***]. The Upstream Agreements include those certain agreements listed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Schedule 1.75, which may be updated from time to time by the Parties.</w:t>
      </w:r>
    </w:p>
    <w:p>
      <w:pPr>
        <w:spacing w:after="0" w:line="141" w:lineRule="exact"/>
        <w:rPr>
          <w:sz w:val="20"/>
          <w:szCs w:val="20"/>
          <w:color w:val="auto"/>
        </w:rPr>
      </w:pPr>
    </w:p>
    <w:p>
      <w:pPr>
        <w:ind w:left="78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1.76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xml:space="preserve"> means the United States of America, including its territories and possessions</w:t>
      </w:r>
    </w:p>
    <w:p>
      <w:pPr>
        <w:spacing w:after="0" w:line="171" w:lineRule="exact"/>
        <w:rPr>
          <w:sz w:val="20"/>
          <w:szCs w:val="20"/>
          <w:color w:val="auto"/>
        </w:rPr>
      </w:pPr>
    </w:p>
    <w:p>
      <w:pPr>
        <w:ind w:left="78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1.77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Valid Claim</w:t>
      </w:r>
      <w:r>
        <w:rPr>
          <w:rFonts w:ascii="Times New Roman" w:cs="Times New Roman" w:eastAsia="Times New Roman" w:hAnsi="Times New Roman"/>
          <w:sz w:val="20"/>
          <w:szCs w:val="20"/>
          <w:color w:val="auto"/>
        </w:rPr>
        <w:t>” means [***].</w:t>
      </w:r>
    </w:p>
    <w:p>
      <w:pPr>
        <w:spacing w:after="0" w:line="171" w:lineRule="exact"/>
        <w:rPr>
          <w:sz w:val="20"/>
          <w:szCs w:val="20"/>
          <w:color w:val="auto"/>
        </w:rPr>
      </w:pPr>
    </w:p>
    <w:p>
      <w:pPr>
        <w:ind w:right="100" w:firstLine="773"/>
        <w:spacing w:after="0" w:line="237" w:lineRule="auto"/>
        <w:rPr>
          <w:sz w:val="20"/>
          <w:szCs w:val="20"/>
          <w:color w:val="auto"/>
        </w:rPr>
      </w:pPr>
      <w:r>
        <w:rPr>
          <w:rFonts w:ascii="Times New Roman" w:cs="Times New Roman" w:eastAsia="Times New Roman" w:hAnsi="Times New Roman"/>
          <w:sz w:val="21"/>
          <w:szCs w:val="21"/>
          <w:b w:val="1"/>
          <w:bCs w:val="1"/>
          <w:color w:val="auto"/>
        </w:rPr>
        <w:t>1.78 Additional Definitions</w:t>
      </w:r>
      <w:r>
        <w:rPr>
          <w:rFonts w:ascii="Times New Roman" w:cs="Times New Roman" w:eastAsia="Times New Roman" w:hAnsi="Times New Roman"/>
          <w:sz w:val="21"/>
          <w:szCs w:val="21"/>
          <w:color w:val="auto"/>
        </w:rPr>
        <w:t>. Each of the following terms shall have the meaning described in the corresponding section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indicated below:</w:t>
      </w:r>
    </w:p>
    <w:p>
      <w:pPr>
        <w:spacing w:after="0" w:line="200" w:lineRule="exact"/>
        <w:rPr>
          <w:sz w:val="20"/>
          <w:szCs w:val="20"/>
          <w:color w:val="auto"/>
        </w:rPr>
      </w:pPr>
    </w:p>
    <w:p>
      <w:pPr>
        <w:spacing w:after="0" w:line="221" w:lineRule="exact"/>
        <w:rPr>
          <w:sz w:val="20"/>
          <w:szCs w:val="20"/>
          <w:color w:val="auto"/>
        </w:rPr>
      </w:pPr>
    </w:p>
    <w:tbl>
      <w:tblPr>
        <w:tblLayout w:type="fixed"/>
        <w:tblInd w:w="630" w:type="dxa"/>
        <w:tblCellMar>
          <w:top w:w="0" w:type="dxa"/>
          <w:left w:w="0" w:type="dxa"/>
          <w:bottom w:w="0" w:type="dxa"/>
          <w:right w:w="0" w:type="dxa"/>
        </w:tblCellMar>
      </w:tblPr>
      <w:tr>
        <w:trPr>
          <w:trHeight w:val="270"/>
        </w:trPr>
        <w:tc>
          <w:tcPr>
            <w:tcW w:w="5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Term</w:t>
            </w:r>
          </w:p>
        </w:tc>
        <w:tc>
          <w:tcPr>
            <w:tcW w:w="50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color w:val="auto"/>
              </w:rPr>
              <w:t>Section Defined</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Aadi</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Preamble</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Aadi Indemnitees</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14.2</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Agreement</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Preamble</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Alliance Manager</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3.6</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BLA</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1.49</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CRO Services</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4.1</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Closing Payment</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7.1(b)</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Closing Period</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7.1(b)</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Commercial Milestone Event</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7.3(a)</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Commercial Milestone Payments</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7.3(a)</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Confidential Information</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9.1</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DAC</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2.3(a)</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Development Milestone Event</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7.2(a)</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Development Milestone Payments</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7.2(a)</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Diligence Milestone</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6.4</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Disclosing Party</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9.1</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Dispute</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15.1</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EAR</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13.1(x)</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Effective Date</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Preamble</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FCPA</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13.3(b)</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Global Safety Database</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6.3</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Government Official</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13.3(b)</w:t>
            </w:r>
          </w:p>
        </w:tc>
      </w:tr>
      <w:tr>
        <w:trPr>
          <w:trHeight w:val="250"/>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r>
    </w:tbl>
    <w:p>
      <w:pPr>
        <w:spacing w:after="0" w:line="200" w:lineRule="exact"/>
        <w:rPr>
          <w:sz w:val="20"/>
          <w:szCs w:val="20"/>
          <w:color w:val="auto"/>
        </w:rPr>
      </w:pPr>
    </w:p>
    <w:p>
      <w:pPr>
        <w:sectPr>
          <w:pgSz w:w="11900" w:h="16838" w:orient="portrait"/>
          <w:cols w:equalWidth="0" w:num="1">
            <w:col w:w="11340"/>
          </w:cols>
          <w:pgMar w:left="32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340"/>
          </w:cols>
          <w:pgMar w:left="320" w:top="1440" w:right="239" w:bottom="1440" w:gutter="0" w:footer="0" w:header="0"/>
          <w:type w:val="continuous"/>
        </w:sectPr>
      </w:pPr>
    </w:p>
    <w:bookmarkStart w:id="254" w:name="page255"/>
    <w:bookmarkEnd w:id="254"/>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60" w:type="dxa"/>
            <w:vAlign w:val="bottom"/>
            <w:tcBorders>
              <w:top w:val="single" w:sz="8" w:color="auto"/>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ICH</w:t>
            </w:r>
          </w:p>
        </w:tc>
        <w:tc>
          <w:tcPr>
            <w:tcW w:w="2460" w:type="dxa"/>
            <w:vAlign w:val="bottom"/>
            <w:tcBorders>
              <w:top w:val="single" w:sz="8" w:color="auto"/>
              <w:bottom w:val="single" w:sz="8" w:color="auto"/>
            </w:tcBorders>
          </w:tcPr>
          <w:p>
            <w:pPr>
              <w:spacing w:after="0"/>
              <w:rPr>
                <w:sz w:val="23"/>
                <w:szCs w:val="23"/>
                <w:color w:val="auto"/>
              </w:rPr>
            </w:pPr>
          </w:p>
        </w:tc>
        <w:tc>
          <w:tcPr>
            <w:tcW w:w="2420" w:type="dxa"/>
            <w:vAlign w:val="bottom"/>
            <w:tcBorders>
              <w:top w:val="single" w:sz="8" w:color="auto"/>
              <w:bottom w:val="single" w:sz="8" w:color="auto"/>
              <w:right w:val="single" w:sz="8" w:color="auto"/>
            </w:tcBorders>
          </w:tcPr>
          <w:p>
            <w:pPr>
              <w:spacing w:after="0"/>
              <w:rPr>
                <w:sz w:val="23"/>
                <w:szCs w:val="23"/>
                <w:color w:val="auto"/>
              </w:rPr>
            </w:pPr>
          </w:p>
        </w:tc>
        <w:tc>
          <w:tcPr>
            <w:tcW w:w="50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1.29</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Indemnitee</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14.3</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Indemnitor</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14.3</w:t>
            </w:r>
          </w:p>
        </w:tc>
      </w:tr>
      <w:tr>
        <w:trPr>
          <w:trHeight w:val="250"/>
        </w:trPr>
        <w:tc>
          <w:tcPr>
            <w:tcW w:w="7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JSC</w:t>
            </w:r>
          </w:p>
        </w:tc>
        <w:tc>
          <w:tcPr>
            <w:tcW w:w="246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3.1</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Liabilities</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14.1</w:t>
            </w:r>
          </w:p>
        </w:tc>
      </w:tr>
      <w:tr>
        <w:trPr>
          <w:trHeight w:val="250"/>
        </w:trPr>
        <w:tc>
          <w:tcPr>
            <w:tcW w:w="7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7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7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w w:val="95"/>
              </w:rPr>
              <w:t>MUC16</w:t>
            </w:r>
          </w:p>
        </w:tc>
        <w:tc>
          <w:tcPr>
            <w:tcW w:w="246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Recital A</w:t>
            </w:r>
          </w:p>
        </w:tc>
      </w:tr>
      <w:tr>
        <w:trPr>
          <w:trHeight w:val="250"/>
        </w:trPr>
        <w:tc>
          <w:tcPr>
            <w:tcW w:w="7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NDA</w:t>
            </w:r>
          </w:p>
        </w:tc>
        <w:tc>
          <w:tcPr>
            <w:tcW w:w="246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1.49</w:t>
            </w:r>
          </w:p>
        </w:tc>
      </w:tr>
      <w:tr>
        <w:trPr>
          <w:trHeight w:val="250"/>
        </w:trPr>
        <w:tc>
          <w:tcPr>
            <w:tcW w:w="7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7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OFAC</w:t>
            </w:r>
          </w:p>
        </w:tc>
        <w:tc>
          <w:tcPr>
            <w:tcW w:w="246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13.1(x)</w:t>
            </w:r>
          </w:p>
        </w:tc>
      </w:tr>
      <w:tr>
        <w:trPr>
          <w:trHeight w:val="250"/>
        </w:trPr>
        <w:tc>
          <w:tcPr>
            <w:tcW w:w="7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PTK7</w:t>
            </w:r>
          </w:p>
        </w:tc>
        <w:tc>
          <w:tcPr>
            <w:tcW w:w="246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Recital A</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Recall Costs</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14.5(b)</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Receiving Party</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9.1</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Representatives</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9.1</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Restricted Party</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13.1(z)</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Right of Reference</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6.8</w:t>
            </w:r>
          </w:p>
        </w:tc>
      </w:tr>
      <w:tr>
        <w:trPr>
          <w:trHeight w:val="250"/>
        </w:trPr>
        <w:tc>
          <w:tcPr>
            <w:tcW w:w="7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Royalty Floor</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7.4(c)(v)</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Royalty Report</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7.4(d)</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Royalty Term</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7.4(b)</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Sanctioned Country</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13.1(z)</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SDN List</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13.1(z)</w:t>
            </w:r>
          </w:p>
        </w:tc>
      </w:tr>
      <w:tr>
        <w:trPr>
          <w:trHeight w:val="250"/>
        </w:trPr>
        <w:tc>
          <w:tcPr>
            <w:tcW w:w="7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46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Sell-Off Period</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12.2(b)</w:t>
            </w:r>
          </w:p>
        </w:tc>
      </w:tr>
      <w:tr>
        <w:trPr>
          <w:trHeight w:val="250"/>
        </w:trPr>
        <w:tc>
          <w:tcPr>
            <w:tcW w:w="7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SEZ6</w:t>
            </w:r>
          </w:p>
        </w:tc>
        <w:tc>
          <w:tcPr>
            <w:tcW w:w="246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Recital A</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Signing Payment</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7.1(a)</w:t>
            </w:r>
          </w:p>
        </w:tc>
      </w:tr>
      <w:tr>
        <w:trPr>
          <w:trHeight w:val="250"/>
        </w:trPr>
        <w:tc>
          <w:tcPr>
            <w:tcW w:w="7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Term</w:t>
            </w:r>
          </w:p>
        </w:tc>
        <w:tc>
          <w:tcPr>
            <w:tcW w:w="2460" w:type="dxa"/>
            <w:vAlign w:val="bottom"/>
            <w:tcBorders>
              <w:bottom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11.1</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Third Party Claim</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14.1</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WuXi Biologics</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Preamble</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WuXi Biologics Indemnitees</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14.1</w:t>
            </w:r>
          </w:p>
        </w:tc>
      </w:tr>
      <w:tr>
        <w:trPr>
          <w:trHeight w:val="250"/>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WuXi XDC</w:t>
            </w:r>
          </w:p>
        </w:tc>
        <w:tc>
          <w:tcPr>
            <w:tcW w:w="242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2.3(a)</w:t>
            </w:r>
          </w:p>
        </w:tc>
      </w:tr>
      <w:tr>
        <w:trPr>
          <w:trHeight w:val="456"/>
        </w:trPr>
        <w:tc>
          <w:tcPr>
            <w:tcW w:w="7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500" w:type="dxa"/>
            <w:vAlign w:val="bottom"/>
            <w:gridSpan w:val="2"/>
          </w:tcPr>
          <w:p>
            <w:pPr>
              <w:ind w:left="1180"/>
              <w:spacing w:after="0"/>
              <w:rPr>
                <w:sz w:val="20"/>
                <w:szCs w:val="20"/>
                <w:color w:val="auto"/>
              </w:rPr>
            </w:pPr>
            <w:r>
              <w:rPr>
                <w:rFonts w:ascii="Times New Roman" w:cs="Times New Roman" w:eastAsia="Times New Roman" w:hAnsi="Times New Roman"/>
                <w:sz w:val="21"/>
                <w:szCs w:val="21"/>
                <w:b w:val="1"/>
                <w:bCs w:val="1"/>
                <w:color w:val="auto"/>
              </w:rPr>
              <w:t>ARTICLE II</w:t>
            </w:r>
          </w:p>
        </w:tc>
      </w:tr>
      <w:tr>
        <w:trPr>
          <w:trHeight w:val="272"/>
        </w:trPr>
        <w:tc>
          <w:tcPr>
            <w:tcW w:w="7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7500" w:type="dxa"/>
            <w:vAlign w:val="bottom"/>
            <w:gridSpan w:val="2"/>
          </w:tcPr>
          <w:p>
            <w:pPr>
              <w:ind w:left="760"/>
              <w:spacing w:after="0"/>
              <w:rPr>
                <w:sz w:val="20"/>
                <w:szCs w:val="20"/>
                <w:color w:val="auto"/>
              </w:rPr>
            </w:pPr>
            <w:r>
              <w:rPr>
                <w:rFonts w:ascii="Times New Roman" w:cs="Times New Roman" w:eastAsia="Times New Roman" w:hAnsi="Times New Roman"/>
                <w:sz w:val="21"/>
                <w:szCs w:val="21"/>
                <w:b w:val="1"/>
                <w:bCs w:val="1"/>
                <w:color w:val="auto"/>
              </w:rPr>
              <w:t>GRANT OF LICENSE</w:t>
            </w:r>
          </w:p>
        </w:tc>
      </w:tr>
      <w:tr>
        <w:trPr>
          <w:trHeight w:val="409"/>
        </w:trPr>
        <w:tc>
          <w:tcPr>
            <w:tcW w:w="7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2.1</w:t>
            </w:r>
          </w:p>
        </w:tc>
        <w:tc>
          <w:tcPr>
            <w:tcW w:w="246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Licenses</w:t>
            </w:r>
            <w:r>
              <w:rPr>
                <w:rFonts w:ascii="Times New Roman" w:cs="Times New Roman" w:eastAsia="Times New Roman" w:hAnsi="Times New Roman"/>
                <w:sz w:val="21"/>
                <w:szCs w:val="21"/>
                <w:color w:val="auto"/>
              </w:rPr>
              <w:t>.</w:t>
            </w:r>
          </w:p>
        </w:tc>
        <w:tc>
          <w:tcPr>
            <w:tcW w:w="242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40" w:lineRule="exact"/>
        <w:rPr>
          <w:sz w:val="20"/>
          <w:szCs w:val="20"/>
          <w:color w:val="auto"/>
        </w:rPr>
      </w:pPr>
    </w:p>
    <w:p>
      <w:pPr>
        <w:jc w:val="both"/>
        <w:ind w:left="-620" w:right="100" w:firstLine="1239"/>
        <w:spacing w:after="0" w:line="226" w:lineRule="auto"/>
        <w:tabs>
          <w:tab w:leader="none" w:pos="1231"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Exclusive License</w:t>
      </w:r>
      <w:r>
        <w:rPr>
          <w:rFonts w:ascii="Times New Roman" w:cs="Times New Roman" w:eastAsia="Times New Roman" w:hAnsi="Times New Roman"/>
          <w:sz w:val="21"/>
          <w:szCs w:val="21"/>
          <w:color w:val="auto"/>
        </w:rPr>
        <w:t>. Subject to the terms and conditions of this Agreement, WuXi Biologics hereby grants to Aadi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exclusive (even as to WuXi Biologics and its Affiliates), royalty-bearing, transferrable (subject to Section 16.8) license, with the right to grant and authorize</w:t>
      </w:r>
    </w:p>
    <w:p>
      <w:pPr>
        <w:sectPr>
          <w:pgSz w:w="11900" w:h="16838" w:orient="portrait"/>
          <w:cols w:equalWidth="0" w:num="1">
            <w:col w:w="10720"/>
          </w:cols>
          <w:pgMar w:left="9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720"/>
          </w:cols>
          <w:pgMar w:left="940" w:top="1440" w:right="239" w:bottom="1440" w:gutter="0" w:footer="0" w:header="0"/>
          <w:type w:val="continuous"/>
        </w:sectPr>
      </w:pPr>
    </w:p>
    <w:bookmarkStart w:id="255" w:name="page256"/>
    <w:bookmarkEnd w:id="255"/>
    <w:p>
      <w:pPr>
        <w:spacing w:after="0" w:line="34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sublicenses through multiple tiers as provided in Section 2.2, under the Licensed IP, to Exploit Licensed ADCs and Licensed Products in the Field in the Territory.</w:t>
      </w:r>
    </w:p>
    <w:p>
      <w:pPr>
        <w:spacing w:after="0" w:line="141" w:lineRule="exact"/>
        <w:rPr>
          <w:sz w:val="20"/>
          <w:szCs w:val="20"/>
          <w:color w:val="auto"/>
        </w:rPr>
      </w:pPr>
    </w:p>
    <w:p>
      <w:pPr>
        <w:jc w:val="both"/>
        <w:ind w:firstLine="1239"/>
        <w:spacing w:after="0" w:line="226" w:lineRule="auto"/>
        <w:tabs>
          <w:tab w:leader="none" w:pos="185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License to WuXi Biologics to Perform Obligations</w:t>
      </w:r>
      <w:r>
        <w:rPr>
          <w:rFonts w:ascii="Times New Roman" w:cs="Times New Roman" w:eastAsia="Times New Roman" w:hAnsi="Times New Roman"/>
          <w:sz w:val="21"/>
          <w:szCs w:val="21"/>
          <w:color w:val="auto"/>
        </w:rPr>
        <w:t>. Subject to the terms and conditions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Aadi hereby grants to WuXi Biologics a non-exclusive, royalty-free license under the Licensed IP in the Field in the Territory as necessary for WuXi Biologics to perform its obligations for the benefit of Aadi under this Agreement.</w:t>
      </w:r>
    </w:p>
    <w:p>
      <w:pPr>
        <w:spacing w:after="0" w:line="142"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2.2</w:t>
      </w:r>
      <w:r>
        <w:rPr>
          <w:sz w:val="20"/>
          <w:szCs w:val="20"/>
          <w:color w:val="auto"/>
        </w:rPr>
        <w:tab/>
      </w:r>
      <w:r>
        <w:rPr>
          <w:rFonts w:ascii="Times New Roman" w:cs="Times New Roman" w:eastAsia="Times New Roman" w:hAnsi="Times New Roman"/>
          <w:sz w:val="20"/>
          <w:szCs w:val="20"/>
          <w:b w:val="1"/>
          <w:bCs w:val="1"/>
          <w:color w:val="auto"/>
        </w:rPr>
        <w:t>Sublicensing</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39"/>
        <w:spacing w:after="0" w:line="225" w:lineRule="auto"/>
        <w:tabs>
          <w:tab w:leader="none" w:pos="1851"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Aadi shall have the right to grant and authorize sublicenses under the license set forth above in Section 2.1(a) without the consent of WuXi Biologics to one or more Affiliates of Aadi or to Third Parties. Any sublicense by Aadi pursuant to this Section 2.2(a) shall be subject to the following: [***].</w:t>
      </w:r>
    </w:p>
    <w:p>
      <w:pPr>
        <w:spacing w:after="0" w:line="144" w:lineRule="exact"/>
        <w:rPr>
          <w:rFonts w:ascii="Times New Roman" w:cs="Times New Roman" w:eastAsia="Times New Roman" w:hAnsi="Times New Roman"/>
          <w:sz w:val="21"/>
          <w:szCs w:val="21"/>
          <w:color w:val="auto"/>
        </w:rPr>
      </w:pPr>
    </w:p>
    <w:p>
      <w:pPr>
        <w:jc w:val="both"/>
        <w:ind w:firstLine="1239"/>
        <w:spacing w:after="0" w:line="220" w:lineRule="auto"/>
        <w:tabs>
          <w:tab w:leader="none" w:pos="1850"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WuXi Biologics may not grant sublicenses of any of the rights granted to it by Aadi under Section 2.1(b) to any Third Party or Affiliate without the prior written consent of Aadi, [***], provided that WuXi Biologics may grant sublicenses of any such rights to its Affiliate WuXi XDC Hong Kong Limited without such consent solely in order for such Affiliate to perform CRO Services pursuant to ARTICLE IV.</w:t>
      </w:r>
    </w:p>
    <w:p>
      <w:pPr>
        <w:spacing w:after="0" w:line="141"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2.3</w:t>
      </w:r>
      <w:r>
        <w:rPr>
          <w:sz w:val="20"/>
          <w:szCs w:val="20"/>
          <w:color w:val="auto"/>
        </w:rPr>
        <w:tab/>
      </w:r>
      <w:r>
        <w:rPr>
          <w:rFonts w:ascii="Times New Roman" w:cs="Times New Roman" w:eastAsia="Times New Roman" w:hAnsi="Times New Roman"/>
          <w:sz w:val="20"/>
          <w:szCs w:val="20"/>
          <w:b w:val="1"/>
          <w:bCs w:val="1"/>
          <w:color w:val="auto"/>
        </w:rPr>
        <w:t>Transfer of Licensed Know-How</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39"/>
        <w:spacing w:after="0" w:line="225" w:lineRule="auto"/>
        <w:tabs>
          <w:tab w:leader="none" w:pos="1851"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 of receipt of the Signing Payment, WuXi Biologics shall (i) cause Hangzhou DAC Biotechnology Co., Ltd. (“</w:t>
      </w:r>
      <w:r>
        <w:rPr>
          <w:rFonts w:ascii="Times New Roman" w:cs="Times New Roman" w:eastAsia="Times New Roman" w:hAnsi="Times New Roman"/>
          <w:sz w:val="21"/>
          <w:szCs w:val="21"/>
          <w:b w:val="1"/>
          <w:bCs w:val="1"/>
          <w:color w:val="auto"/>
        </w:rPr>
        <w:t>DAC</w:t>
      </w:r>
      <w:r>
        <w:rPr>
          <w:rFonts w:ascii="Times New Roman" w:cs="Times New Roman" w:eastAsia="Times New Roman" w:hAnsi="Times New Roman"/>
          <w:sz w:val="21"/>
          <w:szCs w:val="21"/>
          <w:color w:val="auto"/>
        </w:rPr>
        <w:t>”) to transfer to Aadi or WuXi Biologics’ Affiliate, WuXi XDC Hong Kong Limited (“</w:t>
      </w:r>
      <w:r>
        <w:rPr>
          <w:rFonts w:ascii="Times New Roman" w:cs="Times New Roman" w:eastAsia="Times New Roman" w:hAnsi="Times New Roman"/>
          <w:sz w:val="21"/>
          <w:szCs w:val="21"/>
          <w:b w:val="1"/>
          <w:bCs w:val="1"/>
          <w:color w:val="auto"/>
        </w:rPr>
        <w:t>WuXi XDC</w:t>
      </w:r>
      <w:r>
        <w:rPr>
          <w:rFonts w:ascii="Times New Roman" w:cs="Times New Roman" w:eastAsia="Times New Roman" w:hAnsi="Times New Roman"/>
          <w:sz w:val="21"/>
          <w:szCs w:val="21"/>
          <w:color w:val="auto"/>
        </w:rPr>
        <w:t>”), the Know-How set forth on Schedule 2.3(a) and (ii) provide Aadi [***] to enable Aadi to Exploit the Licensed IP.</w:t>
      </w:r>
    </w:p>
    <w:p>
      <w:pPr>
        <w:spacing w:after="0" w:line="144" w:lineRule="exact"/>
        <w:rPr>
          <w:rFonts w:ascii="Times New Roman" w:cs="Times New Roman" w:eastAsia="Times New Roman" w:hAnsi="Times New Roman"/>
          <w:sz w:val="21"/>
          <w:szCs w:val="21"/>
          <w:color w:val="auto"/>
        </w:rPr>
      </w:pPr>
    </w:p>
    <w:p>
      <w:pPr>
        <w:jc w:val="both"/>
        <w:ind w:firstLine="1239"/>
        <w:spacing w:after="0" w:line="220" w:lineRule="auto"/>
        <w:tabs>
          <w:tab w:leader="none" w:pos="1850"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 of receipt of the Closing Payment, WuXi Biologics shall, and if applicable, shall cause its Affiliates and/or licensors (including DAC) to, transfer to Aadi the [***]. The deliverables outlined in Section 2.3(b) are independent of those specified in Section 2.3(a). The delivery, or lack thereof, of Section 2.3(b) does not affect WuXi Biologics' right to receive remuneration for the stages that have been completed in 2.3(a).</w:t>
      </w:r>
    </w:p>
    <w:p>
      <w:pPr>
        <w:spacing w:after="0" w:line="144" w:lineRule="exact"/>
        <w:rPr>
          <w:rFonts w:ascii="Times New Roman" w:cs="Times New Roman" w:eastAsia="Times New Roman" w:hAnsi="Times New Roman"/>
          <w:sz w:val="21"/>
          <w:szCs w:val="21"/>
          <w:color w:val="auto"/>
        </w:rPr>
      </w:pPr>
    </w:p>
    <w:p>
      <w:pPr>
        <w:jc w:val="both"/>
        <w:ind w:firstLine="1239"/>
        <w:spacing w:after="0" w:line="212" w:lineRule="auto"/>
        <w:tabs>
          <w:tab w:leader="none" w:pos="1851"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Section 2.3(a) and Section 2.3(b), within [***] of Aadi’s request, WuXi Biologics shall, and if applicable, shall cause its Affiliates and licensors (including DAC) to, promptly transfer to Aadi all Licensed Know-How that has not previously been provided to Aadi hereunder; provided, [***]. WuXi Biologics shall provide the Licensed Know-How in electronic form to the extent the same exists in electronic form, and shall provide copies or an opportunity to inspect (and copy) for all other materials comprising such Licensed Know-How. Without limiting the generality of the foregoing, WuXi Biologics shall provide to Aadi true and complete copies of all written, graphic or electronic embodiments of Data generated by or on behalf of WuXi Biologics with respect to Licensed ADCs and Licensed Products, including all final protocols and all final reports of each IND-Enabling Study conducted pursuant to an SOW.</w:t>
      </w:r>
    </w:p>
    <w:p>
      <w:pPr>
        <w:spacing w:after="0" w:line="143" w:lineRule="exact"/>
        <w:rPr>
          <w:rFonts w:ascii="Times New Roman" w:cs="Times New Roman" w:eastAsia="Times New Roman" w:hAnsi="Times New Roman"/>
          <w:sz w:val="21"/>
          <w:szCs w:val="21"/>
          <w:color w:val="auto"/>
        </w:rPr>
      </w:pPr>
    </w:p>
    <w:p>
      <w:pPr>
        <w:jc w:val="both"/>
        <w:ind w:firstLine="1239"/>
        <w:spacing w:after="0" w:line="226" w:lineRule="auto"/>
        <w:tabs>
          <w:tab w:leader="none" w:pos="1850"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Storage of Materials</w:t>
      </w:r>
      <w:r>
        <w:rPr>
          <w:rFonts w:ascii="Times New Roman" w:cs="Times New Roman" w:eastAsia="Times New Roman" w:hAnsi="Times New Roman"/>
          <w:sz w:val="21"/>
          <w:szCs w:val="21"/>
          <w:color w:val="auto"/>
        </w:rPr>
        <w:t>. [***]. WuXi Biologics will deliver such biological materials to Aadi promptly following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Aadi’s written request therefor. Until such time as Aadi requests, WuXi Biologics shall properly store such materials, consistent with the manner in which the materials were stored by or on behalf of WuXi Biologics prior to the Effective Date.</w:t>
      </w:r>
    </w:p>
    <w:p>
      <w:pPr>
        <w:spacing w:after="0" w:line="141" w:lineRule="exact"/>
        <w:rPr>
          <w:rFonts w:ascii="Times New Roman" w:cs="Times New Roman" w:eastAsia="Times New Roman" w:hAnsi="Times New Roman"/>
          <w:sz w:val="21"/>
          <w:szCs w:val="21"/>
          <w:color w:val="auto"/>
        </w:rPr>
      </w:pPr>
    </w:p>
    <w:p>
      <w:pPr>
        <w:ind w:firstLine="1239"/>
        <w:spacing w:after="0" w:line="237" w:lineRule="auto"/>
        <w:tabs>
          <w:tab w:leader="none" w:pos="1851"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Cooperation</w:t>
      </w:r>
      <w:r>
        <w:rPr>
          <w:rFonts w:ascii="Times New Roman" w:cs="Times New Roman" w:eastAsia="Times New Roman" w:hAnsi="Times New Roman"/>
          <w:sz w:val="21"/>
          <w:szCs w:val="21"/>
          <w:color w:val="auto"/>
        </w:rPr>
        <w:t>. The Parties will cooperate and reasonably agree upon formats and procedures to facilitate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orderly and efficient exchange of the Licensed Know-How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349"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accordance with this Section 2.3. Without limiting the foregoing, all Licensed Know-How shall be made available to Aadi (i) in sufficient form and detail to permit Aadi to use and/or practice such technology, to the extent that WuXi Biologics or its Affiliate has such Know-How (or can reasonably generate such Know-How) in such form and detail and (ii) in the language in which it was created together with a complete, certified English translation of the same. Upon the request of Aadi, WuXi Biologics shall, and if applicable, shall cause its Affiliates to, reasonably cooperate with and assist Aadi as may be necessary or desirable in order to allow Aadi to understand the Licensed Know-How and to utilize the Licensed Know-How for the purposes contemplated in this Agreement. Additionally, upon Aadi’s reasonable request, WuXi Biologics shall provide reasonable technical assistance, including, upon Aadi’s reasonable prior notice, making appropriate employees of WuXi Biologics, or its relevant Affiliate, available to Aadi at reasonable times, places, and frequency, in each case as mutually agreed by the Parties, for the purpose of assisting Aadi to understand and use the Licensed Know-How in connection with Aadi’s Development of the Licensed ADCs or Licensed Products.</w:t>
      </w:r>
    </w:p>
    <w:p>
      <w:pPr>
        <w:spacing w:after="0" w:line="153" w:lineRule="exact"/>
        <w:rPr>
          <w:sz w:val="20"/>
          <w:szCs w:val="20"/>
          <w:color w:val="auto"/>
        </w:rPr>
      </w:pPr>
    </w:p>
    <w:p>
      <w:pPr>
        <w:jc w:val="both"/>
        <w:ind w:firstLine="1239"/>
        <w:spacing w:after="0" w:line="225" w:lineRule="auto"/>
        <w:tabs>
          <w:tab w:leader="none" w:pos="1854"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Sections 2.3(a)-(e) above, Aadi has agreed that, during the Term, WuXi Biologics shall have the right to designate a Third Party approved by Aadi to transfer the Licensed Know-How (or any part thereof) to Aadi in accordance with this Section 2.3. Such transfer of Licensed Know-How shall be subject to the terms and conditions of this Agreement [***].</w:t>
      </w:r>
    </w:p>
    <w:p>
      <w:pPr>
        <w:spacing w:after="0" w:line="141"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2.4</w:t>
      </w:r>
      <w:r>
        <w:rPr>
          <w:sz w:val="20"/>
          <w:szCs w:val="20"/>
          <w:color w:val="auto"/>
        </w:rPr>
        <w:tab/>
      </w:r>
      <w:r>
        <w:rPr>
          <w:rFonts w:ascii="Times New Roman" w:cs="Times New Roman" w:eastAsia="Times New Roman" w:hAnsi="Times New Roman"/>
          <w:sz w:val="20"/>
          <w:szCs w:val="20"/>
          <w:b w:val="1"/>
          <w:bCs w:val="1"/>
          <w:color w:val="auto"/>
        </w:rPr>
        <w:t>Non-Compete.</w:t>
      </w:r>
    </w:p>
    <w:p>
      <w:pPr>
        <w:spacing w:after="0" w:line="171" w:lineRule="exact"/>
        <w:rPr>
          <w:sz w:val="20"/>
          <w:szCs w:val="20"/>
          <w:color w:val="auto"/>
        </w:rPr>
      </w:pPr>
    </w:p>
    <w:p>
      <w:pPr>
        <w:ind w:left="1860" w:hanging="621"/>
        <w:spacing w:after="0"/>
        <w:tabs>
          <w:tab w:leader="none" w:pos="186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Scope. </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Exclusions</w:t>
      </w:r>
      <w:r>
        <w:rPr>
          <w:rFonts w:ascii="Times New Roman" w:cs="Times New Roman" w:eastAsia="Times New Roman" w:hAnsi="Times New Roman"/>
          <w:sz w:val="21"/>
          <w:szCs w:val="21"/>
          <w:color w:val="auto"/>
        </w:rPr>
        <w:t>. Notwithstanding the foregoing in this Section 2.4:</w:t>
      </w:r>
    </w:p>
    <w:p>
      <w:pPr>
        <w:spacing w:after="0" w:line="174" w:lineRule="exact"/>
        <w:rPr>
          <w:rFonts w:ascii="Times New Roman" w:cs="Times New Roman" w:eastAsia="Times New Roman" w:hAnsi="Times New Roman"/>
          <w:sz w:val="21"/>
          <w:szCs w:val="21"/>
          <w:color w:val="auto"/>
        </w:rPr>
      </w:pPr>
    </w:p>
    <w:p>
      <w:pPr>
        <w:jc w:val="both"/>
        <w:ind w:firstLine="1857"/>
        <w:spacing w:after="0" w:line="225" w:lineRule="auto"/>
        <w:tabs>
          <w:tab w:leader="none" w:pos="2461" w:val="left"/>
        </w:tabs>
        <w:numPr>
          <w:ilvl w:val="1"/>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Section 2.4(a) will not apply to such Acquirer of a Party that is Developing or Commercializing a Competing Product as of the closing of such acquisition or commences Developing or Commercializing a Competing Product thereafter during the Term,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Competing Product [***].</w:t>
      </w:r>
    </w:p>
    <w:p>
      <w:pPr>
        <w:spacing w:after="0" w:line="144" w:lineRule="exact"/>
        <w:rPr>
          <w:rFonts w:ascii="Times New Roman" w:cs="Times New Roman" w:eastAsia="Times New Roman" w:hAnsi="Times New Roman"/>
          <w:sz w:val="21"/>
          <w:szCs w:val="21"/>
          <w:color w:val="auto"/>
        </w:rPr>
      </w:pPr>
    </w:p>
    <w:p>
      <w:pPr>
        <w:jc w:val="both"/>
        <w:ind w:firstLine="1857"/>
        <w:spacing w:after="0" w:line="225" w:lineRule="auto"/>
        <w:tabs>
          <w:tab w:leader="none" w:pos="2467" w:val="left"/>
        </w:tabs>
        <w:numPr>
          <w:ilvl w:val="1"/>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during the Term, either Party or its Affiliate acquires a Third Party that is Developing or Commercializing a Competing Product, then the Development or Commercialization of such Competing Product will not constitute a breach of Section 2.4(a) if such Party Affiliate [***].</w:t>
      </w:r>
    </w:p>
    <w:p>
      <w:pPr>
        <w:spacing w:after="0" w:line="144" w:lineRule="exact"/>
        <w:rPr>
          <w:rFonts w:ascii="Times New Roman" w:cs="Times New Roman" w:eastAsia="Times New Roman" w:hAnsi="Times New Roman"/>
          <w:sz w:val="21"/>
          <w:szCs w:val="21"/>
          <w:color w:val="auto"/>
        </w:rPr>
      </w:pPr>
    </w:p>
    <w:p>
      <w:pPr>
        <w:ind w:left="2480" w:hanging="623"/>
        <w:spacing w:after="0"/>
        <w:tabs>
          <w:tab w:leader="none" w:pos="2480"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of this Section 2.4, WuXi Biologics or its Affiliates shall [***].</w:t>
      </w:r>
    </w:p>
    <w:p>
      <w:pPr>
        <w:spacing w:after="0" w:line="178" w:lineRule="exact"/>
        <w:rPr>
          <w:sz w:val="20"/>
          <w:szCs w:val="20"/>
          <w:color w:val="auto"/>
        </w:rPr>
      </w:pPr>
    </w:p>
    <w:p>
      <w:pPr>
        <w:jc w:val="both"/>
        <w:ind w:firstLine="618"/>
        <w:spacing w:after="0" w:line="212" w:lineRule="auto"/>
        <w:rPr>
          <w:sz w:val="20"/>
          <w:szCs w:val="20"/>
          <w:color w:val="auto"/>
        </w:rPr>
      </w:pPr>
      <w:r>
        <w:rPr>
          <w:rFonts w:ascii="Times New Roman" w:cs="Times New Roman" w:eastAsia="Times New Roman" w:hAnsi="Times New Roman"/>
          <w:sz w:val="21"/>
          <w:szCs w:val="21"/>
          <w:b w:val="1"/>
          <w:bCs w:val="1"/>
          <w:color w:val="auto"/>
        </w:rPr>
        <w:t>2.5 No Other Rights; Existing Relationships</w:t>
      </w:r>
      <w:r>
        <w:rPr>
          <w:rFonts w:ascii="Times New Roman" w:cs="Times New Roman" w:eastAsia="Times New Roman" w:hAnsi="Times New Roman"/>
          <w:sz w:val="21"/>
          <w:szCs w:val="21"/>
          <w:color w:val="auto"/>
        </w:rPr>
        <w:t>. As between the Parties, WuXi Biologics shall always retain ownership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Licensed IP. Except for the rights and licenses expressly granted in this Agreement, each Party retains all rights under its intellectual property, and no additional rights shall be deemed granted to either Party by implication, estoppel or otherwise. For clarity, the Parties acknowledge that subject to Section 2.5, WuXi Biologics retains the right to Exploit any ADCs and products that are not a Competing Product. WuXi Biologics shall be solely responsible for, and Aadi will not have any obligation or liability with respect to, all payment and other obligations that WuXi Biologics, its Affiliates or (sub)licensees may have under any agreement or understanding with any Third Party in effect prior to, as of, or after the Effective Date that relates to the Licensed IP, or any Licensed ADC (or any component thereof) or any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jc w:val="center"/>
        <w:spacing w:after="0"/>
        <w:rPr>
          <w:sz w:val="20"/>
          <w:szCs w:val="20"/>
          <w:color w:val="auto"/>
        </w:rPr>
      </w:pPr>
      <w:r>
        <w:rPr>
          <w:rFonts w:ascii="Times New Roman" w:cs="Times New Roman" w:eastAsia="Times New Roman" w:hAnsi="Times New Roman"/>
          <w:sz w:val="21"/>
          <w:szCs w:val="21"/>
          <w:b w:val="1"/>
          <w:bCs w:val="1"/>
          <w:color w:val="auto"/>
        </w:rPr>
        <w:t>GOVERNANCE</w:t>
      </w:r>
    </w:p>
    <w:p>
      <w:pPr>
        <w:spacing w:after="0" w:line="145"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3.1 Joint Steering Committee</w:t>
      </w:r>
      <w:r>
        <w:rPr>
          <w:rFonts w:ascii="Times New Roman" w:cs="Times New Roman" w:eastAsia="Times New Roman" w:hAnsi="Times New Roman"/>
          <w:sz w:val="21"/>
          <w:szCs w:val="21"/>
          <w:color w:val="auto"/>
        </w:rPr>
        <w:t>. Within [***] following the Effective Date, WuXi Biologics and Aadi shall establish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Joint Steering Committee (“</w:t>
      </w:r>
      <w:r>
        <w:rPr>
          <w:rFonts w:ascii="Times New Roman" w:cs="Times New Roman" w:eastAsia="Times New Roman" w:hAnsi="Times New Roman"/>
          <w:sz w:val="21"/>
          <w:szCs w:val="21"/>
          <w:b w:val="1"/>
          <w:bCs w:val="1"/>
          <w:color w:val="auto"/>
        </w:rPr>
        <w:t>JSC</w:t>
      </w:r>
      <w:r>
        <w:rPr>
          <w:rFonts w:ascii="Times New Roman" w:cs="Times New Roman" w:eastAsia="Times New Roman" w:hAnsi="Times New Roman"/>
          <w:sz w:val="21"/>
          <w:szCs w:val="21"/>
          <w:color w:val="auto"/>
        </w:rPr>
        <w:t>”) to discuss and coordinate [***] in connection with this Agreement and otherwise provide a forum for the exchange of information with respect to the Development of Licensed ADCs and Licensed Products in the Territory.</w:t>
      </w:r>
    </w:p>
    <w:p>
      <w:pPr>
        <w:spacing w:after="0" w:line="142"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3.2</w:t>
      </w:r>
      <w:r>
        <w:rPr>
          <w:sz w:val="20"/>
          <w:szCs w:val="20"/>
          <w:color w:val="auto"/>
        </w:rPr>
        <w:tab/>
      </w:r>
      <w:r>
        <w:rPr>
          <w:rFonts w:ascii="Times New Roman" w:cs="Times New Roman" w:eastAsia="Times New Roman" w:hAnsi="Times New Roman"/>
          <w:sz w:val="20"/>
          <w:szCs w:val="20"/>
          <w:b w:val="1"/>
          <w:bCs w:val="1"/>
          <w:color w:val="auto"/>
        </w:rPr>
        <w:t>Role</w:t>
      </w:r>
      <w:r>
        <w:rPr>
          <w:rFonts w:ascii="Times New Roman" w:cs="Times New Roman" w:eastAsia="Times New Roman" w:hAnsi="Times New Roman"/>
          <w:sz w:val="20"/>
          <w:szCs w:val="20"/>
          <w:color w:val="auto"/>
        </w:rPr>
        <w:t>. The JSC shall:</w:t>
      </w:r>
    </w:p>
    <w:p>
      <w:pPr>
        <w:spacing w:after="0" w:line="175" w:lineRule="exact"/>
        <w:rPr>
          <w:sz w:val="20"/>
          <w:szCs w:val="20"/>
          <w:color w:val="auto"/>
        </w:rPr>
      </w:pPr>
    </w:p>
    <w:p>
      <w:pPr>
        <w:jc w:val="both"/>
        <w:ind w:firstLine="1239"/>
        <w:spacing w:after="0" w:line="225" w:lineRule="auto"/>
        <w:tabs>
          <w:tab w:leader="none" w:pos="1851"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a forum for each Party to keep the other Party reasonably informed with respect to material Exploitation activities conducted by or under the authority of such Party or its Affiliates with respect to the Licensed ADCs and Licensed Products; and</w:t>
      </w:r>
    </w:p>
    <w:p>
      <w:pPr>
        <w:spacing w:after="0" w:line="144"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such other duties as are specifically assigned to the JSC in this Agreement.</w:t>
      </w:r>
    </w:p>
    <w:p>
      <w:pPr>
        <w:spacing w:after="0" w:line="167"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3.3 Committee Membership</w:t>
      </w:r>
      <w:r>
        <w:rPr>
          <w:rFonts w:ascii="Times New Roman" w:cs="Times New Roman" w:eastAsia="Times New Roman" w:hAnsi="Times New Roman"/>
          <w:sz w:val="21"/>
          <w:szCs w:val="21"/>
          <w:color w:val="auto"/>
        </w:rPr>
        <w:t>. The JSC shall be composed of [***] representatives from each of Aadi and WuXi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Biologics, selected by such Party. Unless the Parties otherwise agree, Aadi and WuXi Biologics shall each be entitled to appoint [***] representatives to the JSC. Either Party may replace its respective JSC representatives at any time with prior written notice to the other Party. Each representative to the JSC shall be an employee of the applicable Party, unless otherwise agreed by both Parties. Both Parties acknowledge and agree that DAC may appoint [***] representatives to attend any JSC meeting provided that such representatives and DAC are subject to confidentiality and non-use obligations no less stringent than the terms of Article IX.</w:t>
      </w:r>
    </w:p>
    <w:p>
      <w:pPr>
        <w:spacing w:after="0" w:line="144" w:lineRule="exact"/>
        <w:rPr>
          <w:sz w:val="20"/>
          <w:szCs w:val="20"/>
          <w:color w:val="auto"/>
        </w:rPr>
      </w:pPr>
    </w:p>
    <w:p>
      <w:pPr>
        <w:jc w:val="both"/>
        <w:ind w:firstLine="618"/>
        <w:spacing w:after="0" w:line="221" w:lineRule="auto"/>
        <w:rPr>
          <w:sz w:val="20"/>
          <w:szCs w:val="20"/>
          <w:color w:val="auto"/>
        </w:rPr>
      </w:pPr>
      <w:r>
        <w:rPr>
          <w:rFonts w:ascii="Times New Roman" w:cs="Times New Roman" w:eastAsia="Times New Roman" w:hAnsi="Times New Roman"/>
          <w:sz w:val="21"/>
          <w:szCs w:val="21"/>
          <w:b w:val="1"/>
          <w:bCs w:val="1"/>
          <w:color w:val="auto"/>
        </w:rPr>
        <w:t>3.4 Committee Meetings</w:t>
      </w:r>
      <w:r>
        <w:rPr>
          <w:rFonts w:ascii="Times New Roman" w:cs="Times New Roman" w:eastAsia="Times New Roman" w:hAnsi="Times New Roman"/>
          <w:sz w:val="21"/>
          <w:szCs w:val="21"/>
          <w:color w:val="auto"/>
        </w:rPr>
        <w:t>. The JSC shall meet [***], or as more or less often as otherwise agreed to by the Parties.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JSC meetings may be conducted by telephone, video-conference, in person, or in writing as determined by the JSC. Each Party shall bear its own personnel and travel costs and expenses relating to JSC meetings. With the prior written consent of the other Party [***], other employee representatives of a Party may attend any JSC meeting as non-voting observers.</w:t>
      </w:r>
    </w:p>
    <w:p>
      <w:pPr>
        <w:spacing w:after="0" w:line="141"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3.5 No Decision-Making Authority</w:t>
      </w:r>
      <w:r>
        <w:rPr>
          <w:rFonts w:ascii="Times New Roman" w:cs="Times New Roman" w:eastAsia="Times New Roman" w:hAnsi="Times New Roman"/>
          <w:sz w:val="21"/>
          <w:szCs w:val="21"/>
          <w:color w:val="auto"/>
        </w:rPr>
        <w:t>. The JSC shall serve solely as a forum for exchange of information between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w:t>
      </w:r>
    </w:p>
    <w:p>
      <w:pPr>
        <w:spacing w:after="0" w:line="141" w:lineRule="exact"/>
        <w:rPr>
          <w:sz w:val="20"/>
          <w:szCs w:val="20"/>
          <w:color w:val="auto"/>
        </w:rPr>
      </w:pPr>
    </w:p>
    <w:p>
      <w:pPr>
        <w:jc w:val="both"/>
        <w:ind w:firstLine="618"/>
        <w:spacing w:after="0" w:line="217" w:lineRule="auto"/>
        <w:rPr>
          <w:sz w:val="20"/>
          <w:szCs w:val="20"/>
          <w:color w:val="auto"/>
        </w:rPr>
      </w:pPr>
      <w:r>
        <w:rPr>
          <w:rFonts w:ascii="Times New Roman" w:cs="Times New Roman" w:eastAsia="Times New Roman" w:hAnsi="Times New Roman"/>
          <w:sz w:val="21"/>
          <w:szCs w:val="21"/>
          <w:b w:val="1"/>
          <w:bCs w:val="1"/>
          <w:color w:val="auto"/>
        </w:rPr>
        <w:t>3.6 Alliance Managers</w:t>
      </w:r>
      <w:r>
        <w:rPr>
          <w:rFonts w:ascii="Times New Roman" w:cs="Times New Roman" w:eastAsia="Times New Roman" w:hAnsi="Times New Roman"/>
          <w:sz w:val="21"/>
          <w:szCs w:val="21"/>
          <w:color w:val="auto"/>
        </w:rPr>
        <w:t>. Within [***] following the Effective Date, each Party shall appoint a representative (“</w:t>
      </w:r>
      <w:r>
        <w:rPr>
          <w:rFonts w:ascii="Times New Roman" w:cs="Times New Roman" w:eastAsia="Times New Roman" w:hAnsi="Times New Roman"/>
          <w:sz w:val="21"/>
          <w:szCs w:val="21"/>
          <w:b w:val="1"/>
          <w:bCs w:val="1"/>
          <w:color w:val="auto"/>
        </w:rPr>
        <w:t>Alliance Manager</w:t>
      </w:r>
      <w:r>
        <w:rPr>
          <w:rFonts w:ascii="Times New Roman" w:cs="Times New Roman" w:eastAsia="Times New Roman" w:hAnsi="Times New Roman"/>
          <w:sz w:val="21"/>
          <w:szCs w:val="21"/>
          <w:color w:val="auto"/>
        </w:rPr>
        <w:t>”) to facilitate communications between the Parties (including, coordinating the transfer of Data and other Licensed Know-How as required under this Agreement) and to act as a liaison between the Parties with respect to such other matters as the Parties may mutually agree in order to maximize effective and efficient exchange of information as required under this Agreement. Each Party may replace its Alliance Manager with an alternative representative at any time with prior written notice to the other Party.</w:t>
      </w:r>
    </w:p>
    <w:p>
      <w:pPr>
        <w:spacing w:after="0" w:line="145"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3.7 Scope of Governance</w:t>
      </w:r>
      <w:r>
        <w:rPr>
          <w:rFonts w:ascii="Times New Roman" w:cs="Times New Roman" w:eastAsia="Times New Roman" w:hAnsi="Times New Roman"/>
          <w:sz w:val="21"/>
          <w:szCs w:val="21"/>
          <w:color w:val="auto"/>
        </w:rPr>
        <w:t>. Notwithstanding the creation of the JSC, each Party shall retain the rights, powers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discretion granted to it hereunder, and the JSC shall not be delegated or vested with rights, powers or discretion unless such delegation or vesting is expressly provided herein, or the Parties expressly so agree in writing. The JSC shall not have the power to amend or modify this Agreement, and no decision of the JSC shall be in contravention of any terms and conditions of this Agreement. The Alliance Managers shall not have any rights, powers or discretion except as expressly granted to the Alliance Managers hereunder and in no event shall the Alliance Managers have any power to modify or amend this Agreement.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345"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3.8 Discontinuation of JSC. </w:t>
      </w:r>
      <w:r>
        <w:rPr>
          <w:rFonts w:ascii="Times New Roman" w:cs="Times New Roman" w:eastAsia="Times New Roman" w:hAnsi="Times New Roman"/>
          <w:sz w:val="21"/>
          <w:szCs w:val="21"/>
          <w:color w:val="auto"/>
        </w:rPr>
        <w:t>The JSC shall continue to exist until Parties mutually agree to disband the JSC. Once the JSC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disbanded, the JSC shall have no further obligations under this Agreement and, thereafter, the Alliance Managers shall be the points of contact for the exchange of information under this Agreement.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jc w:val="center"/>
        <w:spacing w:after="0"/>
        <w:rPr>
          <w:sz w:val="20"/>
          <w:szCs w:val="20"/>
          <w:color w:val="auto"/>
        </w:rPr>
      </w:pPr>
      <w:r>
        <w:rPr>
          <w:rFonts w:ascii="Times New Roman" w:cs="Times New Roman" w:eastAsia="Times New Roman" w:hAnsi="Times New Roman"/>
          <w:sz w:val="21"/>
          <w:szCs w:val="21"/>
          <w:b w:val="1"/>
          <w:bCs w:val="1"/>
          <w:color w:val="auto"/>
        </w:rPr>
        <w:t>CONTRACT RESEARCH SERVICES</w:t>
      </w:r>
    </w:p>
    <w:p>
      <w:pPr>
        <w:spacing w:after="0" w:line="145"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4.1 Overview. </w:t>
      </w:r>
      <w:r>
        <w:rPr>
          <w:rFonts w:ascii="Times New Roman" w:cs="Times New Roman" w:eastAsia="Times New Roman" w:hAnsi="Times New Roman"/>
          <w:sz w:val="21"/>
          <w:szCs w:val="21"/>
          <w:color w:val="auto"/>
        </w:rPr>
        <w:t>During the Term, and subject to the terms and conditions of this Agreement, WuXi Biologics shall, and if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shall cause its Affiliates to, conduct, in consultation with Aadi and under the oversight of the JSC, certain contract research services (the “</w:t>
      </w:r>
      <w:r>
        <w:rPr>
          <w:rFonts w:ascii="Times New Roman" w:cs="Times New Roman" w:eastAsia="Times New Roman" w:hAnsi="Times New Roman"/>
          <w:sz w:val="21"/>
          <w:szCs w:val="21"/>
          <w:b w:val="1"/>
          <w:bCs w:val="1"/>
          <w:color w:val="auto"/>
        </w:rPr>
        <w:t>CRO Services</w:t>
      </w:r>
      <w:r>
        <w:rPr>
          <w:rFonts w:ascii="Times New Roman" w:cs="Times New Roman" w:eastAsia="Times New Roman" w:hAnsi="Times New Roman"/>
          <w:sz w:val="21"/>
          <w:szCs w:val="21"/>
          <w:color w:val="auto"/>
        </w:rPr>
        <w:t>”).</w:t>
      </w:r>
    </w:p>
    <w:p>
      <w:pPr>
        <w:spacing w:after="0" w:line="1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ARTICLE V</w:t>
      </w:r>
    </w:p>
    <w:p>
      <w:pPr>
        <w:jc w:val="center"/>
        <w:spacing w:after="0"/>
        <w:rPr>
          <w:sz w:val="20"/>
          <w:szCs w:val="20"/>
          <w:color w:val="auto"/>
        </w:rPr>
      </w:pPr>
      <w:r>
        <w:rPr>
          <w:rFonts w:ascii="Times New Roman" w:cs="Times New Roman" w:eastAsia="Times New Roman" w:hAnsi="Times New Roman"/>
          <w:sz w:val="21"/>
          <w:szCs w:val="21"/>
          <w:b w:val="1"/>
          <w:bCs w:val="1"/>
          <w:color w:val="auto"/>
        </w:rPr>
        <w:t>MANUFACTURE AND SUPPLY</w:t>
      </w:r>
    </w:p>
    <w:p>
      <w:pPr>
        <w:spacing w:after="0" w:line="145" w:lineRule="exact"/>
        <w:rPr>
          <w:sz w:val="20"/>
          <w:szCs w:val="20"/>
          <w:color w:val="auto"/>
        </w:rPr>
      </w:pPr>
    </w:p>
    <w:p>
      <w:pPr>
        <w:jc w:val="both"/>
        <w:ind w:firstLine="618"/>
        <w:spacing w:after="0" w:line="221" w:lineRule="auto"/>
        <w:rPr>
          <w:sz w:val="20"/>
          <w:szCs w:val="20"/>
          <w:color w:val="auto"/>
        </w:rPr>
      </w:pPr>
      <w:r>
        <w:rPr>
          <w:rFonts w:ascii="Times New Roman" w:cs="Times New Roman" w:eastAsia="Times New Roman" w:hAnsi="Times New Roman"/>
          <w:sz w:val="21"/>
          <w:szCs w:val="21"/>
          <w:b w:val="1"/>
          <w:bCs w:val="1"/>
          <w:color w:val="auto"/>
        </w:rPr>
        <w:t>5.1 Overview</w:t>
      </w:r>
      <w:r>
        <w:rPr>
          <w:rFonts w:ascii="Times New Roman" w:cs="Times New Roman" w:eastAsia="Times New Roman" w:hAnsi="Times New Roman"/>
          <w:sz w:val="21"/>
          <w:szCs w:val="21"/>
          <w:color w:val="auto"/>
        </w:rPr>
        <w:t>. Except as expressly set forth in this ARTICLE V, and as between the Parties, Aadi, directly and/or through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its Affiliates and/or one or more Third Parties, shall control activities with respect to Manufacturing and supplying Licensed Products and the components thereof (including Licensed ADCs) for Development and/or Commercialization by or under the authority of Aadi in the Territory.</w:t>
      </w:r>
    </w:p>
    <w:p>
      <w:pPr>
        <w:spacing w:after="0" w:line="141"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5.2</w:t>
      </w:r>
      <w:r>
        <w:rPr>
          <w:sz w:val="20"/>
          <w:szCs w:val="20"/>
          <w:color w:val="auto"/>
        </w:rPr>
        <w:tab/>
      </w:r>
      <w:r>
        <w:rPr>
          <w:rFonts w:ascii="Times New Roman" w:cs="Times New Roman" w:eastAsia="Times New Roman" w:hAnsi="Times New Roman"/>
          <w:sz w:val="20"/>
          <w:szCs w:val="20"/>
          <w:b w:val="1"/>
          <w:bCs w:val="1"/>
          <w:color w:val="auto"/>
        </w:rPr>
        <w:t>Supply.</w:t>
      </w:r>
    </w:p>
    <w:p>
      <w:pPr>
        <w:spacing w:after="0" w:line="171" w:lineRule="exact"/>
        <w:rPr>
          <w:sz w:val="20"/>
          <w:szCs w:val="20"/>
          <w:color w:val="auto"/>
        </w:rPr>
      </w:pPr>
    </w:p>
    <w:p>
      <w:pPr>
        <w:ind w:firstLine="1239"/>
        <w:spacing w:after="0" w:line="237" w:lineRule="auto"/>
        <w:tabs>
          <w:tab w:leader="none" w:pos="1851"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Development Supply</w:t>
      </w:r>
      <w:r>
        <w:rPr>
          <w:rFonts w:ascii="Times New Roman" w:cs="Times New Roman" w:eastAsia="Times New Roman" w:hAnsi="Times New Roman"/>
          <w:sz w:val="21"/>
          <w:szCs w:val="21"/>
          <w:color w:val="auto"/>
        </w:rPr>
        <w:t>. In addition to providing the materials as set forth in Section 2.3(d), WuXi Biologics,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and/or through its Affiliates and/or one or more Third Parties, shall [***].</w:t>
      </w:r>
    </w:p>
    <w:p>
      <w:pPr>
        <w:spacing w:after="0" w:line="141" w:lineRule="exact"/>
        <w:rPr>
          <w:rFonts w:ascii="Times New Roman" w:cs="Times New Roman" w:eastAsia="Times New Roman" w:hAnsi="Times New Roman"/>
          <w:sz w:val="21"/>
          <w:szCs w:val="21"/>
          <w:color w:val="auto"/>
        </w:rPr>
      </w:pPr>
    </w:p>
    <w:p>
      <w:pPr>
        <w:jc w:val="both"/>
        <w:ind w:firstLine="1239"/>
        <w:spacing w:after="0" w:line="212" w:lineRule="auto"/>
        <w:tabs>
          <w:tab w:leader="none" w:pos="1850"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Clinical and Commercial Supply. </w:t>
      </w:r>
      <w:r>
        <w:rPr>
          <w:rFonts w:ascii="Times New Roman" w:cs="Times New Roman" w:eastAsia="Times New Roman" w:hAnsi="Times New Roman"/>
          <w:sz w:val="21"/>
          <w:szCs w:val="21"/>
          <w:color w:val="auto"/>
        </w:rPr>
        <w:t>Subject to the terms and conditions of this Agreement, until the date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Aadi assumes control of activities for manufacturing Licensed ADCs and Licensed Products which shall be in Aadi’s sole discretion, WuXi Biologics shall, directly and/or through its Affiliate WuXi XDC, manufacture and supply Aadi with all of Aadi’s, its Affiliates’ and Sublicensees’ reasonable requirements of Licensed ADCs and Licensed Product for use or sale in the Territory. In connection with such supply, Aadi and WuXi Biologics, or its Affiliate WuXi XDC, shall enter into a commercially reasonable and mutually acceptable supply agreement). If the parties are unable to negotiate and execute a Supply Agreement within [***] of a request by either Party to do so, then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VIDEVELOPMENT AND COMMERCIALIZATION</w:t>
      </w:r>
    </w:p>
    <w:p>
      <w:pPr>
        <w:spacing w:after="0" w:line="157"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6.1 General. </w:t>
      </w:r>
      <w:r>
        <w:rPr>
          <w:rFonts w:ascii="Times New Roman" w:cs="Times New Roman" w:eastAsia="Times New Roman" w:hAnsi="Times New Roman"/>
          <w:sz w:val="21"/>
          <w:szCs w:val="21"/>
          <w:color w:val="auto"/>
        </w:rPr>
        <w:t>Except as otherwise set forth in this Agreement, as between the Parties, Aadi shall control the Exploitation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Licensed Products in the Field in the Territory, and associated costs and expenses. [***].</w:t>
      </w:r>
    </w:p>
    <w:p>
      <w:pPr>
        <w:spacing w:after="0" w:line="141"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6.2 Regulatory Responsibilities</w:t>
      </w:r>
      <w:r>
        <w:rPr>
          <w:rFonts w:ascii="Times New Roman" w:cs="Times New Roman" w:eastAsia="Times New Roman" w:hAnsi="Times New Roman"/>
          <w:sz w:val="21"/>
          <w:szCs w:val="21"/>
          <w:color w:val="auto"/>
        </w:rPr>
        <w:t>. As between the Parties, Aadi shall control the preparation, submission, and maintenance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all Regulatory Filings and for obtaining Regulatory Approvals (including the preparation and submission of INDs, NDAs and MAAs, and for seeking such approvals) with respect to Licensed Products in the Field in the Territory at its own cost and expense and shall have sole control over all interactions with the applicable Regulatory Authority with respect thereto. Aadi will own all right, title and interest in and to any and all Regulatory Filings and Regulatory Approvals for Licensed Products filed by or on behalf of Aadi, its Affiliates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Sublicensees, and, as between the Parties, all such Regulatory Filings and Regulatory Approvals will be held in the name of Aadi.</w:t>
      </w:r>
    </w:p>
    <w:p>
      <w:pPr>
        <w:spacing w:after="0" w:line="167"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6.3 Adverse Event Reporting. </w:t>
      </w:r>
      <w:r>
        <w:rPr>
          <w:rFonts w:ascii="Times New Roman" w:cs="Times New Roman" w:eastAsia="Times New Roman" w:hAnsi="Times New Roman"/>
          <w:sz w:val="21"/>
          <w:szCs w:val="21"/>
          <w:color w:val="auto"/>
        </w:rPr>
        <w:t>Aadi shall establish, hold, and maintain the global safety database for each Licensed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 (each a “</w:t>
      </w:r>
      <w:r>
        <w:rPr>
          <w:rFonts w:ascii="Times New Roman" w:cs="Times New Roman" w:eastAsia="Times New Roman" w:hAnsi="Times New Roman"/>
          <w:sz w:val="21"/>
          <w:szCs w:val="21"/>
          <w:b w:val="1"/>
          <w:bCs w:val="1"/>
          <w:color w:val="auto"/>
        </w:rPr>
        <w:t>Global Safety Database</w:t>
      </w:r>
      <w:r>
        <w:rPr>
          <w:rFonts w:ascii="Times New Roman" w:cs="Times New Roman" w:eastAsia="Times New Roman" w:hAnsi="Times New Roman"/>
          <w:sz w:val="21"/>
          <w:szCs w:val="21"/>
          <w:color w:val="auto"/>
        </w:rPr>
        <w:t>”) with respect to information on adverse events concerning the Licensed Products, as and to the extent required by Applicable Law. After the Effective Date, at Aadi’s request, Aadi and WuXi Biologics will enter into an adverse event reporting and pharmacovigilance agreement with respect to products that are not Licensed Products, but that contain the Licensed Antibody, in order to allow Aadi to satisfy any regulatory reporting requirements or as may otherwise be reasonably necessary or useful for Aadi in connection with the Development, manufacture and/or Commercialization of any Licensed ADC.</w:t>
      </w:r>
    </w:p>
    <w:p>
      <w:pPr>
        <w:spacing w:after="0" w:line="144" w:lineRule="exact"/>
        <w:rPr>
          <w:sz w:val="20"/>
          <w:szCs w:val="20"/>
          <w:color w:val="auto"/>
        </w:rPr>
      </w:pPr>
    </w:p>
    <w:p>
      <w:pPr>
        <w:jc w:val="both"/>
        <w:ind w:firstLine="618"/>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6.4 Diligence. </w:t>
      </w:r>
      <w:r>
        <w:rPr>
          <w:rFonts w:ascii="Times New Roman" w:cs="Times New Roman" w:eastAsia="Times New Roman" w:hAnsi="Times New Roman"/>
          <w:sz w:val="21"/>
          <w:szCs w:val="21"/>
          <w:color w:val="auto"/>
        </w:rPr>
        <w:t>On a Program-by-Program basis, Aadi, directly and/or through its Affiliates, Sublicensees and/or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Third Parties, will use Commercially Reasonable Efforts (a) to Develop, including seeking IND acceptance for, at least one (1) Licensed Product [***] in a Major Market in the Territory, within [***] after the Effective Date; and (b) following [***] receipt of all applicable Regulatory Approvals, to effect a First Commercial Sale of at least one (1) Licensed Product [***] in a Major Market in the Territory ((a) and (b), each a “</w:t>
      </w:r>
      <w:r>
        <w:rPr>
          <w:rFonts w:ascii="Times New Roman" w:cs="Times New Roman" w:eastAsia="Times New Roman" w:hAnsi="Times New Roman"/>
          <w:sz w:val="21"/>
          <w:szCs w:val="21"/>
          <w:b w:val="1"/>
          <w:bCs w:val="1"/>
          <w:color w:val="auto"/>
        </w:rPr>
        <w:t>Diligence Milestone</w:t>
      </w:r>
      <w:r>
        <w:rPr>
          <w:rFonts w:ascii="Times New Roman" w:cs="Times New Roman" w:eastAsia="Times New Roman" w:hAnsi="Times New Roman"/>
          <w:sz w:val="21"/>
          <w:szCs w:val="21"/>
          <w:color w:val="auto"/>
        </w:rPr>
        <w:t>”). [***].</w:t>
      </w:r>
    </w:p>
    <w:p>
      <w:pPr>
        <w:spacing w:after="0" w:line="145" w:lineRule="exact"/>
        <w:rPr>
          <w:sz w:val="20"/>
          <w:szCs w:val="20"/>
          <w:color w:val="auto"/>
        </w:rPr>
      </w:pPr>
    </w:p>
    <w:p>
      <w:pPr>
        <w:jc w:val="both"/>
        <w:ind w:firstLine="618"/>
        <w:spacing w:after="0" w:line="221" w:lineRule="auto"/>
        <w:rPr>
          <w:sz w:val="20"/>
          <w:szCs w:val="20"/>
          <w:color w:val="auto"/>
        </w:rPr>
      </w:pPr>
      <w:r>
        <w:rPr>
          <w:rFonts w:ascii="Times New Roman" w:cs="Times New Roman" w:eastAsia="Times New Roman" w:hAnsi="Times New Roman"/>
          <w:sz w:val="21"/>
          <w:szCs w:val="21"/>
          <w:b w:val="1"/>
          <w:bCs w:val="1"/>
          <w:color w:val="auto"/>
        </w:rPr>
        <w:t>6.5 Product Trademarks</w:t>
      </w:r>
      <w:r>
        <w:rPr>
          <w:rFonts w:ascii="Times New Roman" w:cs="Times New Roman" w:eastAsia="Times New Roman" w:hAnsi="Times New Roman"/>
          <w:sz w:val="21"/>
          <w:szCs w:val="21"/>
          <w:color w:val="auto"/>
        </w:rPr>
        <w:t>. As between the Parties, Aadi shall have the sole right to determine and own the trademarks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used with respect to the Commercialization of the Licensed Products in the Field in the Territory, which branding may vary by Region. Aadi will own all rights in such trademarks and may register, maintain, enforce and defend such trademarks in the Territory, where and how it determines appropriate.</w:t>
      </w:r>
    </w:p>
    <w:p>
      <w:pPr>
        <w:spacing w:after="0" w:line="141"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6.6 Development Reports. </w:t>
      </w:r>
      <w:r>
        <w:rPr>
          <w:rFonts w:ascii="Times New Roman" w:cs="Times New Roman" w:eastAsia="Times New Roman" w:hAnsi="Times New Roman"/>
          <w:sz w:val="21"/>
          <w:szCs w:val="21"/>
          <w:color w:val="auto"/>
        </w:rPr>
        <w:t>Within [***] days after [***] and [***] thereafter, Aadi will provide to WuXi Biologics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written update summarizing the material activities conducted by Aadi in the preceding [***] period, and anticipated to be conducted by Aadi in the following [***] month period, with respect to the Development of Licensed Products in and for the Major Markets, including any material interactions with Regulatory Authorities in the Major Markets with respect to Licensed Products during the preceding [***] period. Aadi’s obligation to provide updates hereunder will continue on a Program-by-Program and Major Market-by-Major Market basis until [***].</w:t>
      </w:r>
    </w:p>
    <w:p>
      <w:pPr>
        <w:spacing w:after="0" w:line="144" w:lineRule="exact"/>
        <w:rPr>
          <w:sz w:val="20"/>
          <w:szCs w:val="20"/>
          <w:color w:val="auto"/>
        </w:rPr>
      </w:pPr>
    </w:p>
    <w:p>
      <w:pPr>
        <w:jc w:val="both"/>
        <w:ind w:firstLine="618"/>
        <w:spacing w:after="0" w:line="210" w:lineRule="auto"/>
        <w:rPr>
          <w:sz w:val="20"/>
          <w:szCs w:val="20"/>
          <w:color w:val="auto"/>
        </w:rPr>
      </w:pPr>
      <w:r>
        <w:rPr>
          <w:rFonts w:ascii="Times New Roman" w:cs="Times New Roman" w:eastAsia="Times New Roman" w:hAnsi="Times New Roman"/>
          <w:sz w:val="21"/>
          <w:szCs w:val="21"/>
          <w:b w:val="1"/>
          <w:bCs w:val="1"/>
          <w:color w:val="auto"/>
        </w:rPr>
        <w:t>6.7 Right of Reference and Access to Data</w:t>
      </w:r>
      <w:r>
        <w:rPr>
          <w:rFonts w:ascii="Times New Roman" w:cs="Times New Roman" w:eastAsia="Times New Roman" w:hAnsi="Times New Roman"/>
          <w:sz w:val="21"/>
          <w:szCs w:val="21"/>
          <w:color w:val="auto"/>
        </w:rPr>
        <w:t>. Aadi (and its Affiliates and permitted Sublicensees) shall have the right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cross-reference WuXi Biologics’ and its Affiliates and licensors Regulatory Filings related to any Licensed ADC (or component thereof) and/or Licensed Product, and to access such Regulatory Filings and any Data therein and use such Data in connection with the performance of Aadi’s obligations and exercise of its rights under this Agreement, including inclusion of such Data in its (or its designee’s) own Regulatory Filings for any Licensed Product in and for the Territory. WuXi Biologics hereby grants to Aadi a “</w:t>
      </w:r>
      <w:r>
        <w:rPr>
          <w:rFonts w:ascii="Times New Roman" w:cs="Times New Roman" w:eastAsia="Times New Roman" w:hAnsi="Times New Roman"/>
          <w:sz w:val="21"/>
          <w:szCs w:val="21"/>
          <w:b w:val="1"/>
          <w:bCs w:val="1"/>
          <w:color w:val="auto"/>
        </w:rPr>
        <w:t>Right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of Reference</w:t>
      </w:r>
      <w:r>
        <w:rPr>
          <w:rFonts w:ascii="Times New Roman" w:cs="Times New Roman" w:eastAsia="Times New Roman" w:hAnsi="Times New Roman"/>
          <w:sz w:val="21"/>
          <w:szCs w:val="21"/>
          <w:color w:val="auto"/>
        </w:rPr>
        <w:t>,” as that term is defined in 21 C.F.R. § 314.3(b) in the United States, or an equivalent right of access/reference in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Region, to any Data, including WuXi Biologics’ or its Affiliate’s clinical dossiers that relate to any Licensed ADC or Licensed Product for use by Aadi to Exploit any Licensed ADC or Licensed Product in the Field in and for the Territory pursuant to this Agreement. WuXi Biologics or such Affiliate shall provide a signed statement to this effect, if requested by Aadi, in accordance with 21 C.F.R. § 314.50(g)(3) or the equivalent as required in any Region or otherwise provide appropriate notification of such right of Aadi to the applicable Regulatory Authority.</w:t>
      </w:r>
    </w:p>
    <w:p>
      <w:pPr>
        <w:spacing w:after="0" w:line="148"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6.8 Inspection Right</w:t>
      </w:r>
      <w:r>
        <w:rPr>
          <w:rFonts w:ascii="Times New Roman" w:cs="Times New Roman" w:eastAsia="Times New Roman" w:hAnsi="Times New Roman"/>
          <w:sz w:val="21"/>
          <w:szCs w:val="21"/>
          <w:color w:val="auto"/>
        </w:rPr>
        <w:t>. To the extent WuXi Biologics receives any written or oral communication from any Regulatory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Authority in the Territory requiring any inspection of WuXi Biologics’ or its Affiliate’s or their respective subcontractor’s or licensor’s site or facility in connection with a Licensed ADC or Licensed Product, WuXi Biologics shall notify Aadi and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349"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a copy of any such written communication as soon as reasonably practicable, and WuXi Biologics shall cooperate and ensure that its Affiliates, subcontractors and licensor’s cooperate with such Regulatory Authority during such inspection or audit. Further, WuXi Biologics shall allow Aadi (or its designee) to be present at and participate in any such inspection or audit, to the extent permitted by Applicable Laws and such Regulatory Authority. Following receipt of the inspection or audit observations of such Regulatory Authority, WuXi Biologics shall immediately provide a copy of such observations to Aadi, prepare the response to any such observations for Aadi’s prior review and approval, and keep Aadi fully informed as to such responses prior to their submission and to any ongoing correspondence with the applicable Regulatory Authority with respect to such inspection and observations.</w:t>
      </w:r>
    </w:p>
    <w:p>
      <w:pPr>
        <w:spacing w:after="0" w:line="144"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6.9 No Harmful Actions</w:t>
      </w:r>
      <w:r>
        <w:rPr>
          <w:rFonts w:ascii="Times New Roman" w:cs="Times New Roman" w:eastAsia="Times New Roman" w:hAnsi="Times New Roman"/>
          <w:sz w:val="21"/>
          <w:szCs w:val="21"/>
          <w:color w:val="auto"/>
        </w:rPr>
        <w:t>. If Aadi believes that WuXi Biologics and/or any of its Affiliates and/or any Third Party acting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WuXi Biologics’ or its Affiliate’s authority, is taking or intends to take any action with respect to a Licensed ADC or Licensed Product that could have a material adverse impact upon the regulatory status or Commercialization of any Licensed Product in the Field in the Territory, then Aadi shall have the right to bring the matter to the attention of the JSC (or to WuXi Biologics under Section 15.1 in the event the JSC has been disbanded), and the Parties shall [***] a resolution to such concern. Without limiting the foregoing, unless Aadi otherwise agrees and except as expressly set forth herein: (a) [***]; and (b) [***].</w:t>
      </w:r>
    </w:p>
    <w:p>
      <w:pPr>
        <w:spacing w:after="0" w:line="1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VII</w:t>
      </w:r>
    </w:p>
    <w:p>
      <w:pPr>
        <w:ind w:left="5060"/>
        <w:spacing w:after="0"/>
        <w:rPr>
          <w:sz w:val="20"/>
          <w:szCs w:val="20"/>
          <w:color w:val="auto"/>
        </w:rPr>
      </w:pPr>
      <w:r>
        <w:rPr>
          <w:rFonts w:ascii="Times New Roman" w:cs="Times New Roman" w:eastAsia="Times New Roman" w:hAnsi="Times New Roman"/>
          <w:sz w:val="21"/>
          <w:szCs w:val="21"/>
          <w:b w:val="1"/>
          <w:bCs w:val="1"/>
          <w:color w:val="auto"/>
        </w:rPr>
        <w:t>PAYMENTS</w:t>
      </w:r>
    </w:p>
    <w:p>
      <w:pPr>
        <w:spacing w:after="0" w:line="145"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7.1</w:t>
      </w:r>
      <w:r>
        <w:rPr>
          <w:sz w:val="20"/>
          <w:szCs w:val="20"/>
          <w:color w:val="auto"/>
        </w:rPr>
        <w:tab/>
      </w:r>
      <w:r>
        <w:rPr>
          <w:rFonts w:ascii="Times New Roman" w:cs="Times New Roman" w:eastAsia="Times New Roman" w:hAnsi="Times New Roman"/>
          <w:sz w:val="20"/>
          <w:szCs w:val="20"/>
          <w:b w:val="1"/>
          <w:bCs w:val="1"/>
          <w:color w:val="auto"/>
        </w:rPr>
        <w:t xml:space="preserve">Upfront Payment. </w:t>
      </w:r>
      <w:r>
        <w:rPr>
          <w:rFonts w:ascii="Times New Roman" w:cs="Times New Roman" w:eastAsia="Times New Roman" w:hAnsi="Times New Roman"/>
          <w:sz w:val="20"/>
          <w:szCs w:val="20"/>
          <w:color w:val="auto"/>
        </w:rPr>
        <w:t>Aadi shall pay to WuXi Biologics a non-refundable, non-creditable upfront payment as follows:</w:t>
      </w:r>
    </w:p>
    <w:p>
      <w:pPr>
        <w:spacing w:after="0" w:line="16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1"/>
          <w:szCs w:val="21"/>
          <w:color w:val="auto"/>
        </w:rPr>
        <w:t>an amount equal to six million U.S. dollars ($6,000,000) (“</w:t>
      </w:r>
      <w:r>
        <w:rPr>
          <w:rFonts w:ascii="Times New Roman" w:cs="Times New Roman" w:eastAsia="Times New Roman" w:hAnsi="Times New Roman"/>
          <w:sz w:val="21"/>
          <w:szCs w:val="21"/>
          <w:b w:val="1"/>
          <w:bCs w:val="1"/>
          <w:color w:val="auto"/>
        </w:rPr>
        <w:t>Signing Payment</w:t>
      </w:r>
      <w:r>
        <w:rPr>
          <w:rFonts w:ascii="Times New Roman" w:cs="Times New Roman" w:eastAsia="Times New Roman" w:hAnsi="Times New Roman"/>
          <w:sz w:val="21"/>
          <w:szCs w:val="21"/>
          <w:color w:val="auto"/>
        </w:rPr>
        <w:t>”) within [***] of the Effective</w:t>
      </w:r>
    </w:p>
    <w:p>
      <w:pPr>
        <w:spacing w:after="0"/>
        <w:rPr>
          <w:sz w:val="20"/>
          <w:szCs w:val="20"/>
          <w:color w:val="auto"/>
        </w:rPr>
      </w:pPr>
      <w:r>
        <w:rPr>
          <w:rFonts w:ascii="Times New Roman" w:cs="Times New Roman" w:eastAsia="Times New Roman" w:hAnsi="Times New Roman"/>
          <w:sz w:val="21"/>
          <w:szCs w:val="21"/>
          <w:color w:val="auto"/>
        </w:rPr>
        <w:t>Date; and</w:t>
      </w:r>
    </w:p>
    <w:p>
      <w:pPr>
        <w:spacing w:after="0" w:line="145" w:lineRule="exact"/>
        <w:rPr>
          <w:sz w:val="20"/>
          <w:szCs w:val="20"/>
          <w:color w:val="auto"/>
        </w:rPr>
      </w:pPr>
    </w:p>
    <w:p>
      <w:pPr>
        <w:jc w:val="both"/>
        <w:ind w:firstLine="1239"/>
        <w:spacing w:after="0" w:line="226" w:lineRule="auto"/>
        <w:tabs>
          <w:tab w:leader="none" w:pos="1850"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12.1, an amount equal to thirty-eight million U.S. dollars ($38,000,000) (“</w:t>
      </w:r>
      <w:r>
        <w:rPr>
          <w:rFonts w:ascii="Times New Roman" w:cs="Times New Roman" w:eastAsia="Times New Roman" w:hAnsi="Times New Roman"/>
          <w:sz w:val="21"/>
          <w:szCs w:val="21"/>
          <w:b w:val="1"/>
          <w:bCs w:val="1"/>
          <w:color w:val="auto"/>
        </w:rPr>
        <w:t>Closing Payment</w:t>
      </w:r>
      <w:r>
        <w:rPr>
          <w:rFonts w:ascii="Times New Roman" w:cs="Times New Roman" w:eastAsia="Times New Roman" w:hAnsi="Times New Roman"/>
          <w:sz w:val="21"/>
          <w:szCs w:val="21"/>
          <w:color w:val="auto"/>
        </w:rPr>
        <w:t>”) due no later than [***] after the Effective Date (“</w:t>
      </w:r>
      <w:r>
        <w:rPr>
          <w:rFonts w:ascii="Times New Roman" w:cs="Times New Roman" w:eastAsia="Times New Roman" w:hAnsi="Times New Roman"/>
          <w:sz w:val="21"/>
          <w:szCs w:val="21"/>
          <w:b w:val="1"/>
          <w:bCs w:val="1"/>
          <w:color w:val="auto"/>
        </w:rPr>
        <w:t>Closing Period</w:t>
      </w:r>
      <w:r>
        <w:rPr>
          <w:rFonts w:ascii="Times New Roman" w:cs="Times New Roman" w:eastAsia="Times New Roman" w:hAnsi="Times New Roman"/>
          <w:sz w:val="21"/>
          <w:szCs w:val="21"/>
          <w:color w:val="auto"/>
        </w:rPr>
        <w:t>”), with either Aadi or WuXi Biologics having the right to extend the Closing Period by an additional [***] by [***].</w:t>
      </w:r>
    </w:p>
    <w:p>
      <w:pPr>
        <w:spacing w:after="0" w:line="142"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7.2</w:t>
      </w:r>
      <w:r>
        <w:rPr>
          <w:sz w:val="20"/>
          <w:szCs w:val="20"/>
          <w:color w:val="auto"/>
        </w:rPr>
        <w:tab/>
      </w:r>
      <w:r>
        <w:rPr>
          <w:rFonts w:ascii="Times New Roman" w:cs="Times New Roman" w:eastAsia="Times New Roman" w:hAnsi="Times New Roman"/>
          <w:sz w:val="20"/>
          <w:szCs w:val="20"/>
          <w:b w:val="1"/>
          <w:bCs w:val="1"/>
          <w:color w:val="auto"/>
        </w:rPr>
        <w:t>Development Milestone Payments</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1860" w:hanging="621"/>
        <w:spacing w:after="0"/>
        <w:tabs>
          <w:tab w:leader="none" w:pos="1860"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Development Milestone Payments</w:t>
      </w:r>
      <w:r>
        <w:rPr>
          <w:rFonts w:ascii="Times New Roman" w:cs="Times New Roman" w:eastAsia="Times New Roman" w:hAnsi="Times New Roman"/>
          <w:sz w:val="21"/>
          <w:szCs w:val="21"/>
          <w:color w:val="auto"/>
        </w:rPr>
        <w:t>. On a Program-by-Program basis, Aadi shall pay to WuXi Biologics the</w:t>
      </w:r>
    </w:p>
    <w:p>
      <w:pPr>
        <w:jc w:val="both"/>
        <w:ind w:firstLine="3"/>
        <w:spacing w:after="0" w:line="212" w:lineRule="auto"/>
        <w:tabs>
          <w:tab w:leader="none" w:pos="498"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 milestone payments (“</w:t>
      </w:r>
      <w:r>
        <w:rPr>
          <w:rFonts w:ascii="Times New Roman" w:cs="Times New Roman" w:eastAsia="Times New Roman" w:hAnsi="Times New Roman"/>
          <w:sz w:val="21"/>
          <w:szCs w:val="21"/>
          <w:b w:val="1"/>
          <w:bCs w:val="1"/>
          <w:color w:val="auto"/>
        </w:rPr>
        <w:t>Development Milestone Payments</w:t>
      </w:r>
      <w:r>
        <w:rPr>
          <w:rFonts w:ascii="Times New Roman" w:cs="Times New Roman" w:eastAsia="Times New Roman" w:hAnsi="Times New Roman"/>
          <w:sz w:val="21"/>
          <w:szCs w:val="21"/>
          <w:color w:val="auto"/>
        </w:rPr>
        <w:t>”) as set out below following the [***] achievement by or under the authority of Aadi of the corresponding milestone events set out below (each, a “</w:t>
      </w:r>
      <w:r>
        <w:rPr>
          <w:rFonts w:ascii="Times New Roman" w:cs="Times New Roman" w:eastAsia="Times New Roman" w:hAnsi="Times New Roman"/>
          <w:sz w:val="21"/>
          <w:szCs w:val="21"/>
          <w:b w:val="1"/>
          <w:bCs w:val="1"/>
          <w:color w:val="auto"/>
        </w:rPr>
        <w:t>Development Milestone Event</w:t>
      </w:r>
      <w:r>
        <w:rPr>
          <w:rFonts w:ascii="Times New Roman" w:cs="Times New Roman" w:eastAsia="Times New Roman" w:hAnsi="Times New Roman"/>
          <w:sz w:val="21"/>
          <w:szCs w:val="21"/>
          <w:color w:val="auto"/>
        </w:rPr>
        <w:t>”) with respect to the [***] Licensed Product within such Program to achieve such Development Milestone Event, which payment shall be made in accordance with this Section 7.2 and the payment provisions in ARTICLE VIII and following receipt of the relevant invoice from WuXi Biologics as further described in Section 7.2(c).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630" w:type="dxa"/>
        <w:tblCellMar>
          <w:top w:w="0" w:type="dxa"/>
          <w:left w:w="0" w:type="dxa"/>
          <w:bottom w:w="0" w:type="dxa"/>
          <w:right w:w="0" w:type="dxa"/>
        </w:tblCellMar>
      </w:tblPr>
      <w:tr>
        <w:trPr>
          <w:trHeight w:val="345"/>
        </w:trPr>
        <w:tc>
          <w:tcPr>
            <w:tcW w:w="960" w:type="dxa"/>
            <w:vAlign w:val="bottom"/>
            <w:tcBorders>
              <w:top w:val="single" w:sz="8" w:color="auto"/>
              <w:left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21"/>
                <w:szCs w:val="21"/>
                <w:b w:val="1"/>
                <w:bCs w:val="1"/>
                <w:color w:val="auto"/>
              </w:rPr>
              <w:t>No.</w:t>
            </w:r>
          </w:p>
        </w:tc>
        <w:tc>
          <w:tcPr>
            <w:tcW w:w="8440" w:type="dxa"/>
            <w:vAlign w:val="bottom"/>
            <w:tcBorders>
              <w:top w:val="single" w:sz="8" w:color="auto"/>
              <w:right w:val="single" w:sz="8" w:color="auto"/>
            </w:tcBorders>
            <w:shd w:val="clear" w:color="auto" w:fill="BFBFBF"/>
          </w:tcPr>
          <w:p>
            <w:pPr>
              <w:ind w:left="60"/>
              <w:spacing w:after="0"/>
              <w:rPr>
                <w:sz w:val="20"/>
                <w:szCs w:val="20"/>
                <w:color w:val="auto"/>
              </w:rPr>
            </w:pPr>
            <w:r>
              <w:rPr>
                <w:rFonts w:ascii="Times New Roman" w:cs="Times New Roman" w:eastAsia="Times New Roman" w:hAnsi="Times New Roman"/>
                <w:sz w:val="21"/>
                <w:szCs w:val="21"/>
                <w:b w:val="1"/>
                <w:bCs w:val="1"/>
                <w:color w:val="auto"/>
              </w:rPr>
              <w:t>Development Milestone Event</w:t>
            </w:r>
          </w:p>
        </w:tc>
        <w:tc>
          <w:tcPr>
            <w:tcW w:w="1320" w:type="dxa"/>
            <w:vAlign w:val="bottom"/>
            <w:tcBorders>
              <w:top w:val="single" w:sz="8" w:color="auto"/>
            </w:tcBorders>
            <w:shd w:val="clear" w:color="auto" w:fill="BFBFBF"/>
          </w:tcPr>
          <w:p>
            <w:pPr>
              <w:ind w:left="60"/>
              <w:spacing w:after="0"/>
              <w:rPr>
                <w:sz w:val="20"/>
                <w:szCs w:val="20"/>
                <w:color w:val="auto"/>
              </w:rPr>
            </w:pPr>
            <w:r>
              <w:rPr>
                <w:rFonts w:ascii="Times New Roman" w:cs="Times New Roman" w:eastAsia="Times New Roman" w:hAnsi="Times New Roman"/>
                <w:sz w:val="21"/>
                <w:szCs w:val="21"/>
                <w:b w:val="1"/>
                <w:bCs w:val="1"/>
                <w:color w:val="auto"/>
              </w:rPr>
              <w:t>Payment</w:t>
            </w:r>
          </w:p>
        </w:tc>
      </w:tr>
      <w:tr>
        <w:trPr>
          <w:trHeight w:val="67"/>
        </w:trPr>
        <w:tc>
          <w:tcPr>
            <w:tcW w:w="960" w:type="dxa"/>
            <w:vAlign w:val="bottom"/>
            <w:tcBorders>
              <w:left w:val="single" w:sz="8" w:color="auto"/>
              <w:bottom w:val="single" w:sz="8" w:color="auto"/>
              <w:right w:val="single" w:sz="8" w:color="auto"/>
            </w:tcBorders>
            <w:shd w:val="clear" w:color="auto" w:fill="BFBFBF"/>
          </w:tcPr>
          <w:p>
            <w:pPr>
              <w:spacing w:after="0"/>
              <w:rPr>
                <w:sz w:val="5"/>
                <w:szCs w:val="5"/>
                <w:color w:val="auto"/>
              </w:rPr>
            </w:pPr>
          </w:p>
        </w:tc>
        <w:tc>
          <w:tcPr>
            <w:tcW w:w="8440" w:type="dxa"/>
            <w:vAlign w:val="bottom"/>
            <w:tcBorders>
              <w:bottom w:val="single" w:sz="8" w:color="auto"/>
              <w:right w:val="single" w:sz="8" w:color="auto"/>
            </w:tcBorders>
            <w:shd w:val="clear" w:color="auto" w:fill="BFBFBF"/>
          </w:tcPr>
          <w:p>
            <w:pPr>
              <w:spacing w:after="0"/>
              <w:rPr>
                <w:sz w:val="5"/>
                <w:szCs w:val="5"/>
                <w:color w:val="auto"/>
              </w:rPr>
            </w:pPr>
          </w:p>
        </w:tc>
        <w:tc>
          <w:tcPr>
            <w:tcW w:w="1320" w:type="dxa"/>
            <w:vAlign w:val="bottom"/>
            <w:tcBorders>
              <w:bottom w:val="single" w:sz="8" w:color="auto"/>
            </w:tcBorders>
            <w:shd w:val="clear" w:color="auto" w:fill="BFBFBF"/>
          </w:tcPr>
          <w:p>
            <w:pPr>
              <w:spacing w:after="0"/>
              <w:rPr>
                <w:sz w:val="5"/>
                <w:szCs w:val="5"/>
                <w:color w:val="auto"/>
              </w:rPr>
            </w:pPr>
          </w:p>
        </w:tc>
      </w:tr>
      <w:tr>
        <w:trPr>
          <w:trHeight w:val="288"/>
        </w:trPr>
        <w:tc>
          <w:tcPr>
            <w:tcW w:w="9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440" w:type="dxa"/>
            <w:vAlign w:val="bottom"/>
            <w:tcBorders>
              <w:right w:val="single" w:sz="8" w:color="auto"/>
            </w:tcBorders>
          </w:tcPr>
          <w:p>
            <w:pPr>
              <w:ind w:left="60"/>
              <w:spacing w:after="0" w:line="244" w:lineRule="exact"/>
              <w:rPr>
                <w:sz w:val="20"/>
                <w:szCs w:val="20"/>
                <w:color w:val="auto"/>
              </w:rPr>
            </w:pPr>
            <w:r>
              <w:rPr>
                <w:rFonts w:ascii="Calibri" w:cs="Calibri" w:eastAsia="Calibri" w:hAnsi="Calibri"/>
                <w:sz w:val="21"/>
                <w:szCs w:val="21"/>
                <w:color w:val="auto"/>
              </w:rPr>
              <w:t>[***]</w:t>
            </w:r>
          </w:p>
        </w:tc>
        <w:tc>
          <w:tcPr>
            <w:tcW w:w="13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96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88"/>
        </w:trPr>
        <w:tc>
          <w:tcPr>
            <w:tcW w:w="9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440" w:type="dxa"/>
            <w:vAlign w:val="bottom"/>
            <w:tcBorders>
              <w:right w:val="single" w:sz="8" w:color="auto"/>
            </w:tcBorders>
          </w:tcPr>
          <w:p>
            <w:pPr>
              <w:ind w:left="60"/>
              <w:spacing w:after="0"/>
              <w:rPr>
                <w:sz w:val="20"/>
                <w:szCs w:val="20"/>
                <w:color w:val="auto"/>
              </w:rPr>
            </w:pPr>
            <w:r>
              <w:rPr>
                <w:rFonts w:ascii="Calibri" w:cs="Calibri" w:eastAsia="Calibri" w:hAnsi="Calibri"/>
                <w:sz w:val="21"/>
                <w:szCs w:val="21"/>
                <w:color w:val="auto"/>
              </w:rPr>
              <w:t>[***]</w:t>
            </w:r>
          </w:p>
        </w:tc>
        <w:tc>
          <w:tcPr>
            <w:tcW w:w="13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96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88"/>
        </w:trPr>
        <w:tc>
          <w:tcPr>
            <w:tcW w:w="9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440" w:type="dxa"/>
            <w:vAlign w:val="bottom"/>
            <w:tcBorders>
              <w:right w:val="single" w:sz="8" w:color="auto"/>
            </w:tcBorders>
          </w:tcPr>
          <w:p>
            <w:pPr>
              <w:ind w:left="60"/>
              <w:spacing w:after="0" w:line="244" w:lineRule="exact"/>
              <w:rPr>
                <w:sz w:val="20"/>
                <w:szCs w:val="20"/>
                <w:color w:val="auto"/>
              </w:rPr>
            </w:pPr>
            <w:r>
              <w:rPr>
                <w:rFonts w:ascii="Calibri" w:cs="Calibri" w:eastAsia="Calibri" w:hAnsi="Calibri"/>
                <w:sz w:val="21"/>
                <w:szCs w:val="21"/>
                <w:color w:val="auto"/>
              </w:rPr>
              <w:t>[***]</w:t>
            </w:r>
          </w:p>
        </w:tc>
        <w:tc>
          <w:tcPr>
            <w:tcW w:w="13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96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88"/>
        </w:trPr>
        <w:tc>
          <w:tcPr>
            <w:tcW w:w="9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440" w:type="dxa"/>
            <w:vAlign w:val="bottom"/>
            <w:tcBorders>
              <w:right w:val="single" w:sz="8" w:color="auto"/>
            </w:tcBorders>
          </w:tcPr>
          <w:p>
            <w:pPr>
              <w:ind w:left="60"/>
              <w:spacing w:after="0" w:line="244" w:lineRule="exact"/>
              <w:rPr>
                <w:sz w:val="20"/>
                <w:szCs w:val="20"/>
                <w:color w:val="auto"/>
              </w:rPr>
            </w:pPr>
            <w:r>
              <w:rPr>
                <w:rFonts w:ascii="Calibri" w:cs="Calibri" w:eastAsia="Calibri" w:hAnsi="Calibri"/>
                <w:sz w:val="21"/>
                <w:szCs w:val="21"/>
                <w:color w:val="auto"/>
              </w:rPr>
              <w:t>[***]</w:t>
            </w:r>
          </w:p>
        </w:tc>
        <w:tc>
          <w:tcPr>
            <w:tcW w:w="13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96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88"/>
        </w:trPr>
        <w:tc>
          <w:tcPr>
            <w:tcW w:w="9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440" w:type="dxa"/>
            <w:vAlign w:val="bottom"/>
            <w:tcBorders>
              <w:right w:val="single" w:sz="8" w:color="auto"/>
            </w:tcBorders>
          </w:tcPr>
          <w:p>
            <w:pPr>
              <w:ind w:left="60"/>
              <w:spacing w:after="0" w:line="244" w:lineRule="exact"/>
              <w:rPr>
                <w:sz w:val="20"/>
                <w:szCs w:val="20"/>
                <w:color w:val="auto"/>
              </w:rPr>
            </w:pPr>
            <w:r>
              <w:rPr>
                <w:rFonts w:ascii="Calibri" w:cs="Calibri" w:eastAsia="Calibri" w:hAnsi="Calibri"/>
                <w:sz w:val="21"/>
                <w:szCs w:val="21"/>
                <w:color w:val="auto"/>
              </w:rPr>
              <w:t>[***]</w:t>
            </w:r>
          </w:p>
        </w:tc>
        <w:tc>
          <w:tcPr>
            <w:tcW w:w="13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96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88"/>
        </w:trPr>
        <w:tc>
          <w:tcPr>
            <w:tcW w:w="9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440" w:type="dxa"/>
            <w:vAlign w:val="bottom"/>
            <w:tcBorders>
              <w:right w:val="single" w:sz="8" w:color="auto"/>
            </w:tcBorders>
          </w:tcPr>
          <w:p>
            <w:pPr>
              <w:ind w:left="60"/>
              <w:spacing w:after="0" w:line="244" w:lineRule="exact"/>
              <w:rPr>
                <w:sz w:val="20"/>
                <w:szCs w:val="20"/>
                <w:color w:val="auto"/>
              </w:rPr>
            </w:pPr>
            <w:r>
              <w:rPr>
                <w:rFonts w:ascii="Calibri" w:cs="Calibri" w:eastAsia="Calibri" w:hAnsi="Calibri"/>
                <w:sz w:val="21"/>
                <w:szCs w:val="21"/>
                <w:color w:val="auto"/>
              </w:rPr>
              <w:t>[***]</w:t>
            </w:r>
          </w:p>
        </w:tc>
        <w:tc>
          <w:tcPr>
            <w:tcW w:w="13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96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88"/>
        </w:trPr>
        <w:tc>
          <w:tcPr>
            <w:tcW w:w="9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440" w:type="dxa"/>
            <w:vAlign w:val="bottom"/>
            <w:tcBorders>
              <w:right w:val="single" w:sz="8" w:color="auto"/>
            </w:tcBorders>
          </w:tcPr>
          <w:p>
            <w:pPr>
              <w:ind w:left="60"/>
              <w:spacing w:after="0" w:line="244" w:lineRule="exact"/>
              <w:rPr>
                <w:sz w:val="20"/>
                <w:szCs w:val="20"/>
                <w:color w:val="auto"/>
              </w:rPr>
            </w:pPr>
            <w:r>
              <w:rPr>
                <w:rFonts w:ascii="Calibri" w:cs="Calibri" w:eastAsia="Calibri" w:hAnsi="Calibri"/>
                <w:sz w:val="21"/>
                <w:szCs w:val="21"/>
                <w:color w:val="auto"/>
              </w:rPr>
              <w:t>[***]</w:t>
            </w:r>
          </w:p>
        </w:tc>
        <w:tc>
          <w:tcPr>
            <w:tcW w:w="13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96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88"/>
        </w:trPr>
        <w:tc>
          <w:tcPr>
            <w:tcW w:w="9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440" w:type="dxa"/>
            <w:vAlign w:val="bottom"/>
            <w:tcBorders>
              <w:right w:val="single" w:sz="8" w:color="auto"/>
            </w:tcBorders>
          </w:tcPr>
          <w:p>
            <w:pPr>
              <w:ind w:left="60"/>
              <w:spacing w:after="0"/>
              <w:rPr>
                <w:sz w:val="20"/>
                <w:szCs w:val="20"/>
                <w:color w:val="auto"/>
              </w:rPr>
            </w:pPr>
            <w:r>
              <w:rPr>
                <w:rFonts w:ascii="Calibri" w:cs="Calibri" w:eastAsia="Calibri" w:hAnsi="Calibri"/>
                <w:sz w:val="21"/>
                <w:szCs w:val="21"/>
                <w:color w:val="auto"/>
              </w:rPr>
              <w:t>[***]</w:t>
            </w:r>
          </w:p>
        </w:tc>
        <w:tc>
          <w:tcPr>
            <w:tcW w:w="13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96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88"/>
        </w:trPr>
        <w:tc>
          <w:tcPr>
            <w:tcW w:w="9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440" w:type="dxa"/>
            <w:vAlign w:val="bottom"/>
            <w:tcBorders>
              <w:right w:val="single" w:sz="8" w:color="auto"/>
            </w:tcBorders>
          </w:tcPr>
          <w:p>
            <w:pPr>
              <w:ind w:left="60"/>
              <w:spacing w:after="0"/>
              <w:rPr>
                <w:sz w:val="20"/>
                <w:szCs w:val="20"/>
                <w:color w:val="auto"/>
              </w:rPr>
            </w:pPr>
            <w:r>
              <w:rPr>
                <w:rFonts w:ascii="Calibri" w:cs="Calibri" w:eastAsia="Calibri" w:hAnsi="Calibri"/>
                <w:sz w:val="21"/>
                <w:szCs w:val="21"/>
                <w:color w:val="auto"/>
              </w:rPr>
              <w:t>[***]</w:t>
            </w:r>
          </w:p>
        </w:tc>
        <w:tc>
          <w:tcPr>
            <w:tcW w:w="13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96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88"/>
        </w:trPr>
        <w:tc>
          <w:tcPr>
            <w:tcW w:w="9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440" w:type="dxa"/>
            <w:vAlign w:val="bottom"/>
            <w:tcBorders>
              <w:right w:val="single" w:sz="8" w:color="auto"/>
            </w:tcBorders>
          </w:tcPr>
          <w:p>
            <w:pPr>
              <w:ind w:left="60"/>
              <w:spacing w:after="0"/>
              <w:rPr>
                <w:sz w:val="20"/>
                <w:szCs w:val="20"/>
                <w:color w:val="auto"/>
              </w:rPr>
            </w:pPr>
            <w:r>
              <w:rPr>
                <w:rFonts w:ascii="Calibri" w:cs="Calibri" w:eastAsia="Calibri" w:hAnsi="Calibri"/>
                <w:sz w:val="21"/>
                <w:szCs w:val="21"/>
                <w:color w:val="auto"/>
              </w:rPr>
              <w:t>[***]</w:t>
            </w:r>
          </w:p>
        </w:tc>
        <w:tc>
          <w:tcPr>
            <w:tcW w:w="13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96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88"/>
        </w:trPr>
        <w:tc>
          <w:tcPr>
            <w:tcW w:w="9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440" w:type="dxa"/>
            <w:vAlign w:val="bottom"/>
            <w:tcBorders>
              <w:right w:val="single" w:sz="8" w:color="auto"/>
            </w:tcBorders>
          </w:tcPr>
          <w:p>
            <w:pPr>
              <w:ind w:left="60"/>
              <w:spacing w:after="0"/>
              <w:rPr>
                <w:sz w:val="20"/>
                <w:szCs w:val="20"/>
                <w:color w:val="auto"/>
              </w:rPr>
            </w:pPr>
            <w:r>
              <w:rPr>
                <w:rFonts w:ascii="Calibri" w:cs="Calibri" w:eastAsia="Calibri" w:hAnsi="Calibri"/>
                <w:sz w:val="21"/>
                <w:szCs w:val="21"/>
                <w:color w:val="auto"/>
              </w:rPr>
              <w:t>[***]</w:t>
            </w:r>
          </w:p>
        </w:tc>
        <w:tc>
          <w:tcPr>
            <w:tcW w:w="13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96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88"/>
        </w:trPr>
        <w:tc>
          <w:tcPr>
            <w:tcW w:w="9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440" w:type="dxa"/>
            <w:vAlign w:val="bottom"/>
            <w:tcBorders>
              <w:right w:val="single" w:sz="8" w:color="auto"/>
            </w:tcBorders>
          </w:tcPr>
          <w:p>
            <w:pPr>
              <w:ind w:left="60"/>
              <w:spacing w:after="0"/>
              <w:rPr>
                <w:sz w:val="20"/>
                <w:szCs w:val="20"/>
                <w:color w:val="auto"/>
              </w:rPr>
            </w:pPr>
            <w:r>
              <w:rPr>
                <w:rFonts w:ascii="Calibri" w:cs="Calibri" w:eastAsia="Calibri" w:hAnsi="Calibri"/>
                <w:sz w:val="21"/>
                <w:szCs w:val="21"/>
                <w:color w:val="auto"/>
              </w:rPr>
              <w:t>[***]</w:t>
            </w:r>
          </w:p>
        </w:tc>
        <w:tc>
          <w:tcPr>
            <w:tcW w:w="13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96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88"/>
        </w:trPr>
        <w:tc>
          <w:tcPr>
            <w:tcW w:w="9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440" w:type="dxa"/>
            <w:vAlign w:val="bottom"/>
            <w:tcBorders>
              <w:right w:val="single" w:sz="8" w:color="auto"/>
            </w:tcBorders>
          </w:tcPr>
          <w:p>
            <w:pPr>
              <w:ind w:left="60"/>
              <w:spacing w:after="0"/>
              <w:rPr>
                <w:sz w:val="20"/>
                <w:szCs w:val="20"/>
                <w:color w:val="auto"/>
              </w:rPr>
            </w:pPr>
            <w:r>
              <w:rPr>
                <w:rFonts w:ascii="Calibri" w:cs="Calibri" w:eastAsia="Calibri" w:hAnsi="Calibri"/>
                <w:sz w:val="21"/>
                <w:szCs w:val="21"/>
                <w:color w:val="auto"/>
              </w:rPr>
              <w:t>[***]</w:t>
            </w:r>
          </w:p>
        </w:tc>
        <w:tc>
          <w:tcPr>
            <w:tcW w:w="13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960" w:type="dxa"/>
            <w:vAlign w:val="bottom"/>
            <w:tcBorders>
              <w:left w:val="single" w:sz="8" w:color="auto"/>
              <w:bottom w:val="single" w:sz="8" w:color="auto"/>
              <w:right w:val="single" w:sz="8" w:color="auto"/>
            </w:tcBorders>
          </w:tcPr>
          <w:p>
            <w:pPr>
              <w:spacing w:after="0"/>
              <w:rPr>
                <w:sz w:val="9"/>
                <w:szCs w:val="9"/>
                <w:color w:val="auto"/>
              </w:rPr>
            </w:pPr>
          </w:p>
        </w:tc>
        <w:tc>
          <w:tcPr>
            <w:tcW w:w="84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325"/>
        </w:trPr>
        <w:tc>
          <w:tcPr>
            <w:tcW w:w="960" w:type="dxa"/>
            <w:vAlign w:val="bottom"/>
            <w:tcBorders>
              <w:left w:val="single" w:sz="8" w:color="auto"/>
              <w:right w:val="single" w:sz="8" w:color="auto"/>
            </w:tcBorders>
          </w:tcPr>
          <w:p>
            <w:pPr>
              <w:spacing w:after="0"/>
              <w:rPr>
                <w:sz w:val="24"/>
                <w:szCs w:val="24"/>
                <w:color w:val="auto"/>
              </w:rPr>
            </w:pPr>
          </w:p>
        </w:tc>
        <w:tc>
          <w:tcPr>
            <w:tcW w:w="8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color w:val="auto"/>
              </w:rPr>
              <w:t>Total Development Milestone Payments for all Programs</w:t>
            </w:r>
          </w:p>
        </w:tc>
        <w:tc>
          <w:tcPr>
            <w:tcW w:w="1320" w:type="dxa"/>
            <w:vAlign w:val="bottom"/>
          </w:tcPr>
          <w:p>
            <w:pPr>
              <w:ind w:left="60"/>
              <w:spacing w:after="0"/>
              <w:rPr>
                <w:sz w:val="20"/>
                <w:szCs w:val="20"/>
                <w:color w:val="auto"/>
              </w:rPr>
            </w:pPr>
            <w:r>
              <w:rPr>
                <w:rFonts w:ascii="Times New Roman" w:cs="Times New Roman" w:eastAsia="Times New Roman" w:hAnsi="Times New Roman"/>
                <w:sz w:val="21"/>
                <w:szCs w:val="21"/>
                <w:b w:val="1"/>
                <w:bCs w:val="1"/>
                <w:color w:val="auto"/>
              </w:rPr>
              <w:t>$265,000,000</w:t>
            </w:r>
          </w:p>
        </w:tc>
      </w:tr>
      <w:tr>
        <w:trPr>
          <w:trHeight w:val="67"/>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84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bl>
    <w:p>
      <w:pPr>
        <w:spacing w:after="0" w:line="254" w:lineRule="exact"/>
        <w:rPr>
          <w:sz w:val="20"/>
          <w:szCs w:val="20"/>
          <w:color w:val="auto"/>
        </w:rPr>
      </w:pPr>
    </w:p>
    <w:p>
      <w:pPr>
        <w:jc w:val="both"/>
        <w:ind w:right="100" w:firstLine="1239"/>
        <w:spacing w:after="0" w:line="226" w:lineRule="auto"/>
        <w:tabs>
          <w:tab w:leader="none" w:pos="1850"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Certain Terms With Respect to Development Milestone Payments</w:t>
      </w:r>
      <w:r>
        <w:rPr>
          <w:rFonts w:ascii="Times New Roman" w:cs="Times New Roman" w:eastAsia="Times New Roman" w:hAnsi="Times New Roman"/>
          <w:sz w:val="21"/>
          <w:szCs w:val="21"/>
          <w:color w:val="auto"/>
        </w:rPr>
        <w:t>. Each of the foregoing milestone payments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paid [***] per Program [***]. In no event shall the aggregate amount payable or paid to WuXi Biologics pursuant to this Section 7.2 exceed Two Hundred Sixty-Five Million U.S. Dollars ($265,000,000).</w:t>
      </w:r>
    </w:p>
    <w:p>
      <w:pPr>
        <w:spacing w:after="0" w:line="141" w:lineRule="exact"/>
        <w:rPr>
          <w:rFonts w:ascii="Times New Roman" w:cs="Times New Roman" w:eastAsia="Times New Roman" w:hAnsi="Times New Roman"/>
          <w:sz w:val="21"/>
          <w:szCs w:val="21"/>
          <w:color w:val="auto"/>
        </w:rPr>
      </w:pPr>
    </w:p>
    <w:p>
      <w:pPr>
        <w:jc w:val="both"/>
        <w:ind w:right="100" w:firstLine="1239"/>
        <w:spacing w:after="0" w:line="221" w:lineRule="auto"/>
        <w:tabs>
          <w:tab w:leader="none" w:pos="1851"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Reports and Payments</w:t>
      </w:r>
      <w:r>
        <w:rPr>
          <w:rFonts w:ascii="Times New Roman" w:cs="Times New Roman" w:eastAsia="Times New Roman" w:hAnsi="Times New Roman"/>
          <w:sz w:val="21"/>
          <w:szCs w:val="21"/>
          <w:color w:val="auto"/>
        </w:rPr>
        <w:t>. Aadi shall notify WuXi Biologics in writing within [***] after the achievement of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Development Milestone Event set out in Section 7.2(a) by Aadi, or any of its Affiliates or Sublicensees. Based on this notice, WuXi Biologics shall then issue and send to Aadi the invoice for the appropriate milestone payment, which shall be paid by Aadi within [***] of receipt of such invoice in accordance with this Section 7.2.</w:t>
      </w:r>
    </w:p>
    <w:p>
      <w:pPr>
        <w:spacing w:after="0" w:line="141"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7.3</w:t>
      </w:r>
      <w:r>
        <w:rPr>
          <w:sz w:val="20"/>
          <w:szCs w:val="20"/>
          <w:color w:val="auto"/>
        </w:rPr>
        <w:tab/>
      </w:r>
      <w:r>
        <w:rPr>
          <w:rFonts w:ascii="Times New Roman" w:cs="Times New Roman" w:eastAsia="Times New Roman" w:hAnsi="Times New Roman"/>
          <w:sz w:val="20"/>
          <w:szCs w:val="20"/>
          <w:b w:val="1"/>
          <w:bCs w:val="1"/>
          <w:color w:val="auto"/>
        </w:rPr>
        <w:t>Commercial Milestone Payments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right="100" w:firstLine="1239"/>
        <w:spacing w:after="0" w:line="221" w:lineRule="auto"/>
        <w:tabs>
          <w:tab w:leader="none" w:pos="1851"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Commercial Milestone Payments</w:t>
      </w:r>
      <w:r>
        <w:rPr>
          <w:rFonts w:ascii="Times New Roman" w:cs="Times New Roman" w:eastAsia="Times New Roman" w:hAnsi="Times New Roman"/>
          <w:sz w:val="21"/>
          <w:szCs w:val="21"/>
          <w:color w:val="auto"/>
        </w:rPr>
        <w:t>. On a Program-by-Program basis, Aadi shall pay to WuXi Biologics the [***]</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commercial milestone payments (“</w:t>
      </w:r>
      <w:r>
        <w:rPr>
          <w:rFonts w:ascii="Times New Roman" w:cs="Times New Roman" w:eastAsia="Times New Roman" w:hAnsi="Times New Roman"/>
          <w:sz w:val="21"/>
          <w:szCs w:val="21"/>
          <w:b w:val="1"/>
          <w:bCs w:val="1"/>
          <w:color w:val="auto"/>
        </w:rPr>
        <w:t>Commercial Milestone Payments</w:t>
      </w:r>
      <w:r>
        <w:rPr>
          <w:rFonts w:ascii="Times New Roman" w:cs="Times New Roman" w:eastAsia="Times New Roman" w:hAnsi="Times New Roman"/>
          <w:sz w:val="21"/>
          <w:szCs w:val="21"/>
          <w:color w:val="auto"/>
        </w:rPr>
        <w:t>”) as set out below following the [***] achievement by or under the authority of Aadi of the corresponding milestone events set out below (each, a “</w:t>
      </w:r>
      <w:r>
        <w:rPr>
          <w:rFonts w:ascii="Times New Roman" w:cs="Times New Roman" w:eastAsia="Times New Roman" w:hAnsi="Times New Roman"/>
          <w:sz w:val="21"/>
          <w:szCs w:val="21"/>
          <w:b w:val="1"/>
          <w:bCs w:val="1"/>
          <w:color w:val="auto"/>
        </w:rPr>
        <w:t>Commercial Milestone Event</w:t>
      </w:r>
      <w:r>
        <w:rPr>
          <w:rFonts w:ascii="Times New Roman" w:cs="Times New Roman" w:eastAsia="Times New Roman" w:hAnsi="Times New Roman"/>
          <w:sz w:val="21"/>
          <w:szCs w:val="21"/>
          <w:color w:val="auto"/>
        </w:rPr>
        <w:t>”), which payment shall be made in accordance with this Section 7.3 and the payment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340"/>
          </w:cols>
          <w:pgMar w:left="320" w:top="1440" w:right="239" w:bottom="1440" w:gutter="0" w:footer="0" w:header="0"/>
        </w:sectPr>
      </w:pPr>
    </w:p>
    <w:bookmarkStart w:id="262" w:name="page263"/>
    <w:bookmarkEnd w:id="262"/>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ARTICLE VIII and following receipt of the relevant invoice from WuXi Biologics as further described in Section 7.3(c).</w:t>
      </w:r>
    </w:p>
    <w:p>
      <w:pPr>
        <w:spacing w:after="0" w:line="200" w:lineRule="exact"/>
        <w:rPr>
          <w:sz w:val="20"/>
          <w:szCs w:val="20"/>
          <w:color w:val="auto"/>
        </w:rPr>
      </w:pPr>
    </w:p>
    <w:p>
      <w:pPr>
        <w:spacing w:after="0" w:line="246" w:lineRule="exact"/>
        <w:rPr>
          <w:sz w:val="20"/>
          <w:szCs w:val="20"/>
          <w:color w:val="auto"/>
        </w:rPr>
      </w:pPr>
    </w:p>
    <w:tbl>
      <w:tblPr>
        <w:tblLayout w:type="fixed"/>
        <w:tblInd w:w="630" w:type="dxa"/>
        <w:tblCellMar>
          <w:top w:w="0" w:type="dxa"/>
          <w:left w:w="0" w:type="dxa"/>
          <w:bottom w:w="0" w:type="dxa"/>
          <w:right w:w="0" w:type="dxa"/>
        </w:tblCellMar>
      </w:tblPr>
      <w:tr>
        <w:trPr>
          <w:trHeight w:val="345"/>
        </w:trPr>
        <w:tc>
          <w:tcPr>
            <w:tcW w:w="1060" w:type="dxa"/>
            <w:vAlign w:val="bottom"/>
            <w:tcBorders>
              <w:top w:val="single" w:sz="8" w:color="auto"/>
              <w:left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21"/>
                <w:szCs w:val="21"/>
                <w:b w:val="1"/>
                <w:bCs w:val="1"/>
                <w:color w:val="auto"/>
              </w:rPr>
              <w:t>No.</w:t>
            </w:r>
          </w:p>
        </w:tc>
        <w:tc>
          <w:tcPr>
            <w:tcW w:w="8040" w:type="dxa"/>
            <w:vAlign w:val="bottom"/>
            <w:tcBorders>
              <w:top w:val="single" w:sz="8" w:color="auto"/>
              <w:right w:val="single" w:sz="8" w:color="auto"/>
            </w:tcBorders>
            <w:shd w:val="clear" w:color="auto" w:fill="BFBFBF"/>
          </w:tcPr>
          <w:p>
            <w:pPr>
              <w:ind w:left="40"/>
              <w:spacing w:after="0"/>
              <w:rPr>
                <w:sz w:val="20"/>
                <w:szCs w:val="20"/>
                <w:color w:val="auto"/>
              </w:rPr>
            </w:pPr>
            <w:r>
              <w:rPr>
                <w:rFonts w:ascii="Times New Roman" w:cs="Times New Roman" w:eastAsia="Times New Roman" w:hAnsi="Times New Roman"/>
                <w:sz w:val="21"/>
                <w:szCs w:val="21"/>
                <w:b w:val="1"/>
                <w:bCs w:val="1"/>
                <w:color w:val="auto"/>
              </w:rPr>
              <w:t>Commercial Milestone Event</w:t>
            </w:r>
          </w:p>
        </w:tc>
        <w:tc>
          <w:tcPr>
            <w:tcW w:w="1620" w:type="dxa"/>
            <w:vAlign w:val="bottom"/>
            <w:tcBorders>
              <w:top w:val="single" w:sz="8" w:color="auto"/>
            </w:tcBorders>
            <w:shd w:val="clear" w:color="auto" w:fill="BFBFBF"/>
          </w:tcPr>
          <w:p>
            <w:pPr>
              <w:ind w:left="60"/>
              <w:spacing w:after="0"/>
              <w:rPr>
                <w:sz w:val="20"/>
                <w:szCs w:val="20"/>
                <w:color w:val="auto"/>
              </w:rPr>
            </w:pPr>
            <w:r>
              <w:rPr>
                <w:rFonts w:ascii="Times New Roman" w:cs="Times New Roman" w:eastAsia="Times New Roman" w:hAnsi="Times New Roman"/>
                <w:sz w:val="21"/>
                <w:szCs w:val="21"/>
                <w:b w:val="1"/>
                <w:bCs w:val="1"/>
                <w:color w:val="auto"/>
              </w:rPr>
              <w:t>Payment</w:t>
            </w:r>
          </w:p>
        </w:tc>
      </w:tr>
      <w:tr>
        <w:trPr>
          <w:trHeight w:val="67"/>
        </w:trPr>
        <w:tc>
          <w:tcPr>
            <w:tcW w:w="1060" w:type="dxa"/>
            <w:vAlign w:val="bottom"/>
            <w:tcBorders>
              <w:left w:val="single" w:sz="8" w:color="auto"/>
              <w:bottom w:val="single" w:sz="8" w:color="auto"/>
              <w:right w:val="single" w:sz="8" w:color="auto"/>
            </w:tcBorders>
            <w:shd w:val="clear" w:color="auto" w:fill="BFBFBF"/>
          </w:tcPr>
          <w:p>
            <w:pPr>
              <w:spacing w:after="0"/>
              <w:rPr>
                <w:sz w:val="5"/>
                <w:szCs w:val="5"/>
                <w:color w:val="auto"/>
              </w:rPr>
            </w:pPr>
          </w:p>
        </w:tc>
        <w:tc>
          <w:tcPr>
            <w:tcW w:w="8040" w:type="dxa"/>
            <w:vAlign w:val="bottom"/>
            <w:tcBorders>
              <w:bottom w:val="single" w:sz="8" w:color="auto"/>
              <w:right w:val="single" w:sz="8" w:color="auto"/>
            </w:tcBorders>
            <w:shd w:val="clear" w:color="auto" w:fill="BFBFBF"/>
          </w:tcPr>
          <w:p>
            <w:pPr>
              <w:spacing w:after="0"/>
              <w:rPr>
                <w:sz w:val="5"/>
                <w:szCs w:val="5"/>
                <w:color w:val="auto"/>
              </w:rPr>
            </w:pPr>
          </w:p>
        </w:tc>
        <w:tc>
          <w:tcPr>
            <w:tcW w:w="1620" w:type="dxa"/>
            <w:vAlign w:val="bottom"/>
            <w:tcBorders>
              <w:bottom w:val="single" w:sz="8" w:color="auto"/>
            </w:tcBorders>
            <w:shd w:val="clear" w:color="auto" w:fill="BFBFBF"/>
          </w:tcPr>
          <w:p>
            <w:pPr>
              <w:spacing w:after="0"/>
              <w:rPr>
                <w:sz w:val="5"/>
                <w:szCs w:val="5"/>
                <w:color w:val="auto"/>
              </w:rPr>
            </w:pPr>
          </w:p>
        </w:tc>
      </w:tr>
      <w:tr>
        <w:trPr>
          <w:trHeight w:val="288"/>
        </w:trPr>
        <w:tc>
          <w:tcPr>
            <w:tcW w:w="10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040" w:type="dxa"/>
            <w:vAlign w:val="bottom"/>
            <w:tcBorders>
              <w:right w:val="single" w:sz="8" w:color="auto"/>
            </w:tcBorders>
          </w:tcPr>
          <w:p>
            <w:pPr>
              <w:ind w:left="40"/>
              <w:spacing w:after="0"/>
              <w:rPr>
                <w:sz w:val="20"/>
                <w:szCs w:val="20"/>
                <w:color w:val="auto"/>
              </w:rPr>
            </w:pPr>
            <w:r>
              <w:rPr>
                <w:rFonts w:ascii="Calibri" w:cs="Calibri" w:eastAsia="Calibri" w:hAnsi="Calibri"/>
                <w:sz w:val="21"/>
                <w:szCs w:val="21"/>
                <w:color w:val="auto"/>
              </w:rPr>
              <w:t>[***]</w:t>
            </w:r>
          </w:p>
        </w:tc>
        <w:tc>
          <w:tcPr>
            <w:tcW w:w="16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r>
      <w:tr>
        <w:trPr>
          <w:trHeight w:val="288"/>
        </w:trPr>
        <w:tc>
          <w:tcPr>
            <w:tcW w:w="10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040" w:type="dxa"/>
            <w:vAlign w:val="bottom"/>
            <w:tcBorders>
              <w:right w:val="single" w:sz="8" w:color="auto"/>
            </w:tcBorders>
          </w:tcPr>
          <w:p>
            <w:pPr>
              <w:ind w:left="40"/>
              <w:spacing w:after="0"/>
              <w:rPr>
                <w:sz w:val="20"/>
                <w:szCs w:val="20"/>
                <w:color w:val="auto"/>
              </w:rPr>
            </w:pPr>
            <w:r>
              <w:rPr>
                <w:rFonts w:ascii="Calibri" w:cs="Calibri" w:eastAsia="Calibri" w:hAnsi="Calibri"/>
                <w:sz w:val="21"/>
                <w:szCs w:val="21"/>
                <w:color w:val="auto"/>
              </w:rPr>
              <w:t>[***]</w:t>
            </w:r>
          </w:p>
        </w:tc>
        <w:tc>
          <w:tcPr>
            <w:tcW w:w="16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r>
      <w:tr>
        <w:trPr>
          <w:trHeight w:val="288"/>
        </w:trPr>
        <w:tc>
          <w:tcPr>
            <w:tcW w:w="10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040" w:type="dxa"/>
            <w:vAlign w:val="bottom"/>
            <w:tcBorders>
              <w:right w:val="single" w:sz="8" w:color="auto"/>
            </w:tcBorders>
          </w:tcPr>
          <w:p>
            <w:pPr>
              <w:ind w:left="40"/>
              <w:spacing w:after="0"/>
              <w:rPr>
                <w:sz w:val="20"/>
                <w:szCs w:val="20"/>
                <w:color w:val="auto"/>
              </w:rPr>
            </w:pPr>
            <w:r>
              <w:rPr>
                <w:rFonts w:ascii="Calibri" w:cs="Calibri" w:eastAsia="Calibri" w:hAnsi="Calibri"/>
                <w:sz w:val="21"/>
                <w:szCs w:val="21"/>
                <w:color w:val="auto"/>
              </w:rPr>
              <w:t>[***]</w:t>
            </w:r>
          </w:p>
        </w:tc>
        <w:tc>
          <w:tcPr>
            <w:tcW w:w="16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r>
      <w:tr>
        <w:trPr>
          <w:trHeight w:val="288"/>
        </w:trPr>
        <w:tc>
          <w:tcPr>
            <w:tcW w:w="106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8040" w:type="dxa"/>
            <w:vAlign w:val="bottom"/>
            <w:tcBorders>
              <w:right w:val="single" w:sz="8" w:color="auto"/>
            </w:tcBorders>
          </w:tcPr>
          <w:p>
            <w:pPr>
              <w:ind w:left="40"/>
              <w:spacing w:after="0"/>
              <w:rPr>
                <w:sz w:val="20"/>
                <w:szCs w:val="20"/>
                <w:color w:val="auto"/>
              </w:rPr>
            </w:pPr>
            <w:r>
              <w:rPr>
                <w:rFonts w:ascii="Calibri" w:cs="Calibri" w:eastAsia="Calibri" w:hAnsi="Calibri"/>
                <w:sz w:val="21"/>
                <w:szCs w:val="21"/>
                <w:color w:val="auto"/>
              </w:rPr>
              <w:t>[***]</w:t>
            </w:r>
          </w:p>
        </w:tc>
        <w:tc>
          <w:tcPr>
            <w:tcW w:w="1620" w:type="dxa"/>
            <w:vAlign w:val="bottom"/>
          </w:tcPr>
          <w:p>
            <w:pPr>
              <w:ind w:left="60"/>
              <w:spacing w:after="0"/>
              <w:rPr>
                <w:sz w:val="20"/>
                <w:szCs w:val="20"/>
                <w:color w:val="auto"/>
              </w:rPr>
            </w:pPr>
            <w:r>
              <w:rPr>
                <w:rFonts w:ascii="Calibri" w:cs="Calibri" w:eastAsia="Calibri" w:hAnsi="Calibri"/>
                <w:sz w:val="21"/>
                <w:szCs w:val="21"/>
                <w:color w:val="auto"/>
              </w:rPr>
              <w:t>[***]</w:t>
            </w:r>
          </w:p>
        </w:tc>
      </w:tr>
      <w:tr>
        <w:trPr>
          <w:trHeight w:val="105"/>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r>
      <w:tr>
        <w:trPr>
          <w:trHeight w:val="325"/>
        </w:trPr>
        <w:tc>
          <w:tcPr>
            <w:tcW w:w="1060" w:type="dxa"/>
            <w:vAlign w:val="bottom"/>
            <w:tcBorders>
              <w:left w:val="single" w:sz="8" w:color="auto"/>
              <w:right w:val="single" w:sz="8" w:color="auto"/>
            </w:tcBorders>
          </w:tcPr>
          <w:p>
            <w:pPr>
              <w:spacing w:after="0"/>
              <w:rPr>
                <w:sz w:val="24"/>
                <w:szCs w:val="24"/>
                <w:color w:val="auto"/>
              </w:rPr>
            </w:pPr>
          </w:p>
        </w:tc>
        <w:tc>
          <w:tcPr>
            <w:tcW w:w="8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Total Commercial Milestone Payments for all Programs</w:t>
            </w:r>
          </w:p>
        </w:tc>
        <w:tc>
          <w:tcPr>
            <w:tcW w:w="1620" w:type="dxa"/>
            <w:vAlign w:val="bottom"/>
          </w:tcPr>
          <w:p>
            <w:pPr>
              <w:ind w:left="60"/>
              <w:spacing w:after="0"/>
              <w:rPr>
                <w:sz w:val="20"/>
                <w:szCs w:val="20"/>
                <w:color w:val="auto"/>
              </w:rPr>
            </w:pPr>
            <w:r>
              <w:rPr>
                <w:rFonts w:ascii="Times New Roman" w:cs="Times New Roman" w:eastAsia="Times New Roman" w:hAnsi="Times New Roman"/>
                <w:sz w:val="21"/>
                <w:szCs w:val="21"/>
                <w:b w:val="1"/>
                <w:bCs w:val="1"/>
                <w:color w:val="auto"/>
              </w:rPr>
              <w:t>$540,000,000</w:t>
            </w:r>
          </w:p>
        </w:tc>
      </w:tr>
      <w:tr>
        <w:trPr>
          <w:trHeight w:val="67"/>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8040" w:type="dxa"/>
            <w:vAlign w:val="bottom"/>
            <w:tcBorders>
              <w:bottom w:val="single" w:sz="8" w:color="auto"/>
              <w:right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bl>
    <w:p>
      <w:pPr>
        <w:spacing w:after="0" w:line="254" w:lineRule="exact"/>
        <w:rPr>
          <w:sz w:val="20"/>
          <w:szCs w:val="20"/>
          <w:color w:val="auto"/>
        </w:rPr>
      </w:pPr>
    </w:p>
    <w:p>
      <w:pPr>
        <w:jc w:val="both"/>
        <w:ind w:right="100" w:firstLine="1239"/>
        <w:spacing w:after="0" w:line="226" w:lineRule="auto"/>
        <w:tabs>
          <w:tab w:leader="none" w:pos="185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Certain Terms With Respect to Sales Milestone Payments</w:t>
      </w:r>
      <w:r>
        <w:rPr>
          <w:rFonts w:ascii="Times New Roman" w:cs="Times New Roman" w:eastAsia="Times New Roman" w:hAnsi="Times New Roman"/>
          <w:sz w:val="21"/>
          <w:szCs w:val="21"/>
          <w:color w:val="auto"/>
        </w:rPr>
        <w:t>. Each of the foregoing sales milestone payments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paid [***] per Program and [***]. In no event shall the aggregate amount payable or paid to WuXi Biologics pursuant to this Section 7.3 exceed Five Hundred Forty Million U.S. Dollars ($540,000,000).</w:t>
      </w:r>
    </w:p>
    <w:p>
      <w:pPr>
        <w:spacing w:after="0" w:line="141" w:lineRule="exact"/>
        <w:rPr>
          <w:rFonts w:ascii="Times New Roman" w:cs="Times New Roman" w:eastAsia="Times New Roman" w:hAnsi="Times New Roman"/>
          <w:sz w:val="21"/>
          <w:szCs w:val="21"/>
          <w:color w:val="auto"/>
        </w:rPr>
      </w:pPr>
    </w:p>
    <w:p>
      <w:pPr>
        <w:jc w:val="both"/>
        <w:ind w:right="100" w:firstLine="1239"/>
        <w:spacing w:after="0" w:line="221" w:lineRule="auto"/>
        <w:tabs>
          <w:tab w:leader="none" w:pos="1851"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Reports and Payments</w:t>
      </w:r>
      <w:r>
        <w:rPr>
          <w:rFonts w:ascii="Times New Roman" w:cs="Times New Roman" w:eastAsia="Times New Roman" w:hAnsi="Times New Roman"/>
          <w:sz w:val="21"/>
          <w:szCs w:val="21"/>
          <w:color w:val="auto"/>
        </w:rPr>
        <w:t>. Aadi shall notify WuXi Biologics in writing within [***] days after the achievement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Commercial Milestone Event set out in Section 7.3(a) by Aadi, or any of its Affiliates or Sublicensees. Based on this notice, WuXi Biologics shall then issue and send to Aadi the invoice for the appropriate milestone payment, which shall be paid by Aadi within [***] days of receipt of such invoice in accordance with this Section 7.3.</w:t>
      </w:r>
    </w:p>
    <w:p>
      <w:pPr>
        <w:spacing w:after="0" w:line="141"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7.4</w:t>
      </w:r>
      <w:r>
        <w:rPr>
          <w:sz w:val="20"/>
          <w:szCs w:val="20"/>
          <w:color w:val="auto"/>
        </w:rPr>
        <w:tab/>
      </w:r>
      <w:r>
        <w:rPr>
          <w:rFonts w:ascii="Times New Roman" w:cs="Times New Roman" w:eastAsia="Times New Roman" w:hAnsi="Times New Roman"/>
          <w:sz w:val="20"/>
          <w:szCs w:val="20"/>
          <w:b w:val="1"/>
          <w:bCs w:val="1"/>
          <w:color w:val="auto"/>
        </w:rPr>
        <w:t>Royalty Payments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right="100" w:firstLine="1239"/>
        <w:spacing w:after="0" w:line="232" w:lineRule="auto"/>
        <w:tabs>
          <w:tab w:leader="none" w:pos="1851"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Running Royalties</w:t>
      </w:r>
      <w:r>
        <w:rPr>
          <w:rFonts w:ascii="Times New Roman" w:cs="Times New Roman" w:eastAsia="Times New Roman" w:hAnsi="Times New Roman"/>
          <w:sz w:val="20"/>
          <w:szCs w:val="20"/>
          <w:color w:val="auto"/>
        </w:rPr>
        <w:t>. Subject to the terms and conditions of this Agreement, on a Program-by-Program basis,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Aadi shall pay to WuXi Biologics the following running royalties on a quarterly basis based on the Net Sales of Licensed Products within such Program sold by or under the authority of Aadi in the Territory, in accordance with this Section 7.4 and the payment provisions in ARTICLE VIII and following receipt of the relevant invoice from WuXi Biologics as further described in Section 7.4(d):</w:t>
      </w:r>
    </w:p>
    <w:p>
      <w:pPr>
        <w:spacing w:after="0" w:line="200" w:lineRule="exact"/>
        <w:rPr>
          <w:sz w:val="20"/>
          <w:szCs w:val="20"/>
          <w:color w:val="auto"/>
        </w:rPr>
      </w:pPr>
    </w:p>
    <w:p>
      <w:pPr>
        <w:spacing w:after="0" w:line="221" w:lineRule="exact"/>
        <w:rPr>
          <w:sz w:val="20"/>
          <w:szCs w:val="20"/>
          <w:color w:val="auto"/>
        </w:rPr>
      </w:pPr>
    </w:p>
    <w:tbl>
      <w:tblPr>
        <w:tblLayout w:type="fixed"/>
        <w:tblInd w:w="630" w:type="dxa"/>
        <w:tblCellMar>
          <w:top w:w="0" w:type="dxa"/>
          <w:left w:w="0" w:type="dxa"/>
          <w:bottom w:w="0" w:type="dxa"/>
          <w:right w:w="0" w:type="dxa"/>
        </w:tblCellMar>
      </w:tblPr>
      <w:tr>
        <w:trPr>
          <w:trHeight w:val="345"/>
        </w:trPr>
        <w:tc>
          <w:tcPr>
            <w:tcW w:w="8720" w:type="dxa"/>
            <w:vAlign w:val="bottom"/>
            <w:tcBorders>
              <w:top w:val="single" w:sz="8" w:color="auto"/>
              <w:left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21"/>
                <w:szCs w:val="21"/>
                <w:b w:val="1"/>
                <w:bCs w:val="1"/>
                <w:color w:val="auto"/>
              </w:rPr>
              <w:t>Annual Net Sales of Licensed Products for a Program in the Territory</w:t>
            </w:r>
          </w:p>
        </w:tc>
        <w:tc>
          <w:tcPr>
            <w:tcW w:w="2000" w:type="dxa"/>
            <w:vAlign w:val="bottom"/>
            <w:tcBorders>
              <w:top w:val="single" w:sz="8" w:color="auto"/>
            </w:tcBorders>
            <w:shd w:val="clear" w:color="auto" w:fill="BFBFBF"/>
          </w:tcPr>
          <w:p>
            <w:pPr>
              <w:ind w:left="60"/>
              <w:spacing w:after="0"/>
              <w:rPr>
                <w:sz w:val="20"/>
                <w:szCs w:val="20"/>
                <w:color w:val="auto"/>
              </w:rPr>
            </w:pPr>
            <w:r>
              <w:rPr>
                <w:rFonts w:ascii="Times New Roman" w:cs="Times New Roman" w:eastAsia="Times New Roman" w:hAnsi="Times New Roman"/>
                <w:sz w:val="21"/>
                <w:szCs w:val="21"/>
                <w:b w:val="1"/>
                <w:bCs w:val="1"/>
                <w:color w:val="auto"/>
              </w:rPr>
              <w:t>Royalty Rate</w:t>
            </w:r>
          </w:p>
        </w:tc>
        <w:tc>
          <w:tcPr>
            <w:tcW w:w="0" w:type="dxa"/>
            <w:vAlign w:val="bottom"/>
          </w:tcPr>
          <w:p>
            <w:pPr>
              <w:spacing w:after="0"/>
              <w:rPr>
                <w:sz w:val="1"/>
                <w:szCs w:val="1"/>
                <w:color w:val="auto"/>
              </w:rPr>
            </w:pPr>
          </w:p>
        </w:tc>
      </w:tr>
      <w:tr>
        <w:trPr>
          <w:trHeight w:val="67"/>
        </w:trPr>
        <w:tc>
          <w:tcPr>
            <w:tcW w:w="8720" w:type="dxa"/>
            <w:vAlign w:val="bottom"/>
            <w:tcBorders>
              <w:left w:val="single" w:sz="8" w:color="auto"/>
              <w:bottom w:val="single" w:sz="8" w:color="auto"/>
              <w:right w:val="single" w:sz="8" w:color="auto"/>
            </w:tcBorders>
            <w:shd w:val="clear" w:color="auto" w:fill="BFBFBF"/>
          </w:tcPr>
          <w:p>
            <w:pPr>
              <w:spacing w:after="0"/>
              <w:rPr>
                <w:sz w:val="5"/>
                <w:szCs w:val="5"/>
                <w:color w:val="auto"/>
              </w:rPr>
            </w:pPr>
          </w:p>
        </w:tc>
        <w:tc>
          <w:tcPr>
            <w:tcW w:w="2000" w:type="dxa"/>
            <w:vAlign w:val="bottom"/>
            <w:tcBorders>
              <w:bottom w:val="single" w:sz="8" w:color="auto"/>
            </w:tcBorders>
            <w:shd w:val="clear" w:color="auto" w:fill="BFBFBF"/>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872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2000" w:type="dxa"/>
            <w:vAlign w:val="bottom"/>
          </w:tcPr>
          <w:p>
            <w:pPr>
              <w:ind w:left="60"/>
              <w:spacing w:after="0"/>
              <w:rPr>
                <w:sz w:val="20"/>
                <w:szCs w:val="20"/>
                <w:color w:val="auto"/>
              </w:rPr>
            </w:pPr>
            <w:r>
              <w:rPr>
                <w:rFonts w:ascii="Calibri" w:cs="Calibri" w:eastAsia="Calibri" w:hAnsi="Calibri"/>
                <w:sz w:val="21"/>
                <w:szCs w:val="21"/>
                <w:color w:val="auto"/>
              </w:rPr>
              <w:t>[***]</w:t>
            </w:r>
          </w:p>
        </w:tc>
        <w:tc>
          <w:tcPr>
            <w:tcW w:w="0" w:type="dxa"/>
            <w:vAlign w:val="bottom"/>
          </w:tcPr>
          <w:p>
            <w:pPr>
              <w:spacing w:after="0"/>
              <w:rPr>
                <w:sz w:val="1"/>
                <w:szCs w:val="1"/>
                <w:color w:val="auto"/>
              </w:rPr>
            </w:pPr>
          </w:p>
        </w:tc>
      </w:tr>
      <w:tr>
        <w:trPr>
          <w:trHeight w:val="105"/>
        </w:trPr>
        <w:tc>
          <w:tcPr>
            <w:tcW w:w="8720" w:type="dxa"/>
            <w:vAlign w:val="bottom"/>
            <w:tcBorders>
              <w:left w:val="single" w:sz="8" w:color="auto"/>
              <w:bottom w:val="single" w:sz="8" w:color="auto"/>
              <w:right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872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1"/>
                <w:szCs w:val="21"/>
                <w:color w:val="auto"/>
              </w:rPr>
              <w:t>[***]</w:t>
            </w:r>
          </w:p>
        </w:tc>
        <w:tc>
          <w:tcPr>
            <w:tcW w:w="2000" w:type="dxa"/>
            <w:vAlign w:val="bottom"/>
          </w:tcPr>
          <w:p>
            <w:pPr>
              <w:ind w:left="60"/>
              <w:spacing w:after="0"/>
              <w:rPr>
                <w:sz w:val="20"/>
                <w:szCs w:val="20"/>
                <w:color w:val="auto"/>
              </w:rPr>
            </w:pPr>
            <w:r>
              <w:rPr>
                <w:rFonts w:ascii="Calibri" w:cs="Calibri" w:eastAsia="Calibri" w:hAnsi="Calibri"/>
                <w:sz w:val="21"/>
                <w:szCs w:val="21"/>
                <w:color w:val="auto"/>
              </w:rPr>
              <w:t>[***]</w:t>
            </w:r>
          </w:p>
        </w:tc>
        <w:tc>
          <w:tcPr>
            <w:tcW w:w="0" w:type="dxa"/>
            <w:vAlign w:val="bottom"/>
          </w:tcPr>
          <w:p>
            <w:pPr>
              <w:spacing w:after="0"/>
              <w:rPr>
                <w:sz w:val="1"/>
                <w:szCs w:val="1"/>
                <w:color w:val="auto"/>
              </w:rPr>
            </w:pPr>
          </w:p>
        </w:tc>
      </w:tr>
      <w:tr>
        <w:trPr>
          <w:trHeight w:val="105"/>
        </w:trPr>
        <w:tc>
          <w:tcPr>
            <w:tcW w:w="8720" w:type="dxa"/>
            <w:vAlign w:val="bottom"/>
            <w:tcBorders>
              <w:left w:val="single" w:sz="8" w:color="auto"/>
              <w:bottom w:val="single" w:sz="8" w:color="auto"/>
              <w:right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8720" w:type="dxa"/>
            <w:vAlign w:val="bottom"/>
            <w:tcBorders>
              <w:left w:val="single" w:sz="8" w:color="auto"/>
              <w:right w:val="single" w:sz="8" w:color="auto"/>
            </w:tcBorders>
          </w:tcPr>
          <w:p>
            <w:pPr>
              <w:ind w:left="80"/>
              <w:spacing w:after="0" w:line="238" w:lineRule="exact"/>
              <w:rPr>
                <w:sz w:val="20"/>
                <w:szCs w:val="20"/>
                <w:color w:val="auto"/>
              </w:rPr>
            </w:pPr>
            <w:r>
              <w:rPr>
                <w:rFonts w:ascii="Calibri" w:cs="Calibri" w:eastAsia="Calibri" w:hAnsi="Calibri"/>
                <w:sz w:val="21"/>
                <w:szCs w:val="21"/>
                <w:color w:val="auto"/>
              </w:rPr>
              <w:t>[***]</w:t>
            </w:r>
          </w:p>
        </w:tc>
        <w:tc>
          <w:tcPr>
            <w:tcW w:w="2000" w:type="dxa"/>
            <w:vAlign w:val="bottom"/>
            <w:vMerge w:val="restart"/>
          </w:tcPr>
          <w:p>
            <w:pPr>
              <w:ind w:left="60"/>
              <w:spacing w:after="0"/>
              <w:rPr>
                <w:sz w:val="20"/>
                <w:szCs w:val="20"/>
                <w:color w:val="auto"/>
              </w:rPr>
            </w:pPr>
            <w:r>
              <w:rPr>
                <w:rFonts w:ascii="Calibri" w:cs="Calibri" w:eastAsia="Calibri" w:hAnsi="Calibri"/>
                <w:sz w:val="21"/>
                <w:szCs w:val="21"/>
                <w:color w:val="auto"/>
              </w:rPr>
              <w:t>[***]</w:t>
            </w:r>
          </w:p>
        </w:tc>
        <w:tc>
          <w:tcPr>
            <w:tcW w:w="0" w:type="dxa"/>
            <w:vAlign w:val="bottom"/>
          </w:tcPr>
          <w:p>
            <w:pPr>
              <w:spacing w:after="0"/>
              <w:rPr>
                <w:sz w:val="1"/>
                <w:szCs w:val="1"/>
                <w:color w:val="auto"/>
              </w:rPr>
            </w:pPr>
          </w:p>
        </w:tc>
      </w:tr>
      <w:tr>
        <w:trPr>
          <w:trHeight w:val="50"/>
        </w:trPr>
        <w:tc>
          <w:tcPr>
            <w:tcW w:w="8720" w:type="dxa"/>
            <w:vAlign w:val="bottom"/>
            <w:tcBorders>
              <w:left w:val="single" w:sz="8" w:color="auto"/>
              <w:right w:val="single" w:sz="8" w:color="auto"/>
            </w:tcBorders>
          </w:tcPr>
          <w:p>
            <w:pPr>
              <w:spacing w:after="0"/>
              <w:rPr>
                <w:sz w:val="4"/>
                <w:szCs w:val="4"/>
                <w:color w:val="auto"/>
              </w:rPr>
            </w:pP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8720" w:type="dxa"/>
            <w:vAlign w:val="bottom"/>
            <w:tcBorders>
              <w:left w:val="single" w:sz="8" w:color="auto"/>
              <w:bottom w:val="single" w:sz="8" w:color="auto"/>
              <w:right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8720" w:type="dxa"/>
            <w:vAlign w:val="bottom"/>
            <w:tcBorders>
              <w:left w:val="single" w:sz="8" w:color="auto"/>
              <w:right w:val="single" w:sz="8" w:color="auto"/>
            </w:tcBorders>
          </w:tcPr>
          <w:p>
            <w:pPr>
              <w:ind w:left="80"/>
              <w:spacing w:after="0" w:line="238" w:lineRule="exact"/>
              <w:rPr>
                <w:sz w:val="20"/>
                <w:szCs w:val="20"/>
                <w:color w:val="auto"/>
              </w:rPr>
            </w:pPr>
            <w:r>
              <w:rPr>
                <w:rFonts w:ascii="Calibri" w:cs="Calibri" w:eastAsia="Calibri" w:hAnsi="Calibri"/>
                <w:sz w:val="21"/>
                <w:szCs w:val="21"/>
                <w:color w:val="auto"/>
              </w:rPr>
              <w:t>[***]</w:t>
            </w:r>
          </w:p>
        </w:tc>
        <w:tc>
          <w:tcPr>
            <w:tcW w:w="2000" w:type="dxa"/>
            <w:vAlign w:val="bottom"/>
            <w:vMerge w:val="restart"/>
          </w:tcPr>
          <w:p>
            <w:pPr>
              <w:ind w:left="60"/>
              <w:spacing w:after="0"/>
              <w:rPr>
                <w:sz w:val="20"/>
                <w:szCs w:val="20"/>
                <w:color w:val="auto"/>
              </w:rPr>
            </w:pPr>
            <w:r>
              <w:rPr>
                <w:rFonts w:ascii="Calibri" w:cs="Calibri" w:eastAsia="Calibri" w:hAnsi="Calibri"/>
                <w:sz w:val="21"/>
                <w:szCs w:val="21"/>
                <w:color w:val="auto"/>
              </w:rPr>
              <w:t>[***]</w:t>
            </w:r>
          </w:p>
        </w:tc>
        <w:tc>
          <w:tcPr>
            <w:tcW w:w="0" w:type="dxa"/>
            <w:vAlign w:val="bottom"/>
          </w:tcPr>
          <w:p>
            <w:pPr>
              <w:spacing w:after="0"/>
              <w:rPr>
                <w:sz w:val="1"/>
                <w:szCs w:val="1"/>
                <w:color w:val="auto"/>
              </w:rPr>
            </w:pPr>
          </w:p>
        </w:tc>
      </w:tr>
      <w:tr>
        <w:trPr>
          <w:trHeight w:val="50"/>
        </w:trPr>
        <w:tc>
          <w:tcPr>
            <w:tcW w:w="8720" w:type="dxa"/>
            <w:vAlign w:val="bottom"/>
            <w:tcBorders>
              <w:left w:val="single" w:sz="8" w:color="auto"/>
              <w:right w:val="single" w:sz="8" w:color="auto"/>
            </w:tcBorders>
          </w:tcPr>
          <w:p>
            <w:pPr>
              <w:spacing w:after="0"/>
              <w:rPr>
                <w:sz w:val="4"/>
                <w:szCs w:val="4"/>
                <w:color w:val="auto"/>
              </w:rPr>
            </w:pP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8720" w:type="dxa"/>
            <w:vAlign w:val="bottom"/>
            <w:tcBorders>
              <w:left w:val="single" w:sz="8" w:color="auto"/>
              <w:bottom w:val="single" w:sz="8" w:color="auto"/>
              <w:right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8720" w:type="dxa"/>
            <w:vAlign w:val="bottom"/>
            <w:tcBorders>
              <w:left w:val="single" w:sz="8" w:color="auto"/>
              <w:right w:val="single" w:sz="8" w:color="auto"/>
            </w:tcBorders>
          </w:tcPr>
          <w:p>
            <w:pPr>
              <w:ind w:left="80"/>
              <w:spacing w:after="0" w:line="238" w:lineRule="exact"/>
              <w:rPr>
                <w:sz w:val="20"/>
                <w:szCs w:val="20"/>
                <w:color w:val="auto"/>
              </w:rPr>
            </w:pPr>
            <w:r>
              <w:rPr>
                <w:rFonts w:ascii="Calibri" w:cs="Calibri" w:eastAsia="Calibri" w:hAnsi="Calibri"/>
                <w:sz w:val="21"/>
                <w:szCs w:val="21"/>
                <w:color w:val="auto"/>
              </w:rPr>
              <w:t>[***]</w:t>
            </w:r>
          </w:p>
        </w:tc>
        <w:tc>
          <w:tcPr>
            <w:tcW w:w="2000" w:type="dxa"/>
            <w:vAlign w:val="bottom"/>
            <w:vMerge w:val="restart"/>
          </w:tcPr>
          <w:p>
            <w:pPr>
              <w:ind w:left="60"/>
              <w:spacing w:after="0"/>
              <w:rPr>
                <w:sz w:val="20"/>
                <w:szCs w:val="20"/>
                <w:color w:val="auto"/>
              </w:rPr>
            </w:pPr>
            <w:r>
              <w:rPr>
                <w:rFonts w:ascii="Calibri" w:cs="Calibri" w:eastAsia="Calibri" w:hAnsi="Calibri"/>
                <w:sz w:val="21"/>
                <w:szCs w:val="21"/>
                <w:color w:val="auto"/>
              </w:rPr>
              <w:t>[***]</w:t>
            </w:r>
          </w:p>
        </w:tc>
        <w:tc>
          <w:tcPr>
            <w:tcW w:w="0" w:type="dxa"/>
            <w:vAlign w:val="bottom"/>
          </w:tcPr>
          <w:p>
            <w:pPr>
              <w:spacing w:after="0"/>
              <w:rPr>
                <w:sz w:val="1"/>
                <w:szCs w:val="1"/>
                <w:color w:val="auto"/>
              </w:rPr>
            </w:pPr>
          </w:p>
        </w:tc>
      </w:tr>
      <w:tr>
        <w:trPr>
          <w:trHeight w:val="50"/>
        </w:trPr>
        <w:tc>
          <w:tcPr>
            <w:tcW w:w="8720" w:type="dxa"/>
            <w:vAlign w:val="bottom"/>
            <w:tcBorders>
              <w:left w:val="single" w:sz="8" w:color="auto"/>
              <w:right w:val="single" w:sz="8" w:color="auto"/>
            </w:tcBorders>
          </w:tcPr>
          <w:p>
            <w:pPr>
              <w:spacing w:after="0"/>
              <w:rPr>
                <w:sz w:val="4"/>
                <w:szCs w:val="4"/>
                <w:color w:val="auto"/>
              </w:rPr>
            </w:pP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8720" w:type="dxa"/>
            <w:vAlign w:val="bottom"/>
            <w:tcBorders>
              <w:left w:val="single" w:sz="8" w:color="auto"/>
              <w:bottom w:val="single" w:sz="8" w:color="auto"/>
              <w:right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jc w:val="both"/>
        <w:ind w:right="100" w:firstLine="1239"/>
        <w:spacing w:after="0" w:line="226" w:lineRule="auto"/>
        <w:tabs>
          <w:tab w:leader="none" w:pos="1850"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Royalty Term</w:t>
      </w:r>
      <w:r>
        <w:rPr>
          <w:rFonts w:ascii="Times New Roman" w:cs="Times New Roman" w:eastAsia="Times New Roman" w:hAnsi="Times New Roman"/>
          <w:sz w:val="21"/>
          <w:szCs w:val="21"/>
          <w:color w:val="auto"/>
        </w:rPr>
        <w:t>. Aadi’s obligation to pay royalties under this Section 7.4 shall continue with respect to sales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Licensed Products on a Licensed Product-by-Licensed Product and Region-by-Region basis from the First Commercial Sale of the applicable Licensed Product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340"/>
          </w:cols>
          <w:pgMar w:left="320" w:top="1440" w:right="239" w:bottom="1440" w:gutter="0" w:footer="0" w:header="0"/>
        </w:sectPr>
      </w:pPr>
    </w:p>
    <w:bookmarkStart w:id="263" w:name="page264"/>
    <w:bookmarkEnd w:id="263"/>
    <w:p>
      <w:pPr>
        <w:spacing w:after="0" w:line="34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particular Region until the date which is the later of: (i) expiration of the last to expire Valid Claim of a [***] in such Region Covering the [***] Licensed ADC or Licensed Product in such Region; or (ii) [***] after the First Commercial Sale of such Licensed Product in such Region in the Territory (“</w:t>
      </w:r>
      <w:r>
        <w:rPr>
          <w:rFonts w:ascii="Times New Roman" w:cs="Times New Roman" w:eastAsia="Times New Roman" w:hAnsi="Times New Roman"/>
          <w:sz w:val="21"/>
          <w:szCs w:val="21"/>
          <w:b w:val="1"/>
          <w:bCs w:val="1"/>
          <w:color w:val="auto"/>
        </w:rPr>
        <w:t>Royalty Term</w:t>
      </w:r>
      <w:r>
        <w:rPr>
          <w:rFonts w:ascii="Times New Roman" w:cs="Times New Roman" w:eastAsia="Times New Roman" w:hAnsi="Times New Roman"/>
          <w:sz w:val="21"/>
          <w:szCs w:val="21"/>
          <w:color w:val="auto"/>
        </w:rPr>
        <w:t>”). After the expiration of the applicable Royalty Term with respect to a particular Licensed Product in a particular Region, no further royalties shall be due with respect to such Licensed Product in such Region and the licenses and rights granted by WuXi Biologics to Aadi under this Agreement with respect to such Licensed Product (and the Licensed ADC(s) included therein) in such Region will become fully paid-up, royalty-free, perpetual and irrevocable.</w:t>
      </w:r>
    </w:p>
    <w:p>
      <w:pPr>
        <w:spacing w:after="0" w:line="146" w:lineRule="exact"/>
        <w:rPr>
          <w:sz w:val="20"/>
          <w:szCs w:val="20"/>
          <w:color w:val="auto"/>
        </w:rPr>
      </w:pPr>
    </w:p>
    <w:p>
      <w:pPr>
        <w:ind w:left="1860" w:hanging="621"/>
        <w:spacing w:after="0"/>
        <w:tabs>
          <w:tab w:leader="none" w:pos="1860"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Royalty Adjustments</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857"/>
        <w:spacing w:after="0" w:line="221" w:lineRule="auto"/>
        <w:tabs>
          <w:tab w:leader="none" w:pos="2461"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 Valid Claim. </w:t>
      </w:r>
      <w:r>
        <w:rPr>
          <w:rFonts w:ascii="Times New Roman" w:cs="Times New Roman" w:eastAsia="Times New Roman" w:hAnsi="Times New Roman"/>
          <w:sz w:val="21"/>
          <w:szCs w:val="21"/>
          <w:color w:val="auto"/>
        </w:rPr>
        <w:t>On a Licensed Product-by-Licensed Product and Region-by-Region basis, during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portion of the Royalty Term for a Licensed Product in a Region when no Valid Claim of a [***] in such Region Covers [***] Licensed ADC or Licensed Product in such Region, the royalties due to WuXi Biologics under Section 7.4(a) with respect to such Licensed Product in such Region shall be reduced to [***] of the amount otherwise payable under Section 7.4(a).</w:t>
      </w:r>
    </w:p>
    <w:p>
      <w:pPr>
        <w:spacing w:after="0" w:line="140" w:lineRule="exact"/>
        <w:rPr>
          <w:rFonts w:ascii="Times New Roman" w:cs="Times New Roman" w:eastAsia="Times New Roman" w:hAnsi="Times New Roman"/>
          <w:sz w:val="21"/>
          <w:szCs w:val="21"/>
          <w:color w:val="auto"/>
        </w:rPr>
      </w:pPr>
    </w:p>
    <w:p>
      <w:pPr>
        <w:ind w:left="2460" w:hanging="603"/>
        <w:spacing w:after="0"/>
        <w:tabs>
          <w:tab w:leader="none" w:pos="2460"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Third Party Payments</w:t>
      </w:r>
      <w:r>
        <w:rPr>
          <w:rFonts w:ascii="Times New Roman" w:cs="Times New Roman" w:eastAsia="Times New Roman" w:hAnsi="Times New Roman"/>
          <w:sz w:val="21"/>
          <w:szCs w:val="21"/>
          <w:color w:val="auto"/>
        </w:rPr>
        <w:t>.</w:t>
      </w:r>
    </w:p>
    <w:p>
      <w:pPr>
        <w:spacing w:after="0" w:line="174" w:lineRule="exact"/>
        <w:rPr>
          <w:rFonts w:ascii="Times New Roman" w:cs="Times New Roman" w:eastAsia="Times New Roman" w:hAnsi="Times New Roman"/>
          <w:sz w:val="21"/>
          <w:szCs w:val="21"/>
          <w:color w:val="auto"/>
        </w:rPr>
      </w:pPr>
    </w:p>
    <w:p>
      <w:pPr>
        <w:ind w:firstLine="2475"/>
        <w:spacing w:after="0" w:line="235" w:lineRule="auto"/>
        <w:tabs>
          <w:tab w:leader="none" w:pos="3080" w:val="left"/>
        </w:tabs>
        <w:numPr>
          <w:ilvl w:val="2"/>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Aadi, its Affiliate or Sublicensee becomes obligated to make any payment to a Third Party with respect to any intellectual property right owned or Controlled by such Third Party [***].</w:t>
      </w:r>
    </w:p>
    <w:p>
      <w:pPr>
        <w:spacing w:after="0" w:line="141" w:lineRule="exact"/>
        <w:rPr>
          <w:rFonts w:ascii="Times New Roman" w:cs="Times New Roman" w:eastAsia="Times New Roman" w:hAnsi="Times New Roman"/>
          <w:sz w:val="21"/>
          <w:szCs w:val="21"/>
          <w:color w:val="auto"/>
        </w:rPr>
      </w:pPr>
    </w:p>
    <w:p>
      <w:pPr>
        <w:jc w:val="both"/>
        <w:ind w:firstLine="1857"/>
        <w:spacing w:after="0" w:line="217" w:lineRule="auto"/>
        <w:tabs>
          <w:tab w:leader="none" w:pos="2472"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Biosimilar Products. </w:t>
      </w:r>
      <w:r>
        <w:rPr>
          <w:rFonts w:ascii="Times New Roman" w:cs="Times New Roman" w:eastAsia="Times New Roman" w:hAnsi="Times New Roman"/>
          <w:sz w:val="21"/>
          <w:szCs w:val="21"/>
          <w:color w:val="auto"/>
        </w:rPr>
        <w:t>If a Licensed Product is sold in a Region during the applicable Royalty Term at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when a Biosimilar Product is also being sold in such Region, then the royalties payable on Net Sales of such Licensed Product in such Region in any Calendar Quarter during the applicable Royalty Term shall be reduced to an amount equal to [***] of the royalties that would otherwise be payable on Net Sales of such Licensed Product in such Region in such Calendar Quarter under Section 7.4(a). For clarity, [***].</w:t>
      </w:r>
    </w:p>
    <w:p>
      <w:pPr>
        <w:spacing w:after="0" w:line="135" w:lineRule="exact"/>
        <w:rPr>
          <w:rFonts w:ascii="Times New Roman" w:cs="Times New Roman" w:eastAsia="Times New Roman" w:hAnsi="Times New Roman"/>
          <w:sz w:val="21"/>
          <w:szCs w:val="21"/>
          <w:color w:val="auto"/>
        </w:rPr>
      </w:pPr>
    </w:p>
    <w:p>
      <w:pPr>
        <w:ind w:left="2460" w:hanging="603"/>
        <w:spacing w:after="0"/>
        <w:tabs>
          <w:tab w:leader="none" w:pos="2460"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shall be due under this Agreement with respect to a sale of a particular Licensed Product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44" w:lineRule="exact"/>
        <w:rPr>
          <w:rFonts w:ascii="Times New Roman" w:cs="Times New Roman" w:eastAsia="Times New Roman" w:hAnsi="Times New Roman"/>
          <w:sz w:val="21"/>
          <w:szCs w:val="21"/>
          <w:color w:val="auto"/>
        </w:rPr>
      </w:pPr>
    </w:p>
    <w:p>
      <w:pPr>
        <w:jc w:val="both"/>
        <w:ind w:firstLine="1857"/>
        <w:spacing w:after="0" w:line="221" w:lineRule="auto"/>
        <w:tabs>
          <w:tab w:leader="none" w:pos="2468"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Royalty Floor</w:t>
      </w:r>
      <w:r>
        <w:rPr>
          <w:rFonts w:ascii="Times New Roman" w:cs="Times New Roman" w:eastAsia="Times New Roman" w:hAnsi="Times New Roman"/>
          <w:sz w:val="21"/>
          <w:szCs w:val="21"/>
          <w:color w:val="auto"/>
        </w:rPr>
        <w:t>. Notwithstanding the foregoing, during the applicable Royalty Term, in no event, will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deductions set forth in this Section 7.4(c) above reduce the royalties otherwise payable to WuXi Biologics under this Section 7.4 in any given Calendar Quarter to less than [***] of the royalties that otherwise would have been due and payable to WuXi Biologics in accordance with Section 7.4(a) in such Calendar Quarter (the “</w:t>
      </w:r>
      <w:r>
        <w:rPr>
          <w:rFonts w:ascii="Times New Roman" w:cs="Times New Roman" w:eastAsia="Times New Roman" w:hAnsi="Times New Roman"/>
          <w:sz w:val="21"/>
          <w:szCs w:val="21"/>
          <w:b w:val="1"/>
          <w:bCs w:val="1"/>
          <w:color w:val="auto"/>
        </w:rPr>
        <w:t>Royalty Floor</w:t>
      </w:r>
      <w:r>
        <w:rPr>
          <w:rFonts w:ascii="Times New Roman" w:cs="Times New Roman" w:eastAsia="Times New Roman" w:hAnsi="Times New Roman"/>
          <w:sz w:val="21"/>
          <w:szCs w:val="21"/>
          <w:color w:val="auto"/>
        </w:rPr>
        <w:t>”); provided, [***].</w:t>
      </w:r>
    </w:p>
    <w:p>
      <w:pPr>
        <w:spacing w:after="0" w:line="140" w:lineRule="exact"/>
        <w:rPr>
          <w:rFonts w:ascii="Times New Roman" w:cs="Times New Roman" w:eastAsia="Times New Roman" w:hAnsi="Times New Roman"/>
          <w:sz w:val="21"/>
          <w:szCs w:val="21"/>
          <w:color w:val="auto"/>
        </w:rPr>
      </w:pPr>
    </w:p>
    <w:p>
      <w:pPr>
        <w:ind w:firstLine="1239"/>
        <w:spacing w:after="0" w:line="237" w:lineRule="auto"/>
        <w:tabs>
          <w:tab w:leader="none" w:pos="1850"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Royalty Reports</w:t>
      </w:r>
      <w:r>
        <w:rPr>
          <w:rFonts w:ascii="Times New Roman" w:cs="Times New Roman" w:eastAsia="Times New Roman" w:hAnsi="Times New Roman"/>
          <w:sz w:val="21"/>
          <w:szCs w:val="21"/>
          <w:color w:val="auto"/>
        </w:rPr>
        <w:t>. [***], Aadi shall deliver to WuXi Biologics a report (each, a “</w:t>
      </w:r>
      <w:r>
        <w:rPr>
          <w:rFonts w:ascii="Times New Roman" w:cs="Times New Roman" w:eastAsia="Times New Roman" w:hAnsi="Times New Roman"/>
          <w:sz w:val="21"/>
          <w:szCs w:val="21"/>
          <w:b w:val="1"/>
          <w:bCs w:val="1"/>
          <w:color w:val="auto"/>
        </w:rPr>
        <w:t>Royalty Report</w:t>
      </w:r>
      <w:r>
        <w:rPr>
          <w:rFonts w:ascii="Times New Roman" w:cs="Times New Roman" w:eastAsia="Times New Roman" w:hAnsi="Times New Roman"/>
          <w:sz w:val="21"/>
          <w:szCs w:val="21"/>
          <w:color w:val="auto"/>
        </w:rPr>
        <w:t>”) setting out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details necessary to calculate the payments due under this Section 7.4, including:</w:t>
      </w:r>
    </w:p>
    <w:p>
      <w:pPr>
        <w:spacing w:after="0" w:line="145" w:lineRule="exact"/>
        <w:rPr>
          <w:rFonts w:ascii="Times New Roman" w:cs="Times New Roman" w:eastAsia="Times New Roman" w:hAnsi="Times New Roman"/>
          <w:sz w:val="21"/>
          <w:szCs w:val="21"/>
          <w:color w:val="auto"/>
        </w:rPr>
      </w:pPr>
    </w:p>
    <w:p>
      <w:pPr>
        <w:ind w:left="2460" w:hanging="603"/>
        <w:spacing w:after="0"/>
        <w:tabs>
          <w:tab w:leader="none" w:pos="2460"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2460" w:hanging="603"/>
        <w:spacing w:after="0"/>
        <w:tabs>
          <w:tab w:leader="none" w:pos="2460"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2480" w:hanging="623"/>
        <w:spacing w:after="0"/>
        <w:tabs>
          <w:tab w:leader="none" w:pos="2480"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and</w:t>
      </w:r>
    </w:p>
    <w:p>
      <w:pPr>
        <w:spacing w:after="0" w:line="170" w:lineRule="exact"/>
        <w:rPr>
          <w:rFonts w:ascii="Times New Roman" w:cs="Times New Roman" w:eastAsia="Times New Roman" w:hAnsi="Times New Roman"/>
          <w:sz w:val="21"/>
          <w:szCs w:val="21"/>
          <w:color w:val="auto"/>
        </w:rPr>
      </w:pPr>
    </w:p>
    <w:p>
      <w:pPr>
        <w:ind w:left="2460" w:hanging="603"/>
        <w:spacing w:after="0"/>
        <w:tabs>
          <w:tab w:leader="none" w:pos="2460"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375"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21"/>
          <w:szCs w:val="21"/>
          <w:color w:val="auto"/>
        </w:rPr>
        <w:t>Royalty Reports shall be due [***] following the end of each such Calendar Quarter during the Term. Promptly following the delivery of the applicable Royalty Report, WuXi Biologics will invoice Aadi for the royalties due to WuXi Biologics with respect to Net Sales by Aadi, its Affiliates and their respective Sublicensees in the Territory in such Calendar Quarter. Aadi will pay such amounts to WuXi Biologics within [***] following Aadi’s receipt of such invoice. Notwithstanding [***].</w:t>
      </w:r>
    </w:p>
    <w:p>
      <w:pPr>
        <w:spacing w:after="0" w:line="1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VIII</w:t>
      </w:r>
    </w:p>
    <w:p>
      <w:pPr>
        <w:ind w:left="3860"/>
        <w:spacing w:after="0"/>
        <w:rPr>
          <w:sz w:val="20"/>
          <w:szCs w:val="20"/>
          <w:color w:val="auto"/>
        </w:rPr>
      </w:pPr>
      <w:r>
        <w:rPr>
          <w:rFonts w:ascii="Times New Roman" w:cs="Times New Roman" w:eastAsia="Times New Roman" w:hAnsi="Times New Roman"/>
          <w:sz w:val="21"/>
          <w:szCs w:val="21"/>
          <w:b w:val="1"/>
          <w:bCs w:val="1"/>
          <w:color w:val="auto"/>
        </w:rPr>
        <w:t>PAYMENTS; BOOKS AND RECORDS</w:t>
      </w:r>
    </w:p>
    <w:p>
      <w:pPr>
        <w:spacing w:after="0" w:line="145" w:lineRule="exact"/>
        <w:rPr>
          <w:sz w:val="20"/>
          <w:szCs w:val="20"/>
          <w:color w:val="auto"/>
        </w:rPr>
      </w:pPr>
    </w:p>
    <w:p>
      <w:pPr>
        <w:jc w:val="both"/>
        <w:ind w:firstLine="618"/>
        <w:spacing w:after="0" w:line="212" w:lineRule="auto"/>
        <w:rPr>
          <w:sz w:val="20"/>
          <w:szCs w:val="20"/>
          <w:color w:val="auto"/>
        </w:rPr>
      </w:pPr>
      <w:r>
        <w:rPr>
          <w:rFonts w:ascii="Times New Roman" w:cs="Times New Roman" w:eastAsia="Times New Roman" w:hAnsi="Times New Roman"/>
          <w:sz w:val="21"/>
          <w:szCs w:val="21"/>
          <w:b w:val="1"/>
          <w:bCs w:val="1"/>
          <w:color w:val="auto"/>
        </w:rPr>
        <w:t>8.1 Payment Method; Currency Conversion</w:t>
      </w:r>
      <w:r>
        <w:rPr>
          <w:rFonts w:ascii="Times New Roman" w:cs="Times New Roman" w:eastAsia="Times New Roman" w:hAnsi="Times New Roman"/>
          <w:sz w:val="21"/>
          <w:szCs w:val="21"/>
          <w:color w:val="auto"/>
        </w:rPr>
        <w:t>. All amounts specified in this Agreement are in U.S. Dollars, and all cash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payments by one Party to the other Party under this Agreement shall be paid in U.S. Dollars. As applicable, Net Sales and any royalty reductions will be translated into U.S. Dollars in the manner used by Aadi, or its applicable Affiliate or Sublicensee, from time to time in the preparation of its audited financial statements for external reporting purposes. All payments under this Agreement will be paid in U.S. Dollars by wire transfer to the below bank account designated by the receiving Party (which account the receiving Party may update from time to time in writing, subject to the paying Party’s reasonable confirmation). If at any time legal restrictions prevent the prompt remittance of any royalties or other amounts with respect to any Region where Licensed Products are sold, Aadi shall have the right, at its option, to make such payments by depositing, or causing to be deposited, the amount of such payments in local currency to WuXi Biologics’ account in a bank or other depository designated by WuXi Biologics in such Region.</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Account Name</w:t>
      </w:r>
      <w:r>
        <w:rPr>
          <w:rFonts w:ascii="Times New Roman" w:cs="Times New Roman" w:eastAsia="Times New Roman" w:hAnsi="Times New Roman"/>
          <w:sz w:val="21"/>
          <w:szCs w:val="21"/>
          <w:color w:val="auto"/>
        </w:rPr>
        <w:t>: [***]</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Account Number</w:t>
      </w:r>
      <w:r>
        <w:rPr>
          <w:rFonts w:ascii="Times New Roman" w:cs="Times New Roman" w:eastAsia="Times New Roman" w:hAnsi="Times New Roman"/>
          <w:sz w:val="21"/>
          <w:szCs w:val="21"/>
          <w:color w:val="auto"/>
        </w:rPr>
        <w:t>: [***]</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Account Currency</w:t>
      </w:r>
      <w:r>
        <w:rPr>
          <w:rFonts w:ascii="Times New Roman" w:cs="Times New Roman" w:eastAsia="Times New Roman" w:hAnsi="Times New Roman"/>
          <w:sz w:val="21"/>
          <w:szCs w:val="21"/>
          <w:color w:val="auto"/>
        </w:rPr>
        <w:t>: [***]</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SWIFT Code</w:t>
      </w:r>
      <w:r>
        <w:rPr>
          <w:rFonts w:ascii="Times New Roman" w:cs="Times New Roman" w:eastAsia="Times New Roman" w:hAnsi="Times New Roman"/>
          <w:sz w:val="21"/>
          <w:szCs w:val="21"/>
          <w:color w:val="auto"/>
        </w:rPr>
        <w:t>: [***]</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Bank Name</w:t>
      </w:r>
      <w:r>
        <w:rPr>
          <w:rFonts w:ascii="Times New Roman" w:cs="Times New Roman" w:eastAsia="Times New Roman" w:hAnsi="Times New Roman"/>
          <w:sz w:val="21"/>
          <w:szCs w:val="21"/>
          <w:color w:val="auto"/>
        </w:rPr>
        <w:t>: [***]</w:t>
      </w:r>
    </w:p>
    <w:p>
      <w:pPr>
        <w:spacing w:after="0" w:line="183"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8.2</w:t>
      </w:r>
      <w:r>
        <w:rPr>
          <w:sz w:val="20"/>
          <w:szCs w:val="20"/>
          <w:color w:val="auto"/>
        </w:rPr>
        <w:tab/>
      </w: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ind w:firstLine="1239"/>
        <w:spacing w:after="0" w:line="237" w:lineRule="auto"/>
        <w:tabs>
          <w:tab w:leader="none" w:pos="1851"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Income Taxes. </w:t>
      </w:r>
      <w:r>
        <w:rPr>
          <w:rFonts w:ascii="Times New Roman" w:cs="Times New Roman" w:eastAsia="Times New Roman" w:hAnsi="Times New Roman"/>
          <w:sz w:val="21"/>
          <w:szCs w:val="21"/>
          <w:color w:val="auto"/>
        </w:rPr>
        <w:t>Each Party shall be solely responsible for the payment of all taxes imposed on its share of income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arising directly or indirectly from the efforts of the Parties under this Agreement.</w:t>
      </w:r>
    </w:p>
    <w:p>
      <w:pPr>
        <w:spacing w:after="0" w:line="141" w:lineRule="exact"/>
        <w:rPr>
          <w:rFonts w:ascii="Times New Roman" w:cs="Times New Roman" w:eastAsia="Times New Roman" w:hAnsi="Times New Roman"/>
          <w:sz w:val="21"/>
          <w:szCs w:val="21"/>
          <w:color w:val="auto"/>
        </w:rPr>
      </w:pPr>
    </w:p>
    <w:p>
      <w:pPr>
        <w:jc w:val="both"/>
        <w:ind w:firstLine="1239"/>
        <w:spacing w:after="0" w:line="223" w:lineRule="auto"/>
        <w:tabs>
          <w:tab w:leader="none" w:pos="185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Withholding Taxes. </w:t>
      </w:r>
      <w:r>
        <w:rPr>
          <w:rFonts w:ascii="Times New Roman" w:cs="Times New Roman" w:eastAsia="Times New Roman" w:hAnsi="Times New Roman"/>
          <w:sz w:val="20"/>
          <w:szCs w:val="20"/>
          <w:color w:val="auto"/>
        </w:rPr>
        <w:t>Notwithstanding any other provision of this Agreement, Aadi shall be entitled to deduct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 from any payments due under this Agreement such amounts as it is required to deduct and withhold pursuant to any tax laws of any jurisdiction or any regulation of any taxing authority thereof and may offset against future payments any amounts imposed on it by any governmental agency for failing to deduct and withhold as required by law. To the extent such amounts are deducted, withheld and paid by or on behalf of Aadi to the appropriate taxing authority, such amounts shall be treated for all purposes of this Agreement as having been paid to WuXi Biologics. Aadi shall provide WuXi Biologics with official receipts issued by the appropriate governmental agency or such other evidence as is reasonably requested by WuXi Biologics to establish that such taxes have been paid. If, in the opinion of Aadi’s advisors, WuXi Biologics is entitled to an exemption from or reduction of withholding tax with respect to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34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made under this Agreement, it shall deliver to Aadi, at the time or times reasonably requested by Aadi, such properly completed and executed documentation as will permit such payments to be made without withholding or at a reduced rate of withholding, including an [***]. Each Party shall cooperate [***] in connection with any application to qualify for the benefit of a reduced rate of withholding taxation, under the terms of any income tax treaty between the United States and other jurisdictions. Notwithstanding the above, [***].</w:t>
      </w:r>
    </w:p>
    <w:p>
      <w:pPr>
        <w:spacing w:after="0" w:line="167" w:lineRule="exact"/>
        <w:rPr>
          <w:sz w:val="20"/>
          <w:szCs w:val="20"/>
          <w:color w:val="auto"/>
        </w:rPr>
      </w:pPr>
    </w:p>
    <w:p>
      <w:pPr>
        <w:jc w:val="both"/>
        <w:ind w:firstLine="1239"/>
        <w:spacing w:after="0" w:line="264" w:lineRule="auto"/>
        <w:tabs>
          <w:tab w:leader="none" w:pos="1851"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Indirect Taxes. </w:t>
      </w:r>
      <w:r>
        <w:rPr>
          <w:rFonts w:ascii="Times New Roman" w:cs="Times New Roman" w:eastAsia="Times New Roman" w:hAnsi="Times New Roman"/>
          <w:sz w:val="20"/>
          <w:szCs w:val="20"/>
          <w:color w:val="auto"/>
        </w:rPr>
        <w:t>All amounts payable under or in connection with this Agreement are exclusive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101214"/>
        </w:rPr>
        <w:t>value-added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101214"/>
        </w:rPr>
        <w:t xml:space="preserve">tax </w:t>
      </w:r>
      <w:r>
        <w:rPr>
          <w:rFonts w:ascii="Times New Roman" w:cs="Times New Roman" w:eastAsia="Times New Roman" w:hAnsi="Times New Roman"/>
          <w:sz w:val="20"/>
          <w:szCs w:val="20"/>
          <w:color w:val="000000"/>
        </w:rPr>
        <w:t>and indirect taxes. Where any sum due to be paid to WuXi Biologics hereunder is or would otherwise be subject to any value-added</w:t>
      </w:r>
      <w:r>
        <w:rPr>
          <w:rFonts w:ascii="Times New Roman" w:cs="Times New Roman" w:eastAsia="Times New Roman" w:hAnsi="Times New Roman"/>
          <w:sz w:val="20"/>
          <w:szCs w:val="20"/>
          <w:color w:val="101214"/>
        </w:rPr>
        <w:t xml:space="preserve"> </w:t>
      </w:r>
      <w:r>
        <w:rPr>
          <w:rFonts w:ascii="Times New Roman" w:cs="Times New Roman" w:eastAsia="Times New Roman" w:hAnsi="Times New Roman"/>
          <w:sz w:val="20"/>
          <w:szCs w:val="20"/>
          <w:color w:val="000000"/>
        </w:rPr>
        <w:t xml:space="preserve">tax or indirect taxes under Applicable Law, the Parties shall cooperate with each other and use [***] to take all actions as will enable them to secure any available exemption from or reduction in such value-added tax or indirect taxes. Any </w:t>
      </w:r>
      <w:r>
        <w:rPr>
          <w:rFonts w:ascii="Times New Roman" w:cs="Times New Roman" w:eastAsia="Times New Roman" w:hAnsi="Times New Roman"/>
          <w:sz w:val="20"/>
          <w:szCs w:val="20"/>
          <w:color w:val="101214"/>
        </w:rPr>
        <w:t>value-added tax</w:t>
      </w:r>
      <w:r>
        <w:rPr>
          <w:rFonts w:ascii="Times New Roman" w:cs="Times New Roman" w:eastAsia="Times New Roman" w:hAnsi="Times New Roman"/>
          <w:sz w:val="20"/>
          <w:szCs w:val="20"/>
          <w:color w:val="000000"/>
        </w:rPr>
        <w:t xml:space="preserve"> and indirect taxes payable, if applicable, under this Agreement shall be paid by Aadi at the same time as the payment, subject to the production of a valid invoice in accordance with Section 7.3(c). If the valued added tax or indirect taxes originally paid or otherwise borne by Aadi are in whole or in part subsequently determined not to have been chargeable, WuXi Biologics shall [***] to take all necessary steps to receive a refund of these undue valued added tax or indirect taxes from the applicable taxing authority and any amount of undue valued added tax or indirect taxes repaid by such authority to WuXi Biologics shall be transferred to Aadi within [***] days of receipt.</w:t>
      </w:r>
    </w:p>
    <w:p>
      <w:pPr>
        <w:spacing w:after="0" w:line="157"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21"/>
          <w:szCs w:val="21"/>
          <w:b w:val="1"/>
          <w:bCs w:val="1"/>
          <w:color w:val="auto"/>
        </w:rPr>
        <w:t>8.3 Late Payments</w:t>
      </w:r>
      <w:r>
        <w:rPr>
          <w:rFonts w:ascii="Times New Roman" w:cs="Times New Roman" w:eastAsia="Times New Roman" w:hAnsi="Times New Roman"/>
          <w:sz w:val="21"/>
          <w:szCs w:val="21"/>
          <w:color w:val="auto"/>
        </w:rPr>
        <w:t>. In the event that any undisputed amount payable by Aadi to WuXi Biologics hereunder is not made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when due, such outstanding payment shall accrue interest, to the extent permitted by Applicable Law, at an annual rate of [***] or the highest rate permitted by Applicable Law (whichever is lower), computed from the date such payment was due until the date Aadi makes the payment.</w:t>
      </w:r>
    </w:p>
    <w:p>
      <w:pPr>
        <w:spacing w:after="0" w:line="154" w:lineRule="exact"/>
        <w:rPr>
          <w:sz w:val="20"/>
          <w:szCs w:val="20"/>
          <w:color w:val="auto"/>
        </w:rPr>
      </w:pPr>
    </w:p>
    <w:p>
      <w:pPr>
        <w:jc w:val="both"/>
        <w:ind w:firstLine="618"/>
        <w:spacing w:after="0" w:line="221" w:lineRule="auto"/>
        <w:rPr>
          <w:sz w:val="20"/>
          <w:szCs w:val="20"/>
          <w:color w:val="auto"/>
        </w:rPr>
      </w:pPr>
      <w:r>
        <w:rPr>
          <w:rFonts w:ascii="Times New Roman" w:cs="Times New Roman" w:eastAsia="Times New Roman" w:hAnsi="Times New Roman"/>
          <w:sz w:val="21"/>
          <w:szCs w:val="21"/>
          <w:b w:val="1"/>
          <w:bCs w:val="1"/>
          <w:color w:val="auto"/>
        </w:rPr>
        <w:t>8.4 Records</w:t>
      </w:r>
      <w:r>
        <w:rPr>
          <w:rFonts w:ascii="Times New Roman" w:cs="Times New Roman" w:eastAsia="Times New Roman" w:hAnsi="Times New Roman"/>
          <w:sz w:val="21"/>
          <w:szCs w:val="21"/>
          <w:color w:val="auto"/>
        </w:rPr>
        <w:t>. Aadi shall keep, and shall require that its Affiliates and Sublicensees keep, complete and accurate books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 and records in sufficient detail to enable the amounts payable under this Agreement to be determined. Such books and records shall be kept at the principal place of business of Aadi, its Affiliate or Sublicensee, as the case may be, for [***] months following the end of the Calendar Year to which such books and records pertain.</w:t>
      </w:r>
    </w:p>
    <w:p>
      <w:pPr>
        <w:spacing w:after="0" w:line="141"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8.5</w:t>
      </w:r>
      <w:r>
        <w:rPr>
          <w:sz w:val="20"/>
          <w:szCs w:val="20"/>
          <w:color w:val="auto"/>
        </w:rPr>
        <w:tab/>
      </w:r>
      <w:r>
        <w:rPr>
          <w:rFonts w:ascii="Times New Roman" w:cs="Times New Roman" w:eastAsia="Times New Roman" w:hAnsi="Times New Roman"/>
          <w:sz w:val="20"/>
          <w:szCs w:val="20"/>
          <w:b w:val="1"/>
          <w:bCs w:val="1"/>
          <w:color w:val="auto"/>
        </w:rPr>
        <w:t>Audits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39"/>
        <w:spacing w:after="0" w:line="220" w:lineRule="auto"/>
        <w:tabs>
          <w:tab w:leader="none" w:pos="1851"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Audit Rights</w:t>
      </w:r>
      <w:r>
        <w:rPr>
          <w:rFonts w:ascii="Times New Roman" w:cs="Times New Roman" w:eastAsia="Times New Roman" w:hAnsi="Times New Roman"/>
          <w:sz w:val="20"/>
          <w:szCs w:val="20"/>
          <w:color w:val="auto"/>
        </w:rPr>
        <w:t>. Upon [***] prior written notice from WuXi Biologics, Aadi shall permit, and shall require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Affiliates, to permit, an independent certified public accounting firm of nationally recognized standing, selected by WuXi Biologics and reasonably acceptable to Aadi, to have access during normal business hours to such books of account and records of Aadi, and its Affiliates, at such Person’s principal place of business, as may be [***] necessary to verify the accuracy of the reports provided by Aadi pursuant to Section 7.4(d). Such audits may not (i) be conducted for any Calendar Year ending [***] prior to the date of such request, or</w:t>
      </w:r>
    </w:p>
    <w:p>
      <w:pPr>
        <w:spacing w:after="0" w:line="2" w:lineRule="exact"/>
        <w:rPr>
          <w:rFonts w:ascii="Times New Roman" w:cs="Times New Roman" w:eastAsia="Times New Roman" w:hAnsi="Times New Roman"/>
          <w:sz w:val="20"/>
          <w:szCs w:val="20"/>
          <w:color w:val="auto"/>
        </w:rPr>
      </w:pPr>
    </w:p>
    <w:p>
      <w:pPr>
        <w:jc w:val="both"/>
        <w:ind w:firstLine="3"/>
        <w:spacing w:after="0" w:line="214" w:lineRule="auto"/>
        <w:tabs>
          <w:tab w:leader="none" w:pos="313"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conducted [***] in any Calendar Year. Aadi shall use reasonable efforts to obtain its Sublicensees’ prior consent, if required, to share Aadi’s summary of its audit reports on its Sublicensees with WuXi Biologics; provided that Aadi shall not be required to share any audit reports on its Sublicensees for any Calendar Year ending [***] prior to the date of such request, to share such audit reports [***] in any Calendar Year, nor to share any audit report for any Calendar Quarter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345" w:lineRule="exact"/>
        <w:rPr>
          <w:sz w:val="20"/>
          <w:szCs w:val="20"/>
          <w:color w:val="auto"/>
        </w:rPr>
      </w:pPr>
    </w:p>
    <w:p>
      <w:pPr>
        <w:jc w:val="both"/>
        <w:ind w:firstLine="1239"/>
        <w:spacing w:after="0" w:line="207" w:lineRule="auto"/>
        <w:tabs>
          <w:tab w:leader="none" w:pos="1850" w:val="left"/>
        </w:tabs>
        <w:numPr>
          <w:ilvl w:val="1"/>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Audit Results</w:t>
      </w:r>
      <w:r>
        <w:rPr>
          <w:rFonts w:ascii="Times New Roman" w:cs="Times New Roman" w:eastAsia="Times New Roman" w:hAnsi="Times New Roman"/>
          <w:sz w:val="21"/>
          <w:szCs w:val="21"/>
          <w:color w:val="auto"/>
        </w:rPr>
        <w:t>. WuXi Biologics shall require the independent accountant to provide to Aadi an audit report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containing its conclusions regarding any audit, and specifying whether the amounts paid were correct or, if incorrect, the amount of any underpayment or overpayment. The independent accountant shall provide to Aadi a preliminary copy of its audit report, and shall discuss with Aadi any issues or discrepancies that Aadi identifies, prior to submission to WuXi Biologics. If such audit establishes that additional royalties were owed to WuXi Biologics during the period covered by any audit pursuant to Section 8.5(a), Aadi shall remit to WuXi Biologics within [***] of the date on which WuXi Biologics delivers to Aadi such accounting firm’s written report so concluding: (i) the amount of such additional royalties; and (ii) interest on such amount which shall be calculated pursuant to Section 8.3. In the event such audit establishes that amounts were overpaid by Aadi during such period, the amount of such overpayment shall promptly be refunded to Aadi. The fees charged by the independent accountant in connection with any audit pursuant to this Section 8.5 shall be paid by WuXi Biologics; provided, however, that if a discrepancy in favor of WuXi Biologics of</w:t>
      </w:r>
    </w:p>
    <w:p>
      <w:pPr>
        <w:spacing w:after="0" w:line="3" w:lineRule="exact"/>
        <w:rPr>
          <w:rFonts w:ascii="Times New Roman" w:cs="Times New Roman" w:eastAsia="Times New Roman" w:hAnsi="Times New Roman"/>
          <w:sz w:val="21"/>
          <w:szCs w:val="21"/>
          <w:color w:val="auto"/>
        </w:rPr>
      </w:pPr>
    </w:p>
    <w:p>
      <w:pPr>
        <w:ind w:firstLine="3"/>
        <w:spacing w:after="0" w:line="224" w:lineRule="auto"/>
        <w:tabs>
          <w:tab w:leader="none" w:pos="509"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payments due hereunder for the period being audited is established, then Aadi shall pay the reasonable fees and expenses charged by such accounting firm in connection with such audit.</w:t>
      </w:r>
    </w:p>
    <w:p>
      <w:pPr>
        <w:spacing w:after="0" w:line="141" w:lineRule="exact"/>
        <w:rPr>
          <w:rFonts w:ascii="Times New Roman" w:cs="Times New Roman" w:eastAsia="Times New Roman" w:hAnsi="Times New Roman"/>
          <w:sz w:val="21"/>
          <w:szCs w:val="21"/>
          <w:color w:val="auto"/>
        </w:rPr>
      </w:pPr>
    </w:p>
    <w:p>
      <w:pPr>
        <w:jc w:val="both"/>
        <w:ind w:firstLine="1239"/>
        <w:spacing w:after="0" w:line="226" w:lineRule="auto"/>
        <w:tabs>
          <w:tab w:leader="none" w:pos="1851" w:val="left"/>
        </w:tabs>
        <w:numPr>
          <w:ilvl w:val="1"/>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 Financial Information; Other Matters</w:t>
      </w:r>
      <w:r>
        <w:rPr>
          <w:rFonts w:ascii="Times New Roman" w:cs="Times New Roman" w:eastAsia="Times New Roman" w:hAnsi="Times New Roman"/>
          <w:sz w:val="21"/>
          <w:szCs w:val="21"/>
          <w:color w:val="auto"/>
        </w:rPr>
        <w:t>. WuXi Biologics shall treat all financial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review under this ARTICLE VIII as confidential, and shall cause its accounting firm to retain all such financial information in confidence.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IX</w:t>
      </w:r>
    </w:p>
    <w:p>
      <w:pPr>
        <w:jc w:val="center"/>
        <w:spacing w:after="0"/>
        <w:rPr>
          <w:sz w:val="20"/>
          <w:szCs w:val="20"/>
          <w:color w:val="auto"/>
        </w:rPr>
      </w:pPr>
      <w:r>
        <w:rPr>
          <w:rFonts w:ascii="Times New Roman" w:cs="Times New Roman" w:eastAsia="Times New Roman" w:hAnsi="Times New Roman"/>
          <w:sz w:val="21"/>
          <w:szCs w:val="21"/>
          <w:b w:val="1"/>
          <w:bCs w:val="1"/>
          <w:color w:val="auto"/>
        </w:rPr>
        <w:t>CONFIDENTIALITY</w:t>
      </w:r>
    </w:p>
    <w:p>
      <w:pPr>
        <w:spacing w:after="0" w:line="145" w:lineRule="exact"/>
        <w:rPr>
          <w:sz w:val="20"/>
          <w:szCs w:val="20"/>
          <w:color w:val="auto"/>
        </w:rPr>
      </w:pPr>
    </w:p>
    <w:p>
      <w:pPr>
        <w:jc w:val="both"/>
        <w:ind w:firstLine="618"/>
        <w:spacing w:after="0" w:line="208" w:lineRule="auto"/>
        <w:rPr>
          <w:sz w:val="20"/>
          <w:szCs w:val="20"/>
          <w:color w:val="auto"/>
        </w:rPr>
      </w:pPr>
      <w:r>
        <w:rPr>
          <w:rFonts w:ascii="Times New Roman" w:cs="Times New Roman" w:eastAsia="Times New Roman" w:hAnsi="Times New Roman"/>
          <w:sz w:val="21"/>
          <w:szCs w:val="21"/>
          <w:b w:val="1"/>
          <w:bCs w:val="1"/>
          <w:color w:val="auto"/>
        </w:rPr>
        <w:t>9.1 Confidential Information</w:t>
      </w:r>
      <w:r>
        <w:rPr>
          <w:rFonts w:ascii="Times New Roman" w:cs="Times New Roman" w:eastAsia="Times New Roman" w:hAnsi="Times New Roman"/>
          <w:sz w:val="21"/>
          <w:szCs w:val="21"/>
          <w:color w:val="auto"/>
        </w:rPr>
        <w:t>. Except to the extent expressly authorized by this Agreement, each Party agrees that during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 and for [***] thereafter, such Party (the “</w:t>
      </w:r>
      <w:r>
        <w:rPr>
          <w:rFonts w:ascii="Times New Roman" w:cs="Times New Roman" w:eastAsia="Times New Roman" w:hAnsi="Times New Roman"/>
          <w:sz w:val="21"/>
          <w:szCs w:val="21"/>
          <w:b w:val="1"/>
          <w:bCs w:val="1"/>
          <w:color w:val="auto"/>
        </w:rPr>
        <w:t>Receiving Party</w:t>
      </w:r>
      <w:r>
        <w:rPr>
          <w:rFonts w:ascii="Times New Roman" w:cs="Times New Roman" w:eastAsia="Times New Roman" w:hAnsi="Times New Roman"/>
          <w:sz w:val="21"/>
          <w:szCs w:val="21"/>
          <w:color w:val="auto"/>
        </w:rPr>
        <w:t>”) shall keep confidential, and shall not publish or otherwise disclose and shall not use for any purpose other than as expressly provided for in this Agreement, any information furnished to it by or on behalf of the other Party (the “</w:t>
      </w:r>
      <w:r>
        <w:rPr>
          <w:rFonts w:ascii="Times New Roman" w:cs="Times New Roman" w:eastAsia="Times New Roman" w:hAnsi="Times New Roman"/>
          <w:sz w:val="21"/>
          <w:szCs w:val="21"/>
          <w:b w:val="1"/>
          <w:bCs w:val="1"/>
          <w:color w:val="auto"/>
        </w:rPr>
        <w:t>Disclosing Party</w:t>
      </w:r>
      <w:r>
        <w:rPr>
          <w:rFonts w:ascii="Times New Roman" w:cs="Times New Roman" w:eastAsia="Times New Roman" w:hAnsi="Times New Roman"/>
          <w:sz w:val="21"/>
          <w:szCs w:val="21"/>
          <w:color w:val="auto"/>
        </w:rPr>
        <w:t>”) pursuant to this Agreement that is marked or otherwise identified as confidential or proprietary at the time of disclosure or is disclosed in such a manner or is of such a nature that a reasonable person would understand such information to be confidential or proprietary (collectively,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provided, however, that with respect to any Confidential Information that is specifically identified at the time of disclosure to be a trade secret under Applicable Laws, such obligations shall survive expiration of such [***] period for so long as such Confidential Information remains a trade secret. The Receiving Party may use and disclose the Disclosing Party’s Confidential Information only to the extent required to accomplish the purposes of this Agreement. The Receiving Party shall use at least the same standard of care as it uses to protect proprietary or confidential information of its own (but in no event less than reasonable care) to prevent unauthorized access, use and disclosure of the Disclosing Party’s Confidential Information and to ensure that its, and its Affiliates’, employees, agents, consultants, other representatives and sublicensees (“</w:t>
      </w:r>
      <w:r>
        <w:rPr>
          <w:rFonts w:ascii="Times New Roman" w:cs="Times New Roman" w:eastAsia="Times New Roman" w:hAnsi="Times New Roman"/>
          <w:sz w:val="21"/>
          <w:szCs w:val="21"/>
          <w:b w:val="1"/>
          <w:bCs w:val="1"/>
          <w:color w:val="auto"/>
        </w:rPr>
        <w:t>Representatives</w:t>
      </w:r>
      <w:r>
        <w:rPr>
          <w:rFonts w:ascii="Times New Roman" w:cs="Times New Roman" w:eastAsia="Times New Roman" w:hAnsi="Times New Roman"/>
          <w:sz w:val="21"/>
          <w:szCs w:val="21"/>
          <w:color w:val="auto"/>
        </w:rPr>
        <w:t>”) do not disclose, except as otherwise expressly permitted under this Agreement, or make any unauthorized use of, the Disclosing Party’s Confidential Information. The Receiving Party shall promptly notify the Disclosing Party upon discovery of any unauthorized use or unauthorized disclosure of the Disclosing Party’s Confidential Information. For purposes of this Agreement, and notwithstanding Sections 9.2(b) and (d) below, the Licensed Know-How shall be deemed to be the Confidential Information of both Aadi and WuXi.</w:t>
      </w:r>
    </w:p>
    <w:p>
      <w:pPr>
        <w:spacing w:after="0" w:line="151" w:lineRule="exact"/>
        <w:rPr>
          <w:sz w:val="20"/>
          <w:szCs w:val="20"/>
          <w:color w:val="auto"/>
        </w:rPr>
      </w:pPr>
    </w:p>
    <w:p>
      <w:pPr>
        <w:jc w:val="both"/>
        <w:ind w:firstLine="618"/>
        <w:spacing w:after="0" w:line="221" w:lineRule="auto"/>
        <w:rPr>
          <w:sz w:val="20"/>
          <w:szCs w:val="20"/>
          <w:color w:val="auto"/>
        </w:rPr>
      </w:pPr>
      <w:r>
        <w:rPr>
          <w:rFonts w:ascii="Times New Roman" w:cs="Times New Roman" w:eastAsia="Times New Roman" w:hAnsi="Times New Roman"/>
          <w:sz w:val="21"/>
          <w:szCs w:val="21"/>
          <w:b w:val="1"/>
          <w:bCs w:val="1"/>
          <w:color w:val="auto"/>
        </w:rPr>
        <w:t>9.2 Exceptions</w:t>
      </w:r>
      <w:r>
        <w:rPr>
          <w:rFonts w:ascii="Times New Roman" w:cs="Times New Roman" w:eastAsia="Times New Roman" w:hAnsi="Times New Roman"/>
          <w:sz w:val="21"/>
          <w:szCs w:val="21"/>
          <w:color w:val="auto"/>
        </w:rPr>
        <w:t>. Confidential Information of a Disclosing Party shall not include any information to the extent that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(which the Receiving Party can prove by competent evidence): (a) is now, or hereafter becomes, through no act or failure to act on the part of the Receiving Party in violation of this ARTICLE IX, generally known or available; (b) is lawfully known by the Receiving Party or any of its Affiliates (to the extent such Receiving Party or its Affiliate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34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the right to use and disclose such information) at the time of receiving such information from the Disclosing Party; (c) is hereafter furnished to the Receiving Party or any of its Affiliates by a Third Party, as a matter of right (to the extent such Receiving Party or Affiliate has the right to use and disclose such information); or (d) is independently discovered or developed by the Receiving Party or any of its Affiliates, without the use of or reference to Confidential Information of the Disclosing Party.</w:t>
      </w:r>
    </w:p>
    <w:p>
      <w:pPr>
        <w:spacing w:after="0" w:line="141"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9.3 Authorized Disclosure</w:t>
      </w:r>
      <w:r>
        <w:rPr>
          <w:rFonts w:ascii="Times New Roman" w:cs="Times New Roman" w:eastAsia="Times New Roman" w:hAnsi="Times New Roman"/>
          <w:sz w:val="21"/>
          <w:szCs w:val="21"/>
          <w:color w:val="auto"/>
        </w:rPr>
        <w:t>. Notwithstanding the provisions of Section 9.1, the Receiving Party may disclose Confidential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of the Disclosing Party as expressly permitted by this Agreement, or if and to the extent such disclosure is reasonably necessary in the following instances:</w:t>
      </w:r>
    </w:p>
    <w:p>
      <w:pPr>
        <w:spacing w:after="0" w:line="146" w:lineRule="exact"/>
        <w:rPr>
          <w:sz w:val="20"/>
          <w:szCs w:val="20"/>
          <w:color w:val="auto"/>
        </w:rPr>
      </w:pPr>
    </w:p>
    <w:p>
      <w:pPr>
        <w:ind w:left="1860" w:hanging="621"/>
        <w:spacing w:after="0"/>
        <w:tabs>
          <w:tab w:leader="none" w:pos="186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filing, prosecuting, defending or enforcing Patents in the Territory as permitted by this Agreement;</w:t>
      </w:r>
    </w:p>
    <w:p>
      <w:pPr>
        <w:spacing w:after="0" w:line="170" w:lineRule="exact"/>
        <w:rPr>
          <w:rFonts w:ascii="Times New Roman" w:cs="Times New Roman" w:eastAsia="Times New Roman" w:hAnsi="Times New Roman"/>
          <w:sz w:val="21"/>
          <w:szCs w:val="21"/>
          <w:color w:val="auto"/>
        </w:rPr>
      </w:pPr>
    </w:p>
    <w:p>
      <w:pPr>
        <w:ind w:firstLine="1239"/>
        <w:spacing w:after="0" w:line="235" w:lineRule="auto"/>
        <w:tabs>
          <w:tab w:leader="none" w:pos="185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enforcing such Party’s rights or performing its obligations under this Agreement and, with respect to Aadi, exercising its rights under this Agreement;</w:t>
      </w:r>
    </w:p>
    <w:p>
      <w:pPr>
        <w:spacing w:after="0" w:line="145" w:lineRule="exact"/>
        <w:rPr>
          <w:rFonts w:ascii="Times New Roman" w:cs="Times New Roman" w:eastAsia="Times New Roman" w:hAnsi="Times New Roman"/>
          <w:sz w:val="21"/>
          <w:szCs w:val="21"/>
          <w:color w:val="auto"/>
        </w:rPr>
      </w:pPr>
    </w:p>
    <w:p>
      <w:pPr>
        <w:jc w:val="both"/>
        <w:ind w:firstLine="1239"/>
        <w:spacing w:after="0" w:line="225" w:lineRule="auto"/>
        <w:tabs>
          <w:tab w:leader="none" w:pos="1851"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obtaining and maintaining Regulatory Approvals in the Territory (including complying with the requirements of Regulatory Authorities in the Territory with respect to filing for, obtaining and maintaining such Regulatory Approvals) as permitted by this Agreement;</w:t>
      </w:r>
    </w:p>
    <w:p>
      <w:pPr>
        <w:spacing w:after="0" w:line="144"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prosecuting or defending litigation as permitted by this Agreement;</w:t>
      </w:r>
    </w:p>
    <w:p>
      <w:pPr>
        <w:spacing w:after="0" w:line="170" w:lineRule="exact"/>
        <w:rPr>
          <w:rFonts w:ascii="Times New Roman" w:cs="Times New Roman" w:eastAsia="Times New Roman" w:hAnsi="Times New Roman"/>
          <w:sz w:val="21"/>
          <w:szCs w:val="21"/>
          <w:color w:val="auto"/>
        </w:rPr>
      </w:pPr>
    </w:p>
    <w:p>
      <w:pPr>
        <w:jc w:val="both"/>
        <w:ind w:firstLine="1239"/>
        <w:spacing w:after="0" w:line="225" w:lineRule="auto"/>
        <w:tabs>
          <w:tab w:leader="none" w:pos="1851"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complying with applicable court orders, Applicable Laws, or the listing rules of any recognized stock exchange on which the Receiving Party’s securities are traded (specifically including the recommendations and requests from the U.S. Securities and Exchange Commission (the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or otherwise submitting information to tax or other governmental authorities);</w:t>
      </w:r>
    </w:p>
    <w:p>
      <w:pPr>
        <w:spacing w:after="0" w:line="131"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disclosure in Regulatory Filings in the Territory that the Receiving Party has the right to make under this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pacing w:after="0" w:line="148" w:lineRule="exact"/>
        <w:rPr>
          <w:rFonts w:ascii="Times New Roman" w:cs="Times New Roman" w:eastAsia="Times New Roman" w:hAnsi="Times New Roman"/>
          <w:sz w:val="21"/>
          <w:szCs w:val="21"/>
          <w:color w:val="auto"/>
        </w:rPr>
      </w:pPr>
    </w:p>
    <w:p>
      <w:pPr>
        <w:jc w:val="both"/>
        <w:ind w:firstLine="1239"/>
        <w:spacing w:after="0" w:line="217" w:lineRule="auto"/>
        <w:tabs>
          <w:tab w:leader="none" w:pos="185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disclosure to the Receiving Party’s Affiliates, to actual or potential (sub)licensees and to the Receiving Party’s and its Affiliates’ Representatives who, in each case, have a need to know such information in order for the Receiving Party to fulfill its obligations and exercise its rights under this Agreement, provided, in each case, that any such Affiliate, actual or potential (sub)licensees, or Representative agrees to be bound by terms of confidentiality and non-use at least as restrictive as those set forth in this ARTICLE IX; and</w:t>
      </w:r>
    </w:p>
    <w:p>
      <w:pPr>
        <w:spacing w:after="0" w:line="144" w:lineRule="exact"/>
        <w:rPr>
          <w:rFonts w:ascii="Times New Roman" w:cs="Times New Roman" w:eastAsia="Times New Roman" w:hAnsi="Times New Roman"/>
          <w:sz w:val="21"/>
          <w:szCs w:val="21"/>
          <w:color w:val="auto"/>
        </w:rPr>
      </w:pPr>
    </w:p>
    <w:p>
      <w:pPr>
        <w:jc w:val="both"/>
        <w:ind w:firstLine="1239"/>
        <w:spacing w:after="0" w:line="220" w:lineRule="auto"/>
        <w:tabs>
          <w:tab w:leader="none" w:pos="185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disclosure to Third Parties in connection with due diligence or similar investigations by such Third Parties, and disclosure to potential and existing Third Party investors, collaborators, acquirers, lenders and other financing sources, provided, in each case, that any such Third Party agrees to be bound by reasonable obligations of confidentiality and non-use with respect to the applicable Confidential Information.</w:t>
      </w:r>
    </w:p>
    <w:p>
      <w:pPr>
        <w:spacing w:after="0" w:line="171" w:lineRule="exact"/>
        <w:rPr>
          <w:sz w:val="20"/>
          <w:szCs w:val="20"/>
          <w:color w:val="auto"/>
        </w:rPr>
      </w:pPr>
    </w:p>
    <w:p>
      <w:pPr>
        <w:ind w:firstLine="618"/>
        <w:spacing w:after="0" w:line="294" w:lineRule="auto"/>
        <w:rPr>
          <w:sz w:val="20"/>
          <w:szCs w:val="20"/>
          <w:color w:val="auto"/>
        </w:rPr>
      </w:pPr>
      <w:r>
        <w:rPr>
          <w:rFonts w:ascii="Times New Roman" w:cs="Times New Roman" w:eastAsia="Times New Roman" w:hAnsi="Times New Roman"/>
          <w:sz w:val="20"/>
          <w:szCs w:val="20"/>
          <w:color w:val="auto"/>
        </w:rPr>
        <w:t>Each Party shall be responsible for any breaches of confidentiality by any of its Affiliates, licensees or sublicensees, Representatives, advisors and Third Parties (to whom it discloses Confidential Information pursuant to Sections 9.3(g), 9.3(h) and 9.4).</w:t>
      </w:r>
    </w:p>
    <w:p>
      <w:pPr>
        <w:spacing w:after="0" w:line="145" w:lineRule="exact"/>
        <w:rPr>
          <w:sz w:val="20"/>
          <w:szCs w:val="20"/>
          <w:color w:val="auto"/>
        </w:rPr>
      </w:pPr>
    </w:p>
    <w:p>
      <w:pPr>
        <w:ind w:firstLine="618"/>
        <w:spacing w:after="0" w:line="269" w:lineRule="auto"/>
        <w:rPr>
          <w:sz w:val="20"/>
          <w:szCs w:val="20"/>
          <w:color w:val="auto"/>
        </w:rPr>
      </w:pPr>
      <w:r>
        <w:rPr>
          <w:rFonts w:ascii="Times New Roman" w:cs="Times New Roman" w:eastAsia="Times New Roman" w:hAnsi="Times New Roman"/>
          <w:sz w:val="21"/>
          <w:szCs w:val="21"/>
          <w:color w:val="auto"/>
        </w:rPr>
        <w:t>Notwithstanding the foregoing, in the event the Receiving Party is required to make a disclosure of the Disclosing Party’s Confidential Information pursuant to Section 9.3(d) or 9.3(e),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3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will, except where impracticable, give reasonable advance notice to the Disclosing Party of such disclosure, use efforts to secure confidential treatment of such information at least as diligent as the Receiving Party would use to protect its own confidential information, but in no event less than reasonable efforts, and cooperate with any efforts by the Disclosing Party, at the Disclosing Party’s request and expense, to secure confidential treatment of such Confidential Information and/or to obtain a protective order or other remedy. If the Disclosing Party is unable to obtain a protective order or other remedy, the Receiving Party shall disclose only that portion of such Confidential Information that it is advised by counsel is legally required to be disclosed; provided that, any Confidential Information so disclosed shall retain its status as Confidential Information for all other purposes other than such legally required disclosure.</w:t>
      </w:r>
    </w:p>
    <w:p>
      <w:pPr>
        <w:spacing w:after="0" w:line="147" w:lineRule="exact"/>
        <w:rPr>
          <w:sz w:val="20"/>
          <w:szCs w:val="20"/>
          <w:color w:val="auto"/>
        </w:rPr>
      </w:pPr>
    </w:p>
    <w:p>
      <w:pPr>
        <w:jc w:val="both"/>
        <w:ind w:firstLine="618"/>
        <w:spacing w:after="0" w:line="211" w:lineRule="auto"/>
        <w:rPr>
          <w:sz w:val="20"/>
          <w:szCs w:val="20"/>
          <w:color w:val="auto"/>
        </w:rPr>
      </w:pPr>
      <w:r>
        <w:rPr>
          <w:rFonts w:ascii="Times New Roman" w:cs="Times New Roman" w:eastAsia="Times New Roman" w:hAnsi="Times New Roman"/>
          <w:sz w:val="21"/>
          <w:szCs w:val="21"/>
          <w:b w:val="1"/>
          <w:bCs w:val="1"/>
          <w:color w:val="auto"/>
        </w:rPr>
        <w:t>9.4 Confidential Terms</w:t>
      </w:r>
      <w:r>
        <w:rPr>
          <w:rFonts w:ascii="Times New Roman" w:cs="Times New Roman" w:eastAsia="Times New Roman" w:hAnsi="Times New Roman"/>
          <w:sz w:val="21"/>
          <w:szCs w:val="21"/>
          <w:color w:val="auto"/>
        </w:rPr>
        <w:t>. Each Party agrees not to disclose to any Third Party the terms of this Agreement without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prior written consent of the other Party hereto, except each Party may disclose the existence and/or terms of this Agreement: (a) to its advisors (including financial advisors, attorneys and accountants), potential and existing investors, lenders, collaboration partners or acquirers, and others, on a need to know basis, in each case under circumstances that reasonably protect the confidentiality thereof; or</w:t>
      </w:r>
    </w:p>
    <w:p>
      <w:pPr>
        <w:spacing w:after="0" w:line="1" w:lineRule="exact"/>
        <w:rPr>
          <w:sz w:val="20"/>
          <w:szCs w:val="20"/>
          <w:color w:val="auto"/>
        </w:rPr>
      </w:pPr>
    </w:p>
    <w:p>
      <w:pPr>
        <w:jc w:val="both"/>
        <w:ind w:firstLine="3"/>
        <w:spacing w:after="0" w:line="211" w:lineRule="auto"/>
        <w:tabs>
          <w:tab w:leader="none" w:pos="315"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necessary to comply with Applicable Laws and court orders, including securities laws, regulations or guidances or pursuant to the listing rules of any recognized stock exchange on which the such Party’s securities are traded; provided that in the case of clause (b) the Disclosing Party shall promptly notify the other Party and (other than in the case where such disclosure is necessary, in the reasonable opinion of the Disclosing Party’s legal counsel, to comply with securities laws, regulations or guidances or such listing rules) allow the other Party a reasonable opportunity to oppose with the body initiating the process and, to the extent allowable by law, to seek limitations on the portion of the Agreement that is required to be disclosed.</w:t>
      </w:r>
    </w:p>
    <w:p>
      <w:pPr>
        <w:spacing w:after="0" w:line="142"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9.5 Publications</w:t>
      </w:r>
      <w:r>
        <w:rPr>
          <w:rFonts w:ascii="Times New Roman" w:cs="Times New Roman" w:eastAsia="Times New Roman" w:hAnsi="Times New Roman"/>
          <w:sz w:val="21"/>
          <w:szCs w:val="21"/>
          <w:color w:val="auto"/>
        </w:rPr>
        <w:t>. Subject to this Article IX, Aadi (or its designee) shall have the right to publish and present the results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Development and/or Commercialization activities with respect to a Licensed ADC or Licensed Product, including the results of any Clinical Trial of a Licensed Product, conducted by or under the authority Aadi or any of its Affiliates.</w:t>
      </w:r>
    </w:p>
    <w:p>
      <w:pPr>
        <w:spacing w:after="0" w:line="142"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9.6</w:t>
      </w:r>
      <w:r>
        <w:rPr>
          <w:sz w:val="20"/>
          <w:szCs w:val="20"/>
          <w:color w:val="auto"/>
        </w:rPr>
        <w:tab/>
      </w:r>
      <w:r>
        <w:rPr>
          <w:rFonts w:ascii="Times New Roman" w:cs="Times New Roman" w:eastAsia="Times New Roman" w:hAnsi="Times New Roman"/>
          <w:sz w:val="20"/>
          <w:szCs w:val="20"/>
          <w:b w:val="1"/>
          <w:bCs w:val="1"/>
          <w:color w:val="auto"/>
        </w:rPr>
        <w:t>Press Releases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39"/>
        <w:spacing w:after="0" w:line="222" w:lineRule="auto"/>
        <w:tabs>
          <w:tab w:leader="none" w:pos="1851"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have mutually approved a press release attached hereto as Schedule 9.6 with respect to this Agreement. [***]. Subject to Aadi’s obligations under Sections 9.1 and 9.4, Aadi shall have the right to issue subsequent press releases or other public statements pertaining to the activities conducted hereunder. In any case, neither Party will be prevented from complying with any duty of disclosure it may have pursuant to Applicable Laws or pursuant to the listing rules of any recognized stock exchange on which such Party’s securities are traded, subject to that Party notifying the other Party of such duty and limiting such disclosure as reasonably requested by the other Party (unless such disclosure is necessary, in the reasonable opinion of the disclosing Party’s legal counsel, to comply with Applicable Laws or such listing rules) and giving the other Party an opportunity to review and comment on any proposed disclosure. After release of a press release in accordance with this Section 9.6(a), each Party may further disclose to Third Parties the information contained in such press release, without the prior written consent of the other Party.</w:t>
      </w:r>
    </w:p>
    <w:p>
      <w:pPr>
        <w:spacing w:after="0" w:line="145" w:lineRule="exact"/>
        <w:rPr>
          <w:rFonts w:ascii="Times New Roman" w:cs="Times New Roman" w:eastAsia="Times New Roman" w:hAnsi="Times New Roman"/>
          <w:sz w:val="20"/>
          <w:szCs w:val="20"/>
          <w:color w:val="auto"/>
        </w:rPr>
      </w:pPr>
    </w:p>
    <w:p>
      <w:pPr>
        <w:jc w:val="both"/>
        <w:ind w:firstLine="1239"/>
        <w:spacing w:after="0" w:line="220" w:lineRule="auto"/>
        <w:tabs>
          <w:tab w:leader="none" w:pos="185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avoidance of doubt, subject to this Article IX, Aadi shall have the right to publicly disclose without WuXi Biologics’ prior written consent: (i) the achievement of any milestone under this Agreement; (ii) the commencement, completion, material data and key results of any Clinical Trial conducted under this Agreement; and (iii) any information relating to the Development or Commercialization of Licensed Products in the Field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345"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9.7 Prior Non-Disclosure Agreements</w:t>
      </w:r>
      <w:r>
        <w:rPr>
          <w:rFonts w:ascii="Times New Roman" w:cs="Times New Roman" w:eastAsia="Times New Roman" w:hAnsi="Times New Roman"/>
          <w:sz w:val="21"/>
          <w:szCs w:val="21"/>
          <w:color w:val="auto"/>
        </w:rPr>
        <w:t>. This Agreement supersedes the Prior CDA regarding the subject matter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All information exchanged between the Parties under the Prior CDA shall be deemed to have been disclosed under this Agreement on a going-forward basis and shall be subject to the terms of this ARTICLE IX as of the Effective Date.</w:t>
      </w:r>
    </w:p>
    <w:p>
      <w:pPr>
        <w:spacing w:after="0" w:line="13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X</w:t>
      </w:r>
    </w:p>
    <w:p>
      <w:pPr>
        <w:ind w:left="4220"/>
        <w:spacing w:after="0"/>
        <w:rPr>
          <w:sz w:val="20"/>
          <w:szCs w:val="20"/>
          <w:color w:val="auto"/>
        </w:rPr>
      </w:pPr>
      <w:r>
        <w:rPr>
          <w:rFonts w:ascii="Times New Roman" w:cs="Times New Roman" w:eastAsia="Times New Roman" w:hAnsi="Times New Roman"/>
          <w:sz w:val="21"/>
          <w:szCs w:val="21"/>
          <w:b w:val="1"/>
          <w:bCs w:val="1"/>
          <w:color w:val="auto"/>
        </w:rPr>
        <w:t>INTELLECTUAL PROPERTY</w:t>
      </w:r>
    </w:p>
    <w:p>
      <w:pPr>
        <w:spacing w:after="0" w:line="145"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10.1</w:t>
      </w:r>
      <w:r>
        <w:rPr>
          <w:sz w:val="20"/>
          <w:szCs w:val="20"/>
          <w:color w:val="auto"/>
        </w:rPr>
        <w:tab/>
      </w:r>
      <w:r>
        <w:rPr>
          <w:rFonts w:ascii="Times New Roman" w:cs="Times New Roman" w:eastAsia="Times New Roman" w:hAnsi="Times New Roman"/>
          <w:sz w:val="20"/>
          <w:szCs w:val="20"/>
          <w:b w:val="1"/>
          <w:bCs w:val="1"/>
          <w:color w:val="auto"/>
        </w:rPr>
        <w:t>Ownership of Inventions</w:t>
      </w:r>
      <w:r>
        <w:rPr>
          <w:rFonts w:ascii="Times New Roman" w:cs="Times New Roman" w:eastAsia="Times New Roman" w:hAnsi="Times New Roman"/>
          <w:sz w:val="20"/>
          <w:szCs w:val="20"/>
          <w:color w:val="auto"/>
        </w:rPr>
        <w:t>. [***].</w:t>
      </w:r>
    </w:p>
    <w:p>
      <w:pPr>
        <w:spacing w:after="0" w:line="171"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10.2</w:t>
      </w:r>
      <w:r>
        <w:rPr>
          <w:sz w:val="20"/>
          <w:szCs w:val="20"/>
          <w:color w:val="auto"/>
        </w:rPr>
        <w:tab/>
      </w:r>
      <w:r>
        <w:rPr>
          <w:rFonts w:ascii="Times New Roman" w:cs="Times New Roman" w:eastAsia="Times New Roman" w:hAnsi="Times New Roman"/>
          <w:sz w:val="20"/>
          <w:szCs w:val="20"/>
          <w:b w:val="1"/>
          <w:bCs w:val="1"/>
          <w:color w:val="auto"/>
        </w:rPr>
        <w:t>Patent Prosecution and Maintenance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860" w:hanging="621"/>
        <w:spacing w:after="0"/>
        <w:tabs>
          <w:tab w:leader="none" w:pos="1860"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67"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10.3</w:t>
      </w:r>
      <w:r>
        <w:rPr>
          <w:sz w:val="20"/>
          <w:szCs w:val="20"/>
          <w:color w:val="auto"/>
        </w:rPr>
        <w:tab/>
      </w:r>
      <w:r>
        <w:rPr>
          <w:rFonts w:ascii="Times New Roman" w:cs="Times New Roman" w:eastAsia="Times New Roman" w:hAnsi="Times New Roman"/>
          <w:sz w:val="20"/>
          <w:szCs w:val="20"/>
          <w:b w:val="1"/>
          <w:bCs w:val="1"/>
          <w:color w:val="auto"/>
        </w:rPr>
        <w:t>Patent Term Extensions</w:t>
      </w:r>
      <w:r>
        <w:rPr>
          <w:rFonts w:ascii="Times New Roman" w:cs="Times New Roman" w:eastAsia="Times New Roman" w:hAnsi="Times New Roman"/>
          <w:sz w:val="20"/>
          <w:szCs w:val="20"/>
          <w:color w:val="auto"/>
        </w:rPr>
        <w:t>. [***].</w:t>
      </w:r>
    </w:p>
    <w:p>
      <w:pPr>
        <w:spacing w:after="0" w:line="171"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10.4</w:t>
      </w:r>
      <w:r>
        <w:rPr>
          <w:sz w:val="20"/>
          <w:szCs w:val="20"/>
          <w:color w:val="auto"/>
        </w:rPr>
        <w:tab/>
      </w:r>
      <w:r>
        <w:rPr>
          <w:rFonts w:ascii="Times New Roman" w:cs="Times New Roman" w:eastAsia="Times New Roman" w:hAnsi="Times New Roman"/>
          <w:sz w:val="20"/>
          <w:szCs w:val="20"/>
          <w:b w:val="1"/>
          <w:bCs w:val="1"/>
          <w:color w:val="auto"/>
        </w:rPr>
        <w:t>Enforcement</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860" w:hanging="621"/>
        <w:spacing w:after="0"/>
        <w:tabs>
          <w:tab w:leader="none" w:pos="1860"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2460" w:hanging="603"/>
        <w:spacing w:after="0"/>
        <w:tabs>
          <w:tab w:leader="none" w:pos="2460"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2460" w:hanging="603"/>
        <w:spacing w:after="0"/>
        <w:tabs>
          <w:tab w:leader="none" w:pos="2460"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2480" w:hanging="623"/>
        <w:spacing w:after="0"/>
        <w:tabs>
          <w:tab w:leader="none" w:pos="2480"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2460" w:hanging="603"/>
        <w:spacing w:after="0"/>
        <w:tabs>
          <w:tab w:leader="none" w:pos="2460"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2460" w:hanging="603"/>
        <w:spacing w:after="0"/>
        <w:tabs>
          <w:tab w:leader="none" w:pos="2460"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2480" w:hanging="623"/>
        <w:spacing w:after="0"/>
        <w:tabs>
          <w:tab w:leader="none" w:pos="2480"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67" w:lineRule="exact"/>
        <w:rPr>
          <w:sz w:val="20"/>
          <w:szCs w:val="20"/>
          <w:color w:val="auto"/>
        </w:rPr>
      </w:pPr>
    </w:p>
    <w:p>
      <w:pPr>
        <w:ind w:firstLine="618"/>
        <w:spacing w:after="0" w:line="258" w:lineRule="auto"/>
        <w:rPr>
          <w:sz w:val="20"/>
          <w:szCs w:val="20"/>
          <w:color w:val="auto"/>
        </w:rPr>
      </w:pPr>
      <w:r>
        <w:rPr>
          <w:rFonts w:ascii="Times New Roman" w:cs="Times New Roman" w:eastAsia="Times New Roman" w:hAnsi="Times New Roman"/>
          <w:sz w:val="20"/>
          <w:szCs w:val="20"/>
          <w:b w:val="1"/>
          <w:bCs w:val="1"/>
          <w:color w:val="auto"/>
        </w:rPr>
        <w:t>10.5 Third Party Infringement Claims</w:t>
      </w:r>
      <w:r>
        <w:rPr>
          <w:rFonts w:ascii="Times New Roman" w:cs="Times New Roman" w:eastAsia="Times New Roman" w:hAnsi="Times New Roman"/>
          <w:sz w:val="20"/>
          <w:szCs w:val="20"/>
          <w:color w:val="auto"/>
        </w:rPr>
        <w:t>. Each Party shall promptly notify the other Party in writing of any allegation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Third Party that Exploitation of a Licensed Product infringes or may infringe the intellectual property rights of such Third Party. [***]</w:t>
      </w:r>
    </w:p>
    <w:p>
      <w:pPr>
        <w:spacing w:after="0" w:line="124" w:lineRule="exact"/>
        <w:rPr>
          <w:sz w:val="20"/>
          <w:szCs w:val="20"/>
          <w:color w:val="auto"/>
        </w:rPr>
      </w:pPr>
    </w:p>
    <w:p>
      <w:pPr>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10.6 Upstream Agreements</w:t>
      </w:r>
      <w:r>
        <w:rPr>
          <w:rFonts w:ascii="Times New Roman" w:cs="Times New Roman" w:eastAsia="Times New Roman" w:hAnsi="Times New Roman"/>
          <w:sz w:val="21"/>
          <w:szCs w:val="21"/>
          <w:color w:val="auto"/>
        </w:rPr>
        <w:t>. WuXi Biologics covenants to Aadi that, during the Term, neither WuXi Biologics nor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Affiliates shall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XI</w:t>
      </w:r>
    </w:p>
    <w:p>
      <w:pPr>
        <w:jc w:val="center"/>
        <w:spacing w:after="0"/>
        <w:rPr>
          <w:sz w:val="20"/>
          <w:szCs w:val="20"/>
          <w:color w:val="auto"/>
        </w:rPr>
      </w:pPr>
      <w:r>
        <w:rPr>
          <w:rFonts w:ascii="Times New Roman" w:cs="Times New Roman" w:eastAsia="Times New Roman" w:hAnsi="Times New Roman"/>
          <w:sz w:val="21"/>
          <w:szCs w:val="21"/>
          <w:b w:val="1"/>
          <w:bCs w:val="1"/>
          <w:color w:val="auto"/>
        </w:rPr>
        <w:t>TERM AND TERMINATION</w:t>
      </w:r>
    </w:p>
    <w:p>
      <w:pPr>
        <w:spacing w:after="0" w:line="145"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0"/>
          <w:szCs w:val="20"/>
          <w:b w:val="1"/>
          <w:bCs w:val="1"/>
          <w:color w:val="auto"/>
        </w:rPr>
        <w:t xml:space="preserve">11.1 Term. </w:t>
      </w:r>
      <w:r>
        <w:rPr>
          <w:rFonts w:ascii="Times New Roman" w:cs="Times New Roman" w:eastAsia="Times New Roman" w:hAnsi="Times New Roman"/>
          <w:sz w:val="20"/>
          <w:szCs w:val="20"/>
          <w:color w:val="auto"/>
        </w:rPr>
        <w:t>This Agreement shall commence on the Effective Date and, unless (a) Aadi fails to pay the Closing Payment,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case this Agreement shall terminate at the end of the Closing Period, or (b) terminated earlier pursuant to Sections 11.2 through 11.4 or Section 16.12, shall continue in full force and effect until the expiration of the last to expire Royalty Term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jc w:val="both"/>
        <w:ind w:firstLine="618"/>
        <w:spacing w:after="0" w:line="221" w:lineRule="auto"/>
        <w:rPr>
          <w:sz w:val="20"/>
          <w:szCs w:val="20"/>
          <w:color w:val="auto"/>
        </w:rPr>
      </w:pPr>
      <w:r>
        <w:rPr>
          <w:rFonts w:ascii="Times New Roman" w:cs="Times New Roman" w:eastAsia="Times New Roman" w:hAnsi="Times New Roman"/>
          <w:sz w:val="21"/>
          <w:szCs w:val="21"/>
          <w:b w:val="1"/>
          <w:bCs w:val="1"/>
          <w:color w:val="auto"/>
        </w:rPr>
        <w:t>11.2 Termination for Material Breach</w:t>
      </w:r>
      <w:r>
        <w:rPr>
          <w:rFonts w:ascii="Times New Roman" w:cs="Times New Roman" w:eastAsia="Times New Roman" w:hAnsi="Times New Roman"/>
          <w:sz w:val="21"/>
          <w:szCs w:val="21"/>
          <w:color w:val="auto"/>
        </w:rPr>
        <w:t>. If either Party materially breaches this Agreement at any time, the non-breaching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shall have the right to terminate this Agreement in its entirety or on a Program-by-Program basis by written notice to the breaching Party, if such material breach is not cured within [***] after written notice is given by the non-breaching Party to the breaching Party specifying the breach, subject to Section 15.2. Notwithstanding the foregoing, [***].</w:t>
      </w:r>
    </w:p>
    <w:p>
      <w:pPr>
        <w:spacing w:after="0" w:line="141" w:lineRule="exact"/>
        <w:rPr>
          <w:sz w:val="20"/>
          <w:szCs w:val="20"/>
          <w:color w:val="auto"/>
        </w:rPr>
      </w:pPr>
    </w:p>
    <w:p>
      <w:pPr>
        <w:jc w:val="both"/>
        <w:ind w:firstLine="618"/>
        <w:spacing w:after="0" w:line="217" w:lineRule="auto"/>
        <w:rPr>
          <w:sz w:val="20"/>
          <w:szCs w:val="20"/>
          <w:color w:val="auto"/>
        </w:rPr>
      </w:pPr>
      <w:r>
        <w:rPr>
          <w:rFonts w:ascii="Times New Roman" w:cs="Times New Roman" w:eastAsia="Times New Roman" w:hAnsi="Times New Roman"/>
          <w:sz w:val="21"/>
          <w:szCs w:val="21"/>
          <w:b w:val="1"/>
          <w:bCs w:val="1"/>
          <w:color w:val="auto"/>
        </w:rPr>
        <w:t>11.3 Termination for Financial Distress</w:t>
      </w:r>
      <w:r>
        <w:rPr>
          <w:rFonts w:ascii="Times New Roman" w:cs="Times New Roman" w:eastAsia="Times New Roman" w:hAnsi="Times New Roman"/>
          <w:sz w:val="21"/>
          <w:szCs w:val="21"/>
          <w:color w:val="auto"/>
        </w:rPr>
        <w:t>. Either Party shall have the right to terminate this Agreement upon written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other Party: (a) if such other Party is declared insolvent or bankrupt by a court of competent jurisdiction; (b) if a voluntary or involuntary petition in bankruptcy is filed in any court of competent jurisdiction against such other Party and such petition is [***] within [***] after filing; (c) if such other Party shall make or execute an assignment of substantially all of its assets for the benefit of creditors; or (d) if substantially all of the assets of such other Party are seized or attached [***] within [***] thereafter.</w:t>
      </w:r>
    </w:p>
    <w:p>
      <w:pPr>
        <w:spacing w:after="0" w:line="145"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11.4 Termination by Aadi</w:t>
      </w:r>
      <w:r>
        <w:rPr>
          <w:rFonts w:ascii="Times New Roman" w:cs="Times New Roman" w:eastAsia="Times New Roman" w:hAnsi="Times New Roman"/>
          <w:sz w:val="21"/>
          <w:szCs w:val="21"/>
          <w:color w:val="auto"/>
        </w:rPr>
        <w:t>. Aadi shall have the right to terminate this Agreement in its entirety, or on a Region-by-Region,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Licensed Product-by-Licensed Product or Program-by-Program basis, for any or no reason, on [***] prior written notice to WuXi Biologics.</w:t>
      </w:r>
    </w:p>
    <w:p>
      <w:pPr>
        <w:spacing w:after="0" w:line="1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XII</w:t>
      </w:r>
    </w:p>
    <w:p>
      <w:pPr>
        <w:ind w:left="4260"/>
        <w:spacing w:after="0"/>
        <w:rPr>
          <w:sz w:val="20"/>
          <w:szCs w:val="20"/>
          <w:color w:val="auto"/>
        </w:rPr>
      </w:pPr>
      <w:r>
        <w:rPr>
          <w:rFonts w:ascii="Times New Roman" w:cs="Times New Roman" w:eastAsia="Times New Roman" w:hAnsi="Times New Roman"/>
          <w:sz w:val="21"/>
          <w:szCs w:val="21"/>
          <w:b w:val="1"/>
          <w:bCs w:val="1"/>
          <w:color w:val="auto"/>
        </w:rPr>
        <w:t>EFFECT OF TERMINATION</w:t>
      </w:r>
    </w:p>
    <w:p>
      <w:pPr>
        <w:spacing w:after="0" w:line="145" w:lineRule="exact"/>
        <w:rPr>
          <w:sz w:val="20"/>
          <w:szCs w:val="20"/>
          <w:color w:val="auto"/>
        </w:rPr>
      </w:pPr>
    </w:p>
    <w:p>
      <w:pPr>
        <w:jc w:val="both"/>
        <w:ind w:firstLine="618"/>
        <w:spacing w:after="0" w:line="212" w:lineRule="auto"/>
        <w:rPr>
          <w:sz w:val="20"/>
          <w:szCs w:val="20"/>
          <w:color w:val="auto"/>
        </w:rPr>
      </w:pPr>
      <w:r>
        <w:rPr>
          <w:rFonts w:ascii="Times New Roman" w:cs="Times New Roman" w:eastAsia="Times New Roman" w:hAnsi="Times New Roman"/>
          <w:sz w:val="21"/>
          <w:szCs w:val="21"/>
          <w:b w:val="1"/>
          <w:bCs w:val="1"/>
          <w:color w:val="auto"/>
        </w:rPr>
        <w:t>12.1 Accrued Obligations</w:t>
      </w:r>
      <w:r>
        <w:rPr>
          <w:rFonts w:ascii="Times New Roman" w:cs="Times New Roman" w:eastAsia="Times New Roman" w:hAnsi="Times New Roman"/>
          <w:sz w:val="21"/>
          <w:szCs w:val="21"/>
          <w:color w:val="auto"/>
        </w:rPr>
        <w:t>. The expiration or termination of this Agreement for any reason shall not release either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any liability which, at the time of such expiration or termination, has already accrued to the other Party or which is attributable to a period prior to such expiration or termination, nor will any termination of this Agreement preclude either Party from pursuing all rights and remedies it may have under this Agreement, or at law or in equity, with respect to breach of this Agreement. Notwithstanding anything in this Agreement to the contrary, in the event Aadi does not pay the Closing Payment within the Closing Period, such Closing Payment will not be deemed accrued under this Section 12.1 or otherwise and Aadi shall have no obligation to pay WuXi Biologics the Closing Payment, nor any liability to WuXi Biologics with respect to the Closing Payment, following expiration of the Agreement under Section 11.1(a).</w:t>
      </w:r>
    </w:p>
    <w:p>
      <w:pPr>
        <w:spacing w:after="0" w:line="148"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12.2 Effect of Termination Caused by Aadi</w:t>
      </w:r>
      <w:r>
        <w:rPr>
          <w:rFonts w:ascii="Times New Roman" w:cs="Times New Roman" w:eastAsia="Times New Roman" w:hAnsi="Times New Roman"/>
          <w:sz w:val="21"/>
          <w:szCs w:val="21"/>
          <w:color w:val="auto"/>
        </w:rPr>
        <w:t>. This Section 12.2 shall apply solely in the event of any termination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by WuXi Biologics pursuant to Section 11.2 or Section 11.3 or by Aadi pursuant to Section 11.4 or by either Party pursuant to Section 16.12.</w:t>
      </w:r>
    </w:p>
    <w:p>
      <w:pPr>
        <w:spacing w:after="0" w:line="142" w:lineRule="exact"/>
        <w:rPr>
          <w:sz w:val="20"/>
          <w:szCs w:val="20"/>
          <w:color w:val="auto"/>
        </w:rPr>
      </w:pPr>
    </w:p>
    <w:p>
      <w:pPr>
        <w:jc w:val="both"/>
        <w:ind w:firstLine="1239"/>
        <w:spacing w:after="0" w:line="226" w:lineRule="auto"/>
        <w:tabs>
          <w:tab w:leader="none" w:pos="1851"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Development</w:t>
      </w:r>
      <w:r>
        <w:rPr>
          <w:rFonts w:ascii="Times New Roman" w:cs="Times New Roman" w:eastAsia="Times New Roman" w:hAnsi="Times New Roman"/>
          <w:sz w:val="21"/>
          <w:szCs w:val="21"/>
          <w:color w:val="auto"/>
        </w:rPr>
        <w:t>. In the event Aadi is conducting any ongoing Clinical Trial of Licensed Products following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a notice of termination has been issued by WuXi Biologics or Aadi, as applicable, the Parties will negotiate in good faith and adopt a plan to wind-down such activities in an orderly fashion as expeditiously as practicable.</w:t>
      </w:r>
    </w:p>
    <w:p>
      <w:pPr>
        <w:spacing w:after="0" w:line="141" w:lineRule="exact"/>
        <w:rPr>
          <w:rFonts w:ascii="Times New Roman" w:cs="Times New Roman" w:eastAsia="Times New Roman" w:hAnsi="Times New Roman"/>
          <w:sz w:val="21"/>
          <w:szCs w:val="21"/>
          <w:color w:val="auto"/>
        </w:rPr>
      </w:pPr>
    </w:p>
    <w:p>
      <w:pPr>
        <w:jc w:val="both"/>
        <w:ind w:firstLine="1239"/>
        <w:spacing w:after="0" w:line="226" w:lineRule="auto"/>
        <w:tabs>
          <w:tab w:leader="none" w:pos="1850"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Commercialization</w:t>
      </w:r>
      <w:r>
        <w:rPr>
          <w:rFonts w:ascii="Times New Roman" w:cs="Times New Roman" w:eastAsia="Times New Roman" w:hAnsi="Times New Roman"/>
          <w:sz w:val="21"/>
          <w:szCs w:val="21"/>
          <w:color w:val="auto"/>
        </w:rPr>
        <w:t>. If this Agreement is terminated after the First Commercial Sale of a Licensed Product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Territory, Aadi shall have the right, for a period of [***] following such termination (the “</w:t>
      </w:r>
      <w:r>
        <w:rPr>
          <w:rFonts w:ascii="Times New Roman" w:cs="Times New Roman" w:eastAsia="Times New Roman" w:hAnsi="Times New Roman"/>
          <w:sz w:val="21"/>
          <w:szCs w:val="21"/>
          <w:b w:val="1"/>
          <w:bCs w:val="1"/>
          <w:color w:val="auto"/>
        </w:rPr>
        <w:t>Sell-Off Period</w:t>
      </w:r>
      <w:r>
        <w:rPr>
          <w:rFonts w:ascii="Times New Roman" w:cs="Times New Roman" w:eastAsia="Times New Roman" w:hAnsi="Times New Roman"/>
          <w:sz w:val="21"/>
          <w:szCs w:val="21"/>
          <w:color w:val="auto"/>
        </w:rPr>
        <w:t>”), to sell (in the Field in the Territory) stocks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34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of Licensed Products on hand at the time of such termination (and for which Regulatory Approval in the Field in the Territory has been approved prior to such termination). Any Licensed Product sold or disposed by Aadi, its Affiliates or its Sublicensees in the Territory during the Sell-Off Period shall be subject to applicable payment obligations under ARTICLE VII above. Within [***] after the expiration of the Sell-Off Period, Aadi shall notify WuXi Biologics of any quantity of Licensed ADCs or Licensed Products remaining in Aadi’s inventory and WuXi Biologics shall have the option, upon notice to Aadi, to repurchase any such quantities of Licensed Product from Aadi at a price [***].</w:t>
      </w:r>
    </w:p>
    <w:p>
      <w:pPr>
        <w:spacing w:after="0" w:line="146" w:lineRule="exact"/>
        <w:rPr>
          <w:sz w:val="20"/>
          <w:szCs w:val="20"/>
          <w:color w:val="auto"/>
        </w:rPr>
      </w:pPr>
    </w:p>
    <w:p>
      <w:pPr>
        <w:jc w:val="both"/>
        <w:ind w:firstLine="1239"/>
        <w:spacing w:after="0" w:line="212" w:lineRule="auto"/>
        <w:tabs>
          <w:tab w:leader="none" w:pos="1851"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Return of Confidential Information</w:t>
      </w:r>
      <w:r>
        <w:rPr>
          <w:rFonts w:ascii="Times New Roman" w:cs="Times New Roman" w:eastAsia="Times New Roman" w:hAnsi="Times New Roman"/>
          <w:sz w:val="21"/>
          <w:szCs w:val="21"/>
          <w:color w:val="auto"/>
        </w:rPr>
        <w:t>. Within [***] after the effective date of any such termination, each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and shall cause it Affiliates and sublicensees to, at the other Party’s discretion, promptly return to the other Party, or delete or destroy, all Confidential Information of the other Party; provided that (i) each Party may retain one copy of the Confidential Information of the other Party solely to the extent necessary to perform its obligations or exercise its rights that survive expiration or termination of this Agreement; (ii) each Party may retain one copy of the Confidential Information of the other Party in its secure legal archives solely for purposes of monitoring compliance with its continuing obligations hereunder and (iii) neither Party shall be required to transfer or destroy any electronically stored Confidential Information made as a matter of the receiving Party’s routine information technology backup.</w:t>
      </w:r>
    </w:p>
    <w:p>
      <w:pPr>
        <w:spacing w:after="0" w:line="148"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12.3 Bankruptcy</w:t>
      </w:r>
      <w:r>
        <w:rPr>
          <w:rFonts w:ascii="Times New Roman" w:cs="Times New Roman" w:eastAsia="Times New Roman" w:hAnsi="Times New Roman"/>
          <w:sz w:val="21"/>
          <w:szCs w:val="21"/>
          <w:color w:val="auto"/>
        </w:rPr>
        <w:t>. All rights and licenses granted under or pursuant to this Agreement by a Party are, and shall otherwise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deemed to be, for the purposes of Section 365(n) of the United States Bankruptcy Code, licenses of rights to “intellectual property” as defined under Section 101 of the United States Bankruptcy Code or equivalent provisions of applicable legislation in any other jurisdiction. The Parties agree that the Parties, as licensees of such rights under this Agreement, shall retain and may fully exercise all of their rights and elections under the United States Bankruptcy Code, or equivalent provisions of applicable legislation in any other jurisdiction.</w:t>
      </w:r>
    </w:p>
    <w:p>
      <w:pPr>
        <w:spacing w:after="0" w:line="144" w:lineRule="exact"/>
        <w:rPr>
          <w:sz w:val="20"/>
          <w:szCs w:val="20"/>
          <w:color w:val="auto"/>
        </w:rPr>
      </w:pPr>
    </w:p>
    <w:p>
      <w:pPr>
        <w:jc w:val="both"/>
        <w:ind w:firstLine="618"/>
        <w:spacing w:after="0" w:line="237" w:lineRule="auto"/>
        <w:rPr>
          <w:sz w:val="20"/>
          <w:szCs w:val="20"/>
          <w:color w:val="auto"/>
        </w:rPr>
      </w:pPr>
      <w:r>
        <w:rPr>
          <w:rFonts w:ascii="Times New Roman" w:cs="Times New Roman" w:eastAsia="Times New Roman" w:hAnsi="Times New Roman"/>
          <w:sz w:val="21"/>
          <w:szCs w:val="21"/>
          <w:b w:val="1"/>
          <w:bCs w:val="1"/>
          <w:color w:val="auto"/>
        </w:rPr>
        <w:t>12.4 Survival</w:t>
      </w:r>
      <w:r>
        <w:rPr>
          <w:rFonts w:ascii="Times New Roman" w:cs="Times New Roman" w:eastAsia="Times New Roman" w:hAnsi="Times New Roman"/>
          <w:sz w:val="21"/>
          <w:szCs w:val="21"/>
          <w:color w:val="auto"/>
        </w:rPr>
        <w:t>. Upon the expiration or termination of this Agreement, all rights and obligations of the Parties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terminate except [***] shall survive expiration or any termination of this Agreement.</w:t>
      </w:r>
    </w:p>
    <w:p>
      <w:pPr>
        <w:spacing w:after="0" w:line="13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XIII</w:t>
      </w:r>
    </w:p>
    <w:p>
      <w:pPr>
        <w:ind w:left="2960"/>
        <w:spacing w:after="0"/>
        <w:rPr>
          <w:sz w:val="20"/>
          <w:szCs w:val="20"/>
          <w:color w:val="auto"/>
        </w:rPr>
      </w:pPr>
      <w:r>
        <w:rPr>
          <w:rFonts w:ascii="Times New Roman" w:cs="Times New Roman" w:eastAsia="Times New Roman" w:hAnsi="Times New Roman"/>
          <w:sz w:val="21"/>
          <w:szCs w:val="21"/>
          <w:b w:val="1"/>
          <w:bCs w:val="1"/>
          <w:color w:val="auto"/>
        </w:rPr>
        <w:t>REPRESENTATIONS, WARRANTIES AND COVENANTS</w:t>
      </w:r>
    </w:p>
    <w:p>
      <w:pPr>
        <w:spacing w:after="0" w:line="135"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13.1</w:t>
      </w:r>
      <w:r>
        <w:rPr>
          <w:sz w:val="20"/>
          <w:szCs w:val="20"/>
          <w:color w:val="auto"/>
        </w:rPr>
        <w:tab/>
      </w:r>
      <w:r>
        <w:rPr>
          <w:rFonts w:ascii="Times New Roman" w:cs="Times New Roman" w:eastAsia="Times New Roman" w:hAnsi="Times New Roman"/>
          <w:sz w:val="21"/>
          <w:szCs w:val="21"/>
          <w:b w:val="1"/>
          <w:bCs w:val="1"/>
          <w:color w:val="auto"/>
        </w:rPr>
        <w:t>Representations and Warranties of WuXi Biologics</w:t>
      </w:r>
      <w:r>
        <w:rPr>
          <w:rFonts w:ascii="Times New Roman" w:cs="Times New Roman" w:eastAsia="Times New Roman" w:hAnsi="Times New Roman"/>
          <w:sz w:val="21"/>
          <w:szCs w:val="21"/>
          <w:color w:val="auto"/>
        </w:rPr>
        <w:t>. WuXi Biologics represents and warrants to Aadi that, as of</w:t>
      </w:r>
    </w:p>
    <w:p>
      <w:pPr>
        <w:spacing w:after="0"/>
        <w:rPr>
          <w:sz w:val="20"/>
          <w:szCs w:val="20"/>
          <w:color w:val="auto"/>
        </w:rPr>
      </w:pP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1239"/>
        <w:spacing w:after="0" w:line="220" w:lineRule="auto"/>
        <w:tabs>
          <w:tab w:leader="none" w:pos="1851"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WuXi Biologics is a corporation duly organized, validly existing and is in good standing under the laws of China, is qualified to do business and is in good standing as a foreign corporation in each jurisdiction in which the conduct of its business or the ownership of its properties requires such qualification and failure to have such would prevent WuXi Biologics from performing its obligations under this Agreement;</w:t>
      </w:r>
    </w:p>
    <w:p>
      <w:pPr>
        <w:spacing w:after="0" w:line="144" w:lineRule="exact"/>
        <w:rPr>
          <w:rFonts w:ascii="Times New Roman" w:cs="Times New Roman" w:eastAsia="Times New Roman" w:hAnsi="Times New Roman"/>
          <w:sz w:val="21"/>
          <w:szCs w:val="21"/>
          <w:color w:val="auto"/>
        </w:rPr>
      </w:pPr>
    </w:p>
    <w:p>
      <w:pPr>
        <w:jc w:val="both"/>
        <w:ind w:firstLine="1239"/>
        <w:spacing w:after="0" w:line="227" w:lineRule="auto"/>
        <w:tabs>
          <w:tab w:leader="none" w:pos="185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a legal and valid obligation binding upon WuXi Biologics and enforceable in accordance with its terms. The execution, delivery and performance of this Agreement by WuXi Biologics have been duly authorized by all necessary corporate action and do not [***]: (i) to WuXi Biologics’ knowledge, violate any Applicable Law or award of any court, governmental body or administrative or other agency having jurisdiction over WuXi Biologics; nor (ii) conflict with, or constitute a default under, any agreement, instrument or understanding, oral or written, to which WuXi Biologics is a party or by which it is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349" w:lineRule="exact"/>
        <w:rPr>
          <w:sz w:val="20"/>
          <w:szCs w:val="20"/>
          <w:color w:val="auto"/>
        </w:rPr>
      </w:pPr>
    </w:p>
    <w:p>
      <w:pPr>
        <w:ind w:left="1860" w:hanging="621"/>
        <w:spacing w:after="0"/>
        <w:tabs>
          <w:tab w:leader="none" w:pos="1860"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and Schedule 1.43 contains a complete list of the Licensed Platform Patents in existence as of [***];</w:t>
      </w:r>
    </w:p>
    <w:p>
      <w:pPr>
        <w:spacing w:after="0" w:line="170" w:lineRule="exact"/>
        <w:rPr>
          <w:rFonts w:ascii="Times New Roman" w:cs="Times New Roman" w:eastAsia="Times New Roman" w:hAnsi="Times New Roman"/>
          <w:sz w:val="21"/>
          <w:szCs w:val="21"/>
          <w:color w:val="auto"/>
        </w:rPr>
      </w:pPr>
    </w:p>
    <w:p>
      <w:pPr>
        <w:ind w:firstLine="1239"/>
        <w:spacing w:after="0" w:line="235" w:lineRule="auto"/>
        <w:tabs>
          <w:tab w:leader="none" w:pos="1850"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WuXi Biologics’ knowledge, the Patents listed on Schedules 1.43 are valid and enforceable and all applicable renewals, annuities, and other fees have been duly and timely paid;</w:t>
      </w:r>
    </w:p>
    <w:p>
      <w:pPr>
        <w:spacing w:after="0" w:line="145"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WuXi Biologics’ knowledge, the Patents listed on Schedule 1.43 [***];</w:t>
      </w:r>
    </w:p>
    <w:p>
      <w:pPr>
        <w:spacing w:after="0" w:line="196" w:lineRule="exact"/>
        <w:rPr>
          <w:sz w:val="20"/>
          <w:szCs w:val="20"/>
          <w:color w:val="auto"/>
        </w:rPr>
      </w:pPr>
    </w:p>
    <w:p>
      <w:pPr>
        <w:jc w:val="both"/>
        <w:ind w:firstLine="1239"/>
        <w:spacing w:after="0" w:line="256" w:lineRule="auto"/>
        <w:tabs>
          <w:tab w:leader="none" w:pos="1843"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WuXi Biologics owns or Controls the Licensed Patents and has the full right and authority to grant the rights and licenses granted herein and (ii) except for the Upstream Agreements, there are no Third Party agreements pursuant to which WuXi Biologics or any of its Affiliates is a Party that relates to any Licensed IP, Licensed ADC and/or Licensed Product (or any component of a Licensed ADC or Licensed Product);</w:t>
      </w:r>
    </w:p>
    <w:p>
      <w:pPr>
        <w:spacing w:after="0" w:line="167" w:lineRule="exact"/>
        <w:rPr>
          <w:rFonts w:ascii="Times New Roman" w:cs="Times New Roman" w:eastAsia="Times New Roman" w:hAnsi="Times New Roman"/>
          <w:sz w:val="21"/>
          <w:szCs w:val="21"/>
          <w:color w:val="auto"/>
        </w:rPr>
      </w:pPr>
    </w:p>
    <w:p>
      <w:pPr>
        <w:jc w:val="both"/>
        <w:ind w:firstLine="1239"/>
        <w:spacing w:after="0" w:line="256" w:lineRule="auto"/>
        <w:tabs>
          <w:tab w:leader="none" w:pos="1843"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WuXi Biologics nor any of its Affiliates nor, to WuXi Biologics' knowledge, any counter party is in material breach of any Upstream Agreement. To WuXi Biologics' knowledge, the Upstream Agreements are in full force and effect. Neither WuXi Biologics nor its applicable Affiliate has [***];</w:t>
      </w:r>
    </w:p>
    <w:p>
      <w:pPr>
        <w:spacing w:after="0" w:line="180" w:lineRule="exact"/>
        <w:rPr>
          <w:sz w:val="20"/>
          <w:szCs w:val="20"/>
          <w:color w:val="auto"/>
        </w:rPr>
      </w:pPr>
    </w:p>
    <w:p>
      <w:pPr>
        <w:jc w:val="both"/>
        <w:ind w:firstLine="1239"/>
        <w:spacing w:after="0" w:line="256" w:lineRule="auto"/>
        <w:tabs>
          <w:tab w:leader="none" w:pos="1843"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WuXi Biologics has not previously granted to a Third Party, [***], any right, license or interest in any Licensed ADC, Licensed Product or the Licensed IP, or any portion thereof, that is in conflict with, or diminishes or impedes, the rights or licenses granted to Aadi under this Agreement;</w:t>
      </w:r>
    </w:p>
    <w:p>
      <w:pPr>
        <w:spacing w:after="0" w:line="167" w:lineRule="exact"/>
        <w:rPr>
          <w:rFonts w:ascii="Times New Roman" w:cs="Times New Roman" w:eastAsia="Times New Roman" w:hAnsi="Times New Roman"/>
          <w:sz w:val="21"/>
          <w:szCs w:val="21"/>
          <w:color w:val="auto"/>
        </w:rPr>
      </w:pPr>
    </w:p>
    <w:p>
      <w:pPr>
        <w:ind w:firstLine="1239"/>
        <w:spacing w:after="0" w:line="269" w:lineRule="auto"/>
        <w:tabs>
          <w:tab w:leader="none" w:pos="185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WuXi Biologics’ knowledge, the Licensed IP is free and clear of all liens, claims, security interests or other encumbrances of any kind and, during the Term, [***];</w:t>
      </w:r>
    </w:p>
    <w:p>
      <w:pPr>
        <w:spacing w:after="0" w:line="154" w:lineRule="exact"/>
        <w:rPr>
          <w:rFonts w:ascii="Times New Roman" w:cs="Times New Roman" w:eastAsia="Times New Roman" w:hAnsi="Times New Roman"/>
          <w:sz w:val="21"/>
          <w:szCs w:val="21"/>
          <w:color w:val="auto"/>
        </w:rPr>
      </w:pPr>
    </w:p>
    <w:p>
      <w:pPr>
        <w:ind w:firstLine="1239"/>
        <w:spacing w:after="0" w:line="281" w:lineRule="auto"/>
        <w:tabs>
          <w:tab w:leader="none" w:pos="185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WuXi Biologics’ knowledge, none of the inventions disclosed in the Licensed Platform Patents or Licensed ADC Patents were conceived of or reduced to practice using funding from the United States government;</w:t>
      </w:r>
    </w:p>
    <w:p>
      <w:pPr>
        <w:spacing w:after="0" w:line="142"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WuXi Biologics’ knowledge, [***];</w:t>
      </w:r>
    </w:p>
    <w:p>
      <w:pPr>
        <w:spacing w:after="0" w:line="209" w:lineRule="exact"/>
        <w:rPr>
          <w:rFonts w:ascii="Times New Roman" w:cs="Times New Roman" w:eastAsia="Times New Roman" w:hAnsi="Times New Roman"/>
          <w:sz w:val="21"/>
          <w:szCs w:val="21"/>
          <w:color w:val="auto"/>
        </w:rPr>
      </w:pPr>
    </w:p>
    <w:p>
      <w:pPr>
        <w:jc w:val="both"/>
        <w:ind w:firstLine="1239"/>
        <w:spacing w:after="0" w:line="256" w:lineRule="auto"/>
        <w:tabs>
          <w:tab w:leader="none" w:pos="185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WuXi Biologics’ knowledge, all necessary consents, approvals and authorizations of all Regulatory Authorities, other governmental authorities and other persons or entities required to be obtained by WuXi Biologics in order to enter into this Agreement have been obtained;</w:t>
      </w:r>
    </w:p>
    <w:p>
      <w:pPr>
        <w:spacing w:after="0" w:line="18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WuXi Biologics’ knowledge, [***];</w:t>
      </w:r>
    </w:p>
    <w:p>
      <w:pPr>
        <w:spacing w:after="0" w:line="209"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WuXi Biologics [***];</w:t>
      </w:r>
    </w:p>
    <w:p>
      <w:pPr>
        <w:spacing w:after="0" w:line="209" w:lineRule="exact"/>
        <w:rPr>
          <w:rFonts w:ascii="Times New Roman" w:cs="Times New Roman" w:eastAsia="Times New Roman" w:hAnsi="Times New Roman"/>
          <w:sz w:val="21"/>
          <w:szCs w:val="21"/>
          <w:color w:val="auto"/>
        </w:rPr>
      </w:pPr>
    </w:p>
    <w:p>
      <w:pPr>
        <w:jc w:val="both"/>
        <w:ind w:firstLine="1239"/>
        <w:spacing w:after="0" w:line="256" w:lineRule="auto"/>
        <w:tabs>
          <w:tab w:leader="none" w:pos="1843"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WuXi Biologics has not knowingly withheld any Licensed Know-How [***] for Aadi’s conduct of activities under this Agreement and, to WuXi Biologics’ knowledge, all Licensed Know-How provided to Aadi is free from any material inaccuracies;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375" w:lineRule="exact"/>
        <w:rPr>
          <w:sz w:val="20"/>
          <w:szCs w:val="20"/>
          <w:color w:val="auto"/>
        </w:rPr>
      </w:pPr>
    </w:p>
    <w:p>
      <w:pPr>
        <w:ind w:left="1860" w:hanging="621"/>
        <w:spacing w:after="0"/>
        <w:tabs>
          <w:tab w:leader="none" w:pos="1860"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WuXi Biologics’ knowledge, [***];</w:t>
      </w:r>
    </w:p>
    <w:p>
      <w:pPr>
        <w:spacing w:after="0" w:line="209" w:lineRule="exact"/>
        <w:rPr>
          <w:sz w:val="20"/>
          <w:szCs w:val="20"/>
          <w:color w:val="auto"/>
        </w:rPr>
      </w:pPr>
    </w:p>
    <w:p>
      <w:pPr>
        <w:jc w:val="both"/>
        <w:ind w:firstLine="1239"/>
        <w:spacing w:after="0" w:line="256" w:lineRule="auto"/>
        <w:tabs>
          <w:tab w:leader="none" w:pos="1844"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WuXi Biologics nor any of its Affiliates are, or have been, debarred or disqualified by any Regulatory Authority; and none of WuXi Biologics or any of its Affiliates’ employees or contractors who were or will be involved in the Development, Manufacture or Commercialization of Licensed ADCs and/or Licensed Products are, or have been, debarred or disqualified by any Regulatory Authority;</w:t>
      </w:r>
    </w:p>
    <w:p>
      <w:pPr>
        <w:spacing w:after="0" w:line="167" w:lineRule="exact"/>
        <w:rPr>
          <w:rFonts w:ascii="Times New Roman" w:cs="Times New Roman" w:eastAsia="Times New Roman" w:hAnsi="Times New Roman"/>
          <w:sz w:val="21"/>
          <w:szCs w:val="21"/>
          <w:color w:val="auto"/>
        </w:rPr>
      </w:pPr>
    </w:p>
    <w:p>
      <w:pPr>
        <w:jc w:val="both"/>
        <w:ind w:firstLine="1239"/>
        <w:spacing w:after="0" w:line="256" w:lineRule="auto"/>
        <w:tabs>
          <w:tab w:leader="none" w:pos="1850"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WuXi Biologics has complied with all U.S. and applicable foreign export and reexport control laws and regulations, including but not limited to the Export Administration Regulations (“</w:t>
      </w:r>
      <w:r>
        <w:rPr>
          <w:rFonts w:ascii="Times New Roman" w:cs="Times New Roman" w:eastAsia="Times New Roman" w:hAnsi="Times New Roman"/>
          <w:sz w:val="21"/>
          <w:szCs w:val="21"/>
          <w:b w:val="1"/>
          <w:bCs w:val="1"/>
          <w:color w:val="auto"/>
        </w:rPr>
        <w:t>EAR</w:t>
      </w:r>
      <w:r>
        <w:rPr>
          <w:rFonts w:ascii="Times New Roman" w:cs="Times New Roman" w:eastAsia="Times New Roman" w:hAnsi="Times New Roman"/>
          <w:sz w:val="21"/>
          <w:szCs w:val="21"/>
          <w:color w:val="auto"/>
        </w:rPr>
        <w:t>”) maintained by the U.S. Department of Commerce and trade and economic sanctions maintained by the U.S. Treasury Department’s Office of Foreign Assets Control (“</w:t>
      </w:r>
      <w:r>
        <w:rPr>
          <w:rFonts w:ascii="Times New Roman" w:cs="Times New Roman" w:eastAsia="Times New Roman" w:hAnsi="Times New Roman"/>
          <w:sz w:val="21"/>
          <w:szCs w:val="21"/>
          <w:b w:val="1"/>
          <w:bCs w:val="1"/>
          <w:color w:val="auto"/>
        </w:rPr>
        <w:t>OFAC</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jc w:val="both"/>
        <w:ind w:firstLine="1239"/>
        <w:spacing w:after="0" w:line="256" w:lineRule="auto"/>
        <w:tabs>
          <w:tab w:leader="none" w:pos="1850"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WuXi Biologics has not, directly or indirectly, sold, exported, reexported, transferred, diverted, or allowed the use of, any Licensed ADCs or Licensed Know-How to any destination, entity or person prohibited by the laws or regulations of the United States or applicable foreign jurisdictions;</w:t>
      </w:r>
    </w:p>
    <w:p>
      <w:pPr>
        <w:spacing w:after="0" w:line="167" w:lineRule="exact"/>
        <w:rPr>
          <w:rFonts w:ascii="Times New Roman" w:cs="Times New Roman" w:eastAsia="Times New Roman" w:hAnsi="Times New Roman"/>
          <w:sz w:val="21"/>
          <w:szCs w:val="21"/>
          <w:color w:val="auto"/>
        </w:rPr>
      </w:pPr>
    </w:p>
    <w:p>
      <w:pPr>
        <w:jc w:val="both"/>
        <w:ind w:firstLine="1239"/>
        <w:spacing w:after="0" w:line="249" w:lineRule="auto"/>
        <w:tabs>
          <w:tab w:leader="none" w:pos="1851"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WuXi Biologics officers, directors, employees, agents, representatives, independent contractors, or any other person acting for or on behalf of WuXi Biologics for performance of this Agreement is: (1) a person or entity with whom transactions are prohibited or limited under any Applicable Laws pertaining to sanctions, including those administered by the United States including, but not limited to, the United States Office of Foreign Asset Control’s Specially Designated Nationals and Blocked Persons List (“</w:t>
      </w:r>
      <w:r>
        <w:rPr>
          <w:rFonts w:ascii="Times New Roman" w:cs="Times New Roman" w:eastAsia="Times New Roman" w:hAnsi="Times New Roman"/>
          <w:sz w:val="21"/>
          <w:szCs w:val="21"/>
          <w:b w:val="1"/>
          <w:bCs w:val="1"/>
          <w:color w:val="auto"/>
        </w:rPr>
        <w:t>SDN List</w:t>
      </w:r>
      <w:r>
        <w:rPr>
          <w:rFonts w:ascii="Times New Roman" w:cs="Times New Roman" w:eastAsia="Times New Roman" w:hAnsi="Times New Roman"/>
          <w:sz w:val="21"/>
          <w:szCs w:val="21"/>
          <w:color w:val="auto"/>
        </w:rPr>
        <w:t>”) or the United States Department of Commerce’s Entity List, Denied Persons List, Unverified List or Military End User List or included on comparable sanction lists of prohibited or restricted persons administered by the government of another applicable foreign jurisdiction; or (2) a person or entity resident in, located in, or a government of a sanctioned country or territory as defined under Applicable Laws pertaining to sanctions (which currently include Belarus, Cuba, Iran, North Korea, Russia, Syria, and the Crimea, LNR, and DNR regions of Ukraine) (“</w:t>
      </w:r>
      <w:r>
        <w:rPr>
          <w:rFonts w:ascii="Times New Roman" w:cs="Times New Roman" w:eastAsia="Times New Roman" w:hAnsi="Times New Roman"/>
          <w:sz w:val="21"/>
          <w:szCs w:val="21"/>
          <w:b w:val="1"/>
          <w:bCs w:val="1"/>
          <w:color w:val="auto"/>
        </w:rPr>
        <w:t>Sanctioned Country</w:t>
      </w:r>
      <w:r>
        <w:rPr>
          <w:rFonts w:ascii="Times New Roman" w:cs="Times New Roman" w:eastAsia="Times New Roman" w:hAnsi="Times New Roman"/>
          <w:sz w:val="21"/>
          <w:szCs w:val="21"/>
          <w:color w:val="auto"/>
        </w:rPr>
        <w:t>”) (collectively, a “</w:t>
      </w:r>
      <w:r>
        <w:rPr>
          <w:rFonts w:ascii="Times New Roman" w:cs="Times New Roman" w:eastAsia="Times New Roman" w:hAnsi="Times New Roman"/>
          <w:sz w:val="21"/>
          <w:szCs w:val="21"/>
          <w:b w:val="1"/>
          <w:bCs w:val="1"/>
          <w:color w:val="auto"/>
        </w:rPr>
        <w:t>Restricted Party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860" w:hanging="621"/>
        <w:spacing w:after="0"/>
        <w:tabs>
          <w:tab w:leader="none" w:pos="1860"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to WuXi Biologics’ knowledge, [***]; and</w:t>
      </w:r>
    </w:p>
    <w:p>
      <w:pPr>
        <w:spacing w:after="0" w:line="209" w:lineRule="exact"/>
        <w:rPr>
          <w:sz w:val="20"/>
          <w:szCs w:val="20"/>
          <w:color w:val="auto"/>
        </w:rPr>
      </w:pPr>
    </w:p>
    <w:p>
      <w:pPr>
        <w:ind w:firstLine="1236"/>
        <w:spacing w:after="0" w:line="281" w:lineRule="auto"/>
        <w:rPr>
          <w:sz w:val="20"/>
          <w:szCs w:val="20"/>
          <w:color w:val="auto"/>
        </w:rPr>
      </w:pPr>
      <w:r>
        <w:rPr>
          <w:rFonts w:ascii="Times New Roman" w:cs="Times New Roman" w:eastAsia="Times New Roman" w:hAnsi="Times New Roman"/>
          <w:sz w:val="21"/>
          <w:szCs w:val="21"/>
          <w:color w:val="auto"/>
        </w:rPr>
        <w:t>(ab) Neither the Licensed IP nor any Licensed ADC provided by WuXi Biologics under this Agreement are sourced from a Restricted Party or a Sanctioned Country.</w:t>
      </w:r>
    </w:p>
    <w:p>
      <w:pPr>
        <w:spacing w:after="0" w:line="113"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13.2</w:t>
      </w:r>
      <w:r>
        <w:rPr>
          <w:sz w:val="20"/>
          <w:szCs w:val="20"/>
          <w:color w:val="auto"/>
        </w:rPr>
        <w:tab/>
      </w:r>
      <w:r>
        <w:rPr>
          <w:rFonts w:ascii="Times New Roman" w:cs="Times New Roman" w:eastAsia="Times New Roman" w:hAnsi="Times New Roman"/>
          <w:sz w:val="20"/>
          <w:szCs w:val="20"/>
          <w:b w:val="1"/>
          <w:bCs w:val="1"/>
          <w:color w:val="auto"/>
        </w:rPr>
        <w:t>Representations and Warranties of Aadi</w:t>
      </w:r>
      <w:r>
        <w:rPr>
          <w:rFonts w:ascii="Times New Roman" w:cs="Times New Roman" w:eastAsia="Times New Roman" w:hAnsi="Times New Roman"/>
          <w:sz w:val="20"/>
          <w:szCs w:val="20"/>
          <w:color w:val="auto"/>
        </w:rPr>
        <w:t>. Aadi represents and warrants to WuXi Biologics that, as of [***]:</w:t>
      </w:r>
    </w:p>
    <w:p>
      <w:pPr>
        <w:spacing w:after="0" w:line="175" w:lineRule="exact"/>
        <w:rPr>
          <w:sz w:val="20"/>
          <w:szCs w:val="20"/>
          <w:color w:val="auto"/>
        </w:rPr>
      </w:pPr>
    </w:p>
    <w:p>
      <w:pPr>
        <w:jc w:val="both"/>
        <w:ind w:firstLine="1239"/>
        <w:spacing w:after="0" w:line="220" w:lineRule="auto"/>
        <w:tabs>
          <w:tab w:leader="none" w:pos="1851"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Aadi is a corporation duly organized, validly existing and is in good standing under the laws of the State of Delaware, U.S.A., is qualified to do business and is in good standing as a foreign corporation in each jurisdiction in which the conduct of its business or the ownership of its properties requires such qualification and failure to have such would prevent Aadi from performing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349" w:lineRule="exact"/>
        <w:rPr>
          <w:sz w:val="20"/>
          <w:szCs w:val="20"/>
          <w:color w:val="auto"/>
        </w:rPr>
      </w:pPr>
    </w:p>
    <w:p>
      <w:pPr>
        <w:jc w:val="both"/>
        <w:ind w:firstLine="1239"/>
        <w:spacing w:after="0" w:line="217" w:lineRule="auto"/>
        <w:tabs>
          <w:tab w:leader="none" w:pos="185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a legal and valid obligation binding upon Aadi and enforceable in accordance with its terms. The execution, delivery and performance of this Agreement by Aadi have been duly authorized by all necessary corporate action and do not [***]: (i) to Aadi’s knowledge, violate any Applicable Law or award of any court, governmental body or administrative or other agency having jurisdiction over Aadi; nor (ii) conflict with, or constitute a default under, any agreement, instrument or understanding, oral or written, to which Aadi is a party or by which it is bound;</w:t>
      </w:r>
    </w:p>
    <w:p>
      <w:pPr>
        <w:spacing w:after="0" w:line="144" w:lineRule="exact"/>
        <w:rPr>
          <w:rFonts w:ascii="Times New Roman" w:cs="Times New Roman" w:eastAsia="Times New Roman" w:hAnsi="Times New Roman"/>
          <w:sz w:val="21"/>
          <w:szCs w:val="21"/>
          <w:color w:val="auto"/>
        </w:rPr>
      </w:pPr>
    </w:p>
    <w:p>
      <w:pPr>
        <w:ind w:firstLine="1239"/>
        <w:spacing w:after="0" w:line="235" w:lineRule="auto"/>
        <w:tabs>
          <w:tab w:leader="none" w:pos="1851"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necessary consents, approvals and authorizations of all Regulatory Authorities, other governmental authorities and other persons or entities required to be obtained by Aadi in order to enter into this Agreement have been obtained; and</w:t>
      </w:r>
    </w:p>
    <w:p>
      <w:pPr>
        <w:spacing w:after="0" w:line="145" w:lineRule="exact"/>
        <w:rPr>
          <w:rFonts w:ascii="Times New Roman" w:cs="Times New Roman" w:eastAsia="Times New Roman" w:hAnsi="Times New Roman"/>
          <w:sz w:val="21"/>
          <w:szCs w:val="21"/>
          <w:color w:val="auto"/>
        </w:rPr>
      </w:pPr>
    </w:p>
    <w:p>
      <w:pPr>
        <w:jc w:val="both"/>
        <w:ind w:firstLine="1239"/>
        <w:spacing w:after="0" w:line="225" w:lineRule="auto"/>
        <w:tabs>
          <w:tab w:leader="none" w:pos="185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Aadi and its Affiliates have complied with all U.S. and applicable foreign export and reexport control laws and regulations, including but not limited to the EAR maintained by the U.S. Department of Commerce and trade and economic sanctions maintained by the U.S. Treasury Department’s OFAC.</w:t>
      </w:r>
    </w:p>
    <w:p>
      <w:pPr>
        <w:spacing w:after="0" w:line="141"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13.3</w:t>
      </w:r>
      <w:r>
        <w:rPr>
          <w:sz w:val="20"/>
          <w:szCs w:val="20"/>
          <w:color w:val="auto"/>
        </w:rPr>
        <w:tab/>
      </w:r>
      <w:r>
        <w:rPr>
          <w:rFonts w:ascii="Times New Roman" w:cs="Times New Roman" w:eastAsia="Times New Roman" w:hAnsi="Times New Roman"/>
          <w:sz w:val="20"/>
          <w:szCs w:val="20"/>
          <w:b w:val="1"/>
          <w:bCs w:val="1"/>
          <w:color w:val="auto"/>
        </w:rPr>
        <w:t>Mutual Representations, Warranties and Covenants</w:t>
      </w:r>
      <w:r>
        <w:rPr>
          <w:rFonts w:ascii="Times New Roman" w:cs="Times New Roman" w:eastAsia="Times New Roman" w:hAnsi="Times New Roman"/>
          <w:sz w:val="20"/>
          <w:szCs w:val="20"/>
          <w:color w:val="auto"/>
        </w:rPr>
        <w:t>. Each Party covenants to the other that:</w:t>
      </w:r>
    </w:p>
    <w:p>
      <w:pPr>
        <w:spacing w:after="0" w:line="175" w:lineRule="exact"/>
        <w:rPr>
          <w:sz w:val="20"/>
          <w:szCs w:val="20"/>
          <w:color w:val="auto"/>
        </w:rPr>
      </w:pPr>
    </w:p>
    <w:p>
      <w:pPr>
        <w:jc w:val="both"/>
        <w:ind w:firstLine="1239"/>
        <w:spacing w:after="0" w:line="213" w:lineRule="auto"/>
        <w:tabs>
          <w:tab w:leader="none" w:pos="1851"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such Party nor any of its Affiliates will employ or use the services of any Person who is debarred or disqualified by any Regulatory Authority in connection with activities relating to any Licensed ADCs and/or Licensed Products; and in the event that such Party becomes aware of the debarment or disqualification or threatened debarment or disqualification of any Person providing services to such Party or any of its Affiliates with respect to any activities relating to any Licensed ADCs and/or Licensed Products, such Party will promptly notify the other Party in writing and such Party will cease, or cause its Affiliate to cease (as applicable), employing, contracting with, or retaining any such Person to perform any services relating to the applicable Licensed ADCs and/or Licensed Products; and</w:t>
      </w:r>
    </w:p>
    <w:p>
      <w:pPr>
        <w:spacing w:after="0" w:line="148" w:lineRule="exact"/>
        <w:rPr>
          <w:rFonts w:ascii="Times New Roman" w:cs="Times New Roman" w:eastAsia="Times New Roman" w:hAnsi="Times New Roman"/>
          <w:sz w:val="21"/>
          <w:szCs w:val="21"/>
          <w:color w:val="auto"/>
        </w:rPr>
      </w:pPr>
    </w:p>
    <w:p>
      <w:pPr>
        <w:jc w:val="both"/>
        <w:ind w:firstLine="1239"/>
        <w:spacing w:after="0" w:line="220" w:lineRule="auto"/>
        <w:tabs>
          <w:tab w:leader="none" w:pos="185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Party and its Affiliates are in compliance with, and at all times during the Term shall remain in compliance with, all antibribery or anticorruption laws, including the U.S. Foreign Corrupt Practices Act of 1977, as amended (“</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Neither such Party nor any of its Affiliates has or will, in connection with the exercise of such Party’s rights or performance of its obligations under this Agreement, authorized, offered or made payments or otherwise provided anything of value directly or indirectly to: (i) an executive, official, employee or agent of a governmental department, agency or instrumentality, (ii) a director, officer, employee or agent of a wholly or partially government-owned or government-controlled company or business, (iii) a political party or official thereof, or candidate for political office, or (iv) an executive, official, employee or agent of a public international organization (e.g., the International Monetary Fund or the World Bank) (“</w:t>
      </w:r>
      <w:r>
        <w:rPr>
          <w:rFonts w:ascii="Times New Roman" w:cs="Times New Roman" w:eastAsia="Times New Roman" w:hAnsi="Times New Roman"/>
          <w:sz w:val="20"/>
          <w:szCs w:val="20"/>
          <w:b w:val="1"/>
          <w:bCs w:val="1"/>
          <w:color w:val="auto"/>
        </w:rPr>
        <w:t>Government Official</w:t>
      </w:r>
      <w:r>
        <w:rPr>
          <w:rFonts w:ascii="Times New Roman" w:cs="Times New Roman" w:eastAsia="Times New Roman" w:hAnsi="Times New Roman"/>
          <w:sz w:val="20"/>
          <w:szCs w:val="20"/>
          <w:color w:val="auto"/>
        </w:rPr>
        <w:t>”) for purposes of (A) (I) improperly influencing any act or decision of such Government Official in his or her official capacity, (II) inducing such Government Official to do or omit to do any act in violation of the lawful duty of such Government Official, or (III) securing any improper advantage; or (B) inducing such Government Official improperly to use his or her influence in order to assist such Party or any of its Affiliates in obtaining or retaining business.</w:t>
      </w:r>
    </w:p>
    <w:p>
      <w:pPr>
        <w:spacing w:after="0" w:line="150"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13.4</w:t>
      </w:r>
      <w:r>
        <w:rPr>
          <w:sz w:val="20"/>
          <w:szCs w:val="20"/>
          <w:color w:val="auto"/>
        </w:rPr>
        <w:tab/>
      </w:r>
      <w:r>
        <w:rPr>
          <w:rFonts w:ascii="Times New Roman" w:cs="Times New Roman" w:eastAsia="Times New Roman" w:hAnsi="Times New Roman"/>
          <w:sz w:val="20"/>
          <w:szCs w:val="20"/>
          <w:b w:val="1"/>
          <w:bCs w:val="1"/>
          <w:color w:val="auto"/>
        </w:rPr>
        <w:t>WuXi Biologics Covenants.</w:t>
      </w:r>
    </w:p>
    <w:p>
      <w:pPr>
        <w:spacing w:after="0" w:line="175" w:lineRule="exact"/>
        <w:rPr>
          <w:sz w:val="20"/>
          <w:szCs w:val="20"/>
          <w:color w:val="auto"/>
        </w:rPr>
      </w:pPr>
    </w:p>
    <w:p>
      <w:pPr>
        <w:ind w:firstLine="1239"/>
        <w:spacing w:after="0" w:line="235" w:lineRule="auto"/>
        <w:tabs>
          <w:tab w:leader="none" w:pos="1851"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WuXi Biologics covenants to Aadi that, after the Effective Date and During the Term, WuXi Biologics shall not, by itself or through an Affiliate,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349" w:lineRule="exact"/>
        <w:rPr>
          <w:sz w:val="20"/>
          <w:szCs w:val="20"/>
          <w:color w:val="auto"/>
        </w:rPr>
      </w:pPr>
    </w:p>
    <w:p>
      <w:pPr>
        <w:ind w:left="2460" w:hanging="603"/>
        <w:spacing w:after="0"/>
        <w:tabs>
          <w:tab w:leader="none" w:pos="246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SEZ6 Program, [***];</w:t>
      </w:r>
    </w:p>
    <w:p>
      <w:pPr>
        <w:spacing w:after="0" w:line="170" w:lineRule="exact"/>
        <w:rPr>
          <w:rFonts w:ascii="Times New Roman" w:cs="Times New Roman" w:eastAsia="Times New Roman" w:hAnsi="Times New Roman"/>
          <w:sz w:val="21"/>
          <w:szCs w:val="21"/>
          <w:color w:val="auto"/>
        </w:rPr>
      </w:pPr>
    </w:p>
    <w:p>
      <w:pPr>
        <w:ind w:left="2460" w:hanging="603"/>
        <w:spacing w:after="0"/>
        <w:tabs>
          <w:tab w:leader="none" w:pos="246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MUC16 Program, [***]; and</w:t>
      </w:r>
    </w:p>
    <w:p>
      <w:pPr>
        <w:spacing w:after="0" w:line="170" w:lineRule="exact"/>
        <w:rPr>
          <w:rFonts w:ascii="Times New Roman" w:cs="Times New Roman" w:eastAsia="Times New Roman" w:hAnsi="Times New Roman"/>
          <w:sz w:val="21"/>
          <w:szCs w:val="21"/>
          <w:color w:val="auto"/>
        </w:rPr>
      </w:pPr>
    </w:p>
    <w:p>
      <w:pPr>
        <w:ind w:left="2480" w:hanging="623"/>
        <w:spacing w:after="0"/>
        <w:tabs>
          <w:tab w:leader="none" w:pos="248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PTK7 Program, [***].</w:t>
      </w:r>
    </w:p>
    <w:p>
      <w:pPr>
        <w:spacing w:after="0" w:line="196" w:lineRule="exact"/>
        <w:rPr>
          <w:rFonts w:ascii="Times New Roman" w:cs="Times New Roman" w:eastAsia="Times New Roman" w:hAnsi="Times New Roman"/>
          <w:sz w:val="21"/>
          <w:szCs w:val="21"/>
          <w:color w:val="auto"/>
        </w:rPr>
      </w:pPr>
    </w:p>
    <w:p>
      <w:pPr>
        <w:ind w:firstLine="1857"/>
        <w:spacing w:after="0" w:line="269" w:lineRule="auto"/>
        <w:tabs>
          <w:tab w:leader="none" w:pos="2461"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WuXi Biologics and its Affiliates shall have the right to discover and dispose antibodies directed to any of the Licensed Targets, [***].</w:t>
      </w:r>
    </w:p>
    <w:p>
      <w:pPr>
        <w:spacing w:after="0" w:line="141" w:lineRule="exact"/>
        <w:rPr>
          <w:sz w:val="20"/>
          <w:szCs w:val="20"/>
          <w:color w:val="auto"/>
        </w:rPr>
      </w:pPr>
    </w:p>
    <w:p>
      <w:pPr>
        <w:ind w:left="1860" w:hanging="621"/>
        <w:spacing w:after="0"/>
        <w:tabs>
          <w:tab w:leader="none" w:pos="186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WuXi Biologics covenants to Aadi that, after the Effective Date and during the Term, WuXi Biologics will [***].</w:t>
      </w:r>
    </w:p>
    <w:p>
      <w:pPr>
        <w:spacing w:after="0" w:line="178" w:lineRule="exact"/>
        <w:rPr>
          <w:sz w:val="20"/>
          <w:szCs w:val="20"/>
          <w:color w:val="auto"/>
        </w:rPr>
      </w:pPr>
    </w:p>
    <w:p>
      <w:pPr>
        <w:jc w:val="both"/>
        <w:ind w:firstLine="618"/>
        <w:spacing w:after="0" w:line="221" w:lineRule="auto"/>
        <w:rPr>
          <w:sz w:val="20"/>
          <w:szCs w:val="20"/>
          <w:color w:val="auto"/>
        </w:rPr>
      </w:pPr>
      <w:r>
        <w:rPr>
          <w:rFonts w:ascii="Times New Roman" w:cs="Times New Roman" w:eastAsia="Times New Roman" w:hAnsi="Times New Roman"/>
          <w:sz w:val="21"/>
          <w:szCs w:val="21"/>
          <w:b w:val="1"/>
          <w:bCs w:val="1"/>
          <w:color w:val="auto"/>
        </w:rPr>
        <w:t>13.5 Disclaimer</w:t>
      </w:r>
      <w:r>
        <w:rPr>
          <w:rFonts w:ascii="Times New Roman" w:cs="Times New Roman" w:eastAsia="Times New Roman" w:hAnsi="Times New Roman"/>
          <w:sz w:val="21"/>
          <w:szCs w:val="21"/>
          <w:color w:val="auto"/>
        </w:rPr>
        <w:t>. EXCEPT AS OTHERWISE EXPRESSLY SET FORTH IN THIS AGREEMENT, NEITHER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MAKES ANY REPRESENTATION OR EXTENDS ANY WARRANTIES OF ANY KIND, EITHER EXPRESS OR IMPLIED, INCLUDING, BUT NOT LIMITED TO, WARRANTIES OF MERCHANTABILITY OR FITNESS FOR A PARTICULAR PURPOSE.</w:t>
      </w:r>
    </w:p>
    <w:p>
      <w:pPr>
        <w:spacing w:after="0" w:line="1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XIV</w:t>
      </w:r>
    </w:p>
    <w:p>
      <w:pPr>
        <w:ind w:left="4100"/>
        <w:spacing w:after="0"/>
        <w:rPr>
          <w:sz w:val="20"/>
          <w:szCs w:val="20"/>
          <w:color w:val="auto"/>
        </w:rPr>
      </w:pPr>
      <w:r>
        <w:rPr>
          <w:rFonts w:ascii="Times New Roman" w:cs="Times New Roman" w:eastAsia="Times New Roman" w:hAnsi="Times New Roman"/>
          <w:sz w:val="21"/>
          <w:szCs w:val="21"/>
          <w:b w:val="1"/>
          <w:bCs w:val="1"/>
          <w:color w:val="auto"/>
        </w:rPr>
        <w:t>INDEMNIFICATION; RECALLS</w:t>
      </w:r>
    </w:p>
    <w:p>
      <w:pPr>
        <w:spacing w:after="0" w:line="145" w:lineRule="exact"/>
        <w:rPr>
          <w:sz w:val="20"/>
          <w:szCs w:val="20"/>
          <w:color w:val="auto"/>
        </w:rPr>
      </w:pPr>
    </w:p>
    <w:p>
      <w:pPr>
        <w:jc w:val="both"/>
        <w:ind w:firstLine="618"/>
        <w:spacing w:after="0" w:line="212" w:lineRule="auto"/>
        <w:rPr>
          <w:sz w:val="20"/>
          <w:szCs w:val="20"/>
          <w:color w:val="auto"/>
        </w:rPr>
      </w:pPr>
      <w:r>
        <w:rPr>
          <w:rFonts w:ascii="Times New Roman" w:cs="Times New Roman" w:eastAsia="Times New Roman" w:hAnsi="Times New Roman"/>
          <w:sz w:val="21"/>
          <w:szCs w:val="21"/>
          <w:b w:val="1"/>
          <w:bCs w:val="1"/>
          <w:color w:val="auto"/>
        </w:rPr>
        <w:t>14.1 Indemnification of WuXi Biologics</w:t>
      </w:r>
      <w:r>
        <w:rPr>
          <w:rFonts w:ascii="Times New Roman" w:cs="Times New Roman" w:eastAsia="Times New Roman" w:hAnsi="Times New Roman"/>
          <w:sz w:val="21"/>
          <w:szCs w:val="21"/>
          <w:color w:val="auto"/>
        </w:rPr>
        <w:t>. Aadi shall indemnify and hold harmless each of WuXi Biologics, its Affiliates,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directors, officers, shareholders and employees of such entities and the successors and assigns of any of the foregoing (the “</w:t>
      </w:r>
      <w:r>
        <w:rPr>
          <w:rFonts w:ascii="Times New Roman" w:cs="Times New Roman" w:eastAsia="Times New Roman" w:hAnsi="Times New Roman"/>
          <w:sz w:val="21"/>
          <w:szCs w:val="21"/>
          <w:b w:val="1"/>
          <w:bCs w:val="1"/>
          <w:color w:val="auto"/>
        </w:rPr>
        <w:t>WuXi Biologics Indemnitees</w:t>
      </w:r>
      <w:r>
        <w:rPr>
          <w:rFonts w:ascii="Times New Roman" w:cs="Times New Roman" w:eastAsia="Times New Roman" w:hAnsi="Times New Roman"/>
          <w:sz w:val="21"/>
          <w:szCs w:val="21"/>
          <w:color w:val="auto"/>
        </w:rPr>
        <w:t>”), from and against any and all liabilities, damages, penalties, fines, costs, expenses (including, reasonable attorneys’ fees and other expenses of litigation) (“</w:t>
      </w:r>
      <w:r>
        <w:rPr>
          <w:rFonts w:ascii="Times New Roman" w:cs="Times New Roman" w:eastAsia="Times New Roman" w:hAnsi="Times New Roman"/>
          <w:sz w:val="21"/>
          <w:szCs w:val="21"/>
          <w:b w:val="1"/>
          <w:bCs w:val="1"/>
          <w:color w:val="auto"/>
        </w:rPr>
        <w:t>Liabilities</w:t>
      </w:r>
      <w:r>
        <w:rPr>
          <w:rFonts w:ascii="Times New Roman" w:cs="Times New Roman" w:eastAsia="Times New Roman" w:hAnsi="Times New Roman"/>
          <w:sz w:val="21"/>
          <w:szCs w:val="21"/>
          <w:color w:val="auto"/>
        </w:rPr>
        <w:t>”) incurred by any WuXi Biologics Indemnitee as a result of any claims, actions, suits or proceedings brought by a Third Party (a “</w:t>
      </w:r>
      <w:r>
        <w:rPr>
          <w:rFonts w:ascii="Times New Roman" w:cs="Times New Roman" w:eastAsia="Times New Roman" w:hAnsi="Times New Roman"/>
          <w:sz w:val="21"/>
          <w:szCs w:val="21"/>
          <w:b w:val="1"/>
          <w:bCs w:val="1"/>
          <w:color w:val="auto"/>
        </w:rPr>
        <w:t>Third Party Claim</w:t>
      </w:r>
      <w:r>
        <w:rPr>
          <w:rFonts w:ascii="Times New Roman" w:cs="Times New Roman" w:eastAsia="Times New Roman" w:hAnsi="Times New Roman"/>
          <w:sz w:val="21"/>
          <w:szCs w:val="21"/>
          <w:color w:val="auto"/>
        </w:rPr>
        <w:t>”) against a WuXi Biologics Indemnitee, arising from, or occurring as a result of: (a) the Exploitation of any Licensed Product by Aadi, its Affiliates or Sublicensees in the Territory; (b) a breach of any of Aadi’s representations, warranties or obligations under this Agreement; (c) the willful misconduct or grossly negligent acts of Aadi or its Affiliates or (d) violation of Applicable Law by any Aadi Indemnitees; except to the extent such Third Party Claims fall within the scope of WuXi Biologics’ indemnification obligations set forth in Section 14.2.</w:t>
      </w:r>
    </w:p>
    <w:p>
      <w:pPr>
        <w:spacing w:after="0" w:line="141" w:lineRule="exact"/>
        <w:rPr>
          <w:sz w:val="20"/>
          <w:szCs w:val="20"/>
          <w:color w:val="auto"/>
        </w:rPr>
      </w:pPr>
    </w:p>
    <w:p>
      <w:pPr>
        <w:jc w:val="both"/>
        <w:ind w:firstLine="618"/>
        <w:spacing w:after="0" w:line="214" w:lineRule="auto"/>
        <w:rPr>
          <w:sz w:val="20"/>
          <w:szCs w:val="20"/>
          <w:color w:val="auto"/>
        </w:rPr>
      </w:pPr>
      <w:r>
        <w:rPr>
          <w:rFonts w:ascii="Times New Roman" w:cs="Times New Roman" w:eastAsia="Times New Roman" w:hAnsi="Times New Roman"/>
          <w:sz w:val="21"/>
          <w:szCs w:val="21"/>
          <w:b w:val="1"/>
          <w:bCs w:val="1"/>
          <w:color w:val="auto"/>
        </w:rPr>
        <w:t>14.2 Indemnification of Aadi</w:t>
      </w:r>
      <w:r>
        <w:rPr>
          <w:rFonts w:ascii="Times New Roman" w:cs="Times New Roman" w:eastAsia="Times New Roman" w:hAnsi="Times New Roman"/>
          <w:sz w:val="21"/>
          <w:szCs w:val="21"/>
          <w:color w:val="auto"/>
        </w:rPr>
        <w:t>. WuXi Biologics shall indemnify and hold harmless each of Aadi, its Affiliates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Sublicensees and the directors, officers and employees of Aadi, its Affiliates and Sublicensees and the successors and assigns of any of the foregoing (the “</w:t>
      </w:r>
      <w:r>
        <w:rPr>
          <w:rFonts w:ascii="Times New Roman" w:cs="Times New Roman" w:eastAsia="Times New Roman" w:hAnsi="Times New Roman"/>
          <w:sz w:val="21"/>
          <w:szCs w:val="21"/>
          <w:b w:val="1"/>
          <w:bCs w:val="1"/>
          <w:color w:val="auto"/>
        </w:rPr>
        <w:t>Aadi Indemnitees</w:t>
      </w:r>
      <w:r>
        <w:rPr>
          <w:rFonts w:ascii="Times New Roman" w:cs="Times New Roman" w:eastAsia="Times New Roman" w:hAnsi="Times New Roman"/>
          <w:sz w:val="21"/>
          <w:szCs w:val="21"/>
          <w:color w:val="auto"/>
        </w:rPr>
        <w:t>”), from and against any and all Liabilities incurred by any Aadi Indemnitee as a result of any Third Party Claims against an Aadi Indemnitee, arising from, or occurring as a result of: (a) a breach of any of WuXi Biologics’ representations, warranties or obligations under this Agreement, (b) the willful misconduct or grossly negligent acts of WuXi Biologics or its Affiliates or (c) violation of Applicable Law by any WuXi Biologics Indemnitees; except to the extent such Third Party Claims fall within the scope of Aadi’s indemnification obligations set forth in Section 14.1(b), 14.1(c) or 14.1(d) above.</w:t>
      </w:r>
    </w:p>
    <w:p>
      <w:pPr>
        <w:spacing w:after="0" w:line="141"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0"/>
          <w:szCs w:val="20"/>
          <w:b w:val="1"/>
          <w:bCs w:val="1"/>
          <w:color w:val="auto"/>
        </w:rPr>
        <w:t>14.3 Procedure</w:t>
      </w:r>
      <w:r>
        <w:rPr>
          <w:rFonts w:ascii="Times New Roman" w:cs="Times New Roman" w:eastAsia="Times New Roman" w:hAnsi="Times New Roman"/>
          <w:sz w:val="20"/>
          <w:szCs w:val="20"/>
          <w:color w:val="auto"/>
        </w:rPr>
        <w:t>. A Party that intends to claim indemnification under this ARTICLE XIV (the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shall promptly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notify the other Party (the “</w:t>
      </w:r>
      <w:r>
        <w:rPr>
          <w:rFonts w:ascii="Times New Roman" w:cs="Times New Roman" w:eastAsia="Times New Roman" w:hAnsi="Times New Roman"/>
          <w:sz w:val="20"/>
          <w:szCs w:val="20"/>
          <w:b w:val="1"/>
          <w:bCs w:val="1"/>
          <w:color w:val="auto"/>
        </w:rPr>
        <w:t>Indemnitor</w:t>
      </w:r>
      <w:r>
        <w:rPr>
          <w:rFonts w:ascii="Times New Roman" w:cs="Times New Roman" w:eastAsia="Times New Roman" w:hAnsi="Times New Roman"/>
          <w:sz w:val="20"/>
          <w:szCs w:val="20"/>
          <w:color w:val="auto"/>
        </w:rPr>
        <w:t>”) in writing of any Third Party Claim, in respect of which the Indemnitee intends to claim such indemnification, and the Indemnitor shall have sole control of the defense and/or settlement thereof. The indemnity arrangement in this ARTICLE XIV shall not apply to amounts paid in settlement of any action with respect to a Third Party Claim, if such settlement is effected without the consent of the Indemnitor, which consent shall not be withheld or delayed unreasonably. The failure to deliver written notice to the Indemnitor within a reasonable time after the commencement of any action with respect to a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34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Party Claim, if prejudicial to its ability to defend such action, shall relieve such Indemnitor of any liability to the Indemnitee under this ARTICLE XIV, but the omission to so deliver written notice to the Indemnitor shall not relieve the Indemnitor of any liability that it may have to any Indemnitee otherwise than under this ARTICLE XIV. The Indemnitee under this ARTICLE XIV shall cooperate fully with the Indemnitor and its legal representatives in the investigation of any action with respect to a Third Party Claim covered by this indemnification.</w:t>
      </w:r>
    </w:p>
    <w:p>
      <w:pPr>
        <w:spacing w:after="0" w:line="141"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14.4 Limitation of Liability</w:t>
      </w:r>
      <w:r>
        <w:rPr>
          <w:rFonts w:ascii="Times New Roman" w:cs="Times New Roman" w:eastAsia="Times New Roman" w:hAnsi="Times New Roman"/>
          <w:sz w:val="21"/>
          <w:szCs w:val="21"/>
          <w:color w:val="auto"/>
        </w:rPr>
        <w:t>. NEITHER PARTY SHALL BE LIABLE TO THE OTHER PARTY FOR ANY SPECIAL,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CONSEQUENTIAL, OR INDIRECT DAMAGES ARISING FROM OR RELATING TO ANY BREACH OF THIS AGREEMENT, REGARDLESS OF ANY NOTICE OF THE POSSIBILITY OF SUCH DAMAGES. NOTWITHSTANDING THE FOREGOING, NOTHING IN THIS SECTION 14.4 IS INTENDED TO OR SHALL LIMIT OR RESTRICT THE INDEMNIFICATION RIGHTS OR OBLIGATIONS OF ANY PARTY [***] OR [***], AS APPLICABLE, AND THE FOREGOING LIMITATIONS SHALL NOT APPLY WITH RESPECT TO [***].</w:t>
      </w:r>
    </w:p>
    <w:p>
      <w:pPr>
        <w:spacing w:after="0" w:line="144"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14.5</w:t>
      </w:r>
      <w:r>
        <w:rPr>
          <w:sz w:val="20"/>
          <w:szCs w:val="20"/>
          <w:color w:val="auto"/>
        </w:rPr>
        <w:tab/>
      </w:r>
      <w:r>
        <w:rPr>
          <w:rFonts w:ascii="Times New Roman" w:cs="Times New Roman" w:eastAsia="Times New Roman" w:hAnsi="Times New Roman"/>
          <w:sz w:val="20"/>
          <w:szCs w:val="20"/>
          <w:b w:val="1"/>
          <w:bCs w:val="1"/>
          <w:color w:val="auto"/>
        </w:rPr>
        <w:t>Recalls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39"/>
        <w:spacing w:after="0" w:line="221" w:lineRule="auto"/>
        <w:tabs>
          <w:tab w:leader="none" w:pos="1851"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Voluntary and Mandatory Recalls; Decision-Making</w:t>
      </w:r>
      <w:r>
        <w:rPr>
          <w:rFonts w:ascii="Times New Roman" w:cs="Times New Roman" w:eastAsia="Times New Roman" w:hAnsi="Times New Roman"/>
          <w:sz w:val="20"/>
          <w:szCs w:val="20"/>
          <w:color w:val="auto"/>
        </w:rPr>
        <w:t>. To the extent that: (i) any Regulatory Authority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Territory issues a directive or order that a Licensed Product be recalled or withdrawn in any Region within the Territory; (ii) a court of competent jurisdiction orders a recall or withdrawal of a Licensed Product in any Region within the Territory; or (iii) Aadi reasonably determines that a Licensed Product should be recalled or withdrawn voluntarily in any Region within the Territory, Aadi shall control and coordinate all activities that Aadi reasonably believes to be necessary in connection with such recall or withdrawal of a Licensed Product in the Territory, including making all contact with relevant Regulatory Authorities; provided, however, that Aadi shall provide WuXi Biologics with reasonable advance notice of any voluntary recall or withdrawal of a Licensed Product in the Territory (and to the extent practicable, of any recall or withdrawal of a Licensed Product in the Territory ordered by a Regulatory Authority or court), and in any event shall keep WuXi Biologics promptly and fully informed of any such recall or withdrawal and shall consider in good faith any comments of WuXi Biologics in connection with any aspect of the management of any such recall.</w:t>
      </w:r>
    </w:p>
    <w:p>
      <w:pPr>
        <w:spacing w:after="0" w:line="148" w:lineRule="exact"/>
        <w:rPr>
          <w:rFonts w:ascii="Times New Roman" w:cs="Times New Roman" w:eastAsia="Times New Roman" w:hAnsi="Times New Roman"/>
          <w:sz w:val="20"/>
          <w:szCs w:val="20"/>
          <w:color w:val="auto"/>
        </w:rPr>
      </w:pPr>
    </w:p>
    <w:p>
      <w:pPr>
        <w:jc w:val="both"/>
        <w:ind w:firstLine="1239"/>
        <w:spacing w:after="0" w:line="226" w:lineRule="auto"/>
        <w:tabs>
          <w:tab w:leader="none" w:pos="1850"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Recall Costs</w:t>
      </w:r>
      <w:r>
        <w:rPr>
          <w:rFonts w:ascii="Times New Roman" w:cs="Times New Roman" w:eastAsia="Times New Roman" w:hAnsi="Times New Roman"/>
          <w:sz w:val="21"/>
          <w:szCs w:val="21"/>
          <w:color w:val="auto"/>
        </w:rPr>
        <w:t>. All out-of-pocket expenses for the execution of any recall or withdrawal of a Licensed Product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Recall Costs</w:t>
      </w:r>
      <w:r>
        <w:rPr>
          <w:rFonts w:ascii="Times New Roman" w:cs="Times New Roman" w:eastAsia="Times New Roman" w:hAnsi="Times New Roman"/>
          <w:sz w:val="21"/>
          <w:szCs w:val="21"/>
          <w:color w:val="auto"/>
        </w:rPr>
        <w:t>”) pursuant to Section 14.5(a) above shall [***]; provided that, [***]. For clarity, “Recall Costs” do not include [***]. In the event that it is finally determined, or agreed between the Parties, that such recall or withdrawal is caused by:</w:t>
      </w:r>
    </w:p>
    <w:p>
      <w:pPr>
        <w:spacing w:after="0" w:line="145" w:lineRule="exact"/>
        <w:rPr>
          <w:rFonts w:ascii="Times New Roman" w:cs="Times New Roman" w:eastAsia="Times New Roman" w:hAnsi="Times New Roman"/>
          <w:sz w:val="21"/>
          <w:szCs w:val="21"/>
          <w:color w:val="auto"/>
        </w:rPr>
      </w:pPr>
    </w:p>
    <w:p>
      <w:pPr>
        <w:ind w:left="2460" w:hanging="603"/>
        <w:spacing w:after="0"/>
        <w:tabs>
          <w:tab w:leader="none" w:pos="2460"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2460" w:hanging="603"/>
        <w:spacing w:after="0"/>
        <w:tabs>
          <w:tab w:leader="none" w:pos="2460"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67" w:lineRule="exact"/>
        <w:rPr>
          <w:sz w:val="20"/>
          <w:szCs w:val="20"/>
          <w:color w:val="auto"/>
        </w:rPr>
      </w:pPr>
    </w:p>
    <w:p>
      <w:pPr>
        <w:jc w:val="both"/>
        <w:ind w:firstLine="618"/>
        <w:spacing w:after="0" w:line="221" w:lineRule="auto"/>
        <w:rPr>
          <w:sz w:val="20"/>
          <w:szCs w:val="20"/>
          <w:color w:val="auto"/>
        </w:rPr>
      </w:pPr>
      <w:r>
        <w:rPr>
          <w:rFonts w:ascii="Times New Roman" w:cs="Times New Roman" w:eastAsia="Times New Roman" w:hAnsi="Times New Roman"/>
          <w:sz w:val="21"/>
          <w:szCs w:val="21"/>
          <w:b w:val="1"/>
          <w:bCs w:val="1"/>
          <w:color w:val="auto"/>
        </w:rPr>
        <w:t>14.6 Insurance</w:t>
      </w:r>
      <w:r>
        <w:rPr>
          <w:rFonts w:ascii="Times New Roman" w:cs="Times New Roman" w:eastAsia="Times New Roman" w:hAnsi="Times New Roman"/>
          <w:sz w:val="21"/>
          <w:szCs w:val="21"/>
          <w:color w:val="auto"/>
        </w:rPr>
        <w:t>. Each Party shall secure and maintain in effect, during the Term and for a period of [***] thereafter,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comprehensive general liability insurance (including product liability insurance), underwritten by a reputable insurance carrier, in a form and having liability limits standard and customary for entities in the pharmaceutical industry based on such Party’s activities and indemnification obligations under this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33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XV</w:t>
      </w:r>
    </w:p>
    <w:p>
      <w:pPr>
        <w:ind w:left="4460"/>
        <w:spacing w:after="0"/>
        <w:rPr>
          <w:sz w:val="20"/>
          <w:szCs w:val="20"/>
          <w:color w:val="auto"/>
        </w:rPr>
      </w:pPr>
      <w:r>
        <w:rPr>
          <w:rFonts w:ascii="Times New Roman" w:cs="Times New Roman" w:eastAsia="Times New Roman" w:hAnsi="Times New Roman"/>
          <w:sz w:val="21"/>
          <w:szCs w:val="21"/>
          <w:b w:val="1"/>
          <w:bCs w:val="1"/>
          <w:color w:val="auto"/>
        </w:rPr>
        <w:t>DISPUTE RESOLUTION</w:t>
      </w:r>
    </w:p>
    <w:p>
      <w:pPr>
        <w:spacing w:after="0" w:line="145" w:lineRule="exact"/>
        <w:rPr>
          <w:sz w:val="20"/>
          <w:szCs w:val="20"/>
          <w:color w:val="auto"/>
        </w:rPr>
      </w:pPr>
    </w:p>
    <w:p>
      <w:pPr>
        <w:jc w:val="both"/>
        <w:ind w:firstLine="618"/>
        <w:spacing w:after="0" w:line="212" w:lineRule="auto"/>
        <w:rPr>
          <w:sz w:val="20"/>
          <w:szCs w:val="20"/>
          <w:color w:val="auto"/>
        </w:rPr>
      </w:pPr>
      <w:r>
        <w:rPr>
          <w:rFonts w:ascii="Times New Roman" w:cs="Times New Roman" w:eastAsia="Times New Roman" w:hAnsi="Times New Roman"/>
          <w:sz w:val="21"/>
          <w:szCs w:val="21"/>
          <w:b w:val="1"/>
          <w:bCs w:val="1"/>
          <w:color w:val="auto"/>
        </w:rPr>
        <w:t>15.1 Referral to Senior Executives</w:t>
      </w:r>
      <w:r>
        <w:rPr>
          <w:rFonts w:ascii="Times New Roman" w:cs="Times New Roman" w:eastAsia="Times New Roman" w:hAnsi="Times New Roman"/>
          <w:sz w:val="21"/>
          <w:szCs w:val="21"/>
          <w:color w:val="auto"/>
        </w:rPr>
        <w:t>. The Parties recognize that disputes as to certain matters relating to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from time to time arise during the Term. With respect to any dispute, including any dispute arising with respect to the interpretation, enforcement, termination or invalidity of this Agreement (each, a “</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which cannot be resolved by good faith negotiations shall be referred, by written notice from either Party to the other, to the Senior Executives for resolution. The Senior Executives shall negotiate in good faith to resolve such dispute through discussions promptly following such written notice. If the Senior Executive cannot resolve the dispute within [***] of such written notice, or either Party concludes that the matter will not be so resolved, then, the provisions of Section 15.2 shall apply. If the Parties should resolve such dispute pursuant to the procedures in this Section 15.1, [***].</w:t>
      </w:r>
    </w:p>
    <w:p>
      <w:pPr>
        <w:spacing w:after="0" w:line="148" w:lineRule="exact"/>
        <w:rPr>
          <w:sz w:val="20"/>
          <w:szCs w:val="20"/>
          <w:color w:val="auto"/>
        </w:rPr>
      </w:pPr>
    </w:p>
    <w:p>
      <w:pPr>
        <w:ind w:left="620"/>
        <w:spacing w:after="0"/>
        <w:tabs>
          <w:tab w:leader="none" w:pos="1380" w:val="left"/>
        </w:tabs>
        <w:rPr>
          <w:sz w:val="20"/>
          <w:szCs w:val="20"/>
          <w:color w:val="auto"/>
        </w:rPr>
      </w:pPr>
      <w:r>
        <w:rPr>
          <w:rFonts w:ascii="Times New Roman" w:cs="Times New Roman" w:eastAsia="Times New Roman" w:hAnsi="Times New Roman"/>
          <w:sz w:val="21"/>
          <w:szCs w:val="21"/>
          <w:b w:val="1"/>
          <w:bCs w:val="1"/>
          <w:color w:val="auto"/>
        </w:rPr>
        <w:t>15.2</w:t>
      </w:r>
      <w:r>
        <w:rPr>
          <w:sz w:val="20"/>
          <w:szCs w:val="20"/>
          <w:color w:val="auto"/>
        </w:rPr>
        <w:tab/>
      </w:r>
      <w:r>
        <w:rPr>
          <w:rFonts w:ascii="Times New Roman" w:cs="Times New Roman" w:eastAsia="Times New Roman" w:hAnsi="Times New Roman"/>
          <w:sz w:val="20"/>
          <w:szCs w:val="20"/>
          <w:b w:val="1"/>
          <w:bCs w:val="1"/>
          <w:color w:val="auto"/>
        </w:rPr>
        <w:t>Arbitration</w:t>
      </w:r>
      <w:r>
        <w:rPr>
          <w:rFonts w:ascii="Times New Roman" w:cs="Times New Roman" w:eastAsia="Times New Roman" w:hAnsi="Times New Roman"/>
          <w:sz w:val="20"/>
          <w:szCs w:val="20"/>
          <w:color w:val="auto"/>
        </w:rPr>
        <w:t>. [***].</w:t>
      </w:r>
    </w:p>
    <w:p>
      <w:pPr>
        <w:spacing w:after="0" w:line="175" w:lineRule="exact"/>
        <w:rPr>
          <w:sz w:val="20"/>
          <w:szCs w:val="20"/>
          <w:color w:val="auto"/>
        </w:rPr>
      </w:pPr>
    </w:p>
    <w:p>
      <w:pPr>
        <w:ind w:left="1860" w:hanging="621"/>
        <w:spacing w:after="0"/>
        <w:tabs>
          <w:tab w:leader="none" w:pos="186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67"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21"/>
          <w:szCs w:val="21"/>
          <w:b w:val="1"/>
          <w:bCs w:val="1"/>
          <w:color w:val="auto"/>
        </w:rPr>
        <w:t>15.3</w:t>
      </w:r>
      <w:r>
        <w:rPr>
          <w:sz w:val="20"/>
          <w:szCs w:val="20"/>
          <w:color w:val="auto"/>
        </w:rPr>
        <w:tab/>
      </w:r>
      <w:r>
        <w:rPr>
          <w:rFonts w:ascii="Times New Roman" w:cs="Times New Roman" w:eastAsia="Times New Roman" w:hAnsi="Times New Roman"/>
          <w:sz w:val="20"/>
          <w:szCs w:val="20"/>
          <w:b w:val="1"/>
          <w:bCs w:val="1"/>
          <w:color w:val="auto"/>
        </w:rPr>
        <w:t>General Terms of Arbitration</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860" w:hanging="621"/>
        <w:spacing w:after="0"/>
        <w:tabs>
          <w:tab w:leader="none" w:pos="186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XVI</w:t>
      </w:r>
    </w:p>
    <w:p>
      <w:pPr>
        <w:ind w:left="4440"/>
        <w:spacing w:after="0"/>
        <w:rPr>
          <w:sz w:val="20"/>
          <w:szCs w:val="20"/>
          <w:color w:val="auto"/>
        </w:rPr>
      </w:pPr>
      <w:r>
        <w:rPr>
          <w:rFonts w:ascii="Times New Roman" w:cs="Times New Roman" w:eastAsia="Times New Roman" w:hAnsi="Times New Roman"/>
          <w:sz w:val="21"/>
          <w:szCs w:val="21"/>
          <w:b w:val="1"/>
          <w:bCs w:val="1"/>
          <w:color w:val="auto"/>
        </w:rPr>
        <w:t>GENERAL PROVISIONS</w:t>
      </w:r>
    </w:p>
    <w:p>
      <w:pPr>
        <w:spacing w:after="0" w:line="145" w:lineRule="exact"/>
        <w:rPr>
          <w:sz w:val="20"/>
          <w:szCs w:val="20"/>
          <w:color w:val="auto"/>
        </w:rPr>
      </w:pPr>
    </w:p>
    <w:p>
      <w:pPr>
        <w:jc w:val="both"/>
        <w:ind w:firstLine="618"/>
        <w:spacing w:after="0" w:line="210" w:lineRule="auto"/>
        <w:rPr>
          <w:sz w:val="20"/>
          <w:szCs w:val="20"/>
          <w:color w:val="auto"/>
        </w:rPr>
      </w:pPr>
      <w:r>
        <w:rPr>
          <w:rFonts w:ascii="Times New Roman" w:cs="Times New Roman" w:eastAsia="Times New Roman" w:hAnsi="Times New Roman"/>
          <w:sz w:val="21"/>
          <w:szCs w:val="21"/>
          <w:b w:val="1"/>
          <w:bCs w:val="1"/>
          <w:color w:val="auto"/>
        </w:rPr>
        <w:t>16.1 Force Majeure</w:t>
      </w:r>
      <w:r>
        <w:rPr>
          <w:rFonts w:ascii="Times New Roman" w:cs="Times New Roman" w:eastAsia="Times New Roman" w:hAnsi="Times New Roman"/>
          <w:sz w:val="21"/>
          <w:szCs w:val="21"/>
          <w:color w:val="auto"/>
        </w:rPr>
        <w:t>. Neither Party shall be held liable or responsible to the other Party or be deemed to have defaulted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or breached this Agreement for failure or delay in fulfilling or performing any term of this Agreement when such failure or delay is caused by or results from events beyond the reasonable control of the non-performing Party, including fire, flood, earthquake, hurricane, embargo, shortage, [***], war, act of war (whether war be declared or not), terrorist act, insurrection, riot, civil commotion, strike, lockout or other labor disturbance (whether involving the workforce of the non-performing Party or of any other Person) or act, omission or delay in acting by any governmental authority, including due to a clinical hold pursuant to 21 C.F.R. §312.42, as amended (and any equivalent in any jurisdiction outside the United States). The non-performing Party shall notify the other Party of such force majeure within [***] after such occurrence by giving written notice to the other Party stating the nature of the event, its anticipated duration, and any action being taken to avoid or minimize its effect. The suspension of performance shall be of no greater scope and no longer duration than necessary to resolve such force majeure event and the non-performing Party shall use Commercially Reasonable Efforts to remedy its inability to perform.</w:t>
      </w:r>
    </w:p>
    <w:p>
      <w:pPr>
        <w:spacing w:after="0" w:line="148"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16.2 Governing Law</w:t>
      </w:r>
      <w:r>
        <w:rPr>
          <w:rFonts w:ascii="Times New Roman" w:cs="Times New Roman" w:eastAsia="Times New Roman" w:hAnsi="Times New Roman"/>
          <w:sz w:val="21"/>
          <w:szCs w:val="21"/>
          <w:color w:val="auto"/>
        </w:rPr>
        <w:t>. This Agreement and all questions regarding its validity or interpretation, or the breach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of this Agreement, shall be governed by, and construed and enforced in accordance with, the laws of the State of [***], without reference to conflict of law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345"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16.3 Waiver</w:t>
      </w:r>
      <w:r>
        <w:rPr>
          <w:rFonts w:ascii="Times New Roman" w:cs="Times New Roman" w:eastAsia="Times New Roman" w:hAnsi="Times New Roman"/>
          <w:sz w:val="21"/>
          <w:szCs w:val="21"/>
          <w:color w:val="auto"/>
        </w:rPr>
        <w:t>. The failure of either Party at any time or times to require performance of any provision hereof shall in no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manner affect its rights at a later time to enforce the same. No waiver by either Party of any condition or term in any one or more instances shall be construed as a further or continuing waiver of such condition or term or of another condition or term.</w:t>
      </w:r>
    </w:p>
    <w:p>
      <w:pPr>
        <w:spacing w:after="0" w:line="142" w:lineRule="exact"/>
        <w:rPr>
          <w:sz w:val="20"/>
          <w:szCs w:val="20"/>
          <w:color w:val="auto"/>
        </w:rPr>
      </w:pPr>
    </w:p>
    <w:p>
      <w:pPr>
        <w:jc w:val="both"/>
        <w:ind w:firstLine="618"/>
        <w:spacing w:after="0" w:line="226" w:lineRule="auto"/>
        <w:rPr>
          <w:sz w:val="20"/>
          <w:szCs w:val="20"/>
          <w:color w:val="auto"/>
        </w:rPr>
      </w:pPr>
      <w:r>
        <w:rPr>
          <w:rFonts w:ascii="Times New Roman" w:cs="Times New Roman" w:eastAsia="Times New Roman" w:hAnsi="Times New Roman"/>
          <w:sz w:val="21"/>
          <w:szCs w:val="21"/>
          <w:b w:val="1"/>
          <w:bCs w:val="1"/>
          <w:color w:val="auto"/>
        </w:rPr>
        <w:t>16.4 Modification</w:t>
      </w:r>
      <w:r>
        <w:rPr>
          <w:rFonts w:ascii="Times New Roman" w:cs="Times New Roman" w:eastAsia="Times New Roman" w:hAnsi="Times New Roman"/>
          <w:sz w:val="21"/>
          <w:szCs w:val="21"/>
          <w:color w:val="auto"/>
        </w:rPr>
        <w:t>. No amendment or modification of any provision of this Agreement shall be effective unless in writing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signed by both Parties hereto. No provision of this Agreement shall be varied, contradicted or explained by any oral agreement, course of dealing or performance or any other matter not set forth in an agreement in writing and signed by both Parties hereto.</w:t>
      </w:r>
    </w:p>
    <w:p>
      <w:pPr>
        <w:spacing w:after="0" w:line="142" w:lineRule="exact"/>
        <w:rPr>
          <w:sz w:val="20"/>
          <w:szCs w:val="20"/>
          <w:color w:val="auto"/>
        </w:rPr>
      </w:pPr>
    </w:p>
    <w:p>
      <w:pPr>
        <w:jc w:val="both"/>
        <w:ind w:firstLine="618"/>
        <w:spacing w:after="0" w:line="232" w:lineRule="auto"/>
        <w:rPr>
          <w:sz w:val="20"/>
          <w:szCs w:val="20"/>
          <w:color w:val="auto"/>
        </w:rPr>
      </w:pPr>
      <w:r>
        <w:rPr>
          <w:rFonts w:ascii="Times New Roman" w:cs="Times New Roman" w:eastAsia="Times New Roman" w:hAnsi="Times New Roman"/>
          <w:sz w:val="20"/>
          <w:szCs w:val="20"/>
          <w:b w:val="1"/>
          <w:bCs w:val="1"/>
          <w:color w:val="auto"/>
        </w:rPr>
        <w:t>16.5 Severability</w:t>
      </w:r>
      <w:r>
        <w:rPr>
          <w:rFonts w:ascii="Times New Roman" w:cs="Times New Roman" w:eastAsia="Times New Roman" w:hAnsi="Times New Roman"/>
          <w:sz w:val="20"/>
          <w:szCs w:val="20"/>
          <w:color w:val="auto"/>
        </w:rPr>
        <w:t>. In the event any provision of this Agreement should be held invalid, illegal, or unenforceable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jurisdiction, the Parties shall negotiate in good faith a valid, legal and enforceable substitute provision that most nearly reflects the original intent of the Parties and all other provisions of this Agreement shall remain in full force and effect in such jurisdiction. Such invalidity, illegality or unenforceability shall not affect the validity, legality or enforceability of such provision in any other jurisdiction.</w:t>
      </w:r>
    </w:p>
    <w:p>
      <w:pPr>
        <w:spacing w:after="0" w:line="141" w:lineRule="exact"/>
        <w:rPr>
          <w:sz w:val="20"/>
          <w:szCs w:val="20"/>
          <w:color w:val="auto"/>
        </w:rPr>
      </w:pPr>
    </w:p>
    <w:p>
      <w:pPr>
        <w:jc w:val="both"/>
        <w:ind w:firstLine="618"/>
        <w:spacing w:after="0" w:line="217" w:lineRule="auto"/>
        <w:rPr>
          <w:sz w:val="20"/>
          <w:szCs w:val="20"/>
          <w:color w:val="auto"/>
        </w:rPr>
      </w:pPr>
      <w:r>
        <w:rPr>
          <w:rFonts w:ascii="Times New Roman" w:cs="Times New Roman" w:eastAsia="Times New Roman" w:hAnsi="Times New Roman"/>
          <w:sz w:val="21"/>
          <w:szCs w:val="21"/>
          <w:b w:val="1"/>
          <w:bCs w:val="1"/>
          <w:color w:val="auto"/>
        </w:rPr>
        <w:t>16.6 Entire Agreement; Amendments</w:t>
      </w:r>
      <w:r>
        <w:rPr>
          <w:rFonts w:ascii="Times New Roman" w:cs="Times New Roman" w:eastAsia="Times New Roman" w:hAnsi="Times New Roman"/>
          <w:sz w:val="21"/>
          <w:szCs w:val="21"/>
          <w:color w:val="auto"/>
        </w:rPr>
        <w:t>. This Agreement (including the Schedules attached hereto), constitute the entire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between the Parties relating to the subject matter hereof and supersede all prior and contemporaneous agreements, representations and/or understandings, including the Prior CDA. No terms or provisions of this Agreement shall be varied or modified by any prior or subsequent statement, conduct or act of either of the Parties, except that the Parties may amend this Agreement by written instruments specifically referring to and executed in the same manner as this Agreement.</w:t>
      </w:r>
    </w:p>
    <w:p>
      <w:pPr>
        <w:spacing w:after="0" w:line="145"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16.7 Notices</w:t>
      </w:r>
      <w:r>
        <w:rPr>
          <w:rFonts w:ascii="Times New Roman" w:cs="Times New Roman" w:eastAsia="Times New Roman" w:hAnsi="Times New Roman"/>
          <w:sz w:val="21"/>
          <w:szCs w:val="21"/>
          <w:color w:val="auto"/>
        </w:rPr>
        <w:t>. Unless otherwise agreed by the Parties or specified in this Agreement, all communications between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relating to, and all written documentation to be prepared and provided under, this Agreement shall be in the English language. Any notice between the Parties required or permitted under this Agreement shall be in writing in the English language, and (a) delivered personally, (b) sent by air mail or express courier service providing evidence of receipt, postage pre-paid where applicable, or (c) by email and acknowledged by return email, to the following addresses of the Parties (or such other address for a Party as may be specified by like notice):</w:t>
      </w:r>
    </w:p>
    <w:p>
      <w:pPr>
        <w:spacing w:after="0" w:line="200" w:lineRule="exact"/>
        <w:rPr>
          <w:sz w:val="20"/>
          <w:szCs w:val="20"/>
          <w:color w:val="auto"/>
        </w:rPr>
      </w:pPr>
    </w:p>
    <w:p>
      <w:pPr>
        <w:spacing w:after="0" w:line="253" w:lineRule="exact"/>
        <w:rPr>
          <w:sz w:val="20"/>
          <w:szCs w:val="20"/>
          <w:color w:val="auto"/>
        </w:rPr>
      </w:pPr>
    </w:p>
    <w:p>
      <w:pPr>
        <w:ind w:left="680"/>
        <w:spacing w:after="0"/>
        <w:tabs>
          <w:tab w:leader="none" w:pos="6260" w:val="left"/>
        </w:tabs>
        <w:rPr>
          <w:sz w:val="20"/>
          <w:szCs w:val="20"/>
          <w:color w:val="auto"/>
        </w:rPr>
      </w:pPr>
      <w:r>
        <w:rPr>
          <w:rFonts w:ascii="Times New Roman" w:cs="Times New Roman" w:eastAsia="Times New Roman" w:hAnsi="Times New Roman"/>
          <w:sz w:val="21"/>
          <w:szCs w:val="21"/>
          <w:b w:val="1"/>
          <w:bCs w:val="1"/>
          <w:color w:val="auto"/>
        </w:rPr>
        <w:t>To WuXi Biologics:</w:t>
      </w:r>
      <w:r>
        <w:rPr>
          <w:sz w:val="20"/>
          <w:szCs w:val="20"/>
          <w:color w:val="auto"/>
        </w:rPr>
        <w:tab/>
      </w:r>
      <w:r>
        <w:rPr>
          <w:rFonts w:ascii="Times New Roman" w:cs="Times New Roman" w:eastAsia="Times New Roman" w:hAnsi="Times New Roman"/>
          <w:sz w:val="20"/>
          <w:szCs w:val="20"/>
          <w:b w:val="1"/>
          <w:bCs w:val="1"/>
          <w:color w:val="auto"/>
        </w:rPr>
        <w:t>To Aadi:</w:t>
      </w:r>
    </w:p>
    <w:p>
      <w:pPr>
        <w:spacing w:after="0" w:line="239" w:lineRule="exact"/>
        <w:rPr>
          <w:sz w:val="20"/>
          <w:szCs w:val="20"/>
          <w:color w:val="auto"/>
        </w:rPr>
      </w:pPr>
    </w:p>
    <w:p>
      <w:pPr>
        <w:ind w:left="680"/>
        <w:spacing w:after="0"/>
        <w:tabs>
          <w:tab w:leader="none" w:pos="6280" w:val="left"/>
        </w:tabs>
        <w:rPr>
          <w:sz w:val="20"/>
          <w:szCs w:val="20"/>
          <w:color w:val="auto"/>
        </w:rPr>
      </w:pPr>
      <w:r>
        <w:rPr>
          <w:rFonts w:ascii="Times New Roman" w:cs="Times New Roman" w:eastAsia="Times New Roman" w:hAnsi="Times New Roman"/>
          <w:sz w:val="21"/>
          <w:szCs w:val="21"/>
          <w:color w:val="auto"/>
        </w:rPr>
        <w:t>WuXi Biologics (Shanghai FX) CO., Ltd.</w:t>
      </w:r>
      <w:r>
        <w:rPr>
          <w:sz w:val="20"/>
          <w:szCs w:val="20"/>
          <w:color w:val="auto"/>
        </w:rPr>
        <w:tab/>
      </w:r>
      <w:r>
        <w:rPr>
          <w:rFonts w:ascii="Times New Roman" w:cs="Times New Roman" w:eastAsia="Times New Roman" w:hAnsi="Times New Roman"/>
          <w:sz w:val="20"/>
          <w:szCs w:val="20"/>
          <w:color w:val="auto"/>
        </w:rPr>
        <w:t>Aadi Bioscience, Inc.</w:t>
      </w:r>
    </w:p>
    <w:p>
      <w:pPr>
        <w:spacing w:after="0" w:line="26" w:lineRule="exact"/>
        <w:rPr>
          <w:sz w:val="20"/>
          <w:szCs w:val="20"/>
          <w:color w:val="auto"/>
        </w:rPr>
      </w:pPr>
    </w:p>
    <w:p>
      <w:pPr>
        <w:ind w:left="680"/>
        <w:spacing w:after="0"/>
        <w:tabs>
          <w:tab w:leader="none" w:pos="6280" w:val="left"/>
        </w:tabs>
        <w:rPr>
          <w:sz w:val="20"/>
          <w:szCs w:val="20"/>
          <w:color w:val="auto"/>
        </w:rPr>
      </w:pP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color w:val="auto"/>
        </w:rPr>
        <w:t>[***]</w:t>
      </w:r>
    </w:p>
    <w:p>
      <w:pPr>
        <w:spacing w:after="0" w:line="15" w:lineRule="exact"/>
        <w:rPr>
          <w:sz w:val="20"/>
          <w:szCs w:val="20"/>
          <w:color w:val="auto"/>
        </w:rPr>
      </w:pPr>
    </w:p>
    <w:p>
      <w:pPr>
        <w:ind w:left="680"/>
        <w:spacing w:after="0"/>
        <w:tabs>
          <w:tab w:leader="none" w:pos="6280" w:val="left"/>
        </w:tabs>
        <w:rPr>
          <w:sz w:val="20"/>
          <w:szCs w:val="20"/>
          <w:color w:val="auto"/>
        </w:rPr>
      </w:pPr>
      <w:r>
        <w:rPr>
          <w:rFonts w:ascii="Times New Roman" w:cs="Times New Roman" w:eastAsia="Times New Roman" w:hAnsi="Times New Roman"/>
          <w:sz w:val="21"/>
          <w:szCs w:val="21"/>
          <w:color w:val="auto"/>
        </w:rPr>
        <w:t>Attention: [***]</w:t>
      </w:r>
      <w:r>
        <w:rPr>
          <w:sz w:val="20"/>
          <w:szCs w:val="20"/>
          <w:color w:val="auto"/>
        </w:rPr>
        <w:tab/>
      </w:r>
      <w:r>
        <w:rPr>
          <w:rFonts w:ascii="Times New Roman" w:cs="Times New Roman" w:eastAsia="Times New Roman" w:hAnsi="Times New Roman"/>
          <w:sz w:val="20"/>
          <w:szCs w:val="20"/>
          <w:color w:val="auto"/>
        </w:rPr>
        <w:t>Attention: [***]</w:t>
      </w:r>
    </w:p>
    <w:p>
      <w:pPr>
        <w:spacing w:after="0" w:line="3" w:lineRule="exact"/>
        <w:rPr>
          <w:sz w:val="20"/>
          <w:szCs w:val="20"/>
          <w:color w:val="auto"/>
        </w:rPr>
      </w:pPr>
    </w:p>
    <w:p>
      <w:pPr>
        <w:ind w:left="680"/>
        <w:spacing w:after="0"/>
        <w:tabs>
          <w:tab w:leader="none" w:pos="6260" w:val="left"/>
        </w:tabs>
        <w:rPr>
          <w:sz w:val="20"/>
          <w:szCs w:val="20"/>
          <w:color w:val="auto"/>
        </w:rPr>
      </w:pPr>
      <w:r>
        <w:rPr>
          <w:rFonts w:ascii="Times New Roman" w:cs="Times New Roman" w:eastAsia="Times New Roman" w:hAnsi="Times New Roman"/>
          <w:sz w:val="21"/>
          <w:szCs w:val="21"/>
          <w:color w:val="auto"/>
        </w:rPr>
        <w:t>Email: [***]</w:t>
      </w:r>
      <w:r>
        <w:rPr>
          <w:sz w:val="20"/>
          <w:szCs w:val="20"/>
          <w:color w:val="auto"/>
        </w:rPr>
        <w:tab/>
      </w:r>
      <w:r>
        <w:rPr>
          <w:rFonts w:ascii="Times New Roman" w:cs="Times New Roman" w:eastAsia="Times New Roman" w:hAnsi="Times New Roman"/>
          <w:sz w:val="20"/>
          <w:szCs w:val="20"/>
          <w:color w:val="auto"/>
        </w:rPr>
        <w:t>Email: [***]</w:t>
      </w:r>
    </w:p>
    <w:p>
      <w:pPr>
        <w:sectPr>
          <w:pgSz w:w="11900" w:h="16838" w:orient="portrait"/>
          <w:cols w:equalWidth="0" w:num="1">
            <w:col w:w="11240"/>
          </w:cols>
          <w:pgMar w:left="320" w:top="1440" w:right="339" w:bottom="1440" w:gutter="0" w:footer="0" w:header="0"/>
        </w:sectPr>
      </w:pPr>
    </w:p>
    <w:p>
      <w:pPr>
        <w:spacing w:after="0" w:line="23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With a copy to:</w:t>
      </w:r>
    </w:p>
    <w:p>
      <w:pPr>
        <w:spacing w:after="0" w:line="200" w:lineRule="exact"/>
        <w:rPr>
          <w:sz w:val="20"/>
          <w:szCs w:val="20"/>
          <w:color w:val="auto"/>
        </w:rPr>
      </w:pPr>
    </w:p>
    <w:p>
      <w:pPr>
        <w:spacing w:after="0" w:line="2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WuXi Biologics (Shanghai) CO., Ltd.</w:t>
      </w:r>
    </w:p>
    <w:p>
      <w:pPr>
        <w:spacing w:after="0" w:line="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Attention: [***]</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Email: [***]</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With a copy to (which shall not constitute notice):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Wilson Sonsini Goodrich &amp; Rosati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Attention: [***]</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Email: [***]</w:t>
      </w:r>
    </w:p>
    <w:p>
      <w:pPr>
        <w:spacing w:after="0" w:line="431" w:lineRule="exact"/>
        <w:rPr>
          <w:sz w:val="20"/>
          <w:szCs w:val="20"/>
          <w:color w:val="auto"/>
        </w:rPr>
      </w:pPr>
    </w:p>
    <w:p>
      <w:pPr>
        <w:sectPr>
          <w:pgSz w:w="11900" w:h="16838" w:orient="portrait"/>
          <w:cols w:equalWidth="0" w:num="2">
            <w:col w:w="5560" w:space="720"/>
            <w:col w:w="49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40" w:right="339" w:bottom="1440" w:gutter="0" w:footer="0" w:header="0"/>
          <w:type w:val="continuous"/>
        </w:sectPr>
      </w:pPr>
    </w:p>
    <w:bookmarkStart w:id="279" w:name="page280"/>
    <w:bookmarkEnd w:id="279"/>
    <w:p>
      <w:pPr>
        <w:spacing w:after="0" w:line="375"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21"/>
          <w:szCs w:val="21"/>
          <w:color w:val="auto"/>
        </w:rPr>
        <w:t>Any notice required or permitted to be given concerning this Agreement shall be effective upon receipt by the Party to whom it is addressed.</w:t>
      </w:r>
    </w:p>
    <w:p>
      <w:pPr>
        <w:spacing w:after="0" w:line="137" w:lineRule="exact"/>
        <w:rPr>
          <w:sz w:val="20"/>
          <w:szCs w:val="20"/>
          <w:color w:val="auto"/>
        </w:rPr>
      </w:pPr>
    </w:p>
    <w:p>
      <w:pPr>
        <w:jc w:val="both"/>
        <w:ind w:firstLine="618"/>
        <w:spacing w:after="0" w:line="210" w:lineRule="auto"/>
        <w:rPr>
          <w:sz w:val="20"/>
          <w:szCs w:val="20"/>
          <w:color w:val="auto"/>
        </w:rPr>
      </w:pPr>
      <w:r>
        <w:rPr>
          <w:rFonts w:ascii="Times New Roman" w:cs="Times New Roman" w:eastAsia="Times New Roman" w:hAnsi="Times New Roman"/>
          <w:sz w:val="21"/>
          <w:szCs w:val="21"/>
          <w:b w:val="1"/>
          <w:bCs w:val="1"/>
          <w:color w:val="auto"/>
        </w:rPr>
        <w:t>16.8 Assignment</w:t>
      </w:r>
      <w:r>
        <w:rPr>
          <w:rFonts w:ascii="Times New Roman" w:cs="Times New Roman" w:eastAsia="Times New Roman" w:hAnsi="Times New Roman"/>
          <w:sz w:val="21"/>
          <w:szCs w:val="21"/>
          <w:color w:val="auto"/>
        </w:rPr>
        <w:t>. Neither Party may assign or transfer (whether by operation of Applicable Law or otherwise)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or any rights or obligations hereunder without the prior written consent of the other, except that a Party may assign or transfer this Agreement, and all of its rights and obligations hereunder, without the other Party’s consent, to (a) an Affiliate or (b) to a Third Party that is a successor to substantially all of the business to which this Agreement relates, whether in a merger, sale of stock, sale of assets, reorganization or other transaction. Notwithstanding the foregoing, [***]. Notwithstanding the foregoing, WuXi Biologics shall not assign or otherwise transfer to any Affiliate or any Third Party any ownership or other interest in or to any Licensed IP, unless such Affiliate or Third Party agrees in a writing delivered to Aadi to be bound by all of the terms and conditions of this Agreement. Any permitted transfer or assignment of this Agreement shall be in writing, and the assignee shall expressly assume and agree to perform all obligations of its assignor under this Agreement, in the same manner and to the same extent that such assignor would have been required to perform such obligations if no such assignment or transfer had taken place. Subject to the foregoing, this Agreement shall inure to the benefit of each Party, its successors and permitted assigns. Any purported assignment of this Agreement in contravention of this Section 16.8 shall be null and void.</w:t>
      </w:r>
    </w:p>
    <w:p>
      <w:pPr>
        <w:spacing w:after="0" w:line="143" w:lineRule="exact"/>
        <w:rPr>
          <w:sz w:val="20"/>
          <w:szCs w:val="20"/>
          <w:color w:val="auto"/>
        </w:rPr>
      </w:pPr>
    </w:p>
    <w:p>
      <w:pPr>
        <w:jc w:val="both"/>
        <w:ind w:firstLine="618"/>
        <w:spacing w:after="0" w:line="221" w:lineRule="auto"/>
        <w:rPr>
          <w:sz w:val="20"/>
          <w:szCs w:val="20"/>
          <w:color w:val="auto"/>
        </w:rPr>
      </w:pPr>
      <w:r>
        <w:rPr>
          <w:rFonts w:ascii="Times New Roman" w:cs="Times New Roman" w:eastAsia="Times New Roman" w:hAnsi="Times New Roman"/>
          <w:sz w:val="21"/>
          <w:szCs w:val="21"/>
          <w:b w:val="1"/>
          <w:bCs w:val="1"/>
          <w:color w:val="auto"/>
        </w:rPr>
        <w:t>16.9 No Partnership or Joint Venture</w:t>
      </w:r>
      <w:r>
        <w:rPr>
          <w:rFonts w:ascii="Times New Roman" w:cs="Times New Roman" w:eastAsia="Times New Roman" w:hAnsi="Times New Roman"/>
          <w:sz w:val="21"/>
          <w:szCs w:val="21"/>
          <w:color w:val="auto"/>
        </w:rPr>
        <w:t>. Nothing in this Agreement is intended, or shall be deemed, to establish a joint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venture or partnership between Aadi and WuXi Biologics. Neither Party shall have any express or implied right or authority to assume or create any obligations on behalf of, or in the name of, the other Party, or to bind the other Party to any contract, agreement or undertaking with any Third Party.</w:t>
      </w:r>
    </w:p>
    <w:p>
      <w:pPr>
        <w:spacing w:after="0" w:line="141" w:lineRule="exact"/>
        <w:rPr>
          <w:sz w:val="20"/>
          <w:szCs w:val="20"/>
          <w:color w:val="auto"/>
        </w:rPr>
      </w:pPr>
    </w:p>
    <w:p>
      <w:pPr>
        <w:jc w:val="both"/>
        <w:ind w:firstLine="618"/>
        <w:spacing w:after="0" w:line="212" w:lineRule="auto"/>
        <w:rPr>
          <w:sz w:val="20"/>
          <w:szCs w:val="20"/>
          <w:color w:val="auto"/>
        </w:rPr>
      </w:pPr>
      <w:r>
        <w:rPr>
          <w:rFonts w:ascii="Times New Roman" w:cs="Times New Roman" w:eastAsia="Times New Roman" w:hAnsi="Times New Roman"/>
          <w:sz w:val="21"/>
          <w:szCs w:val="21"/>
          <w:b w:val="1"/>
          <w:bCs w:val="1"/>
          <w:color w:val="auto"/>
        </w:rPr>
        <w:t>16.10 Interpretation</w:t>
      </w:r>
      <w:r>
        <w:rPr>
          <w:rFonts w:ascii="Times New Roman" w:cs="Times New Roman" w:eastAsia="Times New Roman" w:hAnsi="Times New Roman"/>
          <w:sz w:val="21"/>
          <w:szCs w:val="21"/>
          <w:color w:val="auto"/>
        </w:rPr>
        <w:t>. The captions to the several Articles and Sections of this Agreement are not a part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but are included for convenience of reference and shall not affect its meaning or interpretation. In this Agreement: (a) the word “including” shall be deemed to be followed by the phrase “without limitation” or like expression; (b) the singular shall include the plural and vice versa; and (c) masculine, feminine and neuter pronouns and expressions shall be interchangeable. Each accounting term used herein that is not specifically defined herein shall have the meaning given to it under generally accepted cost accounting principles, but only to the extent consistent with its usage and the other definitions in this Agreement. All references to “business day” or “business days” in this Agreement means any day other than a day which is a Saturday, a Sunday or any day banks are authorized or required to be closed in [***].</w:t>
      </w:r>
    </w:p>
    <w:p>
      <w:pPr>
        <w:spacing w:after="0" w:line="148" w:lineRule="exact"/>
        <w:rPr>
          <w:sz w:val="20"/>
          <w:szCs w:val="20"/>
          <w:color w:val="auto"/>
        </w:rPr>
      </w:pPr>
    </w:p>
    <w:p>
      <w:pPr>
        <w:jc w:val="both"/>
        <w:ind w:firstLine="618"/>
        <w:spacing w:after="0" w:line="215" w:lineRule="auto"/>
        <w:rPr>
          <w:sz w:val="20"/>
          <w:szCs w:val="20"/>
          <w:color w:val="auto"/>
        </w:rPr>
      </w:pPr>
      <w:r>
        <w:rPr>
          <w:rFonts w:ascii="Times New Roman" w:cs="Times New Roman" w:eastAsia="Times New Roman" w:hAnsi="Times New Roman"/>
          <w:sz w:val="21"/>
          <w:szCs w:val="21"/>
          <w:b w:val="1"/>
          <w:bCs w:val="1"/>
          <w:color w:val="auto"/>
        </w:rPr>
        <w:t>16.11 Export Laws</w:t>
      </w:r>
      <w:r>
        <w:rPr>
          <w:rFonts w:ascii="Times New Roman" w:cs="Times New Roman" w:eastAsia="Times New Roman" w:hAnsi="Times New Roman"/>
          <w:sz w:val="21"/>
          <w:szCs w:val="21"/>
          <w:color w:val="auto"/>
        </w:rPr>
        <w:t>. Notwithstanding anything to the contrary contained herein, all obligations of WuXi Biologics and Aadi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subject to prior compliance with the export regulations of the United States and/or any other relevant Region and such other laws and regulations in effect in the United States and/or any other relevant Region as may be applicable, and to obtaining all necessary approvals required by the applicable agencies of the governments within the United States and any other relevant countries. WuXi Biologics and Aadi shall cooperate with each other and shall provide assistance to the other as reasonably necessary to obtain any required approvals.</w:t>
      </w:r>
    </w:p>
    <w:p>
      <w:pPr>
        <w:spacing w:after="0" w:line="144" w:lineRule="exact"/>
        <w:rPr>
          <w:sz w:val="20"/>
          <w:szCs w:val="20"/>
          <w:color w:val="auto"/>
        </w:rPr>
      </w:pPr>
    </w:p>
    <w:p>
      <w:pPr>
        <w:jc w:val="both"/>
        <w:ind w:firstLine="618"/>
        <w:spacing w:after="0" w:line="217" w:lineRule="auto"/>
        <w:rPr>
          <w:sz w:val="20"/>
          <w:szCs w:val="20"/>
          <w:color w:val="auto"/>
        </w:rPr>
      </w:pPr>
      <w:r>
        <w:rPr>
          <w:rFonts w:ascii="Times New Roman" w:cs="Times New Roman" w:eastAsia="Times New Roman" w:hAnsi="Times New Roman"/>
          <w:sz w:val="21"/>
          <w:szCs w:val="21"/>
          <w:b w:val="1"/>
          <w:bCs w:val="1"/>
          <w:color w:val="auto"/>
        </w:rPr>
        <w:t>16.12 Counterparts; Other Matters</w:t>
      </w:r>
      <w:r>
        <w:rPr>
          <w:rFonts w:ascii="Times New Roman" w:cs="Times New Roman" w:eastAsia="Times New Roman" w:hAnsi="Times New Roman"/>
          <w:sz w:val="21"/>
          <w:szCs w:val="21"/>
          <w:color w:val="auto"/>
        </w:rPr>
        <w:t>. This Agreement may be executed in any number of counterparts, each of which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deemed an original, and all of which together shall constitute one and the same instrument. Signatures to this Agreement delivered by facsimile or in another electronic form (e.g., via PDF or DocuSign) will be deemed to be binding as originals. This Agreement is established in the English language. Any translation in another language shall be deemed for convenience only and shall never prevail over the original English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this page intentionally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9019"/>
          </w:cols>
          <w:pgMar w:left="1440" w:top="1440" w:right="1440" w:bottom="1440" w:gutter="0" w:footer="0" w:header="0"/>
          <w:type w:val="continuous"/>
        </w:sectPr>
      </w:pPr>
    </w:p>
    <w:bookmarkStart w:id="281" w:name="page282"/>
    <w:bookmarkEnd w:id="281"/>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Exclusive License Agreement as of the date first set forth above.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WUXI BIOLOGICS (SHANGHAI FX) CO., LTD.</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_/s/ Zhisheng Chen</w:t>
      </w:r>
      <w:r>
        <w:rPr>
          <w:rFonts w:ascii="Times New Roman" w:cs="Times New Roman" w:eastAsia="Times New Roman" w:hAnsi="Times New Roman"/>
          <w:sz w:val="21"/>
          <w:szCs w:val="21"/>
          <w:color w:val="auto"/>
        </w:rPr>
        <w:t>________________________</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NAME: Zhisheng Chen</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0" w:lineRule="exact"/>
        <w:rPr>
          <w:sz w:val="20"/>
          <w:szCs w:val="20"/>
          <w:color w:val="auto"/>
        </w:rPr>
      </w:pP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AADI BIOSCIENCE, INC.</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__/s/ David J. Lennon</w:t>
      </w:r>
      <w:r>
        <w:rPr>
          <w:rFonts w:ascii="Times New Roman" w:cs="Times New Roman" w:eastAsia="Times New Roman" w:hAnsi="Times New Roman"/>
          <w:sz w:val="20"/>
          <w:szCs w:val="20"/>
          <w:color w:val="auto"/>
        </w:rPr>
        <w:t>_______________________</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NAME: David J. Lennon, Ph.D.</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TITLE: President &amp; Chief Executive Officer</w:t>
      </w:r>
    </w:p>
    <w:p>
      <w:pPr>
        <w:sectPr>
          <w:pgSz w:w="11900" w:h="16838" w:orient="portrait"/>
          <w:cols w:equalWidth="0" w:num="1">
            <w:col w:w="10139"/>
          </w:cols>
          <w:pgMar w:left="320" w:top="1440" w:right="1440" w:bottom="1440" w:gutter="0" w:footer="0" w:header="0"/>
          <w:type w:val="continuous"/>
        </w:sectPr>
      </w:pPr>
    </w:p>
    <w:bookmarkStart w:id="282" w:name="page283"/>
    <w:bookmarkEnd w:id="282"/>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1.17</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1440" w:right="1440" w:bottom="1440" w:gutter="0" w:footer="0" w:header="0"/>
          <w:type w:val="continuous"/>
        </w:sectPr>
      </w:pPr>
    </w:p>
    <w:bookmarkStart w:id="283" w:name="page284"/>
    <w:bookmarkEnd w:id="283"/>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1.40</w:t>
      </w:r>
    </w:p>
    <w:p>
      <w:pPr>
        <w:sectPr>
          <w:pgSz w:w="11900" w:h="16838" w:orient="portrait"/>
          <w:cols w:equalWidth="0" w:num="1">
            <w:col w:w="9019"/>
          </w:cols>
          <w:pgMar w:left="1440" w:top="1440" w:right="1440" w:bottom="144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1440" w:right="1440" w:bottom="1440" w:gutter="0" w:footer="0" w:header="0"/>
          <w:type w:val="continuous"/>
        </w:sectPr>
      </w:pPr>
    </w:p>
    <w:bookmarkStart w:id="284" w:name="page285"/>
    <w:bookmarkEnd w:id="284"/>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1.43</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LICENSED PLATFORM PATENTS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sectPr>
      </w:pPr>
    </w:p>
    <w:bookmarkStart w:id="285" w:name="page286"/>
    <w:bookmarkEnd w:id="285"/>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1.59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PRE-CLINICAL CANDIDATE CRITERIA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sectPr>
      </w:pPr>
    </w:p>
    <w:bookmarkStart w:id="286" w:name="page287"/>
    <w:bookmarkEnd w:id="286"/>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1.75</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UPSTREAM AGREEMENTS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sectPr>
      </w:pPr>
    </w:p>
    <w:bookmarkStart w:id="287" w:name="page288"/>
    <w:bookmarkEnd w:id="287"/>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2.3(a)</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INITIAL TRANSFER OF KNOW-HOW AFTER THE EFFECTIVE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sectPr>
      </w:pPr>
    </w:p>
    <w:bookmarkStart w:id="288" w:name="page289"/>
    <w:bookmarkEnd w:id="288"/>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9.6</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PRESS RELEASE</w:t>
      </w:r>
    </w:p>
    <w:p>
      <w:pPr>
        <w:sectPr>
          <w:pgSz w:w="11900" w:h="16838" w:orient="portrait"/>
          <w:cols w:equalWidth="0" w:num="1">
            <w:col w:w="9019"/>
          </w:cols>
          <w:pgMar w:left="1440" w:top="1440" w:right="1440"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21"/>
          <w:szCs w:val="2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AADI BIOSCIENCE,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EXECUTIVE EMPLOYMENT AGREEMENT</w:t>
      </w:r>
    </w:p>
    <w:p>
      <w:pPr>
        <w:spacing w:after="0" w:line="106" w:lineRule="exact"/>
        <w:rPr>
          <w:sz w:val="20"/>
          <w:szCs w:val="20"/>
          <w:color w:val="auto"/>
        </w:rPr>
      </w:pPr>
    </w:p>
    <w:p>
      <w:pPr>
        <w:jc w:val="both"/>
        <w:ind w:firstLine="618"/>
        <w:spacing w:after="0" w:line="257" w:lineRule="auto"/>
        <w:rPr>
          <w:sz w:val="20"/>
          <w:szCs w:val="20"/>
          <w:color w:val="auto"/>
        </w:rPr>
      </w:pPr>
      <w:r>
        <w:rPr>
          <w:rFonts w:ascii="Times New Roman" w:cs="Times New Roman" w:eastAsia="Times New Roman" w:hAnsi="Times New Roman"/>
          <w:sz w:val="21"/>
          <w:szCs w:val="21"/>
          <w:color w:val="auto"/>
        </w:rPr>
        <w:t>This Executive Employment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as of January 24, 2025 by and between Aadi Bioscience, Inc. (“</w:t>
      </w:r>
      <w:r>
        <w:rPr>
          <w:rFonts w:ascii="Times New Roman" w:cs="Times New Roman" w:eastAsia="Times New Roman" w:hAnsi="Times New Roman"/>
          <w:sz w:val="21"/>
          <w:szCs w:val="21"/>
          <w:b w:val="1"/>
          <w:bCs w:val="1"/>
          <w:color w:val="auto"/>
        </w:rPr>
        <w:t>Aadi</w:t>
      </w:r>
      <w:r>
        <w:rPr>
          <w:rFonts w:ascii="Times New Roman" w:cs="Times New Roman" w:eastAsia="Times New Roman" w:hAnsi="Times New Roman"/>
          <w:sz w:val="21"/>
          <w:szCs w:val="21"/>
          <w:color w:val="auto"/>
        </w:rPr>
        <w:t>”), and David Dornan, Ph.D.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This Agreement will be effective February 18, 2025 (the “</w:t>
      </w:r>
      <w:r>
        <w:rPr>
          <w:rFonts w:ascii="Times New Roman" w:cs="Times New Roman" w:eastAsia="Times New Roman" w:hAnsi="Times New Roman"/>
          <w:sz w:val="21"/>
          <w:szCs w:val="21"/>
          <w:b w:val="1"/>
          <w:bCs w:val="1"/>
          <w:color w:val="auto"/>
        </w:rPr>
        <w:t>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Aadi, together with any other subsidiaries, including the entity employing you, shall be referred to in this letter as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w:t>
      </w:r>
    </w:p>
    <w:p>
      <w:pPr>
        <w:spacing w:after="0" w:line="64" w:lineRule="exact"/>
        <w:rPr>
          <w:sz w:val="20"/>
          <w:szCs w:val="20"/>
          <w:color w:val="auto"/>
        </w:rPr>
      </w:pPr>
    </w:p>
    <w:p>
      <w:pPr>
        <w:ind w:left="1240" w:hanging="619"/>
        <w:spacing w:after="0"/>
        <w:tabs>
          <w:tab w:leader="none" w:pos="124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 and Scope of Employment</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1239"/>
        <w:spacing w:after="0" w:line="252" w:lineRule="auto"/>
        <w:tabs>
          <w:tab w:leader="none" w:pos="1851"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Positions and Duties</w:t>
      </w:r>
      <w:r>
        <w:rPr>
          <w:rFonts w:ascii="Times New Roman" w:cs="Times New Roman" w:eastAsia="Times New Roman" w:hAnsi="Times New Roman"/>
          <w:sz w:val="21"/>
          <w:szCs w:val="21"/>
          <w:color w:val="auto"/>
        </w:rPr>
        <w:t>. Effective as of the Effective Date, Executive will serve as the Company’s Chief Scientific Officer, reporting to the Company’s Chief Executive Officer. Executive will render such business and professional services in the performance of Executive’s duties, consistent with Executive’s position within the Company, as will reasonably be assigned to Executive by the Company’s Chief Executive Officer. The period of Executive’s employment under this Agreement is referred to herein as the “</w:t>
      </w:r>
      <w:r>
        <w:rPr>
          <w:rFonts w:ascii="Times New Roman" w:cs="Times New Roman" w:eastAsia="Times New Roman" w:hAnsi="Times New Roman"/>
          <w:sz w:val="21"/>
          <w:szCs w:val="21"/>
          <w:b w:val="1"/>
          <w:bCs w:val="1"/>
          <w:color w:val="auto"/>
        </w:rPr>
        <w:t>Employment Term</w:t>
      </w:r>
      <w:r>
        <w:rPr>
          <w:rFonts w:ascii="Times New Roman" w:cs="Times New Roman" w:eastAsia="Times New Roman" w:hAnsi="Times New Roman"/>
          <w:sz w:val="21"/>
          <w:szCs w:val="21"/>
          <w:color w:val="auto"/>
        </w:rPr>
        <w:t>.”</w:t>
      </w:r>
    </w:p>
    <w:p>
      <w:pPr>
        <w:spacing w:after="0" w:line="71" w:lineRule="exact"/>
        <w:rPr>
          <w:rFonts w:ascii="Times New Roman" w:cs="Times New Roman" w:eastAsia="Times New Roman" w:hAnsi="Times New Roman"/>
          <w:sz w:val="21"/>
          <w:szCs w:val="21"/>
          <w:color w:val="auto"/>
        </w:rPr>
      </w:pPr>
    </w:p>
    <w:p>
      <w:pPr>
        <w:jc w:val="both"/>
        <w:ind w:firstLine="1239"/>
        <w:spacing w:after="0" w:line="249" w:lineRule="auto"/>
        <w:tabs>
          <w:tab w:leader="none" w:pos="1850"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During the Employment Term, Executive will perform Executive’s duties faithfully and to the best of Executive’s ability and will devote Executive’s full business efforts and time to the Company. For the duration of the Employment Term, Executive agrees not to actively engage in any other employment, occupation or consulting activity for any direct or indirect remuneration without the prior approval of the Company’s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except as provided in Schedule 1; provided, however, that Executive may manage personal investments, participate in civic, charitable, educational and professional activities. In the event of any conflict between any policy of the Company and the terms of this Agreement, the terms of this Agreement shall govern and control.</w:t>
      </w:r>
    </w:p>
    <w:p>
      <w:pPr>
        <w:spacing w:after="0" w:line="87" w:lineRule="exact"/>
        <w:rPr>
          <w:rFonts w:ascii="Times New Roman" w:cs="Times New Roman" w:eastAsia="Times New Roman" w:hAnsi="Times New Roman"/>
          <w:sz w:val="21"/>
          <w:szCs w:val="21"/>
          <w:color w:val="auto"/>
        </w:rPr>
      </w:pPr>
    </w:p>
    <w:p>
      <w:pPr>
        <w:jc w:val="both"/>
        <w:ind w:firstLine="1239"/>
        <w:spacing w:after="0" w:line="256" w:lineRule="auto"/>
        <w:tabs>
          <w:tab w:leader="none" w:pos="1851"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Principal Location of Services</w:t>
      </w:r>
      <w:r>
        <w:rPr>
          <w:rFonts w:ascii="Times New Roman" w:cs="Times New Roman" w:eastAsia="Times New Roman" w:hAnsi="Times New Roman"/>
          <w:sz w:val="21"/>
          <w:szCs w:val="21"/>
          <w:color w:val="auto"/>
        </w:rPr>
        <w:t>. Executive shall perform his duties during the Employment Term principally from his remote location in the San Francisco Bay area and shall undertake such travel within or outside of the United States, including to the Company’s offices in New Jersey, as is necessary or advisable for the efficient operations of the Company</w:t>
      </w:r>
    </w:p>
    <w:p>
      <w:pPr>
        <w:spacing w:after="0" w:line="64" w:lineRule="exact"/>
        <w:rPr>
          <w:rFonts w:ascii="Times New Roman" w:cs="Times New Roman" w:eastAsia="Times New Roman" w:hAnsi="Times New Roman"/>
          <w:sz w:val="21"/>
          <w:szCs w:val="21"/>
          <w:color w:val="auto"/>
        </w:rPr>
      </w:pPr>
    </w:p>
    <w:p>
      <w:pPr>
        <w:jc w:val="both"/>
        <w:ind w:firstLine="621"/>
        <w:spacing w:after="0" w:line="250" w:lineRule="auto"/>
        <w:tabs>
          <w:tab w:leader="none" w:pos="1236"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21"/>
          <w:szCs w:val="21"/>
          <w:color w:val="auto"/>
        </w:rPr>
        <w:t>. The parties agree that Executive’s employment with the Company will be “at-will” employment and may be terminated at any time with or without Cause or notice.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However, as described in this Agreement, Executive may be entitled to severance benefits depending on the circumstances of Executive’s termination of employment with the Company.</w:t>
      </w:r>
    </w:p>
    <w:p>
      <w:pPr>
        <w:spacing w:after="0" w:line="74"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1239"/>
        <w:spacing w:after="0" w:line="262" w:lineRule="auto"/>
        <w:tabs>
          <w:tab w:leader="none" w:pos="1851"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Effective as of the Effective Date and for the remainder of the Employment Term, the Company will pay Executive an annual salary of $460,000 as compensation for Executive’s employment services to the Company (the “</w:t>
      </w:r>
      <w:r>
        <w:rPr>
          <w:rFonts w:ascii="Times New Roman" w:cs="Times New Roman" w:eastAsia="Times New Roman" w:hAnsi="Times New Roman"/>
          <w:sz w:val="21"/>
          <w:szCs w:val="21"/>
          <w:b w:val="1"/>
          <w:bCs w:val="1"/>
          <w:color w:val="auto"/>
        </w:rPr>
        <w:t>Base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Salary</w:t>
      </w:r>
      <w:r>
        <w:rPr>
          <w:rFonts w:ascii="Times New Roman" w:cs="Times New Roman" w:eastAsia="Times New Roman" w:hAnsi="Times New Roman"/>
          <w:sz w:val="21"/>
          <w:szCs w:val="21"/>
          <w:color w:val="auto"/>
        </w:rPr>
        <w:t>”). The Base Salary will be paid periodically in accordance with the Company’s normal payroll practices and be subject to the</w:t>
      </w:r>
    </w:p>
    <w:p>
      <w:pPr>
        <w:sectPr>
          <w:pgSz w:w="11900" w:h="16838" w:orient="portrait"/>
          <w:cols w:equalWidth="0" w:num="1">
            <w:col w:w="11240"/>
          </w:cols>
          <w:pgMar w:left="320" w:top="127" w:right="339" w:bottom="1440" w:gutter="0" w:footer="0" w:header="0"/>
        </w:sectPr>
      </w:pPr>
    </w:p>
    <w:bookmarkStart w:id="290" w:name="page291"/>
    <w:bookmarkEnd w:id="290"/>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usual, required withholdings. Executive’s salary will be subject to review at least annually and adjustments will be made based upon the Company’s normal performance review practices.</w:t>
      </w:r>
    </w:p>
    <w:p>
      <w:pPr>
        <w:spacing w:after="0" w:line="51" w:lineRule="exact"/>
        <w:rPr>
          <w:sz w:val="20"/>
          <w:szCs w:val="20"/>
          <w:color w:val="auto"/>
        </w:rPr>
      </w:pPr>
    </w:p>
    <w:p>
      <w:pPr>
        <w:jc w:val="both"/>
        <w:ind w:firstLine="1236"/>
        <w:spacing w:after="0" w:line="242" w:lineRule="auto"/>
        <w:rPr>
          <w:sz w:val="20"/>
          <w:szCs w:val="20"/>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21"/>
          <w:szCs w:val="21"/>
          <w:u w:val="single" w:color="auto"/>
          <w:color w:val="auto"/>
        </w:rPr>
        <w:t>Target Bonus</w:t>
      </w:r>
      <w:r>
        <w:rPr>
          <w:rFonts w:ascii="Times New Roman" w:cs="Times New Roman" w:eastAsia="Times New Roman" w:hAnsi="Times New Roman"/>
          <w:sz w:val="21"/>
          <w:szCs w:val="21"/>
          <w:color w:val="auto"/>
        </w:rPr>
        <w:t>. Effective as of the Effective Date and for the remainder of the Employment Term, Executive will be eligible to receive an annual bonus of up to 45% of Executive’s Base Salary upon achievement of performance objectives to be determined by the Board or its authorized committee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in its sole discretion, with reasonable input from Executive (the “</w:t>
      </w:r>
      <w:r>
        <w:rPr>
          <w:rFonts w:ascii="Times New Roman" w:cs="Times New Roman" w:eastAsia="Times New Roman" w:hAnsi="Times New Roman"/>
          <w:sz w:val="21"/>
          <w:szCs w:val="21"/>
          <w:b w:val="1"/>
          <w:bCs w:val="1"/>
          <w:color w:val="auto"/>
        </w:rPr>
        <w:t>Target Bonus</w:t>
      </w:r>
      <w:r>
        <w:rPr>
          <w:rFonts w:ascii="Times New Roman" w:cs="Times New Roman" w:eastAsia="Times New Roman" w:hAnsi="Times New Roman"/>
          <w:sz w:val="21"/>
          <w:szCs w:val="21"/>
          <w:color w:val="auto"/>
        </w:rPr>
        <w:t>”). For calendar year 2025, the achieved Target Bonus will be not be pro-rated under the terms of this Agreement. The amount of Executive’s Target Bonus paid to Executive (if any) will be determined by the Board or the Committee (as applicable) in its sole discretion and less applicable withholdings. Executive will only be eligible to receive the Target Bonus if Executive remains employed by the Company as of the date that annual bonuses are paid, which date shall be no later than (i)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day of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1"/>
          <w:szCs w:val="21"/>
          <w:color w:val="auto"/>
        </w:rPr>
        <w:t>) month following the close of the Company’s fiscal year in which the Target Bonus is earned or (ii) March 15 following the calendar year in which the Target Bonus is earned.</w:t>
      </w:r>
    </w:p>
    <w:p>
      <w:pPr>
        <w:spacing w:after="0" w:line="81" w:lineRule="exact"/>
        <w:rPr>
          <w:sz w:val="20"/>
          <w:szCs w:val="20"/>
          <w:color w:val="auto"/>
        </w:rPr>
      </w:pPr>
    </w:p>
    <w:p>
      <w:pPr>
        <w:jc w:val="both"/>
        <w:ind w:firstLine="1236"/>
        <w:spacing w:after="0" w:line="242" w:lineRule="auto"/>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u w:val="single" w:color="auto"/>
          <w:color w:val="auto"/>
        </w:rPr>
        <w:t>Stock Option</w:t>
      </w:r>
      <w:r>
        <w:rPr>
          <w:rFonts w:ascii="Times New Roman" w:cs="Times New Roman" w:eastAsia="Times New Roman" w:hAnsi="Times New Roman"/>
          <w:sz w:val="21"/>
          <w:szCs w:val="21"/>
          <w:color w:val="auto"/>
        </w:rPr>
        <w:t>. Subject to the approval of the Board or the Committee, Executive will be granted a nonstatutory stock option to purchase 687,098</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1"/>
          <w:szCs w:val="21"/>
          <w:color w:val="auto"/>
        </w:rPr>
        <w:t xml:space="preserve"> shares of the Company’s common stock at an exercise price per share equal to the fair market value of the Company’s common stock on the date of grant, which will be the closing price of the Company’s common stock as reported by the Nasdaq Stock Market on the Effective Date (the “</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Subject to the accelerated vesting provisions set forth herein, the Option will vest as to twenty-five percent (25%) of the shares subject to the Option one (1) year after the Effective Date, and as to 1/48th of the shares subject to the Option monthly thereafter on the same day of the month as the Effective Date (and if there is no corresponding day, the last day of the month), so that the Option will be fully vested and exercisable four (4) years from the Effective Date, subject to Executive continuing to provide services to the Company through the relevant vesting dates. Except as provided herein, the Option will be subject to the terms and conditions of an equity incentive plan and related stock option agreement approved by the Board or Committee, including vesting requirements (collectively, the “</w:t>
      </w:r>
      <w:r>
        <w:rPr>
          <w:rFonts w:ascii="Times New Roman" w:cs="Times New Roman" w:eastAsia="Times New Roman" w:hAnsi="Times New Roman"/>
          <w:sz w:val="21"/>
          <w:szCs w:val="21"/>
          <w:b w:val="1"/>
          <w:bCs w:val="1"/>
          <w:color w:val="auto"/>
        </w:rPr>
        <w:t>Equity Documents</w:t>
      </w:r>
      <w:r>
        <w:rPr>
          <w:rFonts w:ascii="Times New Roman" w:cs="Times New Roman" w:eastAsia="Times New Roman" w:hAnsi="Times New Roman"/>
          <w:sz w:val="21"/>
          <w:szCs w:val="21"/>
          <w:color w:val="auto"/>
        </w:rPr>
        <w:t>”) and will be granted in accordance with the Company’s equity grant policy.</w:t>
      </w:r>
    </w:p>
    <w:p>
      <w:pPr>
        <w:spacing w:after="0" w:line="84" w:lineRule="exact"/>
        <w:rPr>
          <w:sz w:val="20"/>
          <w:szCs w:val="20"/>
          <w:color w:val="auto"/>
        </w:rPr>
      </w:pPr>
    </w:p>
    <w:p>
      <w:pPr>
        <w:jc w:val="both"/>
        <w:ind w:firstLine="1236"/>
        <w:spacing w:after="0" w:line="256" w:lineRule="auto"/>
        <w:rPr>
          <w:sz w:val="20"/>
          <w:szCs w:val="20"/>
          <w:color w:val="auto"/>
        </w:rPr>
      </w:pPr>
      <w:r>
        <w:rPr>
          <w:rFonts w:ascii="Times New Roman" w:cs="Times New Roman" w:eastAsia="Times New Roman" w:hAnsi="Times New Roman"/>
          <w:sz w:val="21"/>
          <w:szCs w:val="21"/>
          <w:color w:val="auto"/>
        </w:rPr>
        <w:t xml:space="preserve">(d) </w:t>
      </w:r>
      <w:r>
        <w:rPr>
          <w:rFonts w:ascii="Times New Roman" w:cs="Times New Roman" w:eastAsia="Times New Roman" w:hAnsi="Times New Roman"/>
          <w:sz w:val="21"/>
          <w:szCs w:val="21"/>
          <w:u w:val="single" w:color="auto"/>
          <w:color w:val="auto"/>
        </w:rPr>
        <w:t>Equity</w:t>
      </w:r>
      <w:r>
        <w:rPr>
          <w:rFonts w:ascii="Times New Roman" w:cs="Times New Roman" w:eastAsia="Times New Roman" w:hAnsi="Times New Roman"/>
          <w:sz w:val="21"/>
          <w:szCs w:val="21"/>
          <w:color w:val="auto"/>
        </w:rPr>
        <w:t>. During the Employment Term, Executive will be eligible to receive equity awards pursuant to any plans or arrangements the Company may have in effect from time to time. The Board or Committee will determine in its discretion whether Executive will be granted any equity awards and the terms of any equity award in accordance with the terms of any applicable plan or arrangement that may be in effect from time to time.</w:t>
      </w:r>
    </w:p>
    <w:p>
      <w:pPr>
        <w:spacing w:after="0" w:line="64"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 xml:space="preserve">4. </w:t>
      </w: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 During the Employment Term, Executive will be entitled to participate in the employee benefit plans currently and hereafter maintained by the Company of general applicability to other senior executives of the Company. The Company reserves the right to cancel or change the benefit plans and programs it offers to its employees at any time. Executive shall also be entitled to four weeks of PTO (Paid Time Off), accruing annually in accordance with the Company’s PTO policy, and participation in any 401(k) or employee benefit plan established by the Company, each as subject to the terms and conditions of such plans or programs adopted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15697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1569720"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1"/>
          <w:szCs w:val="21"/>
          <w:color w:val="auto"/>
        </w:rPr>
        <w:t xml:space="preserve"> Option amount to equal 1.00% of shares outstanding post-financing.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4904-1040-0258.4 - 12/2/2024 9:46:20 PM</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233" w:lineRule="exact"/>
        <w:rPr>
          <w:sz w:val="20"/>
          <w:szCs w:val="20"/>
          <w:color w:val="auto"/>
        </w:rPr>
      </w:pPr>
    </w:p>
    <w:p>
      <w:pPr>
        <w:jc w:val="both"/>
        <w:ind w:firstLine="621"/>
        <w:spacing w:after="0" w:line="256" w:lineRule="auto"/>
        <w:tabs>
          <w:tab w:leader="none" w:pos="1236"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w:t>
      </w:r>
    </w:p>
    <w:p>
      <w:pPr>
        <w:spacing w:after="0" w:line="77"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1239"/>
        <w:spacing w:after="0" w:line="251" w:lineRule="auto"/>
        <w:tabs>
          <w:tab w:leader="none" w:pos="1851" w:val="left"/>
        </w:tabs>
        <w:numPr>
          <w:ilvl w:val="1"/>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other than Cause, Death or Disability Apart from a Change of Control</w:t>
      </w:r>
      <w:r>
        <w:rPr>
          <w:rFonts w:ascii="Times New Roman" w:cs="Times New Roman" w:eastAsia="Times New Roman" w:hAnsi="Times New Roman"/>
          <w:sz w:val="21"/>
          <w:szCs w:val="21"/>
          <w:color w:val="auto"/>
        </w:rPr>
        <w:t>. If, outside of the Change of Control Period, (i) the Company (or any parent or subsidiary or successor of the Company) terminates Executive’s employment with the Company other than for Cause, death or Disability, or (ii) the Executive resigns from such employment for Good Reason, then, subject to Section 7, Executive will be entitled to receive:</w:t>
      </w:r>
    </w:p>
    <w:p>
      <w:pPr>
        <w:spacing w:after="0" w:line="84" w:lineRule="exact"/>
        <w:rPr>
          <w:rFonts w:ascii="Times New Roman" w:cs="Times New Roman" w:eastAsia="Times New Roman" w:hAnsi="Times New Roman"/>
          <w:sz w:val="21"/>
          <w:szCs w:val="21"/>
          <w:color w:val="auto"/>
        </w:rPr>
      </w:pPr>
    </w:p>
    <w:p>
      <w:pPr>
        <w:jc w:val="both"/>
        <w:ind w:firstLine="2166"/>
        <w:spacing w:after="0" w:line="251" w:lineRule="auto"/>
        <w:tabs>
          <w:tab w:leader="none" w:pos="2461" w:val="left"/>
        </w:tabs>
        <w:numPr>
          <w:ilvl w:val="2"/>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 sum payment equal to one hundred percent (100%) of Executive’s Base Salary, as then in effect. The severance will be paid, less applicable withholdings, on the sixty-first (61st) day following Executive’s termination of employment in accordance with the Company’s normal payroll practices (subject to any delay as may be required by Section 7(b) and provided that the Release becomes effective prior to such date).</w:t>
      </w:r>
    </w:p>
    <w:p>
      <w:pPr>
        <w:spacing w:after="0" w:line="71" w:lineRule="exact"/>
        <w:rPr>
          <w:rFonts w:ascii="Times New Roman" w:cs="Times New Roman" w:eastAsia="Times New Roman" w:hAnsi="Times New Roman"/>
          <w:sz w:val="21"/>
          <w:szCs w:val="21"/>
          <w:color w:val="auto"/>
        </w:rPr>
      </w:pPr>
    </w:p>
    <w:p>
      <w:pPr>
        <w:jc w:val="both"/>
        <w:ind w:firstLine="2166"/>
        <w:spacing w:after="0" w:line="247" w:lineRule="auto"/>
        <w:tabs>
          <w:tab w:leader="none" w:pos="2467" w:val="left"/>
        </w:tabs>
        <w:numPr>
          <w:ilvl w:val="2"/>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Executive elects continuation coverage pursuant to the Consolidated Omnibus Budget Reconciliation Act of 1985, as amended (“</w:t>
      </w:r>
      <w:r>
        <w:rPr>
          <w:rFonts w:ascii="Times New Roman" w:cs="Times New Roman" w:eastAsia="Times New Roman" w:hAnsi="Times New Roman"/>
          <w:sz w:val="21"/>
          <w:szCs w:val="21"/>
          <w:b w:val="1"/>
          <w:bCs w:val="1"/>
          <w:color w:val="auto"/>
        </w:rPr>
        <w:t>COBRA</w:t>
      </w:r>
      <w:r>
        <w:rPr>
          <w:rFonts w:ascii="Times New Roman" w:cs="Times New Roman" w:eastAsia="Times New Roman" w:hAnsi="Times New Roman"/>
          <w:sz w:val="21"/>
          <w:szCs w:val="21"/>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are no longer eligible for COBRA continuation coverage. The reimbursements will be made by the Company to Executive consistent with the Company’s normal expense reimbursement policy. Notwithstanding the first sentence of this Section 6(a)(ii),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(except as provided by the following sentence), in an amount equal to the monthly COBRA premium that Executive would be required to pay to continue the group health coverage for Executive and/or Executive’s eligible dependents in effect on the termination of employment date (which amount will be based on the premium for the first month of COBRA coverage), which payments will be made regardless of whether Executive and/or Executive’s eligible dependents elect COBRA continuation coverage and will commence on the month following Executive’s termination of employment and will end on the earlier of (x) the date upon which Executive obtains other employment with comparable health insurance coverage as that provided by Employer to Executive, or (y) the date the Company has paid an amount equal to twelve (12) payments. Any such taxable monthly payments that otherwise would have been paid to Executive within the sixty (60) days following Executive’s termination date instead will be paid on the sixty-first (61st) day following Executive’s termination of employment, with any remaining payments paid as provided in the prior sentence (subject to any delay as may be required by Section 7(b)). For the avoidance of doubt, the taxable payments in lieu of COBRA reimbursements may be used for any purpose, including, but not limited to continuation coverage under COBRA, and will be subject to all applicable tax withholdings.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4904-1040-0258.4 - 12/2/2024 9:46:20 PM</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233" w:lineRule="exact"/>
        <w:rPr>
          <w:sz w:val="20"/>
          <w:szCs w:val="20"/>
          <w:color w:val="auto"/>
        </w:rPr>
      </w:pPr>
    </w:p>
    <w:p>
      <w:pPr>
        <w:jc w:val="both"/>
        <w:ind w:firstLine="1239"/>
        <w:spacing w:after="0" w:line="256" w:lineRule="auto"/>
        <w:tabs>
          <w:tab w:leader="none" w:pos="1850"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other than Cause, Death or Disability or Resignation by Executive for Good Reason Related to a Change of Control</w:t>
      </w:r>
      <w:r>
        <w:rPr>
          <w:rFonts w:ascii="Times New Roman" w:cs="Times New Roman" w:eastAsia="Times New Roman" w:hAnsi="Times New Roman"/>
          <w:sz w:val="21"/>
          <w:szCs w:val="21"/>
          <w:color w:val="auto"/>
        </w:rPr>
        <w:t>. If, within the Change of Control Period (i) the Company (or any parent or subsidiary or successor of the Company) terminates Executive’s employment with the Company other than for Cause, death or Disability, or (ii) the Executive resigns from such employment for Good Reason, then, subject to Section 8, Executive will be entitled to receive:</w:t>
      </w:r>
    </w:p>
    <w:p>
      <w:pPr>
        <w:spacing w:after="0" w:line="64" w:lineRule="exact"/>
        <w:rPr>
          <w:rFonts w:ascii="Times New Roman" w:cs="Times New Roman" w:eastAsia="Times New Roman" w:hAnsi="Times New Roman"/>
          <w:sz w:val="21"/>
          <w:szCs w:val="21"/>
          <w:color w:val="auto"/>
        </w:rPr>
      </w:pPr>
    </w:p>
    <w:p>
      <w:pPr>
        <w:jc w:val="both"/>
        <w:ind w:firstLine="2166"/>
        <w:spacing w:after="0" w:line="248" w:lineRule="auto"/>
        <w:tabs>
          <w:tab w:leader="none" w:pos="2461"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lump sum payment equal to one hundred percent (100%) of the sum of: (A) Executive’s Base Salary, as then in effect, or if greater, at the level in effect immediately prior to the Change of Control,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Executive’s Target Bonus in effect for the fiscal year in which Executive’s termination of employment occurs. The severance will be paid, less applicable withholdings, on the sixty-first (61st) day following Executive’s termination of employment in accordance with the Company’s normal payroll practices (subject to any delay as may be required by Section 7(b)). For the avoidance of doubt, if (x) Executive incurred a termination of employment prior to a Change of Control that qualifies Executive for severance payments under Section 6(a)(i); and (y) a Change of Control occurs within the three (3)-month period following Executive’s termination of employment that qualifies Executive for the superior benefits under this Section 6(b)(i), then Executive shall be entitled to a lump-sum payment of the amount calculated under this Section 6(b)(i), less amounts already paid under Section 6(a)(i).</w:t>
      </w:r>
    </w:p>
    <w:p>
      <w:pPr>
        <w:spacing w:after="0" w:line="72" w:lineRule="exact"/>
        <w:rPr>
          <w:rFonts w:ascii="Times New Roman" w:cs="Times New Roman" w:eastAsia="Times New Roman" w:hAnsi="Times New Roman"/>
          <w:sz w:val="21"/>
          <w:szCs w:val="21"/>
          <w:color w:val="auto"/>
        </w:rPr>
      </w:pPr>
    </w:p>
    <w:p>
      <w:pPr>
        <w:jc w:val="both"/>
        <w:ind w:firstLine="2166"/>
        <w:spacing w:after="0" w:line="248" w:lineRule="auto"/>
        <w:tabs>
          <w:tab w:leader="none" w:pos="2467"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are no longer eligible for COBRA continuation coverage. The reimbursements will be subject to the same conditions, limitations, and restrictions as the COBRA benefits described in Section 6(a)(ii). For the avoidance of doubt, if (x) Executive incurred a termination of employment prior to a Change of Control that qualifies Executive for COBRA benefits under Section 6(a)(ii); and (y) a Change of Control occurs within the three (3)-month period following Executive’s termination of employment that qualifies Executive for the benefits under this Section 6(b)(ii), then Executive’s benefits under this Section 6(b)(ii) shall be offset by the benefits already provided to Executive under Section 6(b)(i); and</w:t>
      </w:r>
    </w:p>
    <w:p>
      <w:pPr>
        <w:spacing w:after="0" w:line="80" w:lineRule="exact"/>
        <w:rPr>
          <w:rFonts w:ascii="Times New Roman" w:cs="Times New Roman" w:eastAsia="Times New Roman" w:hAnsi="Times New Roman"/>
          <w:sz w:val="21"/>
          <w:szCs w:val="21"/>
          <w:color w:val="auto"/>
        </w:rPr>
      </w:pPr>
    </w:p>
    <w:p>
      <w:pPr>
        <w:ind w:right="500" w:firstLine="2166"/>
        <w:spacing w:after="0" w:line="281" w:lineRule="auto"/>
        <w:tabs>
          <w:tab w:leader="none" w:pos="2524"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accelerated vesting as to one hundred percent (100%) of Executive’s then-outstanding and unvested equity awards to acquire Company common stock.</w:t>
      </w:r>
    </w:p>
    <w:p>
      <w:pPr>
        <w:spacing w:after="0" w:line="39" w:lineRule="exact"/>
        <w:rPr>
          <w:rFonts w:ascii="Times New Roman" w:cs="Times New Roman" w:eastAsia="Times New Roman" w:hAnsi="Times New Roman"/>
          <w:sz w:val="21"/>
          <w:szCs w:val="21"/>
          <w:color w:val="auto"/>
        </w:rPr>
      </w:pPr>
    </w:p>
    <w:p>
      <w:pPr>
        <w:jc w:val="both"/>
        <w:ind w:firstLine="1239"/>
        <w:spacing w:after="0" w:line="250" w:lineRule="auto"/>
        <w:tabs>
          <w:tab w:leader="none" w:pos="1851"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 Death or Disability; Resignation without Good Reason</w:t>
      </w:r>
      <w:r>
        <w:rPr>
          <w:rFonts w:ascii="Times New Roman" w:cs="Times New Roman" w:eastAsia="Times New Roman" w:hAnsi="Times New Roman"/>
          <w:sz w:val="21"/>
          <w:szCs w:val="21"/>
          <w:color w:val="auto"/>
        </w:rPr>
        <w:t>. If Executive’s employment with the Company (or any parent or subsidiary or successor of the Company) terminates voluntarily by Executive (except upon resignation for Good Reason), for Cause by the Company or due to Executive’s death or Disability, then (i) all vesting will terminate immediately with respect to Executive’s outstanding equity awards, (ii) all payments of compensation by the Company to Executive hereunder will terminate immediately (except as to amounts already earned), and (iii) Executive will only be eligible for severance benefits in accordance with the Company’s established policies, if any, as then in effect.</w:t>
      </w:r>
    </w:p>
    <w:p>
      <w:pPr>
        <w:spacing w:after="0" w:line="74" w:lineRule="exact"/>
        <w:rPr>
          <w:rFonts w:ascii="Times New Roman" w:cs="Times New Roman" w:eastAsia="Times New Roman" w:hAnsi="Times New Roman"/>
          <w:sz w:val="21"/>
          <w:szCs w:val="21"/>
          <w:color w:val="auto"/>
        </w:rPr>
      </w:pPr>
    </w:p>
    <w:p>
      <w:pPr>
        <w:ind w:firstLine="1239"/>
        <w:spacing w:after="0" w:line="269" w:lineRule="auto"/>
        <w:tabs>
          <w:tab w:leader="none" w:pos="1850"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Any Reason</w:t>
      </w:r>
      <w:r>
        <w:rPr>
          <w:rFonts w:ascii="Times New Roman" w:cs="Times New Roman" w:eastAsia="Times New Roman" w:hAnsi="Times New Roman"/>
          <w:sz w:val="21"/>
          <w:szCs w:val="21"/>
          <w:color w:val="auto"/>
        </w:rPr>
        <w:t>. Upon termination of Executive’s employment for any reason, Executive (or his estate) shall be entitled to receive (i) his Base Salary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4904-1040-0258.4 - 12/2/2024 9:46:20 PM</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2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through the date of termination, (ii) earned but unused vacation and paid time off as of the date of termination, (iii) reimbursement of expenses properly incurred prior to termination and properly documented in accordance with the Company’s policy, (iv) all benefits, including continuation and conversion rights, provided upon termination of employment under the Company’s employee benefit plans and policies in accordance with the terms of such plans and policies, and (v) except in the case of termination for Cause or resignation without Good Reason, Executive’s Target Bonus actually earned for the fiscal year ending prior to the date of termination to the extent not yet paid on the date of termination (collectively the “</w:t>
      </w:r>
      <w:r>
        <w:rPr>
          <w:rFonts w:ascii="Times New Roman" w:cs="Times New Roman" w:eastAsia="Times New Roman" w:hAnsi="Times New Roman"/>
          <w:sz w:val="20"/>
          <w:szCs w:val="20"/>
          <w:b w:val="1"/>
          <w:bCs w:val="1"/>
          <w:color w:val="auto"/>
        </w:rPr>
        <w:t>Accrued Obligations</w:t>
      </w:r>
      <w:r>
        <w:rPr>
          <w:rFonts w:ascii="Times New Roman" w:cs="Times New Roman" w:eastAsia="Times New Roman" w:hAnsi="Times New Roman"/>
          <w:sz w:val="20"/>
          <w:szCs w:val="20"/>
          <w:color w:val="auto"/>
        </w:rPr>
        <w:t>”). For avoidance of doubt, upon termination for Cause or resignation without Good Reason, Executive shall not be entitled to any payments or benefits other than the Accrued Obligation.</w:t>
      </w:r>
    </w:p>
    <w:p>
      <w:pPr>
        <w:spacing w:after="0" w:line="58" w:lineRule="exact"/>
        <w:rPr>
          <w:sz w:val="20"/>
          <w:szCs w:val="20"/>
          <w:color w:val="auto"/>
        </w:rPr>
      </w:pPr>
    </w:p>
    <w:p>
      <w:pPr>
        <w:jc w:val="both"/>
        <w:ind w:firstLine="1239"/>
        <w:spacing w:after="0" w:line="250" w:lineRule="auto"/>
        <w:tabs>
          <w:tab w:leader="none" w:pos="1851"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Exclusive Remedy</w:t>
      </w:r>
      <w:r>
        <w:rPr>
          <w:rFonts w:ascii="Times New Roman" w:cs="Times New Roman" w:eastAsia="Times New Roman" w:hAnsi="Times New Roman"/>
          <w:sz w:val="21"/>
          <w:szCs w:val="21"/>
          <w:color w:val="auto"/>
        </w:rPr>
        <w:t>. In the event of a termination of Executive’s employment with the Company (or any parent or subsidiary or successor of the Company), the provisions of this Section 6 are intended to be and are exclusive and in lieu of any other rights or remedies to which Executive or the Company may otherwise be entitled, whether at law, tort or contract, in equity, or under this Agreement, including any prior employment agreements entered into between the Company and Executive. Executive will be entitled to no severance or other benefits upon termination of employment with respect to acceleration of award vesting or severance pay other than those benefits expressly set forth in this Section 6.</w:t>
      </w:r>
    </w:p>
    <w:p>
      <w:pPr>
        <w:spacing w:after="0" w:line="74"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Receipt of Severance; No Duty to Mitigate</w:t>
      </w:r>
      <w:r>
        <w:rPr>
          <w:rFonts w:ascii="Times New Roman" w:cs="Times New Roman" w:eastAsia="Times New Roman" w:hAnsi="Times New Roman"/>
          <w:sz w:val="21"/>
          <w:szCs w:val="21"/>
          <w:color w:val="auto"/>
        </w:rPr>
        <w:t>.</w:t>
      </w:r>
    </w:p>
    <w:p>
      <w:pPr>
        <w:spacing w:after="0" w:line="119" w:lineRule="exact"/>
        <w:rPr>
          <w:rFonts w:ascii="Times New Roman" w:cs="Times New Roman" w:eastAsia="Times New Roman" w:hAnsi="Times New Roman"/>
          <w:sz w:val="21"/>
          <w:szCs w:val="21"/>
          <w:color w:val="auto"/>
        </w:rPr>
      </w:pPr>
    </w:p>
    <w:p>
      <w:pPr>
        <w:jc w:val="both"/>
        <w:ind w:firstLine="1239"/>
        <w:spacing w:after="0" w:line="250" w:lineRule="auto"/>
        <w:tabs>
          <w:tab w:leader="none" w:pos="1851"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Agreement and Release of Claims</w:t>
      </w:r>
      <w:r>
        <w:rPr>
          <w:rFonts w:ascii="Times New Roman" w:cs="Times New Roman" w:eastAsia="Times New Roman" w:hAnsi="Times New Roman"/>
          <w:sz w:val="21"/>
          <w:szCs w:val="21"/>
          <w:color w:val="auto"/>
        </w:rPr>
        <w:t>. The receipt of any severance pursuant to Section 6(a) or (b) will be subject to Executive signing and not revoking a separation agreement and release of claims in a form reasonably satisfactory to the Company (the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and provided that such Release becomes effective and irrevocable no later than sixty (60) days following the termination date (such deadline, the “</w:t>
      </w:r>
      <w:r>
        <w:rPr>
          <w:rFonts w:ascii="Times New Roman" w:cs="Times New Roman" w:eastAsia="Times New Roman" w:hAnsi="Times New Roman"/>
          <w:sz w:val="21"/>
          <w:szCs w:val="21"/>
          <w:b w:val="1"/>
          <w:bCs w:val="1"/>
          <w:color w:val="auto"/>
        </w:rPr>
        <w:t>Release Deadline</w:t>
      </w:r>
      <w:r>
        <w:rPr>
          <w:rFonts w:ascii="Times New Roman" w:cs="Times New Roman" w:eastAsia="Times New Roman" w:hAnsi="Times New Roman"/>
          <w:sz w:val="21"/>
          <w:szCs w:val="21"/>
          <w:color w:val="auto"/>
        </w:rPr>
        <w:t>”). If the Release does not become effective and irrevocable by the Release Deadline, Executive will forfeit any rights to severance or benefits under this Agreement. In no event will severance payments or benefits be paid or provided until the Release becomes effective and irrevocable.</w:t>
      </w:r>
    </w:p>
    <w:p>
      <w:pPr>
        <w:spacing w:after="0" w:line="74"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firstLine="2166"/>
        <w:spacing w:after="0" w:line="249" w:lineRule="auto"/>
        <w:tabs>
          <w:tab w:leader="none" w:pos="2461" w:val="left"/>
        </w:tabs>
        <w:numPr>
          <w:ilvl w:val="2"/>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Code Section 409A, and the final regulations and any guidance promulgated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(together, the “</w:t>
      </w:r>
      <w:r>
        <w:rPr>
          <w:rFonts w:ascii="Times New Roman" w:cs="Times New Roman" w:eastAsia="Times New Roman" w:hAnsi="Times New Roman"/>
          <w:sz w:val="21"/>
          <w:szCs w:val="21"/>
          <w:b w:val="1"/>
          <w:bCs w:val="1"/>
          <w:color w:val="auto"/>
        </w:rPr>
        <w:t>Deferred Payments</w:t>
      </w:r>
      <w:r>
        <w:rPr>
          <w:rFonts w:ascii="Times New Roman" w:cs="Times New Roman" w:eastAsia="Times New Roman" w:hAnsi="Times New Roman"/>
          <w:sz w:val="21"/>
          <w:szCs w:val="21"/>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74" w:lineRule="exact"/>
        <w:rPr>
          <w:rFonts w:ascii="Times New Roman" w:cs="Times New Roman" w:eastAsia="Times New Roman" w:hAnsi="Times New Roman"/>
          <w:sz w:val="21"/>
          <w:szCs w:val="21"/>
          <w:color w:val="auto"/>
        </w:rPr>
      </w:pPr>
    </w:p>
    <w:p>
      <w:pPr>
        <w:jc w:val="both"/>
        <w:ind w:firstLine="2166"/>
        <w:spacing w:after="0" w:line="262" w:lineRule="auto"/>
        <w:tabs>
          <w:tab w:leader="none" w:pos="2467" w:val="left"/>
        </w:tabs>
        <w:numPr>
          <w:ilvl w:val="2"/>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if Executive is a “specified employee” within the meaning of Section 409A at the time of Executive’s termination (other than due to death), then the Deferred Payments that are payable within the first six (6) months following Executive’s separation from service, will become payable on the first payroll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4904-1040-0258.4 - 12/2/2024 9:46:20 PM</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2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for purposes of Section 1.409A-2(b)(2) of the Treasury Regulations.</w:t>
      </w:r>
    </w:p>
    <w:p>
      <w:pPr>
        <w:spacing w:after="0" w:line="58" w:lineRule="exact"/>
        <w:rPr>
          <w:sz w:val="20"/>
          <w:szCs w:val="20"/>
          <w:color w:val="auto"/>
        </w:rPr>
      </w:pPr>
    </w:p>
    <w:p>
      <w:pPr>
        <w:ind w:firstLine="2166"/>
        <w:spacing w:after="0" w:line="308" w:lineRule="auto"/>
        <w:tabs>
          <w:tab w:leader="none" w:pos="2541" w:val="left"/>
        </w:tabs>
        <w:numPr>
          <w:ilvl w:val="2"/>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4" w:lineRule="exact"/>
        <w:rPr>
          <w:rFonts w:ascii="Times New Roman" w:cs="Times New Roman" w:eastAsia="Times New Roman" w:hAnsi="Times New Roman"/>
          <w:sz w:val="20"/>
          <w:szCs w:val="20"/>
          <w:color w:val="auto"/>
        </w:rPr>
      </w:pPr>
    </w:p>
    <w:p>
      <w:pPr>
        <w:jc w:val="both"/>
        <w:ind w:firstLine="2166"/>
        <w:spacing w:after="0" w:line="256" w:lineRule="auto"/>
        <w:tabs>
          <w:tab w:leader="none" w:pos="2532" w:val="left"/>
        </w:tabs>
        <w:numPr>
          <w:ilvl w:val="2"/>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64" w:lineRule="exact"/>
        <w:rPr>
          <w:rFonts w:ascii="Times New Roman" w:cs="Times New Roman" w:eastAsia="Times New Roman" w:hAnsi="Times New Roman"/>
          <w:sz w:val="21"/>
          <w:szCs w:val="21"/>
          <w:color w:val="auto"/>
        </w:rPr>
      </w:pPr>
    </w:p>
    <w:p>
      <w:pPr>
        <w:jc w:val="both"/>
        <w:ind w:firstLine="2166"/>
        <w:spacing w:after="0" w:line="250" w:lineRule="auto"/>
        <w:tabs>
          <w:tab w:leader="none" w:pos="2468" w:val="left"/>
        </w:tabs>
        <w:numPr>
          <w:ilvl w:val="2"/>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Executive agrees and acknowledges that the Company makes no representations or warranties with respect to the application of Section 409A and other tax consequences to any payments hereunder and, by the acceptance of any such payments, Executive agrees to accept the potential application of Section 409A and the other tax consequences of any payments made hereunder.</w:t>
      </w:r>
    </w:p>
    <w:p>
      <w:pPr>
        <w:spacing w:after="0" w:line="73" w:lineRule="exact"/>
        <w:rPr>
          <w:rFonts w:ascii="Times New Roman" w:cs="Times New Roman" w:eastAsia="Times New Roman" w:hAnsi="Times New Roman"/>
          <w:sz w:val="21"/>
          <w:szCs w:val="21"/>
          <w:color w:val="auto"/>
        </w:rPr>
      </w:pPr>
    </w:p>
    <w:p>
      <w:pPr>
        <w:jc w:val="both"/>
        <w:ind w:firstLine="1239"/>
        <w:spacing w:after="0" w:line="251" w:lineRule="auto"/>
        <w:tabs>
          <w:tab w:leader="none" w:pos="1851"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 Agreement</w:t>
      </w:r>
      <w:r>
        <w:rPr>
          <w:rFonts w:ascii="Times New Roman" w:cs="Times New Roman" w:eastAsia="Times New Roman" w:hAnsi="Times New Roman"/>
          <w:sz w:val="21"/>
          <w:szCs w:val="21"/>
          <w:color w:val="auto"/>
        </w:rPr>
        <w:t>. Executive’s receipt of any payments or benefits under Section 6 will be subject to Executive continuing to comply with the terms of Confidential Information Agreement (as defined in Section 10). In the event Executive breaches the provisions of the Confidential Information Agreement, all continuing payments and benefits to which Executive may otherwise be entitled pursuant to Section 6(a) or (b) will immediately cease.</w:t>
      </w:r>
    </w:p>
    <w:p>
      <w:pPr>
        <w:spacing w:after="0" w:line="84" w:lineRule="exact"/>
        <w:rPr>
          <w:rFonts w:ascii="Times New Roman" w:cs="Times New Roman" w:eastAsia="Times New Roman" w:hAnsi="Times New Roman"/>
          <w:sz w:val="21"/>
          <w:szCs w:val="21"/>
          <w:color w:val="auto"/>
        </w:rPr>
      </w:pPr>
    </w:p>
    <w:p>
      <w:pPr>
        <w:ind w:firstLine="1239"/>
        <w:spacing w:after="0" w:line="269" w:lineRule="auto"/>
        <w:tabs>
          <w:tab w:leader="none" w:pos="1850"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Duty to Mitigate</w:t>
      </w:r>
      <w:r>
        <w:rPr>
          <w:rFonts w:ascii="Times New Roman" w:cs="Times New Roman" w:eastAsia="Times New Roman" w:hAnsi="Times New Roman"/>
          <w:sz w:val="21"/>
          <w:szCs w:val="21"/>
          <w:color w:val="auto"/>
        </w:rPr>
        <w:t>. Executive will not be required to mitigate the amount of any payment contemplated by this Agreement, nor will any earnings that Executive may receive from any other source reduce any such payment.</w:t>
      </w:r>
    </w:p>
    <w:p>
      <w:pPr>
        <w:spacing w:after="0" w:line="51"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102" w:lineRule="exact"/>
        <w:rPr>
          <w:rFonts w:ascii="Times New Roman" w:cs="Times New Roman" w:eastAsia="Times New Roman" w:hAnsi="Times New Roman"/>
          <w:sz w:val="21"/>
          <w:szCs w:val="21"/>
          <w:color w:val="auto"/>
        </w:rPr>
      </w:pPr>
    </w:p>
    <w:p>
      <w:pPr>
        <w:jc w:val="both"/>
        <w:ind w:firstLine="1239"/>
        <w:spacing w:after="0" w:line="257" w:lineRule="auto"/>
        <w:tabs>
          <w:tab w:leader="none" w:pos="1851" w:val="left"/>
        </w:tabs>
        <w:numPr>
          <w:ilvl w:val="1"/>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xml:space="preserve">” is defined as (i) the willful failure, disregard, or refusal by Executive to perform the responsibilities of Executive’s position with the Company or follow the reasonable instructions of the Board;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any willful failure, disregard, or refusal by Executive to perform the services hereunder shall not constitute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Cause unless cure is not effected, as determined in good faith by the Board, within thirty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-6-</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4904-1040-0258.4 - 12/2/2024 9:46:20 PM</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after notice thereof is received by the Executive from the Company; (ii) any grossly negligent act by the Executive having the effect of injuring, as determined in good faith by the Board, the business or reputation of the Company or any of its subsidiaries or affiliates; (iii) Executive’s conviction of, guilty plea, or plea of nolo contendere to any felony or a misdemeanor involving moral turpitude; (iv) the determination by the Company, after a reasonable and good faith investigation by the Company following a written allegation by an employee of the Company, that the Executive engaged in some form of harassment prohibited by law (including, without limitation, age, sex, disability, or race discrimination) unless Executive’s actions were specifically directed by the Board; or (v) material breach by the Executive of any material provision of this Agreement or any Confidential Information Agreement.</w:t>
      </w:r>
    </w:p>
    <w:p>
      <w:pPr>
        <w:spacing w:after="0" w:line="71" w:lineRule="exact"/>
        <w:rPr>
          <w:sz w:val="20"/>
          <w:szCs w:val="20"/>
          <w:color w:val="auto"/>
        </w:rPr>
      </w:pPr>
    </w:p>
    <w:p>
      <w:pPr>
        <w:ind w:left="1860" w:hanging="621"/>
        <w:spacing w:after="0"/>
        <w:tabs>
          <w:tab w:leader="none" w:pos="1860"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means the occurrence of any of the</w:t>
      </w:r>
    </w:p>
    <w:p>
      <w:pPr>
        <w:spacing w:after="0" w:line="3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events:</w:t>
      </w:r>
    </w:p>
    <w:p>
      <w:pPr>
        <w:spacing w:after="0" w:line="96" w:lineRule="exact"/>
        <w:rPr>
          <w:rFonts w:ascii="Times New Roman" w:cs="Times New Roman" w:eastAsia="Times New Roman" w:hAnsi="Times New Roman"/>
          <w:sz w:val="21"/>
          <w:szCs w:val="21"/>
          <w:color w:val="auto"/>
        </w:rPr>
      </w:pPr>
    </w:p>
    <w:p>
      <w:pPr>
        <w:jc w:val="both"/>
        <w:ind w:firstLine="2166"/>
        <w:spacing w:after="0" w:line="247" w:lineRule="auto"/>
        <w:tabs>
          <w:tab w:leader="none" w:pos="2461"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ownership of the Company which occurs on the date that any one person (as defined in Section 13(d) and Section 14(d) of the Exchange Act), or more than one person acting as a group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of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of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w:t>
      </w:r>
    </w:p>
    <w:p>
      <w:pPr>
        <w:spacing w:after="0" w:line="74" w:lineRule="exact"/>
        <w:rPr>
          <w:rFonts w:ascii="Times New Roman" w:cs="Times New Roman" w:eastAsia="Times New Roman" w:hAnsi="Times New Roman"/>
          <w:sz w:val="21"/>
          <w:szCs w:val="21"/>
          <w:color w:val="auto"/>
        </w:rPr>
      </w:pPr>
    </w:p>
    <w:p>
      <w:pPr>
        <w:jc w:val="both"/>
        <w:ind w:firstLine="2166"/>
        <w:spacing w:after="0" w:line="252" w:lineRule="auto"/>
        <w:tabs>
          <w:tab w:leader="none" w:pos="2467"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effective control of the Company which occurs on the date that a majority of members of the Board of Directors of the Company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71" w:lineRule="exact"/>
        <w:rPr>
          <w:rFonts w:ascii="Times New Roman" w:cs="Times New Roman" w:eastAsia="Times New Roman" w:hAnsi="Times New Roman"/>
          <w:sz w:val="21"/>
          <w:szCs w:val="21"/>
          <w:color w:val="auto"/>
        </w:rPr>
      </w:pPr>
    </w:p>
    <w:p>
      <w:pPr>
        <w:jc w:val="both"/>
        <w:ind w:firstLine="2166"/>
        <w:spacing w:after="0" w:line="256" w:lineRule="auto"/>
        <w:tabs>
          <w:tab w:leader="none" w:pos="2529"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-7-</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4904-1040-0258.4 - 12/2/2024 9:46:20 PM</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(8)(b)(ii). For purposes of this subsection (iii), gross fair market value means the value of the assets of the Company, or the value of the assets being disposed of, determined without regard to any liabilities associated with such assets.</w:t>
      </w:r>
    </w:p>
    <w:p>
      <w:pPr>
        <w:spacing w:after="0" w:line="76" w:lineRule="exact"/>
        <w:rPr>
          <w:sz w:val="20"/>
          <w:szCs w:val="20"/>
          <w:color w:val="auto"/>
        </w:rPr>
      </w:pPr>
    </w:p>
    <w:p>
      <w:pPr>
        <w:jc w:val="both"/>
        <w:ind w:firstLine="1854"/>
        <w:spacing w:after="0" w:line="294" w:lineRule="auto"/>
        <w:rPr>
          <w:sz w:val="20"/>
          <w:szCs w:val="20"/>
          <w:color w:val="auto"/>
        </w:rPr>
      </w:pPr>
      <w:r>
        <w:rPr>
          <w:rFonts w:ascii="Times New Roman" w:cs="Times New Roman" w:eastAsia="Times New Roman" w:hAnsi="Times New Roman"/>
          <w:sz w:val="20"/>
          <w:szCs w:val="20"/>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29" w:lineRule="exact"/>
        <w:rPr>
          <w:sz w:val="20"/>
          <w:szCs w:val="20"/>
          <w:color w:val="auto"/>
        </w:rPr>
      </w:pPr>
    </w:p>
    <w:p>
      <w:pPr>
        <w:jc w:val="both"/>
        <w:ind w:firstLine="1854"/>
        <w:spacing w:after="0" w:line="256" w:lineRule="auto"/>
        <w:rPr>
          <w:sz w:val="20"/>
          <w:szCs w:val="20"/>
          <w:color w:val="auto"/>
        </w:rPr>
      </w:pPr>
      <w:r>
        <w:rPr>
          <w:rFonts w:ascii="Times New Roman" w:cs="Times New Roman" w:eastAsia="Times New Roman" w:hAnsi="Times New Roman"/>
          <w:sz w:val="21"/>
          <w:szCs w:val="21"/>
          <w:color w:val="auto"/>
        </w:rPr>
        <w:t>Notwithstanding the foregoing, a transaction will not be deemed a Change in Control unless the transaction qualifies as a change in control event within the meaning of Section 409A, as it has been and may be amended from time to time, and any proposed or final Treasury Regulations and Internal Revenue Service guidance that has been promulgated or may be promulgated thereunder from time to time.</w:t>
      </w:r>
    </w:p>
    <w:p>
      <w:pPr>
        <w:spacing w:after="0" w:line="64" w:lineRule="exact"/>
        <w:rPr>
          <w:sz w:val="20"/>
          <w:szCs w:val="20"/>
          <w:color w:val="auto"/>
        </w:rPr>
      </w:pPr>
    </w:p>
    <w:p>
      <w:pPr>
        <w:jc w:val="both"/>
        <w:ind w:firstLine="1854"/>
        <w:spacing w:after="0" w:line="251" w:lineRule="auto"/>
        <w:rPr>
          <w:sz w:val="20"/>
          <w:szCs w:val="20"/>
          <w:color w:val="auto"/>
        </w:rPr>
      </w:pPr>
      <w:r>
        <w:rPr>
          <w:rFonts w:ascii="Times New Roman" w:cs="Times New Roman" w:eastAsia="Times New Roman" w:hAnsi="Times New Roman"/>
          <w:sz w:val="21"/>
          <w:szCs w:val="21"/>
          <w:color w:val="auto"/>
        </w:rPr>
        <w:t>Further a transaction will not constitute a Change in Control if: (i) its sole purpose is to change the state of the Company’s incorporation, (ii) its sole purpose is to create a holding company that will be owned in substantially the same proportions by the persons who held the Company’s securities immediately before such transaction, or (iii) the sale of the Company’s FYARRO® products and related assets and business.</w:t>
      </w:r>
    </w:p>
    <w:p>
      <w:pPr>
        <w:spacing w:after="0" w:line="80" w:lineRule="exact"/>
        <w:rPr>
          <w:sz w:val="20"/>
          <w:szCs w:val="20"/>
          <w:color w:val="auto"/>
        </w:rPr>
      </w:pPr>
    </w:p>
    <w:p>
      <w:pPr>
        <w:ind w:firstLine="1239"/>
        <w:spacing w:after="0" w:line="273" w:lineRule="auto"/>
        <w:tabs>
          <w:tab w:leader="none" w:pos="1851"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Control Period</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Change of Control Period</w:t>
      </w:r>
      <w:r>
        <w:rPr>
          <w:rFonts w:ascii="Times New Roman" w:cs="Times New Roman" w:eastAsia="Times New Roman" w:hAnsi="Times New Roman"/>
          <w:sz w:val="21"/>
          <w:szCs w:val="21"/>
          <w:color w:val="auto"/>
        </w:rPr>
        <w:t>” means the period that begins three (3) months prior to a Change of Control and ends twelve (12) months following a Change of Control.</w:t>
      </w:r>
    </w:p>
    <w:p>
      <w:pPr>
        <w:spacing w:after="0" w:line="42"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Internal Revenue Code of 1986, as amended.</w:t>
      </w:r>
    </w:p>
    <w:p>
      <w:pPr>
        <w:spacing w:after="0" w:line="106" w:lineRule="exact"/>
        <w:rPr>
          <w:rFonts w:ascii="Times New Roman" w:cs="Times New Roman" w:eastAsia="Times New Roman" w:hAnsi="Times New Roman"/>
          <w:sz w:val="21"/>
          <w:szCs w:val="21"/>
          <w:color w:val="auto"/>
        </w:rPr>
      </w:pPr>
    </w:p>
    <w:p>
      <w:pPr>
        <w:jc w:val="both"/>
        <w:ind w:firstLine="1239"/>
        <w:spacing w:after="0" w:line="257" w:lineRule="auto"/>
        <w:tabs>
          <w:tab w:leader="none" w:pos="1851"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means that Executive has been unable to perform the essential functions of Executive’s position due to any medically determinable physical or mental impairment for a period of ninety (90) consecutive days or more, or more than one hundred and eighty (180) days within any twelve (12)-month period, in each case, determined by the Board. This provision shall be subject to compliance with all federal, state and local disability laws.</w:t>
      </w:r>
    </w:p>
    <w:p>
      <w:pPr>
        <w:spacing w:after="0" w:line="60" w:lineRule="exact"/>
        <w:rPr>
          <w:rFonts w:ascii="Times New Roman" w:cs="Times New Roman" w:eastAsia="Times New Roman" w:hAnsi="Times New Roman"/>
          <w:sz w:val="21"/>
          <w:szCs w:val="21"/>
          <w:color w:val="auto"/>
        </w:rPr>
      </w:pPr>
    </w:p>
    <w:p>
      <w:pPr>
        <w:ind w:left="1860" w:hanging="621"/>
        <w:spacing w:after="0"/>
        <w:tabs>
          <w:tab w:leader="none" w:pos="1860"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the purposes of this Agreement, “</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means Executive’s resignation within thirty</w:t>
      </w:r>
    </w:p>
    <w:p>
      <w:pPr>
        <w:spacing w:after="0" w:line="40" w:lineRule="exact"/>
        <w:rPr>
          <w:rFonts w:ascii="Times New Roman" w:cs="Times New Roman" w:eastAsia="Times New Roman" w:hAnsi="Times New Roman"/>
          <w:sz w:val="20"/>
          <w:szCs w:val="20"/>
          <w:color w:val="auto"/>
        </w:rPr>
      </w:pPr>
    </w:p>
    <w:p>
      <w:pPr>
        <w:jc w:val="both"/>
        <w:ind w:firstLine="3"/>
        <w:spacing w:after="0" w:line="248" w:lineRule="auto"/>
        <w:tabs>
          <w:tab w:leader="none" w:pos="423"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the expiration of any Company cure period (discussed below) following the occurrence of one or more of the following, without Executive’s express written consent: (i) a material breach of any provision of this Agreement by the Company; (ii) any material reduction by the Company of Executive’s duties, responsibilities, or authority which causes Executive’s position to become materially of less responsibility or authority than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-8-</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4904-1040-0258.4 - 12/2/2024 9:46:20 PM</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2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position as of immediately following the Effective Date; (iii) a material relocation of the Company’s principal place of business of Executive where you are required to conduct your duties outside of California; (iv) a material (more than 7%) diminution in Executive’s base salary (other than in the context of salary or consideration reductions applied in identical percentages to all executive officers of the Company) or (v) change in reporting line to anyone other than the Chief Executive Officer or in the absence of a CEO another acting head official of the Company.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the Company receives such notice during which such condition must not have been cured.</w:t>
      </w:r>
    </w:p>
    <w:p>
      <w:pPr>
        <w:spacing w:after="0" w:line="86" w:lineRule="exact"/>
        <w:rPr>
          <w:sz w:val="20"/>
          <w:szCs w:val="20"/>
          <w:color w:val="auto"/>
        </w:rPr>
      </w:pPr>
    </w:p>
    <w:p>
      <w:pPr>
        <w:ind w:left="1860" w:hanging="621"/>
        <w:spacing w:after="0"/>
        <w:tabs>
          <w:tab w:leader="none" w:pos="1860" w:val="left"/>
        </w:tabs>
        <w:numPr>
          <w:ilvl w:val="1"/>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Limit</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Section 409A Limit</w:t>
      </w:r>
      <w:r>
        <w:rPr>
          <w:rFonts w:ascii="Times New Roman" w:cs="Times New Roman" w:eastAsia="Times New Roman" w:hAnsi="Times New Roman"/>
          <w:sz w:val="21"/>
          <w:szCs w:val="21"/>
          <w:color w:val="auto"/>
        </w:rPr>
        <w:t>” will mean two (2) times the lesser</w:t>
      </w:r>
    </w:p>
    <w:p>
      <w:pPr>
        <w:spacing w:after="0" w:line="29" w:lineRule="exact"/>
        <w:rPr>
          <w:rFonts w:ascii="Times New Roman" w:cs="Times New Roman" w:eastAsia="Times New Roman" w:hAnsi="Times New Roman"/>
          <w:sz w:val="21"/>
          <w:szCs w:val="21"/>
          <w:color w:val="auto"/>
        </w:rPr>
      </w:pPr>
    </w:p>
    <w:p>
      <w:pPr>
        <w:jc w:val="both"/>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(i) Executive’s annualized compensation based upon the annual rate of pay paid to Executive during the Executive’s taxable year preceding the Executive’s taxable year of Executive’s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89" w:lineRule="exact"/>
        <w:rPr>
          <w:rFonts w:ascii="Times New Roman" w:cs="Times New Roman" w:eastAsia="Times New Roman" w:hAnsi="Times New Roman"/>
          <w:sz w:val="21"/>
          <w:szCs w:val="21"/>
          <w:color w:val="auto"/>
        </w:rPr>
      </w:pPr>
    </w:p>
    <w:p>
      <w:pPr>
        <w:jc w:val="both"/>
        <w:ind w:firstLine="621"/>
        <w:spacing w:after="0" w:line="274" w:lineRule="auto"/>
        <w:tabs>
          <w:tab w:leader="none" w:pos="1236"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Payments</w:t>
      </w:r>
      <w:r>
        <w:rPr>
          <w:rFonts w:ascii="Times New Roman" w:cs="Times New Roman" w:eastAsia="Times New Roman" w:hAnsi="Times New Roman"/>
          <w:sz w:val="20"/>
          <w:szCs w:val="20"/>
          <w:color w:val="auto"/>
        </w:rPr>
        <w:t>. In the event that the severance and other benefits provided for in this Agreement or otherwise payable to Executive (i) constitute “parachute payments” within the meaning of Section 280G of the Code and (ii) but for this Section 9, would be subject to the excise tax imposed by Section 4999 of the Code, then Executive’s severance benefits will be either:</w:t>
      </w:r>
    </w:p>
    <w:p>
      <w:pPr>
        <w:spacing w:after="0" w:line="49" w:lineRule="exact"/>
        <w:rPr>
          <w:rFonts w:ascii="Times New Roman" w:cs="Times New Roman" w:eastAsia="Times New Roman" w:hAnsi="Times New Roman"/>
          <w:sz w:val="20"/>
          <w:szCs w:val="20"/>
          <w:color w:val="auto"/>
        </w:rPr>
      </w:pPr>
    </w:p>
    <w:p>
      <w:pPr>
        <w:ind w:left="1860" w:hanging="621"/>
        <w:spacing w:after="0"/>
        <w:tabs>
          <w:tab w:leader="none" w:pos="1860"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delivered in full, or</w:t>
      </w:r>
    </w:p>
    <w:p>
      <w:pPr>
        <w:spacing w:after="0" w:line="106" w:lineRule="exact"/>
        <w:rPr>
          <w:rFonts w:ascii="Times New Roman" w:cs="Times New Roman" w:eastAsia="Times New Roman" w:hAnsi="Times New Roman"/>
          <w:sz w:val="21"/>
          <w:szCs w:val="21"/>
          <w:color w:val="auto"/>
        </w:rPr>
      </w:pPr>
    </w:p>
    <w:p>
      <w:pPr>
        <w:ind w:firstLine="1239"/>
        <w:spacing w:after="0" w:line="281" w:lineRule="auto"/>
        <w:tabs>
          <w:tab w:leader="none" w:pos="1850"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delivered as to such lesser extent which would result in no portion of such severance benefits being subject to the excise tax under Section 4999 of the Code,</w:t>
      </w:r>
    </w:p>
    <w:p>
      <w:pPr>
        <w:spacing w:after="0" w:line="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the severance and other benefits constituting “parachute payments” is necessary so that no portion of such severance benefits is subject to the excise tax under Section 4999 of the Code, the reduction shall occur in the following order: (1) reduction of the cash severance payments; (2) cancellation of accelerated vesting of equity awards; and (3) reduction of continued employee benefits. In the event that acceleration of vesting of equity award compensation is to be reduced, such acceleration of vesting shall be cancelled in the reverse order of the date of grant of Executive’s equity awards.</w:t>
      </w:r>
    </w:p>
    <w:p>
      <w:pPr>
        <w:spacing w:after="0" w:line="77"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20"/>
          <w:szCs w:val="20"/>
          <w:color w:val="auto"/>
        </w:rPr>
        <w:t>A nationally recognized certified professional services firm selected by the Company, the Company’s legal counsel or such other person or entity to which the parties mutually agree (the “</w:t>
      </w:r>
      <w:r>
        <w:rPr>
          <w:rFonts w:ascii="Times New Roman" w:cs="Times New Roman" w:eastAsia="Times New Roman" w:hAnsi="Times New Roman"/>
          <w:sz w:val="20"/>
          <w:szCs w:val="20"/>
          <w:b w:val="1"/>
          <w:bCs w:val="1"/>
          <w:color w:val="auto"/>
        </w:rPr>
        <w:t>Firm</w:t>
      </w:r>
      <w:r>
        <w:rPr>
          <w:rFonts w:ascii="Times New Roman" w:cs="Times New Roman" w:eastAsia="Times New Roman" w:hAnsi="Times New Roman"/>
          <w:sz w:val="20"/>
          <w:szCs w:val="20"/>
          <w:color w:val="auto"/>
        </w:rPr>
        <w:t>”) shall perform the foregoing calculations related to the Excise Tax. The Company shall bear all expenses with respect to the determinations by the Firm required to be made hereunder. For purposes of making the calculations required by this Section, the Firm may make reasonable assumptions and approximations concerning applicable taxes and may rely on reasonable, good faith interpretations concerning the application of Code Sections 280G and 4999.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-9-</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4904-1040-0258.4 - 12/2/2024 9:46:20 PM</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Executive will furnish to the Firm such information and documents as the Firm may reasonably request in order to make a determination under this Section. The Firm engaged to make the determinations hereunder shall provide its calculations, together with detailed supporting documentation, to the Company and Executive within fifteen (15) calendar days after the date on which Executive’s right to the severance benefits or other payments is triggered (if requested at that time by the Company or Executive) or such other time as requested by the Company or Executive. Any good faith determinations of the Firm made hereunder shall be final, binding, and conclusive upon the Company and Executive.</w:t>
      </w:r>
    </w:p>
    <w:p>
      <w:pPr>
        <w:spacing w:after="0" w:line="75" w:lineRule="exact"/>
        <w:rPr>
          <w:sz w:val="20"/>
          <w:szCs w:val="20"/>
          <w:color w:val="auto"/>
        </w:rPr>
      </w:pPr>
    </w:p>
    <w:p>
      <w:pPr>
        <w:ind w:firstLine="621"/>
        <w:spacing w:after="0" w:line="269" w:lineRule="auto"/>
        <w:tabs>
          <w:tab w:leader="none" w:pos="1359"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Executive agrees to execute the Company’s Confidential Information and Invention Assignment Agreement (the “</w:t>
      </w:r>
      <w:r>
        <w:rPr>
          <w:rFonts w:ascii="Times New Roman" w:cs="Times New Roman" w:eastAsia="Times New Roman" w:hAnsi="Times New Roman"/>
          <w:sz w:val="21"/>
          <w:szCs w:val="21"/>
          <w:b w:val="1"/>
          <w:bCs w:val="1"/>
          <w:color w:val="auto"/>
        </w:rPr>
        <w:t>Confidential Information Agreement</w:t>
      </w:r>
      <w:r>
        <w:rPr>
          <w:rFonts w:ascii="Times New Roman" w:cs="Times New Roman" w:eastAsia="Times New Roman" w:hAnsi="Times New Roman"/>
          <w:sz w:val="21"/>
          <w:szCs w:val="21"/>
          <w:color w:val="auto"/>
        </w:rPr>
        <w:t>”) concurrently with the execution of this Agreement.</w:t>
      </w:r>
    </w:p>
    <w:p>
      <w:pPr>
        <w:spacing w:after="0" w:line="63" w:lineRule="exact"/>
        <w:rPr>
          <w:rFonts w:ascii="Times New Roman" w:cs="Times New Roman" w:eastAsia="Times New Roman" w:hAnsi="Times New Roman"/>
          <w:sz w:val="21"/>
          <w:szCs w:val="21"/>
          <w:color w:val="auto"/>
        </w:rPr>
      </w:pPr>
    </w:p>
    <w:p>
      <w:pPr>
        <w:jc w:val="both"/>
        <w:ind w:firstLine="621"/>
        <w:spacing w:after="0" w:line="248" w:lineRule="auto"/>
        <w:tabs>
          <w:tab w:leader="none" w:pos="1229"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w:t>
      </w:r>
      <w:r>
        <w:rPr>
          <w:rFonts w:ascii="Times New Roman" w:cs="Times New Roman" w:eastAsia="Times New Roman" w:hAnsi="Times New Roman"/>
          <w:sz w:val="21"/>
          <w:szCs w:val="21"/>
          <w:b w:val="1"/>
          <w:bCs w:val="1"/>
          <w:color w:val="auto"/>
        </w:rPr>
        <w:t>successor</w:t>
      </w:r>
      <w:r>
        <w:rPr>
          <w:rFonts w:ascii="Times New Roman" w:cs="Times New Roman" w:eastAsia="Times New Roman" w:hAnsi="Times New Roman"/>
          <w:sz w:val="21"/>
          <w:szCs w:val="21"/>
          <w:color w:val="auto"/>
        </w:rPr>
        <w:t>”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77" w:lineRule="exact"/>
        <w:rPr>
          <w:rFonts w:ascii="Times New Roman" w:cs="Times New Roman" w:eastAsia="Times New Roman" w:hAnsi="Times New Roman"/>
          <w:sz w:val="21"/>
          <w:szCs w:val="21"/>
          <w:color w:val="auto"/>
        </w:rPr>
      </w:pPr>
    </w:p>
    <w:p>
      <w:pPr>
        <w:jc w:val="both"/>
        <w:ind w:firstLine="621"/>
        <w:spacing w:after="0" w:line="272" w:lineRule="auto"/>
        <w:tabs>
          <w:tab w:leader="none" w:pos="1236"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demands and other communications called for hereunder will be in writing and will be deemed given (i) on the date of delivery if delivered personally, (ii) one (1) day after being sent by a well-established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Aadi Bioscience, Inc,</w:t>
      </w:r>
    </w:p>
    <w:p>
      <w:pPr>
        <w:ind w:left="200"/>
        <w:spacing w:after="0" w:line="204" w:lineRule="auto"/>
        <w:rPr>
          <w:sz w:val="20"/>
          <w:szCs w:val="20"/>
          <w:color w:val="auto"/>
        </w:rPr>
      </w:pPr>
      <w:r>
        <w:rPr>
          <w:rFonts w:ascii="Times New Roman" w:cs="Times New Roman" w:eastAsia="Times New Roman" w:hAnsi="Times New Roman"/>
          <w:sz w:val="21"/>
          <w:szCs w:val="21"/>
          <w:color w:val="auto"/>
        </w:rPr>
        <w:t>2 Headquarters Plaza, East Building, 11th Floor</w:t>
      </w:r>
    </w:p>
    <w:p>
      <w:pPr>
        <w:ind w:left="200"/>
        <w:spacing w:after="0" w:line="205" w:lineRule="auto"/>
        <w:rPr>
          <w:sz w:val="20"/>
          <w:szCs w:val="20"/>
          <w:color w:val="auto"/>
        </w:rPr>
      </w:pPr>
      <w:r>
        <w:rPr>
          <w:rFonts w:ascii="Times New Roman" w:cs="Times New Roman" w:eastAsia="Times New Roman" w:hAnsi="Times New Roman"/>
          <w:sz w:val="21"/>
          <w:szCs w:val="21"/>
          <w:color w:val="auto"/>
        </w:rPr>
        <w:t>Morristown, NJ 07960</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Attn: Chief Executive Officer</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If to Executive: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at the last residential address known to the Company.</w:t>
      </w:r>
    </w:p>
    <w:p>
      <w:pPr>
        <w:spacing w:after="0" w:line="200" w:lineRule="exact"/>
        <w:rPr>
          <w:sz w:val="20"/>
          <w:szCs w:val="20"/>
          <w:color w:val="auto"/>
        </w:rPr>
      </w:pPr>
    </w:p>
    <w:p>
      <w:pPr>
        <w:spacing w:after="0" w:line="331" w:lineRule="exact"/>
        <w:rPr>
          <w:sz w:val="20"/>
          <w:szCs w:val="20"/>
          <w:color w:val="auto"/>
        </w:rPr>
      </w:pPr>
    </w:p>
    <w:p>
      <w:pPr>
        <w:ind w:firstLine="621"/>
        <w:spacing w:after="0" w:line="269" w:lineRule="auto"/>
        <w:tabs>
          <w:tab w:leader="none" w:pos="1236"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the event that any provision hereof becomes or is declared by a court of competent jurisdiction to be illegal, unenforceable or void, this Agreement will continue in full force and effect without said provision.</w:t>
      </w:r>
    </w:p>
    <w:p>
      <w:pPr>
        <w:spacing w:after="0" w:line="51" w:lineRule="exact"/>
        <w:rPr>
          <w:rFonts w:ascii="Times New Roman" w:cs="Times New Roman" w:eastAsia="Times New Roman" w:hAnsi="Times New Roman"/>
          <w:sz w:val="21"/>
          <w:szCs w:val="21"/>
          <w:color w:val="auto"/>
        </w:rPr>
      </w:pPr>
    </w:p>
    <w:p>
      <w:pPr>
        <w:ind w:firstLine="621"/>
        <w:spacing w:after="0" w:line="269" w:lineRule="auto"/>
        <w:tabs>
          <w:tab w:leader="none" w:pos="1236"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EXECUTIVE AGREES THAT ANY AND ALL CONTROVERSIES, CLAIMS, OR DISPUTES WITH ANYONE (INCLUDING THE COMPANY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4904-1040-0258.4 - 12/2/2024 9:46:20 PM</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2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EMPLOYEE, OFFICER, DIRECTOR, STOCKHOLDER OR BENEFIT PLAN OF THE COMPANY IN THEIR CAPACITY AS SUCH OR OTHERWISE) ARISING OUT OF, RELATING TO, OR RESULTING FROM EXECUTIVE’S SERVICE TO THE COMPANY, SHALL BE SUBJECT TO ARBITRATION IN ACCORDANCE WITH THE PROVISIONS OF THE CONFIDENTIAL INFORMATION AGREEMENT.</w:t>
      </w:r>
    </w:p>
    <w:p>
      <w:pPr>
        <w:spacing w:after="0" w:line="64" w:lineRule="exact"/>
        <w:rPr>
          <w:sz w:val="20"/>
          <w:szCs w:val="20"/>
          <w:color w:val="auto"/>
        </w:rPr>
      </w:pPr>
    </w:p>
    <w:p>
      <w:pPr>
        <w:jc w:val="both"/>
        <w:ind w:firstLine="621"/>
        <w:spacing w:after="0" w:line="250" w:lineRule="auto"/>
        <w:tabs>
          <w:tab w:leader="none" w:pos="1236"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Integration</w:t>
      </w:r>
      <w:r>
        <w:rPr>
          <w:rFonts w:ascii="Times New Roman" w:cs="Times New Roman" w:eastAsia="Times New Roman" w:hAnsi="Times New Roman"/>
          <w:sz w:val="21"/>
          <w:szCs w:val="21"/>
          <w:color w:val="auto"/>
        </w:rPr>
        <w:t>. This Agreement, along with the Confidential Information Agreement and Equity Documents, represents the entire agreement and understanding between the parties as to the subject matter herein and supersedes all prior or contemporaneous agreements whether written or oral. With respect to equity awards granted on or after the date of this Agreement, the acceleration of vesting provisions provided herein will apply to such equity awards except to the extent the applicable equity award agreement expressly supersedes this Agreement. This Agreement may be modified only by agreement of the parties by a written instrument executed by the parties that is designated as an amendment to this Agreement.</w:t>
      </w:r>
    </w:p>
    <w:p>
      <w:pPr>
        <w:spacing w:after="0" w:line="74" w:lineRule="exact"/>
        <w:rPr>
          <w:rFonts w:ascii="Times New Roman" w:cs="Times New Roman" w:eastAsia="Times New Roman" w:hAnsi="Times New Roman"/>
          <w:sz w:val="21"/>
          <w:szCs w:val="21"/>
          <w:color w:val="auto"/>
        </w:rPr>
      </w:pPr>
    </w:p>
    <w:p>
      <w:pPr>
        <w:ind w:firstLine="621"/>
        <w:spacing w:after="0" w:line="269" w:lineRule="auto"/>
        <w:tabs>
          <w:tab w:leader="none" w:pos="1236"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Breach</w:t>
      </w:r>
      <w:r>
        <w:rPr>
          <w:rFonts w:ascii="Times New Roman" w:cs="Times New Roman" w:eastAsia="Times New Roman" w:hAnsi="Times New Roman"/>
          <w:sz w:val="21"/>
          <w:szCs w:val="21"/>
          <w:color w:val="auto"/>
        </w:rPr>
        <w:t>. The waiver of a breach of any term or provision of this Agreement, which must be in writing, will not operate as or be construed to be a waiver of any other previous or subsequent breach of this Agreement.</w:t>
      </w:r>
    </w:p>
    <w:p>
      <w:pPr>
        <w:spacing w:after="0" w:line="51" w:lineRule="exact"/>
        <w:rPr>
          <w:rFonts w:ascii="Times New Roman" w:cs="Times New Roman" w:eastAsia="Times New Roman" w:hAnsi="Times New Roman"/>
          <w:sz w:val="21"/>
          <w:szCs w:val="21"/>
          <w:color w:val="auto"/>
        </w:rPr>
      </w:pPr>
    </w:p>
    <w:p>
      <w:pPr>
        <w:ind w:firstLine="621"/>
        <w:spacing w:after="0" w:line="269" w:lineRule="auto"/>
        <w:tabs>
          <w:tab w:leader="none" w:pos="1236"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All captions and section headings used in this Agreement are for convenient reference only and do not form a part of this Agreement.</w:t>
      </w:r>
    </w:p>
    <w:p>
      <w:pPr>
        <w:spacing w:after="0" w:line="63"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All payments made pursuant to this Agreement will be subject to withholding of applicable taxes.</w:t>
      </w:r>
    </w:p>
    <w:p>
      <w:pPr>
        <w:spacing w:after="0" w:line="106" w:lineRule="exact"/>
        <w:rPr>
          <w:rFonts w:ascii="Times New Roman" w:cs="Times New Roman" w:eastAsia="Times New Roman" w:hAnsi="Times New Roman"/>
          <w:sz w:val="21"/>
          <w:szCs w:val="21"/>
          <w:color w:val="auto"/>
        </w:rPr>
      </w:pPr>
    </w:p>
    <w:p>
      <w:pPr>
        <w:ind w:firstLine="621"/>
        <w:spacing w:after="0" w:line="269" w:lineRule="auto"/>
        <w:tabs>
          <w:tab w:leader="none" w:pos="1236"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governed by the laws of the State of New Jersey (with the exception of its conflict of laws provisions).</w:t>
      </w:r>
    </w:p>
    <w:p>
      <w:pPr>
        <w:spacing w:after="0" w:line="51" w:lineRule="exact"/>
        <w:rPr>
          <w:rFonts w:ascii="Times New Roman" w:cs="Times New Roman" w:eastAsia="Times New Roman" w:hAnsi="Times New Roman"/>
          <w:sz w:val="21"/>
          <w:szCs w:val="21"/>
          <w:color w:val="auto"/>
        </w:rPr>
      </w:pPr>
    </w:p>
    <w:p>
      <w:pPr>
        <w:jc w:val="both"/>
        <w:ind w:firstLine="621"/>
        <w:spacing w:after="0" w:line="262" w:lineRule="auto"/>
        <w:tabs>
          <w:tab w:leader="none" w:pos="1236"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w:t>
      </w:r>
      <w:r>
        <w:rPr>
          <w:rFonts w:ascii="Times New Roman" w:cs="Times New Roman" w:eastAsia="Times New Roman" w:hAnsi="Times New Roman"/>
          <w:sz w:val="21"/>
          <w:szCs w:val="21"/>
          <w:color w:val="auto"/>
        </w:rPr>
        <w:t>. Executive acknowledges that Executive has had the opportunity to discuss this matter with and obtain advice from Executive’s private attorney, has had sufficient time to, and has carefully read and fully understands all the provisions of this Agreement, and is knowingly and voluntarily entering into this Agreement.</w:t>
      </w:r>
    </w:p>
    <w:p>
      <w:pPr>
        <w:spacing w:after="0" w:line="59" w:lineRule="exact"/>
        <w:rPr>
          <w:rFonts w:ascii="Times New Roman" w:cs="Times New Roman" w:eastAsia="Times New Roman" w:hAnsi="Times New Roman"/>
          <w:sz w:val="21"/>
          <w:szCs w:val="21"/>
          <w:color w:val="auto"/>
        </w:rPr>
      </w:pPr>
    </w:p>
    <w:p>
      <w:pPr>
        <w:ind w:firstLine="621"/>
        <w:spacing w:after="0" w:line="269" w:lineRule="auto"/>
        <w:tabs>
          <w:tab w:leader="none" w:pos="1236"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and each counterpart will have the same force and effect as an original and will constitute an effective, binding agreement on the part of each of the undersigned.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IS INTENTIONALLY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4904-1040-0258.4 - 12/2/2024 9:46:20 PM</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IN WITNESS WHEREOF, each of the parties has executed this Agreement, in the case of the Company by their duly authorized officers, as of the day and year first above written.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AADI BIOSCIENCE, INC.</w:t>
      </w:r>
    </w:p>
    <w:p>
      <w:pPr>
        <w:spacing w:after="0" w:line="110" w:lineRule="exact"/>
        <w:rPr>
          <w:sz w:val="20"/>
          <w:szCs w:val="20"/>
          <w:color w:val="auto"/>
        </w:rPr>
      </w:pPr>
    </w:p>
    <w:p>
      <w:pPr>
        <w:spacing w:after="0"/>
        <w:tabs>
          <w:tab w:leader="none" w:pos="540" w:val="left"/>
          <w:tab w:leader="none" w:pos="3000" w:val="left"/>
          <w:tab w:leader="none" w:pos="3700" w:val="left"/>
        </w:tabs>
        <w:rPr>
          <w:sz w:val="20"/>
          <w:szCs w:val="20"/>
          <w:color w:val="auto"/>
        </w:rPr>
      </w:pPr>
      <w:r>
        <w:rPr>
          <w:rFonts w:ascii="Times New Roman" w:cs="Times New Roman" w:eastAsia="Times New Roman" w:hAnsi="Times New Roman"/>
          <w:sz w:val="21"/>
          <w:szCs w:val="21"/>
          <w:color w:val="auto"/>
        </w:rPr>
        <w:t>By:</w:t>
        <w:tab/>
        <w:t>/s/ David Lennon</w:t>
      </w:r>
      <w:r>
        <w:rPr>
          <w:sz w:val="20"/>
          <w:szCs w:val="20"/>
          <w:color w:val="auto"/>
        </w:rPr>
        <w:tab/>
      </w: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0"/>
          <w:szCs w:val="20"/>
          <w:color w:val="auto"/>
        </w:rPr>
        <w:t>January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-13970</wp:posOffset>
            </wp:positionV>
            <wp:extent cx="32994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3299460" cy="8255"/>
                    </a:xfrm>
                    <a:prstGeom prst="rect">
                      <a:avLst/>
                    </a:prstGeom>
                    <a:noFill/>
                  </pic:spPr>
                </pic:pic>
              </a:graphicData>
            </a:graphic>
          </wp:anchor>
        </w:drawing>
      </w:r>
    </w:p>
    <w:p>
      <w:pPr>
        <w:spacing w:after="0" w:line="8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1"/>
          <w:szCs w:val="21"/>
          <w:color w:val="auto"/>
        </w:rPr>
        <w:t>Name:</w:t>
        <w:tab/>
        <w:t>David Lennon, Ph.D.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President and Chief Executive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w:t>
      </w:r>
    </w:p>
    <w:p>
      <w:pPr>
        <w:spacing w:after="0" w:line="123" w:lineRule="exact"/>
        <w:rPr>
          <w:sz w:val="20"/>
          <w:szCs w:val="20"/>
          <w:color w:val="auto"/>
        </w:rPr>
      </w:pPr>
    </w:p>
    <w:p>
      <w:pPr>
        <w:spacing w:after="0"/>
        <w:tabs>
          <w:tab w:leader="none" w:pos="2640" w:val="left"/>
          <w:tab w:leader="none" w:pos="3340" w:val="left"/>
        </w:tabs>
        <w:rPr>
          <w:sz w:val="20"/>
          <w:szCs w:val="20"/>
          <w:color w:val="auto"/>
        </w:rPr>
      </w:pPr>
      <w:r>
        <w:rPr>
          <w:rFonts w:ascii="Times New Roman" w:cs="Times New Roman" w:eastAsia="Times New Roman" w:hAnsi="Times New Roman"/>
          <w:sz w:val="21"/>
          <w:szCs w:val="21"/>
          <w:color w:val="auto"/>
        </w:rPr>
        <w:t>/s/ David Dornan</w:t>
      </w:r>
      <w:r>
        <w:rPr>
          <w:sz w:val="20"/>
          <w:szCs w:val="20"/>
          <w:color w:val="auto"/>
        </w:rPr>
        <w:tab/>
      </w: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0"/>
          <w:szCs w:val="20"/>
          <w:color w:val="auto"/>
        </w:rPr>
        <w:t>January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2918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David Dornan,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[SIGNATURE PAGE TO EXECUTIVE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4904-1040-0258.4 - 12/2/2024 9:46:20 PM</w:t>
      </w:r>
    </w:p>
    <w:p>
      <w:pPr>
        <w:sectPr>
          <w:pgSz w:w="11900" w:h="16838" w:orient="portrait"/>
          <w:cols w:equalWidth="0" w:num="1">
            <w:col w:w="11240"/>
          </w:cols>
          <w:pgMar w:left="320" w:top="1440" w:right="339" w:bottom="1440" w:gutter="0" w:footer="0" w:header="0"/>
          <w:type w:val="continuous"/>
        </w:sectPr>
      </w:pPr>
    </w:p>
    <w:bookmarkStart w:id="301" w:name="page302"/>
    <w:bookmarkEnd w:id="301"/>
    <w:p>
      <w:pPr>
        <w:spacing w:after="0" w:line="130"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21"/>
          <w:szCs w:val="21"/>
          <w:color w:val="auto"/>
        </w:rPr>
        <w:t>Schedule 1</w:t>
      </w:r>
    </w:p>
    <w:p>
      <w:pPr>
        <w:spacing w:after="0" w:line="200" w:lineRule="exact"/>
        <w:rPr>
          <w:sz w:val="20"/>
          <w:szCs w:val="20"/>
          <w:color w:val="auto"/>
        </w:rPr>
      </w:pPr>
    </w:p>
    <w:p>
      <w:pPr>
        <w:spacing w:after="0" w:line="267" w:lineRule="exact"/>
        <w:rPr>
          <w:sz w:val="20"/>
          <w:szCs w:val="20"/>
          <w:color w:val="auto"/>
        </w:rPr>
      </w:pPr>
    </w:p>
    <w:p>
      <w:pPr>
        <w:ind w:left="620" w:hanging="308"/>
        <w:spacing w:after="0"/>
        <w:tabs>
          <w:tab w:leader="none" w:pos="62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Consulting Agreement with Elevation Bio (Details TBC)</w:t>
      </w:r>
    </w:p>
    <w:p>
      <w:pPr>
        <w:spacing w:after="0" w:line="25" w:lineRule="exact"/>
        <w:rPr>
          <w:rFonts w:ascii="Times New Roman" w:cs="Times New Roman" w:eastAsia="Times New Roman" w:hAnsi="Times New Roman"/>
          <w:sz w:val="21"/>
          <w:szCs w:val="21"/>
          <w:color w:val="auto"/>
        </w:rPr>
      </w:pPr>
    </w:p>
    <w:p>
      <w:pPr>
        <w:ind w:left="620" w:hanging="308"/>
        <w:spacing w:after="0"/>
        <w:tabs>
          <w:tab w:leader="none" w:pos="62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Board service (Details TBC)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4904-1040-0258.4 - 12/2/2024 9:46:20 PM</w:t>
      </w:r>
    </w:p>
    <w:p>
      <w:pPr>
        <w:sectPr>
          <w:pgSz w:w="11900" w:h="16838" w:orient="portrait"/>
          <w:cols w:equalWidth="0" w:num="1">
            <w:col w:w="10139"/>
          </w:cols>
          <w:pgMar w:left="320" w:top="1440" w:right="1440"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WHITEHAWK THERAPEUTICS,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INSIDER TRADING POLICY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(Adopted on August 25, 2021; Amended on May 26, 2022, March 24, 2023 and February 28, 2025)</w:t>
      </w:r>
    </w:p>
    <w:p>
      <w:pPr>
        <w:spacing w:after="0" w:line="215" w:lineRule="exact"/>
        <w:rPr>
          <w:sz w:val="20"/>
          <w:szCs w:val="20"/>
          <w:color w:val="auto"/>
        </w:rPr>
      </w:pPr>
    </w:p>
    <w:p>
      <w:pPr>
        <w:ind w:left="620" w:hanging="617"/>
        <w:spacing w:after="0"/>
        <w:tabs>
          <w:tab w:leader="none" w:pos="620" w:val="left"/>
        </w:tabs>
        <w:numPr>
          <w:ilvl w:val="0"/>
          <w:numId w:val="2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POLICY OVERVIEW</w:t>
      </w:r>
    </w:p>
    <w:p>
      <w:pPr>
        <w:spacing w:after="0" w:line="103" w:lineRule="exact"/>
        <w:rPr>
          <w:sz w:val="20"/>
          <w:szCs w:val="20"/>
          <w:color w:val="auto"/>
        </w:rPr>
      </w:pPr>
    </w:p>
    <w:p>
      <w:pPr>
        <w:jc w:val="both"/>
        <w:ind w:firstLine="618"/>
        <w:spacing w:after="0" w:line="270" w:lineRule="auto"/>
        <w:rPr>
          <w:sz w:val="20"/>
          <w:szCs w:val="20"/>
          <w:color w:val="auto"/>
        </w:rPr>
      </w:pPr>
      <w:r>
        <w:rPr>
          <w:rFonts w:ascii="Times New Roman" w:cs="Times New Roman" w:eastAsia="Times New Roman" w:hAnsi="Times New Roman"/>
          <w:sz w:val="19"/>
          <w:szCs w:val="19"/>
          <w:color w:val="auto"/>
        </w:rPr>
        <w:t>Whitehawk Therapeutics,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adopted this Insider Trading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to help Covered Persons (as defined below) comply with the federal and state securities laws and regulations that govern trading in securities and to help the Company minimize its own legal and reputational risk.</w:t>
      </w:r>
    </w:p>
    <w:p>
      <w:pPr>
        <w:spacing w:after="0" w:line="52"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It is each Covered Person’s responsibility to understand and follow this Policy. Insider trading is illegal and a violation of this Policy. In addition to a Covered Person’s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Covered Persons’ and the Company’s reputations.</w:t>
      </w:r>
    </w:p>
    <w:p>
      <w:pPr>
        <w:spacing w:after="0" w:line="62"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For purposes of this Policy, the Company’s General Counsel serves as the Compliance Officer. The Compliance Officer may designate others, from time to time, to assist with the execution of his or her duties under this Policy.</w:t>
      </w:r>
    </w:p>
    <w:p>
      <w:pPr>
        <w:spacing w:after="0" w:line="36" w:lineRule="exact"/>
        <w:rPr>
          <w:sz w:val="20"/>
          <w:szCs w:val="20"/>
          <w:color w:val="auto"/>
        </w:rPr>
      </w:pPr>
    </w:p>
    <w:p>
      <w:pPr>
        <w:ind w:left="620" w:hanging="617"/>
        <w:spacing w:after="0"/>
        <w:tabs>
          <w:tab w:leader="none" w:pos="620" w:val="left"/>
        </w:tabs>
        <w:numPr>
          <w:ilvl w:val="0"/>
          <w:numId w:val="2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POLICY STATEMENT</w:t>
      </w:r>
    </w:p>
    <w:p>
      <w:pPr>
        <w:spacing w:after="0" w:line="120" w:lineRule="exact"/>
        <w:rPr>
          <w:rFonts w:ascii="Times New Roman" w:cs="Times New Roman" w:eastAsia="Times New Roman" w:hAnsi="Times New Roman"/>
          <w:sz w:val="19"/>
          <w:szCs w:val="19"/>
          <w:b w:val="1"/>
          <w:bCs w:val="1"/>
          <w:color w:val="auto"/>
        </w:rPr>
      </w:pPr>
    </w:p>
    <w:p>
      <w:pPr>
        <w:ind w:firstLine="621"/>
        <w:spacing w:after="0" w:line="282" w:lineRule="auto"/>
        <w:tabs>
          <w:tab w:leader="none" w:pos="1236"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Trading on Material Nonpublic Information</w:t>
      </w:r>
      <w:r>
        <w:rPr>
          <w:rFonts w:ascii="Times New Roman" w:cs="Times New Roman" w:eastAsia="Times New Roman" w:hAnsi="Times New Roman"/>
          <w:sz w:val="19"/>
          <w:szCs w:val="19"/>
          <w:color w:val="auto"/>
        </w:rPr>
        <w:t>. It is illegal for anyone to trade in securities on the basis of material nonpublic information. If Covered Persons are in possession of material nonpublic information about the Company, they are prohibited from:</w:t>
      </w:r>
    </w:p>
    <w:p>
      <w:pPr>
        <w:spacing w:after="0" w:line="40" w:lineRule="exact"/>
        <w:rPr>
          <w:rFonts w:ascii="Times New Roman" w:cs="Times New Roman" w:eastAsia="Times New Roman" w:hAnsi="Times New Roman"/>
          <w:sz w:val="19"/>
          <w:szCs w:val="19"/>
          <w:color w:val="auto"/>
        </w:rPr>
      </w:pPr>
    </w:p>
    <w:p>
      <w:pPr>
        <w:ind w:left="1540" w:hanging="610"/>
        <w:spacing w:after="0"/>
        <w:tabs>
          <w:tab w:leader="none" w:pos="1540" w:val="left"/>
        </w:tabs>
        <w:numPr>
          <w:ilvl w:val="2"/>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using it to transact in securities of the Company;</w:t>
      </w:r>
    </w:p>
    <w:p>
      <w:pPr>
        <w:spacing w:after="0" w:line="116" w:lineRule="exact"/>
        <w:rPr>
          <w:rFonts w:ascii="Times New Roman" w:cs="Times New Roman" w:eastAsia="Times New Roman" w:hAnsi="Times New Roman"/>
          <w:sz w:val="19"/>
          <w:szCs w:val="19"/>
          <w:color w:val="auto"/>
        </w:rPr>
      </w:pPr>
    </w:p>
    <w:p>
      <w:pPr>
        <w:ind w:left="1540" w:hanging="610"/>
        <w:spacing w:after="0" w:line="268" w:lineRule="auto"/>
        <w:tabs>
          <w:tab w:leader="none" w:pos="1540" w:val="left"/>
        </w:tabs>
        <w:numPr>
          <w:ilvl w:val="2"/>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disclosing it to other directors, officers, employees, consultants, contractors, or advisors whose roles do not require them to have the information;</w:t>
      </w:r>
    </w:p>
    <w:p>
      <w:pPr>
        <w:spacing w:after="0" w:line="65" w:lineRule="exact"/>
        <w:rPr>
          <w:rFonts w:ascii="Times New Roman" w:cs="Times New Roman" w:eastAsia="Times New Roman" w:hAnsi="Times New Roman"/>
          <w:sz w:val="19"/>
          <w:szCs w:val="19"/>
          <w:color w:val="auto"/>
        </w:rPr>
      </w:pPr>
    </w:p>
    <w:p>
      <w:pPr>
        <w:ind w:left="1540" w:hanging="610"/>
        <w:spacing w:after="0" w:line="268" w:lineRule="auto"/>
        <w:tabs>
          <w:tab w:leader="none" w:pos="1529" w:val="left"/>
        </w:tabs>
        <w:numPr>
          <w:ilvl w:val="2"/>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disclosing it to anyone outside of the Company, including family, friends, business associates, investors or consulting firms, without prior written authorization from the Compliance Officer; or</w:t>
      </w:r>
    </w:p>
    <w:p>
      <w:pPr>
        <w:spacing w:after="0" w:line="65" w:lineRule="exact"/>
        <w:rPr>
          <w:rFonts w:ascii="Times New Roman" w:cs="Times New Roman" w:eastAsia="Times New Roman" w:hAnsi="Times New Roman"/>
          <w:sz w:val="19"/>
          <w:szCs w:val="19"/>
          <w:color w:val="auto"/>
        </w:rPr>
      </w:pPr>
    </w:p>
    <w:p>
      <w:pPr>
        <w:ind w:left="1540" w:hanging="610"/>
        <w:spacing w:after="0"/>
        <w:tabs>
          <w:tab w:leader="none" w:pos="1540" w:val="left"/>
        </w:tabs>
        <w:numPr>
          <w:ilvl w:val="2"/>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using it to express an opinion or make a recommendation about trading in the Company’s securities.</w:t>
      </w:r>
    </w:p>
    <w:p>
      <w:pPr>
        <w:spacing w:after="0" w:line="116"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In addition, if a Covered Person learns of material nonpublic information through such Covered Person’s service with the Company that could be expected to affect the trading price of the securities of another company, that Covered Person cannot (x) use that information to trade, directly or indirectly through others, or (y) provide that information to another person in order to trade, in the securities of that other company. Any such action will be deemed a violation of this Policy.</w:t>
      </w:r>
    </w:p>
    <w:p>
      <w:pPr>
        <w:spacing w:after="0" w:line="80" w:lineRule="exact"/>
        <w:rPr>
          <w:sz w:val="20"/>
          <w:szCs w:val="20"/>
          <w:color w:val="auto"/>
        </w:rPr>
      </w:pPr>
    </w:p>
    <w:p>
      <w:pPr>
        <w:jc w:val="both"/>
        <w:ind w:firstLine="621"/>
        <w:spacing w:after="0" w:line="259" w:lineRule="auto"/>
        <w:tabs>
          <w:tab w:leader="none" w:pos="1236"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Disclosure of Confidential Information</w:t>
      </w:r>
      <w:r>
        <w:rPr>
          <w:rFonts w:ascii="Times New Roman" w:cs="Times New Roman" w:eastAsia="Times New Roman" w:hAnsi="Times New Roman"/>
          <w:sz w:val="19"/>
          <w:szCs w:val="19"/>
          <w:color w:val="auto"/>
        </w:rPr>
        <w:t>. Covered Persons may not at any time disclose material nonpublic information about the Company or about another company that they obtained in connection with their service with the Company to friends, family members or any other person or entity that the Company has not authorized to know such information. In addition, Covered Persons must handle the confidential information of others in accordance with any related non-disclosure agreements</w:t>
      </w:r>
    </w:p>
    <w:p>
      <w:pPr>
        <w:sectPr>
          <w:pgSz w:w="11900" w:h="16838" w:orient="portrait"/>
          <w:cols w:equalWidth="0" w:num="1">
            <w:col w:w="11240"/>
          </w:cols>
          <w:pgMar w:left="320" w:top="114" w:right="339" w:bottom="1440" w:gutter="0" w:footer="0" w:header="0"/>
        </w:sectPr>
      </w:pPr>
    </w:p>
    <w:bookmarkStart w:id="303" w:name="page304"/>
    <w:bookmarkEnd w:id="303"/>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other obligations that the Company has with them and limit their use of the confidential information to the purpose for which it was disclosed.</w:t>
      </w:r>
    </w:p>
    <w:p>
      <w:pPr>
        <w:spacing w:after="0" w:line="116"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If Covered Persons receive an inquiry for information from someone outside of the Company, such as a stock analyst, or a request for sensitive information outside the ordinary course of business from someone outside of the Company, such as a business partner, vendor, supplier or salesperson, then they should refer the inquiry to the Compliance Officer or Chief Executive Officer. Covered Persons who respond to a request themselves may violate this Policy and, in some circumstances, the law. Covered Persons should consult the Company’s External Communications Policy for more details.</w:t>
      </w:r>
    </w:p>
    <w:p>
      <w:pPr>
        <w:spacing w:after="0" w:line="76" w:lineRule="exact"/>
        <w:rPr>
          <w:sz w:val="20"/>
          <w:szCs w:val="20"/>
          <w:color w:val="auto"/>
        </w:rPr>
      </w:pPr>
    </w:p>
    <w:p>
      <w:pPr>
        <w:jc w:val="both"/>
        <w:ind w:firstLine="621"/>
        <w:spacing w:after="0" w:line="256" w:lineRule="auto"/>
        <w:tabs>
          <w:tab w:leader="none" w:pos="1236"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 of Material Nonpublic Information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Material information</w:t>
      </w:r>
      <w:r>
        <w:rPr>
          <w:rFonts w:ascii="Times New Roman" w:cs="Times New Roman" w:eastAsia="Times New Roman" w:hAnsi="Times New Roman"/>
          <w:sz w:val="19"/>
          <w:szCs w:val="19"/>
          <w:color w:val="auto"/>
        </w:rPr>
        <w:t>” means information that a reasonable investor would be substantially likely to consider important in deciding whether to buy, hold or sell securities of the Company or view as significantly altering the total mix of information available in the marketplace about the Company as an issuer of the securities. In general, any information that could reasonably be expected to affect the market price of a security is likely to be material. Either positive or negative information may be material.</w:t>
      </w:r>
    </w:p>
    <w:p>
      <w:pPr>
        <w:spacing w:after="0" w:line="76" w:lineRule="exact"/>
        <w:rPr>
          <w:sz w:val="20"/>
          <w:szCs w:val="20"/>
          <w:color w:val="auto"/>
        </w:rPr>
      </w:pPr>
    </w:p>
    <w:p>
      <w:pPr>
        <w:ind w:firstLine="618"/>
        <w:spacing w:after="0" w:line="282" w:lineRule="auto"/>
        <w:rPr>
          <w:sz w:val="20"/>
          <w:szCs w:val="20"/>
          <w:color w:val="auto"/>
        </w:rPr>
      </w:pPr>
      <w:r>
        <w:rPr>
          <w:rFonts w:ascii="Times New Roman" w:cs="Times New Roman" w:eastAsia="Times New Roman" w:hAnsi="Times New Roman"/>
          <w:sz w:val="19"/>
          <w:szCs w:val="19"/>
          <w:color w:val="auto"/>
        </w:rPr>
        <w:t>It is not possible to define all categories of “material” information. However, some examples of information that could be regarded as material include, but are not limited to:</w:t>
      </w:r>
    </w:p>
    <w:p>
      <w:pPr>
        <w:spacing w:after="0" w:line="40" w:lineRule="exact"/>
        <w:rPr>
          <w:sz w:val="20"/>
          <w:szCs w:val="20"/>
          <w:color w:val="auto"/>
        </w:rPr>
      </w:pPr>
    </w:p>
    <w:p>
      <w:pPr>
        <w:ind w:left="1540" w:hanging="610"/>
        <w:spacing w:after="0" w:line="282" w:lineRule="auto"/>
        <w:tabs>
          <w:tab w:leader="none" w:pos="1529"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results, key metrics, financial condition, earnings pre-announcements, guidance, projections or forecasts, particularly if inconsistent with the Company’s guidance or the expectations of the investment community;</w:t>
      </w:r>
    </w:p>
    <w:p>
      <w:pPr>
        <w:spacing w:after="0" w:line="40" w:lineRule="exact"/>
        <w:rPr>
          <w:rFonts w:ascii="Times New Roman" w:cs="Times New Roman" w:eastAsia="Times New Roman" w:hAnsi="Times New Roman"/>
          <w:sz w:val="19"/>
          <w:szCs w:val="19"/>
          <w:color w:val="auto"/>
        </w:rPr>
      </w:pPr>
    </w:p>
    <w:p>
      <w:pPr>
        <w:ind w:left="1540" w:hanging="610"/>
        <w:spacing w:after="0"/>
        <w:tabs>
          <w:tab w:leader="none" w:pos="15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restatements of financial results, or material impairments, write-offs or restructurings;</w:t>
      </w:r>
    </w:p>
    <w:p>
      <w:pPr>
        <w:spacing w:after="0" w:line="116" w:lineRule="exact"/>
        <w:rPr>
          <w:rFonts w:ascii="Times New Roman" w:cs="Times New Roman" w:eastAsia="Times New Roman" w:hAnsi="Times New Roman"/>
          <w:sz w:val="19"/>
          <w:szCs w:val="19"/>
          <w:color w:val="auto"/>
        </w:rPr>
      </w:pPr>
    </w:p>
    <w:p>
      <w:pPr>
        <w:ind w:left="1540" w:hanging="610"/>
        <w:spacing w:after="0"/>
        <w:tabs>
          <w:tab w:leader="none" w:pos="15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independent auditors, or notification that the Company may no longer rely on an audit report;</w:t>
      </w:r>
    </w:p>
    <w:p>
      <w:pPr>
        <w:spacing w:after="0" w:line="116" w:lineRule="exact"/>
        <w:rPr>
          <w:rFonts w:ascii="Times New Roman" w:cs="Times New Roman" w:eastAsia="Times New Roman" w:hAnsi="Times New Roman"/>
          <w:sz w:val="19"/>
          <w:szCs w:val="19"/>
          <w:color w:val="auto"/>
        </w:rPr>
      </w:pPr>
    </w:p>
    <w:p>
      <w:pPr>
        <w:ind w:left="1540" w:hanging="610"/>
        <w:spacing w:after="0"/>
        <w:tabs>
          <w:tab w:leader="none" w:pos="15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plans or budgets;</w:t>
      </w:r>
    </w:p>
    <w:p>
      <w:pPr>
        <w:spacing w:after="0" w:line="103" w:lineRule="exact"/>
        <w:rPr>
          <w:rFonts w:ascii="Times New Roman" w:cs="Times New Roman" w:eastAsia="Times New Roman" w:hAnsi="Times New Roman"/>
          <w:sz w:val="19"/>
          <w:szCs w:val="19"/>
          <w:color w:val="auto"/>
        </w:rPr>
      </w:pPr>
    </w:p>
    <w:p>
      <w:pPr>
        <w:ind w:left="1540" w:hanging="610"/>
        <w:spacing w:after="0"/>
        <w:tabs>
          <w:tab w:leader="none" w:pos="15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creation of significant financial obligations, or any significant default under or acceleration of any financial obligation;</w:t>
      </w:r>
    </w:p>
    <w:p>
      <w:pPr>
        <w:spacing w:after="0" w:line="116" w:lineRule="exact"/>
        <w:rPr>
          <w:rFonts w:ascii="Times New Roman" w:cs="Times New Roman" w:eastAsia="Times New Roman" w:hAnsi="Times New Roman"/>
          <w:sz w:val="19"/>
          <w:szCs w:val="19"/>
          <w:color w:val="auto"/>
        </w:rPr>
      </w:pPr>
    </w:p>
    <w:p>
      <w:pPr>
        <w:ind w:left="1540" w:hanging="610"/>
        <w:spacing w:after="0"/>
        <w:tabs>
          <w:tab w:leader="none" w:pos="15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impending bankruptcy or financial liquidity problems;</w:t>
      </w:r>
    </w:p>
    <w:p>
      <w:pPr>
        <w:spacing w:after="0" w:line="103" w:lineRule="exact"/>
        <w:rPr>
          <w:rFonts w:ascii="Times New Roman" w:cs="Times New Roman" w:eastAsia="Times New Roman" w:hAnsi="Times New Roman"/>
          <w:sz w:val="19"/>
          <w:szCs w:val="19"/>
          <w:color w:val="auto"/>
        </w:rPr>
      </w:pPr>
    </w:p>
    <w:p>
      <w:pPr>
        <w:ind w:left="1540" w:hanging="610"/>
        <w:spacing w:after="0" w:line="282" w:lineRule="auto"/>
        <w:tabs>
          <w:tab w:leader="none" w:pos="15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40" w:lineRule="exact"/>
        <w:rPr>
          <w:rFonts w:ascii="Times New Roman" w:cs="Times New Roman" w:eastAsia="Times New Roman" w:hAnsi="Times New Roman"/>
          <w:sz w:val="19"/>
          <w:szCs w:val="19"/>
          <w:color w:val="auto"/>
        </w:rPr>
      </w:pPr>
    </w:p>
    <w:p>
      <w:pPr>
        <w:ind w:left="1540" w:hanging="610"/>
        <w:spacing w:after="0" w:line="282" w:lineRule="auto"/>
        <w:tabs>
          <w:tab w:leader="none" w:pos="15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information relating to the operation of a product or service, such as new products or services, major modifications or performance issues, defects or recalls, significant pricing changes or other announcements of a significant nature;</w:t>
      </w:r>
    </w:p>
    <w:p>
      <w:pPr>
        <w:spacing w:after="0" w:line="53" w:lineRule="exact"/>
        <w:rPr>
          <w:rFonts w:ascii="Times New Roman" w:cs="Times New Roman" w:eastAsia="Times New Roman" w:hAnsi="Times New Roman"/>
          <w:sz w:val="19"/>
          <w:szCs w:val="19"/>
          <w:color w:val="auto"/>
        </w:rPr>
      </w:pPr>
    </w:p>
    <w:p>
      <w:pPr>
        <w:ind w:left="1540" w:hanging="610"/>
        <w:spacing w:after="0" w:line="268" w:lineRule="auto"/>
        <w:tabs>
          <w:tab w:leader="none" w:pos="1536"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developments in research and development, relating to the Company’s clinical studies, including, without limitation, status, results and communications with regulatory agencies, or relating to intellectual property;</w:t>
      </w:r>
    </w:p>
    <w:p>
      <w:pPr>
        <w:spacing w:after="0" w:line="65" w:lineRule="exact"/>
        <w:rPr>
          <w:rFonts w:ascii="Times New Roman" w:cs="Times New Roman" w:eastAsia="Times New Roman" w:hAnsi="Times New Roman"/>
          <w:sz w:val="19"/>
          <w:szCs w:val="19"/>
          <w:color w:val="auto"/>
        </w:rPr>
      </w:pPr>
    </w:p>
    <w:p>
      <w:pPr>
        <w:ind w:left="1540" w:hanging="610"/>
        <w:spacing w:after="0" w:line="268" w:lineRule="auto"/>
        <w:tabs>
          <w:tab w:leader="none" w:pos="1536"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legal or regulatory developments, whether positive or negative, actual or threatened, including litigation or resolving litigation;</w:t>
      </w:r>
    </w:p>
    <w:p>
      <w:pPr>
        <w:spacing w:after="0" w:line="65" w:lineRule="exact"/>
        <w:rPr>
          <w:rFonts w:ascii="Times New Roman" w:cs="Times New Roman" w:eastAsia="Times New Roman" w:hAnsi="Times New Roman"/>
          <w:sz w:val="19"/>
          <w:szCs w:val="19"/>
          <w:color w:val="auto"/>
        </w:rPr>
      </w:pPr>
    </w:p>
    <w:p>
      <w:pPr>
        <w:jc w:val="both"/>
        <w:ind w:left="1540" w:hanging="610"/>
        <w:spacing w:after="0" w:line="261" w:lineRule="auto"/>
        <w:tabs>
          <w:tab w:leader="none" w:pos="154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21" w:lineRule="exact"/>
        <w:rPr>
          <w:sz w:val="20"/>
          <w:szCs w:val="20"/>
          <w:color w:val="auto"/>
        </w:rPr>
      </w:pPr>
    </w:p>
    <w:p>
      <w:pPr>
        <w:ind w:left="1540" w:hanging="610"/>
        <w:spacing w:after="0" w:line="282" w:lineRule="auto"/>
        <w:tabs>
          <w:tab w:leader="none" w:pos="1536"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40" w:lineRule="exact"/>
        <w:rPr>
          <w:rFonts w:ascii="Times New Roman" w:cs="Times New Roman" w:eastAsia="Times New Roman" w:hAnsi="Times New Roman"/>
          <w:sz w:val="19"/>
          <w:szCs w:val="19"/>
          <w:color w:val="auto"/>
        </w:rPr>
      </w:pPr>
    </w:p>
    <w:p>
      <w:pPr>
        <w:ind w:left="1540" w:hanging="610"/>
        <w:spacing w:after="0"/>
        <w:tabs>
          <w:tab w:leader="none" w:pos="154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major personnel changes, such as changes in senior management or employee layoffs;</w:t>
      </w:r>
    </w:p>
    <w:p>
      <w:pPr>
        <w:spacing w:after="0" w:line="116" w:lineRule="exact"/>
        <w:rPr>
          <w:rFonts w:ascii="Times New Roman" w:cs="Times New Roman" w:eastAsia="Times New Roman" w:hAnsi="Times New Roman"/>
          <w:sz w:val="19"/>
          <w:szCs w:val="19"/>
          <w:color w:val="auto"/>
        </w:rPr>
      </w:pPr>
    </w:p>
    <w:p>
      <w:pPr>
        <w:ind w:left="1540" w:hanging="610"/>
        <w:spacing w:after="0"/>
        <w:tabs>
          <w:tab w:leader="none" w:pos="154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data breaches or other cybersecurity events;</w:t>
      </w:r>
    </w:p>
    <w:p>
      <w:pPr>
        <w:spacing w:after="0" w:line="103" w:lineRule="exact"/>
        <w:rPr>
          <w:rFonts w:ascii="Times New Roman" w:cs="Times New Roman" w:eastAsia="Times New Roman" w:hAnsi="Times New Roman"/>
          <w:sz w:val="19"/>
          <w:szCs w:val="19"/>
          <w:color w:val="auto"/>
        </w:rPr>
      </w:pPr>
    </w:p>
    <w:p>
      <w:pPr>
        <w:ind w:left="1540" w:hanging="610"/>
        <w:spacing w:after="0"/>
        <w:tabs>
          <w:tab w:leader="none" w:pos="154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updates regarding any prior material disclosure that has materially changed; and</w:t>
      </w:r>
    </w:p>
    <w:p>
      <w:pPr>
        <w:spacing w:after="0" w:line="116" w:lineRule="exact"/>
        <w:rPr>
          <w:rFonts w:ascii="Times New Roman" w:cs="Times New Roman" w:eastAsia="Times New Roman" w:hAnsi="Times New Roman"/>
          <w:sz w:val="19"/>
          <w:szCs w:val="19"/>
          <w:color w:val="auto"/>
        </w:rPr>
      </w:pPr>
    </w:p>
    <w:p>
      <w:pPr>
        <w:ind w:left="1540" w:hanging="610"/>
        <w:spacing w:after="0"/>
        <w:tabs>
          <w:tab w:leader="none" w:pos="154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of a special blackout period.</w:t>
      </w:r>
    </w:p>
    <w:p>
      <w:pPr>
        <w:spacing w:after="0" w:line="112" w:lineRule="exact"/>
        <w:rPr>
          <w:sz w:val="20"/>
          <w:szCs w:val="20"/>
          <w:color w:val="auto"/>
        </w:rPr>
      </w:pPr>
    </w:p>
    <w:p>
      <w:pPr>
        <w:jc w:val="both"/>
        <w:ind w:firstLine="61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nonpublic information</w:t>
      </w:r>
      <w:r>
        <w:rPr>
          <w:rFonts w:ascii="Times New Roman" w:cs="Times New Roman" w:eastAsia="Times New Roman" w:hAnsi="Times New Roman"/>
          <w:sz w:val="19"/>
          <w:szCs w:val="19"/>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spacing w:after="0" w:line="58"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After the release of information, a reasonable period of time must elapse in order to provide the public an opportunity to absorb and evaluate the information provided. As a general rule, at least one full trading day must pass after the dissemination of information before such information is considered public.</w:t>
      </w:r>
    </w:p>
    <w:p>
      <w:pPr>
        <w:spacing w:after="0" w:line="54"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As a rule of thumb, if Covered Persons think something might be material nonpublic information, it probably is. Covered Persons can always reach out to the Compliance Officer if they have questions.</w:t>
      </w:r>
    </w:p>
    <w:p>
      <w:pPr>
        <w:spacing w:after="0" w:line="36" w:lineRule="exact"/>
        <w:rPr>
          <w:sz w:val="20"/>
          <w:szCs w:val="20"/>
          <w:color w:val="auto"/>
        </w:rPr>
      </w:pPr>
    </w:p>
    <w:p>
      <w:pPr>
        <w:ind w:left="620" w:hanging="617"/>
        <w:spacing w:after="0"/>
        <w:tabs>
          <w:tab w:leader="none" w:pos="620" w:val="left"/>
        </w:tabs>
        <w:numPr>
          <w:ilvl w:val="0"/>
          <w:numId w:val="26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PERSONS COVERED BY THIS POLICY</w:t>
      </w:r>
    </w:p>
    <w:p>
      <w:pPr>
        <w:spacing w:after="0" w:line="120"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This Policy applies to directors, officers, employees, consultants, contractors, or advisors of the Company, both inside and outside of the United States (collectively, “</w:t>
      </w:r>
      <w:r>
        <w:rPr>
          <w:rFonts w:ascii="Times New Roman" w:cs="Times New Roman" w:eastAsia="Times New Roman" w:hAnsi="Times New Roman"/>
          <w:sz w:val="19"/>
          <w:szCs w:val="19"/>
          <w:b w:val="1"/>
          <w:bCs w:val="1"/>
          <w:color w:val="auto"/>
        </w:rPr>
        <w:t>Covered Persons</w:t>
      </w:r>
      <w:r>
        <w:rPr>
          <w:rFonts w:ascii="Times New Roman" w:cs="Times New Roman" w:eastAsia="Times New Roman" w:hAnsi="Times New Roman"/>
          <w:sz w:val="19"/>
          <w:szCs w:val="19"/>
          <w:color w:val="auto"/>
        </w:rPr>
        <w:t>”). To the extent applicable to Covered Persons, this Policy also covers their immediate family members, persons with whom they share a household, persons who are their economic dependents and any entity whose transactions in securities they influence, direct or control. Covered Persons are responsible for making sure that these other individuals and entities comply with this Policy.</w:t>
      </w:r>
    </w:p>
    <w:p>
      <w:pPr>
        <w:spacing w:after="0" w:line="61"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This Policy continues to apply even if a Covered Person leaves the Company or are otherwise no longer affiliated with or providing services to the Company, for as long as the Covered Person remains in possession of material nonpublic information. In addition, if Covered Persons are subject to a trading blackout under this Policy at the time they leave, or stop providing services to, the Company, they must abide by the applicable trading restrictions until at least the end of the relevant blackout period.</w:t>
      </w:r>
    </w:p>
    <w:p>
      <w:pPr>
        <w:spacing w:after="0" w:line="70" w:lineRule="exact"/>
        <w:rPr>
          <w:sz w:val="20"/>
          <w:szCs w:val="20"/>
          <w:color w:val="auto"/>
        </w:rPr>
      </w:pPr>
    </w:p>
    <w:p>
      <w:pPr>
        <w:ind w:left="620" w:hanging="617"/>
        <w:spacing w:after="0"/>
        <w:tabs>
          <w:tab w:leader="none" w:pos="620" w:val="left"/>
        </w:tabs>
        <w:numPr>
          <w:ilvl w:val="0"/>
          <w:numId w:val="26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TRADING COVERED BY THIS POLICY</w:t>
      </w:r>
    </w:p>
    <w:p>
      <w:pPr>
        <w:spacing w:after="0" w:line="103" w:lineRule="exact"/>
        <w:rPr>
          <w:sz w:val="20"/>
          <w:szCs w:val="20"/>
          <w:color w:val="auto"/>
        </w:rPr>
      </w:pPr>
    </w:p>
    <w:p>
      <w:pPr>
        <w:jc w:val="both"/>
        <w:ind w:firstLine="618"/>
        <w:spacing w:after="0" w:line="263" w:lineRule="auto"/>
        <w:rPr>
          <w:sz w:val="20"/>
          <w:szCs w:val="20"/>
          <w:color w:val="auto"/>
        </w:rPr>
      </w:pPr>
      <w:r>
        <w:rPr>
          <w:rFonts w:ascii="Times New Roman" w:cs="Times New Roman" w:eastAsia="Times New Roman" w:hAnsi="Times New Roman"/>
          <w:sz w:val="19"/>
          <w:szCs w:val="19"/>
          <w:color w:val="auto"/>
        </w:rPr>
        <w:t>Except as discussed in Section H (</w:t>
      </w:r>
      <w:r>
        <w:rPr>
          <w:rFonts w:ascii="Times New Roman" w:cs="Times New Roman" w:eastAsia="Times New Roman" w:hAnsi="Times New Roman"/>
          <w:sz w:val="19"/>
          <w:szCs w:val="19"/>
          <w:i w:val="1"/>
          <w:iCs w:val="1"/>
          <w:color w:val="auto"/>
        </w:rPr>
        <w:t>Exceptions to Trading Restrictions</w:t>
      </w:r>
      <w:r>
        <w:rPr>
          <w:rFonts w:ascii="Times New Roman" w:cs="Times New Roman" w:eastAsia="Times New Roman" w:hAnsi="Times New Roman"/>
          <w:sz w:val="19"/>
          <w:szCs w:val="19"/>
          <w:color w:val="auto"/>
        </w:rPr>
        <w:t>), this Policy applies to all transactions involving the Company’s securities or other companies’ securities for which Covered Persons possess material nonpublic information obtained in connection with their service with the Company. This Policy therefore applies to:</w:t>
      </w:r>
    </w:p>
    <w:p>
      <w:pPr>
        <w:spacing w:after="0" w:line="71" w:lineRule="exact"/>
        <w:rPr>
          <w:sz w:val="20"/>
          <w:szCs w:val="20"/>
          <w:color w:val="auto"/>
        </w:rPr>
      </w:pPr>
    </w:p>
    <w:p>
      <w:pPr>
        <w:jc w:val="both"/>
        <w:ind w:firstLine="621"/>
        <w:spacing w:after="0" w:line="261" w:lineRule="auto"/>
        <w:tabs>
          <w:tab w:leader="none" w:pos="1236" w:val="left"/>
        </w:tabs>
        <w:numPr>
          <w:ilvl w:val="0"/>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33</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(including transactions made on behalf of Covered Persons by money managers), and any offer to engage in the foregoing transactions;</w:t>
      </w:r>
    </w:p>
    <w:p>
      <w:pPr>
        <w:spacing w:after="0" w:line="116" w:lineRule="exact"/>
        <w:rPr>
          <w:sz w:val="20"/>
          <w:szCs w:val="20"/>
          <w:color w:val="auto"/>
        </w:rPr>
      </w:pPr>
    </w:p>
    <w:p>
      <w:pPr>
        <w:ind w:left="1240" w:hanging="619"/>
        <w:spacing w:after="0"/>
        <w:tabs>
          <w:tab w:leader="none" w:pos="1240"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 in the form of a gift of any securities of the Company;</w:t>
      </w:r>
    </w:p>
    <w:p>
      <w:pPr>
        <w:spacing w:after="0" w:line="103" w:lineRule="exact"/>
        <w:rPr>
          <w:rFonts w:ascii="Times New Roman" w:cs="Times New Roman" w:eastAsia="Times New Roman" w:hAnsi="Times New Roman"/>
          <w:sz w:val="19"/>
          <w:szCs w:val="19"/>
          <w:color w:val="auto"/>
        </w:rPr>
      </w:pPr>
    </w:p>
    <w:p>
      <w:pPr>
        <w:ind w:left="1280" w:hanging="659"/>
        <w:spacing w:after="0"/>
        <w:tabs>
          <w:tab w:leader="none" w:pos="1280"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distribution to holders of interests in an entity if the entity is subject to this Policy; and</w:t>
      </w:r>
    </w:p>
    <w:p>
      <w:pPr>
        <w:spacing w:after="0" w:line="116" w:lineRule="exact"/>
        <w:rPr>
          <w:rFonts w:ascii="Times New Roman" w:cs="Times New Roman" w:eastAsia="Times New Roman" w:hAnsi="Times New Roman"/>
          <w:sz w:val="19"/>
          <w:szCs w:val="19"/>
          <w:color w:val="auto"/>
        </w:rPr>
      </w:pPr>
    </w:p>
    <w:p>
      <w:pPr>
        <w:jc w:val="both"/>
        <w:ind w:firstLine="621"/>
        <w:spacing w:after="0" w:line="261" w:lineRule="auto"/>
        <w:tabs>
          <w:tab w:leader="none" w:pos="1236"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arrangement that generates gains or losses from or based on changes in the prices of such securities including derivative securities (for example, exchange-traded put or call options, swaps, caps and collars), hedging and pledging transactions, short sales and certain arrangements regarding participation in benefit plans and any offer in the foregoing transactions.</w:t>
      </w:r>
    </w:p>
    <w:p>
      <w:pPr>
        <w:spacing w:after="0" w:line="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There are no exceptions from insider trading laws or this Policy based on the size of the transaction or the type of consideration received.</w:t>
      </w:r>
    </w:p>
    <w:p>
      <w:pPr>
        <w:spacing w:after="0" w:line="99" w:lineRule="exact"/>
        <w:rPr>
          <w:sz w:val="20"/>
          <w:szCs w:val="20"/>
          <w:color w:val="auto"/>
        </w:rPr>
      </w:pPr>
    </w:p>
    <w:p>
      <w:pPr>
        <w:ind w:left="620" w:hanging="617"/>
        <w:spacing w:after="0"/>
        <w:tabs>
          <w:tab w:leader="none" w:pos="620" w:val="left"/>
        </w:tabs>
        <w:numPr>
          <w:ilvl w:val="0"/>
          <w:numId w:val="27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TRADING RESTRICTIONS</w:t>
      </w:r>
    </w:p>
    <w:p>
      <w:pPr>
        <w:spacing w:after="0" w:line="120" w:lineRule="exact"/>
        <w:rPr>
          <w:rFonts w:ascii="Times New Roman" w:cs="Times New Roman" w:eastAsia="Times New Roman" w:hAnsi="Times New Roman"/>
          <w:sz w:val="19"/>
          <w:szCs w:val="19"/>
          <w:b w:val="1"/>
          <w:bCs w:val="1"/>
          <w:color w:val="auto"/>
        </w:rPr>
      </w:pPr>
    </w:p>
    <w:p>
      <w:pPr>
        <w:ind w:left="6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Subject to the exceptions set forth below, this Policy restricts trading during certain periods and by certain people as follows:</w:t>
      </w:r>
    </w:p>
    <w:p>
      <w:pPr>
        <w:spacing w:after="0" w:line="99" w:lineRule="exact"/>
        <w:rPr>
          <w:rFonts w:ascii="Times New Roman" w:cs="Times New Roman" w:eastAsia="Times New Roman" w:hAnsi="Times New Roman"/>
          <w:sz w:val="19"/>
          <w:szCs w:val="19"/>
          <w:b w:val="1"/>
          <w:bCs w:val="1"/>
          <w:color w:val="auto"/>
        </w:rPr>
      </w:pPr>
    </w:p>
    <w:p>
      <w:pPr>
        <w:jc w:val="both"/>
        <w:ind w:firstLine="621"/>
        <w:spacing w:after="0" w:line="255" w:lineRule="auto"/>
        <w:tabs>
          <w:tab w:leader="none" w:pos="1236"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Quarterly Blackout Periods</w:t>
      </w:r>
      <w:r>
        <w:rPr>
          <w:rFonts w:ascii="Times New Roman" w:cs="Times New Roman" w:eastAsia="Times New Roman" w:hAnsi="Times New Roman"/>
          <w:sz w:val="19"/>
          <w:szCs w:val="19"/>
          <w:color w:val="auto"/>
        </w:rPr>
        <w:t>. Except as discussed in Section H (</w:t>
      </w:r>
      <w:r>
        <w:rPr>
          <w:rFonts w:ascii="Times New Roman" w:cs="Times New Roman" w:eastAsia="Times New Roman" w:hAnsi="Times New Roman"/>
          <w:sz w:val="19"/>
          <w:szCs w:val="19"/>
          <w:i w:val="1"/>
          <w:iCs w:val="1"/>
          <w:color w:val="auto"/>
        </w:rPr>
        <w:t>Exceptions to Trading Restrictions</w:t>
      </w:r>
      <w:r>
        <w:rPr>
          <w:rFonts w:ascii="Times New Roman" w:cs="Times New Roman" w:eastAsia="Times New Roman" w:hAnsi="Times New Roman"/>
          <w:sz w:val="19"/>
          <w:szCs w:val="19"/>
          <w:color w:val="auto"/>
        </w:rPr>
        <w:t>), all Covered Persons identified as being subject to quarterly blackout periods on the list of restricted persons maintained by the Compliance Officer (“</w:t>
      </w:r>
      <w:r>
        <w:rPr>
          <w:rFonts w:ascii="Times New Roman" w:cs="Times New Roman" w:eastAsia="Times New Roman" w:hAnsi="Times New Roman"/>
          <w:sz w:val="19"/>
          <w:szCs w:val="19"/>
          <w:b w:val="1"/>
          <w:bCs w:val="1"/>
          <w:color w:val="auto"/>
        </w:rPr>
        <w:t>Restricted List</w:t>
      </w:r>
      <w:r>
        <w:rPr>
          <w:rFonts w:ascii="Times New Roman" w:cs="Times New Roman" w:eastAsia="Times New Roman" w:hAnsi="Times New Roman"/>
          <w:sz w:val="19"/>
          <w:szCs w:val="19"/>
          <w:color w:val="auto"/>
        </w:rPr>
        <w:t>”) must refrain from conducting transactions involving the Company’s securities during quarterly blackout periods. Such persons will be informed by the Compliance Officer that they are listed on the Restricted List as being subject to quarterly blackout periods. To the extent applicable to Covered Persons, quarterly blackout periods also cover their immediate family members, persons with whom they share a household, persons who are their economic dependents, and any entity whose transactions in securities they influence, direct or control.</w:t>
      </w:r>
    </w:p>
    <w:p>
      <w:pPr>
        <w:spacing w:after="0" w:line="79"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Quarterly blackout periods will start at the end of the last day of each fiscal quarter and will end at the start of the second full trading day following the Company’s earnings release.</w:t>
      </w:r>
    </w:p>
    <w:p>
      <w:pPr>
        <w:spacing w:after="0" w:line="40" w:lineRule="exact"/>
        <w:rPr>
          <w:sz w:val="20"/>
          <w:szCs w:val="20"/>
          <w:color w:val="auto"/>
        </w:rPr>
      </w:pPr>
    </w:p>
    <w:p>
      <w:pPr>
        <w:jc w:val="both"/>
        <w:ind w:firstLine="618"/>
        <w:spacing w:after="0" w:line="272" w:lineRule="auto"/>
        <w:rPr>
          <w:sz w:val="20"/>
          <w:szCs w:val="20"/>
          <w:color w:val="auto"/>
        </w:rPr>
      </w:pPr>
      <w:r>
        <w:rPr>
          <w:rFonts w:ascii="Times New Roman" w:cs="Times New Roman" w:eastAsia="Times New Roman" w:hAnsi="Times New Roman"/>
          <w:sz w:val="18"/>
          <w:szCs w:val="18"/>
          <w:color w:val="auto"/>
        </w:rPr>
        <w:t>The prohibition against trading during the blackout period also means that brokers cannot fulfill open orders on behalf or on behalf of Covered Persons or their immediate family members, persons with whom they share a household, persons who are their economic dependents, or any entity whose transactions in securities they influence, direct or control, during the blackout period, including “limit orders” to buy or sell stock at a specific price or better and “stop orders” to buy or sell stock once the price of the stock reaches a specified price. If Covered Persons are subject to blackout periods or pre-clearance requirements, they should so inform any broker with whom such an open order is placed at the time it is placed.</w:t>
      </w:r>
    </w:p>
    <w:p>
      <w:pPr>
        <w:spacing w:after="0" w:line="63"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From time to time, the Company may modify the list of persons who should be subject to quarterly blackout periods, and the Compliance Officer may update and revise the Restricted List as appropriate.</w:t>
      </w:r>
    </w:p>
    <w:p>
      <w:pPr>
        <w:spacing w:after="0" w:line="40" w:lineRule="exact"/>
        <w:rPr>
          <w:sz w:val="20"/>
          <w:szCs w:val="20"/>
          <w:color w:val="auto"/>
        </w:rPr>
      </w:pPr>
    </w:p>
    <w:p>
      <w:pPr>
        <w:jc w:val="both"/>
        <w:ind w:firstLine="621"/>
        <w:spacing w:after="0" w:line="254" w:lineRule="auto"/>
        <w:tabs>
          <w:tab w:leader="none" w:pos="1236"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Special Blackout Periods</w:t>
      </w:r>
      <w:r>
        <w:rPr>
          <w:rFonts w:ascii="Times New Roman" w:cs="Times New Roman" w:eastAsia="Times New Roman" w:hAnsi="Times New Roman"/>
          <w:sz w:val="19"/>
          <w:szCs w:val="19"/>
          <w:color w:val="auto"/>
        </w:rPr>
        <w:t xml:space="preserve">. The Company always retains the right to impose additional or longer trading blackout periods at any time on any or all Covered Persons. The Compliance Officer will notify Covered Persons if they are subject to a special blackout period by providing to them a notice in writing or via email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(or as otherwise provided by the Compliance Officer). If Covered Persons are notified that they are subject to a special blackout period, they may not engage in any transaction involving the Company’s securities until the special blackout period has ended other than the transactions that are covered by the exceptions below. Covered Persons also may not disclose to anyone else that the Company has imposed a special blackout period. To the extent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44</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color w:val="auto"/>
        </w:rPr>
        <w:t>to Covered Persons, special blackout periods also cover their immediate family members, persons with whom they share a household, persons who are their economic dependents, and any entity whose transactions in securities they influence, direct or control.</w:t>
      </w:r>
    </w:p>
    <w:p>
      <w:pPr>
        <w:spacing w:after="0" w:line="40" w:lineRule="exact"/>
        <w:rPr>
          <w:sz w:val="20"/>
          <w:szCs w:val="20"/>
          <w:color w:val="auto"/>
        </w:rPr>
      </w:pPr>
    </w:p>
    <w:p>
      <w:pPr>
        <w:jc w:val="both"/>
        <w:ind w:firstLine="621"/>
        <w:spacing w:after="0" w:line="252" w:lineRule="auto"/>
        <w:tabs>
          <w:tab w:leader="none" w:pos="1236" w:val="left"/>
        </w:tabs>
        <w:numPr>
          <w:ilvl w:val="1"/>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Regulation BTR Blackouts</w:t>
      </w:r>
      <w:r>
        <w:rPr>
          <w:rFonts w:ascii="Times New Roman" w:cs="Times New Roman" w:eastAsia="Times New Roman" w:hAnsi="Times New Roman"/>
          <w:sz w:val="19"/>
          <w:szCs w:val="19"/>
          <w:color w:val="auto"/>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the Company’s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79" w:lineRule="exact"/>
        <w:rPr>
          <w:rFonts w:ascii="Times New Roman" w:cs="Times New Roman" w:eastAsia="Times New Roman" w:hAnsi="Times New Roman"/>
          <w:sz w:val="19"/>
          <w:szCs w:val="19"/>
          <w:color w:val="auto"/>
        </w:rPr>
      </w:pPr>
    </w:p>
    <w:p>
      <w:pPr>
        <w:ind w:left="600" w:hanging="597"/>
        <w:spacing w:after="0"/>
        <w:tabs>
          <w:tab w:leader="none" w:pos="600" w:val="left"/>
        </w:tabs>
        <w:numPr>
          <w:ilvl w:val="0"/>
          <w:numId w:val="2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PROHIBITED TRANSACTIONS</w:t>
      </w:r>
    </w:p>
    <w:p>
      <w:pPr>
        <w:spacing w:after="0" w:line="120" w:lineRule="exact"/>
        <w:rPr>
          <w:sz w:val="20"/>
          <w:szCs w:val="20"/>
          <w:color w:val="auto"/>
        </w:rPr>
      </w:pPr>
    </w:p>
    <w:p>
      <w:pPr>
        <w:ind w:firstLine="618"/>
        <w:spacing w:after="0" w:line="268" w:lineRule="auto"/>
        <w:rPr>
          <w:sz w:val="20"/>
          <w:szCs w:val="20"/>
          <w:color w:val="auto"/>
        </w:rPr>
      </w:pPr>
      <w:r>
        <w:rPr>
          <w:rFonts w:ascii="Times New Roman" w:cs="Times New Roman" w:eastAsia="Times New Roman" w:hAnsi="Times New Roman"/>
          <w:sz w:val="19"/>
          <w:szCs w:val="19"/>
          <w:color w:val="auto"/>
        </w:rPr>
        <w:t>Covered Persons may not engage in any of the following types of transactions other than as noted below, regardless of whether they have material nonpublic information or not.</w:t>
      </w:r>
    </w:p>
    <w:p>
      <w:pPr>
        <w:spacing w:after="0" w:line="66" w:lineRule="exact"/>
        <w:rPr>
          <w:sz w:val="20"/>
          <w:szCs w:val="20"/>
          <w:color w:val="auto"/>
        </w:rPr>
      </w:pPr>
    </w:p>
    <w:p>
      <w:pPr>
        <w:ind w:firstLine="621"/>
        <w:spacing w:after="0" w:line="268" w:lineRule="auto"/>
        <w:tabs>
          <w:tab w:leader="none" w:pos="1236" w:val="left"/>
        </w:tabs>
        <w:numPr>
          <w:ilvl w:val="1"/>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Short Sales</w:t>
      </w:r>
      <w:r>
        <w:rPr>
          <w:rFonts w:ascii="Times New Roman" w:cs="Times New Roman" w:eastAsia="Times New Roman" w:hAnsi="Times New Roman"/>
          <w:sz w:val="19"/>
          <w:szCs w:val="19"/>
          <w:color w:val="auto"/>
        </w:rPr>
        <w:t>. Covered Persons may not engage in short sales (meaning the sale of a security that must be borrowed to make delivery) or “sell short against the box” (meaning the sale of a security with a delayed delivery) if such sales involve the Company’s securities.</w:t>
      </w:r>
    </w:p>
    <w:p>
      <w:pPr>
        <w:spacing w:after="0" w:line="65" w:lineRule="exact"/>
        <w:rPr>
          <w:rFonts w:ascii="Times New Roman" w:cs="Times New Roman" w:eastAsia="Times New Roman" w:hAnsi="Times New Roman"/>
          <w:sz w:val="19"/>
          <w:szCs w:val="19"/>
          <w:color w:val="auto"/>
        </w:rPr>
      </w:pPr>
    </w:p>
    <w:p>
      <w:pPr>
        <w:jc w:val="both"/>
        <w:ind w:firstLine="621"/>
        <w:spacing w:after="0" w:line="254" w:lineRule="auto"/>
        <w:tabs>
          <w:tab w:leader="none" w:pos="1236" w:val="left"/>
        </w:tabs>
        <w:numPr>
          <w:ilvl w:val="1"/>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Derivative Securities and Hedging Transactions</w:t>
      </w:r>
      <w:r>
        <w:rPr>
          <w:rFonts w:ascii="Times New Roman" w:cs="Times New Roman" w:eastAsia="Times New Roman" w:hAnsi="Times New Roman"/>
          <w:sz w:val="19"/>
          <w:szCs w:val="19"/>
          <w:color w:val="auto"/>
        </w:rPr>
        <w:t>. Covered Persons may not, directly or indirectly, (a) trade in publicly-traded options, such as puts and calls, and other derivative securities with respect to the Company’s securities (other than stock options, restricted stock units and other compensatory awards issued to them by the Company) or (b) purchase financial instruments (including prepaid variable forward contracts, equity swaps, collars and exchange funds), or otherwise engage in transactions, that hedge or offset, or are designed to hedge or offset, any decrease in the market value of equity securities either (i) granted to them by the Company as part of their compensation or (ii) held, directly or indirectly, by them</w:t>
      </w:r>
    </w:p>
    <w:p>
      <w:pPr>
        <w:spacing w:after="0" w:line="67" w:lineRule="exact"/>
        <w:rPr>
          <w:rFonts w:ascii="Times New Roman" w:cs="Times New Roman" w:eastAsia="Times New Roman" w:hAnsi="Times New Roman"/>
          <w:sz w:val="19"/>
          <w:szCs w:val="19"/>
          <w:color w:val="auto"/>
        </w:rPr>
      </w:pPr>
    </w:p>
    <w:p>
      <w:pPr>
        <w:ind w:firstLine="621"/>
        <w:spacing w:after="0" w:line="282" w:lineRule="auto"/>
        <w:tabs>
          <w:tab w:leader="none" w:pos="1236" w:val="left"/>
        </w:tabs>
        <w:numPr>
          <w:ilvl w:val="1"/>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Pledging Transactions</w:t>
      </w:r>
      <w:r>
        <w:rPr>
          <w:rFonts w:ascii="Times New Roman" w:cs="Times New Roman" w:eastAsia="Times New Roman" w:hAnsi="Times New Roman"/>
          <w:sz w:val="19"/>
          <w:szCs w:val="19"/>
          <w:color w:val="auto"/>
        </w:rPr>
        <w:t>. Covered Persons may not pledge the Company’s securities as collateral for any loan or as part of any other pledging transaction.</w:t>
      </w:r>
    </w:p>
    <w:p>
      <w:pPr>
        <w:spacing w:after="0" w:line="53" w:lineRule="exact"/>
        <w:rPr>
          <w:rFonts w:ascii="Times New Roman" w:cs="Times New Roman" w:eastAsia="Times New Roman" w:hAnsi="Times New Roman"/>
          <w:sz w:val="19"/>
          <w:szCs w:val="19"/>
          <w:color w:val="auto"/>
        </w:rPr>
      </w:pPr>
    </w:p>
    <w:p>
      <w:pPr>
        <w:ind w:left="1240" w:hanging="619"/>
        <w:spacing w:after="0"/>
        <w:tabs>
          <w:tab w:leader="none" w:pos="1240" w:val="left"/>
        </w:tabs>
        <w:numPr>
          <w:ilvl w:val="1"/>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Margin Accounts</w:t>
      </w:r>
      <w:r>
        <w:rPr>
          <w:rFonts w:ascii="Times New Roman" w:cs="Times New Roman" w:eastAsia="Times New Roman" w:hAnsi="Times New Roman"/>
          <w:sz w:val="19"/>
          <w:szCs w:val="19"/>
          <w:color w:val="auto"/>
        </w:rPr>
        <w:t>. Covered Persons may not hold the Company’s common stock in margin accounts.</w:t>
      </w:r>
    </w:p>
    <w:p>
      <w:pPr>
        <w:spacing w:after="0" w:line="9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w:t>
      </w:r>
      <w:r>
        <w:rPr>
          <w:rFonts w:ascii="Times New Roman" w:cs="Times New Roman" w:eastAsia="Times New Roman" w:hAnsi="Times New Roman"/>
          <w:sz w:val="18"/>
          <w:szCs w:val="18"/>
          <w:b w:val="1"/>
          <w:bCs w:val="1"/>
          <w:color w:val="auto"/>
        </w:rPr>
        <w:t>PRE-CLEARANCE OF TRADES</w:t>
      </w:r>
    </w:p>
    <w:p>
      <w:pPr>
        <w:spacing w:after="0" w:line="120"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directors and officers and any other persons identified on the Restricted List as being subject to pre-clearance requirements</w:t>
      </w:r>
    </w:p>
    <w:p>
      <w:pPr>
        <w:spacing w:after="0" w:line="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must obtain pre-clearance prior to trading the Company’s securities. If you are subject to pre-clearance requirements, you should submit a pre-clearance request to the Compliance Officer prior to your desired trade date. The pre-clearance request must be made on the form provided by the Compliance Officer.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spacing w:after="0" w:line="69"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If the Compliance Officer is the requester, then the Company’s Chief Executive Officer (or such person performing the duties customarily performed by such officer) or their delegate, must pre-clear or deny any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55</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22" w:lineRule="exact"/>
        <w:rPr>
          <w:sz w:val="20"/>
          <w:szCs w:val="20"/>
          <w:color w:val="auto"/>
        </w:rPr>
      </w:pPr>
    </w:p>
    <w:p>
      <w:pPr>
        <w:ind w:firstLine="618"/>
        <w:spacing w:after="0" w:line="282" w:lineRule="auto"/>
        <w:rPr>
          <w:sz w:val="20"/>
          <w:szCs w:val="20"/>
          <w:color w:val="auto"/>
        </w:rPr>
      </w:pPr>
      <w:r>
        <w:rPr>
          <w:rFonts w:ascii="Times New Roman" w:cs="Times New Roman" w:eastAsia="Times New Roman" w:hAnsi="Times New Roman"/>
          <w:sz w:val="19"/>
          <w:szCs w:val="19"/>
          <w:color w:val="auto"/>
        </w:rPr>
        <w:t>Even after preclearance, a person may not trade the Company’s securities if they become subject to a blackout period or aware of material nonpublic information prior to the trade being executed.</w:t>
      </w:r>
    </w:p>
    <w:p>
      <w:pPr>
        <w:spacing w:after="0" w:line="40" w:lineRule="exact"/>
        <w:rPr>
          <w:sz w:val="20"/>
          <w:szCs w:val="20"/>
          <w:color w:val="auto"/>
        </w:rPr>
      </w:pPr>
    </w:p>
    <w:p>
      <w:pPr>
        <w:jc w:val="both"/>
        <w:ind w:firstLine="618"/>
        <w:spacing w:after="0" w:line="311" w:lineRule="auto"/>
        <w:rPr>
          <w:sz w:val="20"/>
          <w:szCs w:val="20"/>
          <w:color w:val="auto"/>
        </w:rPr>
      </w:pPr>
      <w:r>
        <w:rPr>
          <w:rFonts w:ascii="Times New Roman" w:cs="Times New Roman" w:eastAsia="Times New Roman" w:hAnsi="Times New Roman"/>
          <w:sz w:val="18"/>
          <w:szCs w:val="18"/>
          <w:color w:val="auto"/>
        </w:rPr>
        <w:t>From time to time, the Company may modify the list of persons who are subject to the pre-clearance requirements set forth above, and the Compliance Officer may update and revise the Restricted List or the records maintained from time to time by the Compliance Officer as appropriate.</w:t>
      </w:r>
    </w:p>
    <w:p>
      <w:pPr>
        <w:spacing w:after="0" w:line="13" w:lineRule="exact"/>
        <w:rPr>
          <w:sz w:val="20"/>
          <w:szCs w:val="20"/>
          <w:color w:val="auto"/>
        </w:rPr>
      </w:pPr>
    </w:p>
    <w:p>
      <w:pPr>
        <w:ind w:left="600" w:hanging="597"/>
        <w:spacing w:after="0"/>
        <w:tabs>
          <w:tab w:leader="none" w:pos="600" w:val="left"/>
        </w:tabs>
        <w:numPr>
          <w:ilvl w:val="0"/>
          <w:numId w:val="2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EXCEPTIONS TO TRADING RESTRICTIONS</w:t>
      </w:r>
    </w:p>
    <w:p>
      <w:pPr>
        <w:spacing w:after="0" w:line="120"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There are no unconditional “safe harbors” for trades made at particular times, and all persons subject to this Policy should exercise good judgment at all times. Even when a quarterly blackout period is not in effect, Covered Persons may be prohibited from engaging in transactions involving the Company’s securities because they possess material nonpublic information, are subject to a special blackout period or are otherwise restricted under this Policy.</w:t>
      </w:r>
    </w:p>
    <w:p>
      <w:pPr>
        <w:spacing w:after="0" w:line="61"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Other than the limited exceptions set forth below, any other exceptions to this Policy must be approved by the Compliance Officer, in consultation with the Company’s Board of Directors or an independent committee of the Board of Directors.</w:t>
      </w:r>
    </w:p>
    <w:p>
      <w:pPr>
        <w:spacing w:after="0" w:line="53"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The following are certain limited exceptions to the quarterly and special blackout period restrictions and pre-clearance requirements imposed by the Company under this Policy:</w:t>
      </w:r>
    </w:p>
    <w:p>
      <w:pPr>
        <w:spacing w:after="0" w:line="66" w:lineRule="exact"/>
        <w:rPr>
          <w:sz w:val="20"/>
          <w:szCs w:val="20"/>
          <w:color w:val="auto"/>
        </w:rPr>
      </w:pPr>
    </w:p>
    <w:p>
      <w:pPr>
        <w:ind w:left="1240" w:hanging="619"/>
        <w:spacing w:after="0"/>
        <w:tabs>
          <w:tab w:leader="none" w:pos="1240"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option exercises where the purchase price of such stock options is paid in cash and there is no other associated market</w:t>
      </w:r>
    </w:p>
    <w:p>
      <w:pPr>
        <w:spacing w:after="0" w:line="20"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activity;</w:t>
      </w:r>
    </w:p>
    <w:p>
      <w:pPr>
        <w:spacing w:after="0" w:line="96" w:lineRule="exact"/>
        <w:rPr>
          <w:rFonts w:ascii="Times New Roman" w:cs="Times New Roman" w:eastAsia="Times New Roman" w:hAnsi="Times New Roman"/>
          <w:sz w:val="19"/>
          <w:szCs w:val="19"/>
          <w:color w:val="auto"/>
        </w:rPr>
      </w:pPr>
    </w:p>
    <w:p>
      <w:pPr>
        <w:ind w:left="1240" w:hanging="619"/>
        <w:spacing w:after="0"/>
        <w:tabs>
          <w:tab w:leader="none" w:pos="1240"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purchases pursuant to the employee stock purchase plan; however, this exception does not apply to subsequent sales of the shares;</w:t>
      </w:r>
    </w:p>
    <w:p>
      <w:pPr>
        <w:spacing w:after="0" w:line="116" w:lineRule="exact"/>
        <w:rPr>
          <w:rFonts w:ascii="Times New Roman" w:cs="Times New Roman" w:eastAsia="Times New Roman" w:hAnsi="Times New Roman"/>
          <w:sz w:val="19"/>
          <w:szCs w:val="19"/>
          <w:color w:val="auto"/>
        </w:rPr>
      </w:pPr>
    </w:p>
    <w:p>
      <w:pPr>
        <w:ind w:left="1240" w:hanging="619"/>
        <w:spacing w:after="0"/>
        <w:tabs>
          <w:tab w:leader="none" w:pos="1240"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receipt and vesting of stock options, RSUs, restricted stock or other equity compensation awards from the Company;</w:t>
      </w:r>
    </w:p>
    <w:p>
      <w:pPr>
        <w:spacing w:after="0" w:line="103" w:lineRule="exact"/>
        <w:rPr>
          <w:rFonts w:ascii="Times New Roman" w:cs="Times New Roman" w:eastAsia="Times New Roman" w:hAnsi="Times New Roman"/>
          <w:sz w:val="19"/>
          <w:szCs w:val="19"/>
          <w:color w:val="auto"/>
        </w:rPr>
      </w:pPr>
    </w:p>
    <w:p>
      <w:pPr>
        <w:jc w:val="both"/>
        <w:ind w:firstLine="621"/>
        <w:spacing w:after="0" w:line="259" w:lineRule="auto"/>
        <w:tabs>
          <w:tab w:leader="none" w:pos="1236"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share withholding with respect to equity awards where shares are withheld by the Company in order to satisfy tax withholding requirements, (</w:t>
      </w:r>
      <w:r>
        <w:rPr>
          <w:rFonts w:ascii="Times New Roman" w:cs="Times New Roman" w:eastAsia="Times New Roman" w:hAnsi="Times New Roman"/>
          <w:sz w:val="19"/>
          <w:szCs w:val="19"/>
          <w:i w:val="1"/>
          <w:iCs w:val="1"/>
          <w:color w:val="auto"/>
        </w:rPr>
        <w:t>x</w:t>
      </w:r>
      <w:r>
        <w:rPr>
          <w:rFonts w:ascii="Times New Roman" w:cs="Times New Roman" w:eastAsia="Times New Roman" w:hAnsi="Times New Roman"/>
          <w:sz w:val="19"/>
          <w:szCs w:val="19"/>
          <w:color w:val="auto"/>
        </w:rPr>
        <w:t>) as required by either the Company’s board of directors (or a committee thereof) or the award agreement governing such equity award or (</w:t>
      </w:r>
      <w:r>
        <w:rPr>
          <w:rFonts w:ascii="Times New Roman" w:cs="Times New Roman" w:eastAsia="Times New Roman" w:hAnsi="Times New Roman"/>
          <w:sz w:val="19"/>
          <w:szCs w:val="19"/>
          <w:i w:val="1"/>
          <w:iCs w:val="1"/>
          <w:color w:val="auto"/>
        </w:rPr>
        <w:t>y</w:t>
      </w:r>
      <w:r>
        <w:rPr>
          <w:rFonts w:ascii="Times New Roman" w:cs="Times New Roman" w:eastAsia="Times New Roman" w:hAnsi="Times New Roman"/>
          <w:sz w:val="19"/>
          <w:szCs w:val="19"/>
          <w:color w:val="auto"/>
        </w:rPr>
        <w:t>) as the Covered Person elects, if permitted by the Company, so long as the election is irrevocable and made in writing at a time when a trading blackout is not in place and Covered Persons are not in possession of material nonpublic information;</w:t>
      </w:r>
    </w:p>
    <w:p>
      <w:pPr>
        <w:spacing w:after="0" w:line="61" w:lineRule="exact"/>
        <w:rPr>
          <w:rFonts w:ascii="Times New Roman" w:cs="Times New Roman" w:eastAsia="Times New Roman" w:hAnsi="Times New Roman"/>
          <w:sz w:val="19"/>
          <w:szCs w:val="19"/>
          <w:color w:val="auto"/>
        </w:rPr>
      </w:pPr>
    </w:p>
    <w:p>
      <w:pPr>
        <w:jc w:val="both"/>
        <w:ind w:firstLine="621"/>
        <w:spacing w:after="0" w:line="258" w:lineRule="auto"/>
        <w:tabs>
          <w:tab w:leader="none" w:pos="1236"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 to cover transactions where shares are sold on the Covered Person’s behalf upon vesting of equity awards and sold in order to satisfy tax withholding requirements, (</w:t>
      </w:r>
      <w:r>
        <w:rPr>
          <w:rFonts w:ascii="Times New Roman" w:cs="Times New Roman" w:eastAsia="Times New Roman" w:hAnsi="Times New Roman"/>
          <w:sz w:val="19"/>
          <w:szCs w:val="19"/>
          <w:i w:val="1"/>
          <w:iCs w:val="1"/>
          <w:color w:val="auto"/>
        </w:rPr>
        <w:t>x</w:t>
      </w:r>
      <w:r>
        <w:rPr>
          <w:rFonts w:ascii="Times New Roman" w:cs="Times New Roman" w:eastAsia="Times New Roman" w:hAnsi="Times New Roman"/>
          <w:sz w:val="19"/>
          <w:szCs w:val="19"/>
          <w:color w:val="auto"/>
        </w:rPr>
        <w:t>) as required by either the Company’s board of directors (or a committee thereof) or the award agreement governing such equity award or (</w:t>
      </w:r>
      <w:r>
        <w:rPr>
          <w:rFonts w:ascii="Times New Roman" w:cs="Times New Roman" w:eastAsia="Times New Roman" w:hAnsi="Times New Roman"/>
          <w:sz w:val="19"/>
          <w:szCs w:val="19"/>
          <w:i w:val="1"/>
          <w:iCs w:val="1"/>
          <w:color w:val="auto"/>
        </w:rPr>
        <w:t>y</w:t>
      </w:r>
      <w:r>
        <w:rPr>
          <w:rFonts w:ascii="Times New Roman" w:cs="Times New Roman" w:eastAsia="Times New Roman" w:hAnsi="Times New Roman"/>
          <w:sz w:val="19"/>
          <w:szCs w:val="19"/>
          <w:color w:val="auto"/>
        </w:rPr>
        <w:t>) as the Covered Person elects, if permitted, by the Company, so long as the election is irrevocable and made in writing at a time when a trading blackout is not in place and such Covered Person is not in possession of material nonpublic information; however, this exception does not apply to any other market sale for the purposes of paying required withholding;</w:t>
      </w:r>
    </w:p>
    <w:p>
      <w:pPr>
        <w:spacing w:after="0" w:line="57" w:lineRule="exact"/>
        <w:rPr>
          <w:rFonts w:ascii="Times New Roman" w:cs="Times New Roman" w:eastAsia="Times New Roman" w:hAnsi="Times New Roman"/>
          <w:sz w:val="19"/>
          <w:szCs w:val="19"/>
          <w:color w:val="auto"/>
        </w:rPr>
      </w:pPr>
    </w:p>
    <w:p>
      <w:pPr>
        <w:ind w:left="1240" w:hanging="619"/>
        <w:spacing w:after="0"/>
        <w:tabs>
          <w:tab w:leader="none" w:pos="1240"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made pursuant to a valid 10b5-1 trading plan approved by the Company (see Section I (</w:t>
      </w:r>
      <w:r>
        <w:rPr>
          <w:rFonts w:ascii="Times New Roman" w:cs="Times New Roman" w:eastAsia="Times New Roman" w:hAnsi="Times New Roman"/>
          <w:sz w:val="19"/>
          <w:szCs w:val="19"/>
          <w:i w:val="1"/>
          <w:iCs w:val="1"/>
          <w:color w:val="auto"/>
        </w:rPr>
        <w:t>10b5-1 Trading Plans</w:t>
      </w:r>
      <w:r>
        <w:rPr>
          <w:rFonts w:ascii="Times New Roman" w:cs="Times New Roman" w:eastAsia="Times New Roman" w:hAnsi="Times New Roman"/>
          <w:sz w:val="19"/>
          <w:szCs w:val="19"/>
          <w:color w:val="auto"/>
        </w:rPr>
        <w:t>) below);</w:t>
      </w:r>
    </w:p>
    <w:p>
      <w:pPr>
        <w:spacing w:after="0" w:line="120" w:lineRule="exact"/>
        <w:rPr>
          <w:rFonts w:ascii="Times New Roman" w:cs="Times New Roman" w:eastAsia="Times New Roman" w:hAnsi="Times New Roman"/>
          <w:sz w:val="19"/>
          <w:szCs w:val="19"/>
          <w:color w:val="auto"/>
        </w:rPr>
      </w:pPr>
    </w:p>
    <w:p>
      <w:pPr>
        <w:jc w:val="both"/>
        <w:ind w:firstLine="621"/>
        <w:spacing w:after="0" w:line="254" w:lineRule="auto"/>
        <w:tabs>
          <w:tab w:leader="none" w:pos="1236"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purchases of the Company’s stock in the 401(k) plan resulting from periodic contributions to the plan based on Covered Persons’ payroll contribution elections;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blackout period restrictions and pre-clearance requirements do apply to elections made under the 401(k) plan to (a) increase or decrease the amount of the Covered Person’s contribution under the 401(k) plan if such increase or decrease will increase or decrease the amount of a Covered Person’s contributions that will be allocated to a Company stock fund, (b) increase or decrease the percentage of the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66</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Person’s contributions that will be allocated to a Company stock fund, (c) move balances into or out of a Company stock fund, (d) borrow money against a Covered Person’s 401(k) plan account if the loan will result in liquidation of some or all of the Covered Person’s Company stock fund balance, and (e) prepay a plan loan if the pre-payment will result in the allocation of loan proceeds to a Company stock fund;</w:t>
      </w:r>
    </w:p>
    <w:p>
      <w:pPr>
        <w:spacing w:after="0" w:line="73" w:lineRule="exact"/>
        <w:rPr>
          <w:sz w:val="20"/>
          <w:szCs w:val="20"/>
          <w:color w:val="auto"/>
        </w:rPr>
      </w:pPr>
    </w:p>
    <w:p>
      <w:pPr>
        <w:jc w:val="both"/>
        <w:ind w:firstLine="621"/>
        <w:spacing w:after="0" w:line="261" w:lineRule="auto"/>
        <w:tabs>
          <w:tab w:leader="none" w:pos="1236"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the Covered Person’s pecuniary interest in the Company’s securities; and</w:t>
      </w:r>
    </w:p>
    <w:p>
      <w:pPr>
        <w:spacing w:after="0" w:line="72" w:lineRule="exact"/>
        <w:rPr>
          <w:rFonts w:ascii="Times New Roman" w:cs="Times New Roman" w:eastAsia="Times New Roman" w:hAnsi="Times New Roman"/>
          <w:sz w:val="19"/>
          <w:szCs w:val="19"/>
          <w:color w:val="auto"/>
        </w:rPr>
      </w:pPr>
    </w:p>
    <w:p>
      <w:pPr>
        <w:ind w:firstLine="621"/>
        <w:spacing w:after="0" w:line="268" w:lineRule="auto"/>
        <w:tabs>
          <w:tab w:leader="none" w:pos="1236"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number of the Company’s securities Covered Persons hold due to a stock split or a stock dividend that applies equally to all securities of a class, or similar transactions.</w:t>
      </w:r>
    </w:p>
    <w:p>
      <w:pPr>
        <w:spacing w:after="0" w:line="66"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If there is a Regulation BTR blackout (and no quarterly or special blackout), then the limited exceptions set forth in Regulation BTR will apply. Please be aware that even if a transaction is subject to an exception to this Policy, Covered Persons will need to separately assess whether the transaction complies with applicable law.</w:t>
      </w:r>
    </w:p>
    <w:p>
      <w:pPr>
        <w:spacing w:after="0" w:line="69" w:lineRule="exact"/>
        <w:rPr>
          <w:sz w:val="20"/>
          <w:szCs w:val="20"/>
          <w:color w:val="auto"/>
        </w:rPr>
      </w:pPr>
    </w:p>
    <w:p>
      <w:pPr>
        <w:ind w:left="620" w:hanging="617"/>
        <w:spacing w:after="0"/>
        <w:tabs>
          <w:tab w:leader="none" w:pos="620" w:val="left"/>
        </w:tabs>
        <w:numPr>
          <w:ilvl w:val="0"/>
          <w:numId w:val="2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10B5-1 TRADING PLANS</w:t>
      </w:r>
    </w:p>
    <w:p>
      <w:pPr>
        <w:spacing w:after="0" w:line="107"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The Company permits its directors, officers and certain employees to adopt written 10b5-1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 To be approved by the Company and qualify for the exception to this Policy, any 10b5-1 trading plan adopted by a director, officer or employee must be submitted to the Compliance Officer for approval and comply with the requirements set forth in the Requirements for Trading Plans attached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may be modified or amended by the Compliance Officer. If the Compliance Officer is the requester, then the Company’s Chief Executive Officer, Chief Financial Officers, or their delegate, must approve the written 10b5-1 trading plan.</w:t>
      </w:r>
    </w:p>
    <w:p>
      <w:pPr>
        <w:spacing w:after="0" w:line="64" w:lineRule="exact"/>
        <w:rPr>
          <w:sz w:val="20"/>
          <w:szCs w:val="20"/>
          <w:color w:val="auto"/>
        </w:rPr>
      </w:pPr>
    </w:p>
    <w:p>
      <w:pPr>
        <w:ind w:left="620" w:hanging="617"/>
        <w:spacing w:after="0"/>
        <w:tabs>
          <w:tab w:leader="none" w:pos="620" w:val="left"/>
        </w:tabs>
        <w:numPr>
          <w:ilvl w:val="0"/>
          <w:numId w:val="28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SECTION 16 COMPLIANCE</w:t>
      </w:r>
    </w:p>
    <w:p>
      <w:pPr>
        <w:spacing w:after="0" w:line="120"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73"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cs="Times New Roman" w:eastAsia="Times New Roman" w:hAnsi="Times New Roman"/>
          <w:sz w:val="19"/>
          <w:szCs w:val="19"/>
          <w:i w:val="1"/>
          <w:iCs w:val="1"/>
          <w:color w:val="auto"/>
        </w:rPr>
        <w:t>etc.</w:t>
      </w:r>
      <w:r>
        <w:rPr>
          <w:rFonts w:ascii="Times New Roman" w:cs="Times New Roman" w:eastAsia="Times New Roman" w:hAnsi="Times New Roman"/>
          <w:sz w:val="19"/>
          <w:szCs w:val="19"/>
          <w:color w:val="auto"/>
        </w:rPr>
        <w:t>) about his or her transactions involving the Company’s securities.</w:t>
      </w:r>
    </w:p>
    <w:p>
      <w:pPr>
        <w:spacing w:after="0" w:line="60"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The Company is available to assist in filing Section 16 reports, but the obligation to comply with Section 16 is personal. If Covered Persons have any questions, they should check with the Compliance Officer.</w:t>
      </w:r>
    </w:p>
    <w:p>
      <w:pPr>
        <w:spacing w:after="0" w:line="49" w:lineRule="exact"/>
        <w:rPr>
          <w:sz w:val="20"/>
          <w:szCs w:val="20"/>
          <w:color w:val="auto"/>
        </w:rPr>
      </w:pPr>
    </w:p>
    <w:p>
      <w:pPr>
        <w:ind w:left="600" w:hanging="597"/>
        <w:spacing w:after="0"/>
        <w:tabs>
          <w:tab w:leader="none" w:pos="600" w:val="left"/>
        </w:tabs>
        <w:numPr>
          <w:ilvl w:val="0"/>
          <w:numId w:val="2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VIOLATIONS OF THIS POLICY</w:t>
      </w:r>
    </w:p>
    <w:p>
      <w:pPr>
        <w:spacing w:after="0" w:line="107"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Covered Persons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73"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There are also serious legal consequences for individuals who violate insider trading laws, including large criminal and civil fines, significant imprisonment terms and disgorgement of any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77</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gained or losses avoided. Covered Persons may also be liable for improper securities trading by any person (commonly referred to as a “tippee”) to whom they have disclosed material nonpublic information that they have learned through their position at the Company or made recommendations or expressed opinions about securities trading on the basis of such information.</w:t>
      </w:r>
    </w:p>
    <w:p>
      <w:pPr>
        <w:spacing w:after="0" w:line="73"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color w:val="auto"/>
        </w:rPr>
        <w:t>Covered Persons should consult with their personal legal and financial advisors as needed. Note that the Company’s legal counsel, both internal and external, represent the Company and not Covered Persons personally. There may be instances where Covered Persons suffer financial harm or other hardship or are otherwise required to forego a planned transaction because of the restrictions imposed by this Policy or under securities laws. If Covered Persons were aware of the material nonpublic information at the time of the trade, it is not a defense that they did not “use” the information for the trade. Personal financial emergency or other personal circumstances are not mitigating factors under securities laws and will not excuse their failure to comply with this Policy. In addition, a blackout or trading-restricted period will not extend the term of Covered Persons’ options. As a consequence, Covered Persons may be prevented from exercising their options by this Policy or as a result of a blackout or other restriction on their trading, and as a result their options may expire by their term. In such instances, the Company cannot extend the term of Covered Persons’ options and has no obligation or liability to replace the economic value or lost benefit to Covered Persons. It is Covered Persons responsibility to manage their economic interests and to consider potential trading restrictions when determining whether to exercise their options.</w:t>
      </w:r>
    </w:p>
    <w:p>
      <w:pPr>
        <w:spacing w:after="0" w:line="81" w:lineRule="exact"/>
        <w:rPr>
          <w:sz w:val="20"/>
          <w:szCs w:val="20"/>
          <w:color w:val="auto"/>
        </w:rPr>
      </w:pPr>
    </w:p>
    <w:p>
      <w:pPr>
        <w:ind w:left="620" w:hanging="617"/>
        <w:spacing w:after="0"/>
        <w:tabs>
          <w:tab w:leader="none" w:pos="620" w:val="left"/>
        </w:tabs>
        <w:numPr>
          <w:ilvl w:val="0"/>
          <w:numId w:val="28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PROTECTED ACTIVITY NOT PROHIBITED</w:t>
      </w:r>
    </w:p>
    <w:p>
      <w:pPr>
        <w:spacing w:after="0" w:line="107"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Nothing in this Policy, or any related guidelines or other documents or information provided in connection with this Policy, shall in any way limit or prohibit Covered Persons from engaging in any of the protected activities set forth in the Company’s Whistleblower Policy, as amended from time to time.</w:t>
      </w:r>
    </w:p>
    <w:p>
      <w:pPr>
        <w:spacing w:after="0" w:line="50" w:lineRule="exact"/>
        <w:rPr>
          <w:sz w:val="20"/>
          <w:szCs w:val="20"/>
          <w:color w:val="auto"/>
        </w:rPr>
      </w:pPr>
    </w:p>
    <w:p>
      <w:pPr>
        <w:ind w:left="620" w:hanging="617"/>
        <w:spacing w:after="0"/>
        <w:tabs>
          <w:tab w:leader="none" w:pos="620" w:val="left"/>
        </w:tabs>
        <w:numPr>
          <w:ilvl w:val="0"/>
          <w:numId w:val="28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REPORTING</w:t>
      </w:r>
    </w:p>
    <w:p>
      <w:pPr>
        <w:spacing w:after="0" w:line="120"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If Covered Persons believe someone is violating this Policy or otherwise using material nonpublic information that they learned through their position at the Company to trade securities, they should report it to the Compliance Officer, or if the Compliance Officer is implicated in their report, then they should report it in accordance with the Company’s Whistleblower Policy.</w:t>
      </w:r>
    </w:p>
    <w:p>
      <w:pPr>
        <w:spacing w:after="0" w:line="56" w:lineRule="exact"/>
        <w:rPr>
          <w:sz w:val="20"/>
          <w:szCs w:val="20"/>
          <w:color w:val="auto"/>
        </w:rPr>
      </w:pPr>
    </w:p>
    <w:p>
      <w:pPr>
        <w:ind w:left="620" w:hanging="617"/>
        <w:spacing w:after="0"/>
        <w:tabs>
          <w:tab w:leader="none" w:pos="620" w:val="left"/>
        </w:tabs>
        <w:numPr>
          <w:ilvl w:val="0"/>
          <w:numId w:val="28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AMENDMENTS</w:t>
      </w:r>
    </w:p>
    <w:p>
      <w:pPr>
        <w:spacing w:after="0" w:line="120"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88</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SPECIAL BLACKOUT NOTICE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WHITEHAWK THERAPEUTICS,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Date</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CONFIDENTIAL COMMUNICATION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Whitehawk Therapeutics,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 Headquarters Plaza</w:t>
      </w:r>
    </w:p>
    <w:p>
      <w:pPr>
        <w:spacing w:after="0" w:line="208" w:lineRule="auto"/>
        <w:rPr>
          <w:sz w:val="20"/>
          <w:szCs w:val="20"/>
          <w:color w:val="auto"/>
        </w:rPr>
      </w:pPr>
      <w:r>
        <w:rPr>
          <w:rFonts w:ascii="Times New Roman" w:cs="Times New Roman" w:eastAsia="Times New Roman" w:hAnsi="Times New Roman"/>
          <w:sz w:val="19"/>
          <w:szCs w:val="19"/>
          <w:color w:val="auto"/>
        </w:rPr>
        <w:t>East Building, 11</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Morristown, NJ 07960</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w:t>
      </w:r>
      <w:r>
        <w:rPr>
          <w:rFonts w:ascii="Times New Roman" w:cs="Times New Roman" w:eastAsia="Times New Roman" w:hAnsi="Times New Roman"/>
          <w:sz w:val="19"/>
          <w:szCs w:val="19"/>
          <w:i w:val="1"/>
          <w:iCs w:val="1"/>
          <w:color w:val="auto"/>
        </w:rPr>
        <w:t>Insert Name</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Whitehawk Therapeutics,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imposed a special blackout period in accordance with the terms of the Company’s Insider Trading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Pursuant to the Policy, and subject to the exceptions stated in the Policy, you may not engage in any transaction involving the securities of the Company until you receive official notice that the special blackout period is no longer in effect.</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You may not disclose to others the fact that a special blackout period has been imposed. In addition, you should take care to handle any confidential information in your possession in accordance with the Company’s policies.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you have any questions at all, please contact me at srodin@whitehawktx.com.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A</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REQUIREMENTS FOR TRADING PLANS</w:t>
      </w:r>
    </w:p>
    <w:p>
      <w:pPr>
        <w:spacing w:after="0" w:line="206"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For transactions under a trading plan to be exempt from (A) the prohibitions in the Company’s Insider Trading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of Whitehawk Therapeutics, Inc. (together with any subsidiaries, collectively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with respect to transactions made while aware of material nonpublic information and (B) the pre-clearance procedures and blackout periods established under the Policy, the trading plan must comply with the affirmative defense set forth in Exchange Act Rule 10b5-1 and must meet the following requirements (collectively, the “</w:t>
      </w:r>
      <w:r>
        <w:rPr>
          <w:rFonts w:ascii="Times New Roman" w:cs="Times New Roman" w:eastAsia="Times New Roman" w:hAnsi="Times New Roman"/>
          <w:sz w:val="19"/>
          <w:szCs w:val="19"/>
          <w:b w:val="1"/>
          <w:bCs w:val="1"/>
          <w:color w:val="auto"/>
        </w:rPr>
        <w:t>Trading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Plan Requirements</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620" w:hanging="308"/>
        <w:spacing w:after="0"/>
        <w:tabs>
          <w:tab w:leader="none" w:pos="620"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be in writing and signed by the person adopting the trading plan.</w:t>
      </w:r>
    </w:p>
    <w:p>
      <w:pPr>
        <w:spacing w:after="0" w:line="219" w:lineRule="exact"/>
        <w:rPr>
          <w:rFonts w:ascii="Times New Roman" w:cs="Times New Roman" w:eastAsia="Times New Roman" w:hAnsi="Times New Roman"/>
          <w:sz w:val="19"/>
          <w:szCs w:val="19"/>
          <w:color w:val="auto"/>
        </w:rPr>
      </w:pPr>
    </w:p>
    <w:p>
      <w:pPr>
        <w:ind w:left="620" w:hanging="308"/>
        <w:spacing w:after="0"/>
        <w:tabs>
          <w:tab w:leader="none" w:pos="620"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be adopted at a time when:</w:t>
      </w:r>
    </w:p>
    <w:p>
      <w:pPr>
        <w:spacing w:after="0" w:line="206" w:lineRule="exact"/>
        <w:rPr>
          <w:rFonts w:ascii="Times New Roman" w:cs="Times New Roman" w:eastAsia="Times New Roman" w:hAnsi="Times New Roman"/>
          <w:sz w:val="19"/>
          <w:szCs w:val="19"/>
          <w:color w:val="auto"/>
        </w:rPr>
      </w:pPr>
    </w:p>
    <w:p>
      <w:pPr>
        <w:ind w:left="1220" w:hanging="290"/>
        <w:spacing w:after="0"/>
        <w:tabs>
          <w:tab w:leader="none" w:pos="1220" w:val="left"/>
        </w:tabs>
        <w:numPr>
          <w:ilvl w:val="1"/>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adopting the trading plan is not aware of any material nonpublic information; and</w:t>
      </w:r>
    </w:p>
    <w:p>
      <w:pPr>
        <w:spacing w:after="0" w:line="219" w:lineRule="exact"/>
        <w:rPr>
          <w:rFonts w:ascii="Times New Roman" w:cs="Times New Roman" w:eastAsia="Times New Roman" w:hAnsi="Times New Roman"/>
          <w:sz w:val="19"/>
          <w:szCs w:val="19"/>
          <w:color w:val="auto"/>
        </w:rPr>
      </w:pPr>
    </w:p>
    <w:p>
      <w:pPr>
        <w:ind w:left="1240" w:hanging="310"/>
        <w:spacing w:after="0"/>
        <w:tabs>
          <w:tab w:leader="none" w:pos="1240" w:val="left"/>
        </w:tabs>
        <w:numPr>
          <w:ilvl w:val="1"/>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quarterly, special or other trading blackout in effect with respect to the person adopting the plan.</w:t>
      </w:r>
    </w:p>
    <w:p>
      <w:pPr>
        <w:spacing w:after="0" w:line="219" w:lineRule="exact"/>
        <w:rPr>
          <w:rFonts w:ascii="Times New Roman" w:cs="Times New Roman" w:eastAsia="Times New Roman" w:hAnsi="Times New Roman"/>
          <w:sz w:val="19"/>
          <w:szCs w:val="19"/>
          <w:color w:val="auto"/>
        </w:rPr>
      </w:pPr>
    </w:p>
    <w:p>
      <w:pPr>
        <w:ind w:left="620" w:hanging="308"/>
        <w:spacing w:after="0" w:line="268" w:lineRule="auto"/>
        <w:tabs>
          <w:tab w:leader="none" w:pos="620"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be entered in good faith and not as part of a plan or scheme to evade the prohibitions of Rule 10b5-1, and the person adopting the trading plan must act in good faith with respect to the trading plan.</w:t>
      </w:r>
    </w:p>
    <w:p>
      <w:pPr>
        <w:spacing w:after="0" w:line="168" w:lineRule="exact"/>
        <w:rPr>
          <w:rFonts w:ascii="Times New Roman" w:cs="Times New Roman" w:eastAsia="Times New Roman" w:hAnsi="Times New Roman"/>
          <w:sz w:val="19"/>
          <w:szCs w:val="19"/>
          <w:color w:val="auto"/>
        </w:rPr>
      </w:pPr>
    </w:p>
    <w:p>
      <w:pPr>
        <w:ind w:left="620" w:hanging="308"/>
        <w:spacing w:after="0"/>
        <w:tabs>
          <w:tab w:leader="none" w:pos="620"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include representations that, on the date of adoption of the trading plan, the person adopting the trading plan:</w:t>
      </w:r>
    </w:p>
    <w:p>
      <w:pPr>
        <w:spacing w:after="0" w:line="206" w:lineRule="exact"/>
        <w:rPr>
          <w:sz w:val="20"/>
          <w:szCs w:val="20"/>
          <w:color w:val="auto"/>
        </w:rPr>
      </w:pPr>
    </w:p>
    <w:p>
      <w:pPr>
        <w:ind w:left="1220" w:hanging="290"/>
        <w:spacing w:after="0"/>
        <w:tabs>
          <w:tab w:leader="none" w:pos="1220" w:val="left"/>
        </w:tabs>
        <w:numPr>
          <w:ilvl w:val="1"/>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aware of material nonpublic information about the securities or the Company; and</w:t>
      </w:r>
    </w:p>
    <w:p>
      <w:pPr>
        <w:spacing w:after="0" w:line="219" w:lineRule="exact"/>
        <w:rPr>
          <w:rFonts w:ascii="Times New Roman" w:cs="Times New Roman" w:eastAsia="Times New Roman" w:hAnsi="Times New Roman"/>
          <w:sz w:val="19"/>
          <w:szCs w:val="19"/>
          <w:color w:val="auto"/>
        </w:rPr>
      </w:pPr>
    </w:p>
    <w:p>
      <w:pPr>
        <w:ind w:left="1220" w:hanging="290"/>
        <w:spacing w:after="0"/>
        <w:tabs>
          <w:tab w:leader="none" w:pos="1220" w:val="left"/>
        </w:tabs>
        <w:numPr>
          <w:ilvl w:val="1"/>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adopting the trading plan in good faith and not as part of a plan or scheme to evade the prohibitions of Rule 10b5-1.</w:t>
      </w:r>
    </w:p>
    <w:p>
      <w:pPr>
        <w:spacing w:after="0" w:line="219" w:lineRule="exact"/>
        <w:rPr>
          <w:rFonts w:ascii="Times New Roman" w:cs="Times New Roman" w:eastAsia="Times New Roman" w:hAnsi="Times New Roman"/>
          <w:sz w:val="19"/>
          <w:szCs w:val="19"/>
          <w:color w:val="auto"/>
        </w:rPr>
      </w:pPr>
    </w:p>
    <w:p>
      <w:pPr>
        <w:ind w:left="620" w:hanging="308"/>
        <w:spacing w:after="0" w:line="268" w:lineRule="auto"/>
        <w:tabs>
          <w:tab w:leader="none" w:pos="620"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68" w:lineRule="exact"/>
        <w:rPr>
          <w:rFonts w:ascii="Times New Roman" w:cs="Times New Roman" w:eastAsia="Times New Roman" w:hAnsi="Times New Roman"/>
          <w:sz w:val="19"/>
          <w:szCs w:val="19"/>
          <w:color w:val="auto"/>
        </w:rPr>
      </w:pPr>
    </w:p>
    <w:p>
      <w:pPr>
        <w:jc w:val="both"/>
        <w:ind w:left="620" w:hanging="308"/>
        <w:spacing w:after="0" w:line="254" w:lineRule="auto"/>
        <w:tabs>
          <w:tab w:leader="none" w:pos="620"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first trade under the trading plan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w:t>
      </w:r>
    </w:p>
    <w:p>
      <w:pPr>
        <w:spacing w:after="0" w:line="182" w:lineRule="exact"/>
        <w:rPr>
          <w:rFonts w:ascii="Times New Roman" w:cs="Times New Roman" w:eastAsia="Times New Roman" w:hAnsi="Times New Roman"/>
          <w:sz w:val="19"/>
          <w:szCs w:val="19"/>
          <w:color w:val="auto"/>
        </w:rPr>
      </w:pPr>
    </w:p>
    <w:p>
      <w:pPr>
        <w:ind w:left="620" w:hanging="308"/>
        <w:spacing w:after="0"/>
        <w:tabs>
          <w:tab w:leader="none" w:pos="620"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have a minimum term of one year (starting from date of adoption of the trading plan).</w:t>
      </w:r>
    </w:p>
    <w:p>
      <w:pPr>
        <w:spacing w:after="0" w:line="219" w:lineRule="exact"/>
        <w:rPr>
          <w:rFonts w:ascii="Times New Roman" w:cs="Times New Roman" w:eastAsia="Times New Roman" w:hAnsi="Times New Roman"/>
          <w:sz w:val="19"/>
          <w:szCs w:val="19"/>
          <w:color w:val="auto"/>
        </w:rPr>
      </w:pPr>
    </w:p>
    <w:p>
      <w:pPr>
        <w:jc w:val="both"/>
        <w:ind w:left="620" w:hanging="308"/>
        <w:spacing w:after="0" w:line="261" w:lineRule="auto"/>
        <w:tabs>
          <w:tab w:leader="none" w:pos="620"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transactions may occur during the term of the trading plan (except for the “Exceptions to Trading Restrictions” identified in the Policy and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gifts) except for those transactions specified in the trading plan. In addition, the person adopting the trading plan may not have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B</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21" w:lineRule="exact"/>
        <w:rPr>
          <w:sz w:val="20"/>
          <w:szCs w:val="20"/>
          <w:color w:val="auto"/>
        </w:rPr>
      </w:pPr>
    </w:p>
    <w:p>
      <w:pPr>
        <w:jc w:val="both"/>
        <w:ind w:left="308"/>
        <w:spacing w:after="0" w:line="254" w:lineRule="auto"/>
        <w:rPr>
          <w:sz w:val="20"/>
          <w:szCs w:val="20"/>
          <w:color w:val="auto"/>
        </w:rPr>
      </w:pPr>
      <w:r>
        <w:rPr>
          <w:rFonts w:ascii="Times New Roman" w:cs="Times New Roman" w:eastAsia="Times New Roman" w:hAnsi="Times New Roman"/>
          <w:sz w:val="19"/>
          <w:szCs w:val="19"/>
          <w:color w:val="auto"/>
        </w:rPr>
        <w:t>outstanding (and may not subsequently enter into any additional) trading plan except as permitted by Rule 10b5-1.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Compliance Officer prior to the early termination of an existing trading plan.</w:t>
      </w:r>
    </w:p>
    <w:p>
      <w:pPr>
        <w:spacing w:after="0" w:line="184" w:lineRule="exact"/>
        <w:rPr>
          <w:sz w:val="20"/>
          <w:szCs w:val="20"/>
          <w:color w:val="auto"/>
        </w:rPr>
      </w:pPr>
    </w:p>
    <w:p>
      <w:pPr>
        <w:jc w:val="both"/>
        <w:ind w:left="308" w:hanging="308"/>
        <w:spacing w:after="0" w:line="254" w:lineRule="auto"/>
        <w:tabs>
          <w:tab w:leader="none" w:pos="308"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modification or change to the amount, price or timing of transactions under the trading plan is deemed the termination of the trading plan, and the adoption of a new trading plan (“</w:t>
      </w:r>
      <w:r>
        <w:rPr>
          <w:rFonts w:ascii="Times New Roman" w:cs="Times New Roman" w:eastAsia="Times New Roman" w:hAnsi="Times New Roman"/>
          <w:sz w:val="19"/>
          <w:szCs w:val="19"/>
          <w:b w:val="1"/>
          <w:bCs w:val="1"/>
          <w:color w:val="auto"/>
        </w:rPr>
        <w:t>Modification</w:t>
      </w:r>
      <w:r>
        <w:rPr>
          <w:rFonts w:ascii="Times New Roman" w:cs="Times New Roman" w:eastAsia="Times New Roman" w:hAnsi="Times New Roman"/>
          <w:sz w:val="19"/>
          <w:szCs w:val="19"/>
          <w:color w:val="auto"/>
        </w:rPr>
        <w:t>”). Therefore, a Modification must be submitted to the Compliance Officer for approval, in accordance with Section I of the Policy, and is subject to the same conditions as a new trading plan as set forth in Sections 1 through 8 herein.</w:t>
      </w:r>
    </w:p>
    <w:p>
      <w:pPr>
        <w:spacing w:after="0" w:line="182" w:lineRule="exact"/>
        <w:rPr>
          <w:rFonts w:ascii="Times New Roman" w:cs="Times New Roman" w:eastAsia="Times New Roman" w:hAnsi="Times New Roman"/>
          <w:sz w:val="19"/>
          <w:szCs w:val="19"/>
          <w:color w:val="auto"/>
        </w:rPr>
      </w:pPr>
    </w:p>
    <w:p>
      <w:pPr>
        <w:ind w:left="308" w:hanging="308"/>
        <w:spacing w:after="0" w:line="282" w:lineRule="auto"/>
        <w:tabs>
          <w:tab w:leader="none" w:pos="299"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the one year preceding the adoption or a Modification of a trading plan, a person may not have otherwise adopted or made a Modification to a plan more than once.</w:t>
      </w:r>
    </w:p>
    <w:p>
      <w:pPr>
        <w:spacing w:after="0" w:line="143" w:lineRule="exact"/>
        <w:rPr>
          <w:rFonts w:ascii="Times New Roman" w:cs="Times New Roman" w:eastAsia="Times New Roman" w:hAnsi="Times New Roman"/>
          <w:sz w:val="19"/>
          <w:szCs w:val="19"/>
          <w:color w:val="auto"/>
        </w:rPr>
      </w:pPr>
    </w:p>
    <w:p>
      <w:pPr>
        <w:ind w:left="308" w:hanging="308"/>
        <w:spacing w:after="0" w:line="282" w:lineRule="auto"/>
        <w:tabs>
          <w:tab w:leader="none" w:pos="292"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person may adopt a trading plan designed to cover a single trade only once in any consecutive 12-month period except as permitted by Rule 10b5-1.</w:t>
      </w:r>
    </w:p>
    <w:p>
      <w:pPr>
        <w:spacing w:after="0" w:line="143" w:lineRule="exact"/>
        <w:rPr>
          <w:rFonts w:ascii="Times New Roman" w:cs="Times New Roman" w:eastAsia="Times New Roman" w:hAnsi="Times New Roman"/>
          <w:sz w:val="19"/>
          <w:szCs w:val="19"/>
          <w:color w:val="auto"/>
        </w:rPr>
      </w:pPr>
    </w:p>
    <w:p>
      <w:pPr>
        <w:ind w:left="308" w:hanging="308"/>
        <w:spacing w:after="0" w:line="282" w:lineRule="auto"/>
        <w:tabs>
          <w:tab w:leader="none" w:pos="299"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person that adopted the trading plan terminates the plan prior to its stated duration, he or she may not trade in the Company’s securities until after the expiration of 30 calendar days following termination, and then only in accordance with the Policy.</w:t>
      </w:r>
    </w:p>
    <w:p>
      <w:pPr>
        <w:spacing w:after="0" w:line="156" w:lineRule="exact"/>
        <w:rPr>
          <w:rFonts w:ascii="Times New Roman" w:cs="Times New Roman" w:eastAsia="Times New Roman" w:hAnsi="Times New Roman"/>
          <w:sz w:val="19"/>
          <w:szCs w:val="19"/>
          <w:color w:val="auto"/>
        </w:rPr>
      </w:pPr>
    </w:p>
    <w:p>
      <w:pPr>
        <w:ind w:left="308" w:hanging="308"/>
        <w:spacing w:after="0" w:line="268" w:lineRule="auto"/>
        <w:tabs>
          <w:tab w:leader="none" w:pos="299"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must be promptly notified of any Modification or termination of the trading plan, including any suspension of trading under the trading plan.</w:t>
      </w:r>
    </w:p>
    <w:p>
      <w:pPr>
        <w:spacing w:after="0" w:line="168" w:lineRule="exact"/>
        <w:rPr>
          <w:rFonts w:ascii="Times New Roman" w:cs="Times New Roman" w:eastAsia="Times New Roman" w:hAnsi="Times New Roman"/>
          <w:sz w:val="19"/>
          <w:szCs w:val="19"/>
          <w:color w:val="auto"/>
        </w:rPr>
      </w:pPr>
    </w:p>
    <w:p>
      <w:pPr>
        <w:jc w:val="both"/>
        <w:ind w:left="308" w:hanging="308"/>
        <w:spacing w:after="0" w:line="261" w:lineRule="auto"/>
        <w:tabs>
          <w:tab w:leader="none" w:pos="299"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must have authority to require the suspension of the plan if there are legal, regulatory or contractual restrictions applicable to the Company or the person that adopted the trading plan, or to require the cancellation of the trading plan at any time, subject to any reasonable broker notice requirements as may be set forth in the trading plan.</w:t>
      </w:r>
    </w:p>
    <w:p>
      <w:pPr>
        <w:spacing w:after="0" w:line="162" w:lineRule="exact"/>
        <w:rPr>
          <w:rFonts w:ascii="Times New Roman" w:cs="Times New Roman" w:eastAsia="Times New Roman" w:hAnsi="Times New Roman"/>
          <w:sz w:val="19"/>
          <w:szCs w:val="19"/>
          <w:color w:val="auto"/>
        </w:rPr>
      </w:pPr>
    </w:p>
    <w:p>
      <w:pPr>
        <w:ind w:left="308" w:hanging="308"/>
        <w:spacing w:after="0"/>
        <w:tabs>
          <w:tab w:leader="none" w:pos="308"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trading plan grants discretion to a stockbroker or other person with respect to the execution of trades under the trading plan:</w:t>
      </w:r>
    </w:p>
    <w:p>
      <w:pPr>
        <w:spacing w:after="0" w:line="219" w:lineRule="exact"/>
        <w:rPr>
          <w:rFonts w:ascii="Times New Roman" w:cs="Times New Roman" w:eastAsia="Times New Roman" w:hAnsi="Times New Roman"/>
          <w:sz w:val="19"/>
          <w:szCs w:val="19"/>
          <w:color w:val="auto"/>
        </w:rPr>
      </w:pPr>
    </w:p>
    <w:p>
      <w:pPr>
        <w:ind w:left="928" w:hanging="310"/>
        <w:spacing w:after="0" w:line="282" w:lineRule="auto"/>
        <w:tabs>
          <w:tab w:leader="none" w:pos="917" w:val="left"/>
        </w:tabs>
        <w:numPr>
          <w:ilvl w:val="1"/>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adopting the trading plan may not exercise any subsequent influence over how, when or whether to effect purchases or sales under the plan;</w:t>
      </w:r>
    </w:p>
    <w:p>
      <w:pPr>
        <w:spacing w:after="0" w:line="143" w:lineRule="exact"/>
        <w:rPr>
          <w:rFonts w:ascii="Times New Roman" w:cs="Times New Roman" w:eastAsia="Times New Roman" w:hAnsi="Times New Roman"/>
          <w:sz w:val="19"/>
          <w:szCs w:val="19"/>
          <w:color w:val="auto"/>
        </w:rPr>
      </w:pPr>
    </w:p>
    <w:p>
      <w:pPr>
        <w:ind w:left="928" w:hanging="310"/>
        <w:spacing w:after="0" w:line="282" w:lineRule="auto"/>
        <w:tabs>
          <w:tab w:leader="none" w:pos="928" w:val="left"/>
        </w:tabs>
        <w:numPr>
          <w:ilvl w:val="1"/>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adopting the trading plan may not confer with the person administering the trading plan regarding the Company or its securities; and</w:t>
      </w:r>
    </w:p>
    <w:p>
      <w:pPr>
        <w:spacing w:after="0" w:line="143" w:lineRule="exact"/>
        <w:rPr>
          <w:rFonts w:ascii="Times New Roman" w:cs="Times New Roman" w:eastAsia="Times New Roman" w:hAnsi="Times New Roman"/>
          <w:sz w:val="19"/>
          <w:szCs w:val="19"/>
          <w:color w:val="auto"/>
        </w:rPr>
      </w:pPr>
    </w:p>
    <w:p>
      <w:pPr>
        <w:ind w:left="928" w:hanging="310"/>
        <w:spacing w:after="0" w:line="282" w:lineRule="auto"/>
        <w:tabs>
          <w:tab w:leader="none" w:pos="917" w:val="left"/>
        </w:tabs>
        <w:numPr>
          <w:ilvl w:val="1"/>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administering the trading plan must provide prompt notice to the Company of the execution of a transaction pursuant to the plan.</w:t>
      </w:r>
    </w:p>
    <w:p>
      <w:pPr>
        <w:spacing w:after="0" w:line="156" w:lineRule="exact"/>
        <w:rPr>
          <w:rFonts w:ascii="Times New Roman" w:cs="Times New Roman" w:eastAsia="Times New Roman" w:hAnsi="Times New Roman"/>
          <w:sz w:val="19"/>
          <w:szCs w:val="19"/>
          <w:color w:val="auto"/>
        </w:rPr>
      </w:pPr>
    </w:p>
    <w:p>
      <w:pPr>
        <w:ind w:left="308" w:hanging="308"/>
        <w:spacing w:after="0"/>
        <w:tabs>
          <w:tab w:leader="none" w:pos="308"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transactions under the trading plan must be in accordance with applicable law.</w:t>
      </w:r>
    </w:p>
    <w:p>
      <w:pPr>
        <w:spacing w:after="0" w:line="206" w:lineRule="exact"/>
        <w:rPr>
          <w:rFonts w:ascii="Times New Roman" w:cs="Times New Roman" w:eastAsia="Times New Roman" w:hAnsi="Times New Roman"/>
          <w:sz w:val="19"/>
          <w:szCs w:val="19"/>
          <w:color w:val="auto"/>
        </w:rPr>
      </w:pPr>
    </w:p>
    <w:p>
      <w:pPr>
        <w:ind w:left="308" w:hanging="308"/>
        <w:spacing w:after="0" w:line="282" w:lineRule="auto"/>
        <w:tabs>
          <w:tab w:leader="none" w:pos="299"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exceptions to the Trading Plan Requirements must be approved by the Compliance Officer or, in the case of directors and officers who are subject Section 16 of the Securities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9"/>
          <w:szCs w:val="19"/>
          <w:color w:val="auto"/>
        </w:rPr>
        <w:t>Exhibit B</w:t>
      </w:r>
    </w:p>
    <w:p>
      <w:pPr>
        <w:sectPr>
          <w:pgSz w:w="11900" w:h="16838" w:orient="portrait"/>
          <w:cols w:equalWidth="0" w:num="1">
            <w:col w:w="10928"/>
          </w:cols>
          <w:pgMar w:left="632" w:top="1440" w:right="339" w:bottom="1440" w:gutter="0" w:footer="0" w:header="0"/>
        </w:sectPr>
      </w:pPr>
    </w:p>
    <w:bookmarkStart w:id="313" w:name="page314"/>
    <w:bookmarkEnd w:id="313"/>
    <w:p>
      <w:pPr>
        <w:spacing w:after="0" w:line="122"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9"/>
          <w:szCs w:val="19"/>
          <w:color w:val="auto"/>
        </w:rPr>
        <w:t>of 1934, by the Compliance Officer, in consultation with the Company’s board of directors or an independent committee of the board of directors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 The trading plan (including any Modification) must meet such other requirements as the Compliance Officer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Exhibit B</w:t>
      </w:r>
    </w:p>
    <w:p>
      <w:pPr>
        <w:sectPr>
          <w:pgSz w:w="11900" w:h="16838" w:orient="portrait"/>
          <w:cols w:equalWidth="0" w:num="1">
            <w:col w:w="10920"/>
          </w:cols>
          <w:pgMar w:left="640" w:top="1440" w:right="339"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19"/>
          <w:szCs w:val="19"/>
          <w:b w:val="1"/>
          <w:bCs w:val="1"/>
          <w:color w:val="auto"/>
        </w:rPr>
        <w:t>M E M O R A N D U M</w:t>
      </w:r>
    </w:p>
    <w:p>
      <w:pPr>
        <w:spacing w:after="0" w:line="21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9"/>
          <w:szCs w:val="19"/>
          <w:b w:val="1"/>
          <w:bCs w:val="1"/>
          <w:color w:val="auto"/>
        </w:rPr>
        <w:t>To:</w:t>
      </w:r>
      <w:r>
        <w:rPr>
          <w:sz w:val="20"/>
          <w:szCs w:val="20"/>
          <w:color w:val="auto"/>
        </w:rPr>
        <w:tab/>
      </w:r>
      <w:r>
        <w:rPr>
          <w:rFonts w:ascii="Times New Roman" w:cs="Times New Roman" w:eastAsia="Times New Roman" w:hAnsi="Times New Roman"/>
          <w:sz w:val="18"/>
          <w:szCs w:val="18"/>
          <w:color w:val="auto"/>
        </w:rPr>
        <w:t>Directors, officers, employees, consultants, advisors, contractors, agents and other service providers of Whitehawk Therapeutics, Inc.</w:t>
      </w:r>
    </w:p>
    <w:p>
      <w:pPr>
        <w:spacing w:after="0" w:line="20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9"/>
          <w:szCs w:val="19"/>
          <w:b w:val="1"/>
          <w:bCs w:val="1"/>
          <w:color w:val="auto"/>
        </w:rPr>
        <w:t>From:</w:t>
      </w:r>
      <w:r>
        <w:rPr>
          <w:sz w:val="20"/>
          <w:szCs w:val="20"/>
          <w:color w:val="auto"/>
        </w:rPr>
        <w:tab/>
      </w:r>
      <w:r>
        <w:rPr>
          <w:rFonts w:ascii="Times New Roman" w:cs="Times New Roman" w:eastAsia="Times New Roman" w:hAnsi="Times New Roman"/>
          <w:sz w:val="18"/>
          <w:szCs w:val="18"/>
          <w:color w:val="auto"/>
        </w:rPr>
        <w:t>Whitehawk Therapeutics, Inc.</w:t>
      </w:r>
    </w:p>
    <w:p>
      <w:pPr>
        <w:spacing w:after="0" w:line="2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b w:val="1"/>
          <w:bCs w:val="1"/>
          <w:color w:val="auto"/>
        </w:rPr>
        <w:t>Date:</w:t>
      </w:r>
      <w:r>
        <w:rPr>
          <w:sz w:val="20"/>
          <w:szCs w:val="20"/>
          <w:color w:val="auto"/>
        </w:rPr>
        <w:tab/>
      </w:r>
      <w:r>
        <w:rPr>
          <w:rFonts w:ascii="Times New Roman" w:cs="Times New Roman" w:eastAsia="Times New Roman" w:hAnsi="Times New Roman"/>
          <w:sz w:val="18"/>
          <w:szCs w:val="18"/>
          <w:color w:val="auto"/>
        </w:rPr>
        <w:t>[______]</w:t>
      </w:r>
    </w:p>
    <w:p>
      <w:pPr>
        <w:spacing w:after="0" w:line="21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200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Attached is a copy of our Insider Trading Policy, which governs transactions involving trading in securities by directors, officers, employees, consultants, advisors, contractors, agents and other service providers of Whitehawk Therapeutics, Inc. (together with any subsidiaries, collectively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As described in the Insider Trading Policy, violations of insider trading laws can result in significant civil and criminal liability. Accordingly, please carefully review the materials provided.</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After reading the Insider Trading Policy, please sign the receipt and acknowledgment at the bottom of this memorandum and return it to the Compliance Officer. The Insider Trading Policy applies to you regardless of whether you sign the receipt and acknowledgment at the bottom of this memorandum and return it to the Compliance Officer.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color w:val="auto"/>
        </w:rPr>
        <w:t>If you have any questions about the Insider Trading Policy or insider trading laws generally or about any transaction involving the securities of the Company, please contact the Compliance Officer at srodin@whitehawktx.com.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Attachment(s)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Receipt and Acknowledgment</w:t>
      </w:r>
    </w:p>
    <w:p>
      <w:pPr>
        <w:spacing w:after="0" w:line="107" w:lineRule="exact"/>
        <w:rPr>
          <w:sz w:val="20"/>
          <w:szCs w:val="20"/>
          <w:color w:val="auto"/>
        </w:rPr>
      </w:pPr>
    </w:p>
    <w:p>
      <w:pPr>
        <w:ind w:left="600" w:hanging="288"/>
        <w:spacing w:after="0"/>
        <w:tabs>
          <w:tab w:leader="none" w:pos="600"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received and read the Insider Trading Policy.</w:t>
      </w:r>
    </w:p>
    <w:p>
      <w:pPr>
        <w:spacing w:after="0" w:line="116"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received satisfactory answers to any questions that I had regarding the Insider Trading Policy and insider trading in general.</w:t>
      </w:r>
    </w:p>
    <w:p>
      <w:pPr>
        <w:spacing w:after="0" w:line="103"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and acknowledge that the Insider Trading Policy applies to me.</w:t>
      </w:r>
    </w:p>
    <w:p>
      <w:pPr>
        <w:spacing w:after="0" w:line="116"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and agree to comply with the Insider Trading Policy.</w:t>
      </w:r>
    </w:p>
    <w:p>
      <w:pPr>
        <w:spacing w:after="0" w:line="116" w:lineRule="exact"/>
        <w:rPr>
          <w:rFonts w:ascii="Times New Roman" w:cs="Times New Roman" w:eastAsia="Times New Roman" w:hAnsi="Times New Roman"/>
          <w:sz w:val="19"/>
          <w:szCs w:val="19"/>
          <w:color w:val="auto"/>
        </w:rPr>
      </w:pPr>
    </w:p>
    <w:p>
      <w:pPr>
        <w:ind w:left="620" w:hanging="308"/>
        <w:spacing w:after="0" w:line="268" w:lineRule="auto"/>
        <w:tabs>
          <w:tab w:leader="none" w:pos="609"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that my failure to comply in all respects with the Insider Trading Policy is a basis for termination of my employment or other service relationship with the Company as well as any other appropriate discipline.</w:t>
      </w:r>
    </w:p>
    <w:p>
      <w:pPr>
        <w:spacing w:after="0" w:line="65" w:lineRule="exact"/>
        <w:rPr>
          <w:rFonts w:ascii="Times New Roman" w:cs="Times New Roman" w:eastAsia="Times New Roman" w:hAnsi="Times New Roman"/>
          <w:sz w:val="19"/>
          <w:szCs w:val="19"/>
          <w:color w:val="auto"/>
        </w:rPr>
      </w:pPr>
    </w:p>
    <w:p>
      <w:pPr>
        <w:ind w:left="620" w:hanging="308"/>
        <w:spacing w:after="0" w:line="268" w:lineRule="auto"/>
        <w:tabs>
          <w:tab w:leader="none" w:pos="609"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and agree that the Company may give stop transfer and other instructions to the Company’s transfer agent with respect to transactions that the Company considers to be in contravention of the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300355</wp:posOffset>
            </wp:positionV>
            <wp:extent cx="1200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300355</wp:posOffset>
            </wp:positionV>
            <wp:extent cx="1200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5"/>
          <w:szCs w:val="15"/>
          <w:color w:val="auto"/>
        </w:rPr>
        <w:t>Signature</w:t>
      </w:r>
      <w:r>
        <w:rPr>
          <w:sz w:val="20"/>
          <w:szCs w:val="20"/>
          <w:color w:val="auto"/>
        </w:rPr>
        <w:tab/>
      </w: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1200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Print name</w:t>
      </w:r>
    </w:p>
    <w:p>
      <w:pPr>
        <w:sectPr>
          <w:pgSz w:w="11900" w:h="16838" w:orient="portrait"/>
          <w:cols w:equalWidth="0" w:num="1">
            <w:col w:w="11240"/>
          </w:cols>
          <w:pgMar w:left="320" w:top="977" w:right="339" w:bottom="1440" w:gutter="0" w:footer="0" w:header="0"/>
        </w:sectPr>
      </w:pPr>
    </w:p>
    <w:bookmarkStart w:id="315" w:name="page316"/>
    <w:bookmarkEnd w:id="315"/>
    <w:p>
      <w:pPr>
        <w:ind w:left="10260"/>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4840" w:type="dxa"/>
            <w:vAlign w:val="bottom"/>
          </w:tcPr>
          <w:p>
            <w:pPr>
              <w:spacing w:after="0"/>
              <w:rPr>
                <w:sz w:val="18"/>
                <w:szCs w:val="18"/>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List of Subsidiaries</w:t>
            </w:r>
          </w:p>
        </w:tc>
        <w:tc>
          <w:tcPr>
            <w:tcW w:w="4860" w:type="dxa"/>
            <w:vAlign w:val="bottom"/>
          </w:tcPr>
          <w:p>
            <w:pPr>
              <w:spacing w:after="0"/>
              <w:rPr>
                <w:sz w:val="18"/>
                <w:szCs w:val="18"/>
                <w:color w:val="auto"/>
              </w:rPr>
            </w:pPr>
          </w:p>
        </w:tc>
      </w:tr>
      <w:tr>
        <w:trPr>
          <w:trHeight w:val="268"/>
        </w:trPr>
        <w:tc>
          <w:tcPr>
            <w:tcW w:w="4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60" w:type="dxa"/>
            <w:vAlign w:val="bottom"/>
            <w:gridSpan w:val="2"/>
          </w:tcPr>
          <w:p>
            <w:pPr>
              <w:jc w:val="center"/>
              <w:ind w:right="5380"/>
              <w:spacing w:after="0"/>
              <w:rPr>
                <w:sz w:val="20"/>
                <w:szCs w:val="20"/>
                <w:color w:val="auto"/>
              </w:rPr>
            </w:pPr>
            <w:r>
              <w:rPr>
                <w:rFonts w:ascii="Times New Roman" w:cs="Times New Roman" w:eastAsia="Times New Roman" w:hAnsi="Times New Roman"/>
                <w:sz w:val="19"/>
                <w:szCs w:val="19"/>
                <w:b w:val="1"/>
                <w:bCs w:val="1"/>
                <w:color w:val="auto"/>
              </w:rPr>
              <w:t> </w:t>
            </w:r>
          </w:p>
        </w:tc>
      </w:tr>
      <w:tr>
        <w:trPr>
          <w:trHeight w:val="292"/>
        </w:trPr>
        <w:tc>
          <w:tcPr>
            <w:tcW w:w="48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2"/>
          </w:tcPr>
          <w:p>
            <w:pPr>
              <w:spacing w:after="0"/>
              <w:rPr>
                <w:sz w:val="24"/>
                <w:szCs w:val="24"/>
                <w:color w:val="auto"/>
              </w:rPr>
            </w:pPr>
          </w:p>
        </w:tc>
      </w:tr>
      <w:tr>
        <w:trPr>
          <w:trHeight w:val="294"/>
        </w:trPr>
        <w:tc>
          <w:tcPr>
            <w:tcW w:w="4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Name of Subsidiary</w:t>
            </w:r>
          </w:p>
        </w:tc>
        <w:tc>
          <w:tcPr>
            <w:tcW w:w="560" w:type="dxa"/>
            <w:vAlign w:val="bottom"/>
            <w:tcBorders>
              <w:right w:val="single" w:sz="8" w:color="auto"/>
            </w:tcBorders>
          </w:tcPr>
          <w:p>
            <w:pPr>
              <w:spacing w:after="0"/>
              <w:rPr>
                <w:sz w:val="24"/>
                <w:szCs w:val="24"/>
                <w:color w:val="auto"/>
              </w:rPr>
            </w:pPr>
          </w:p>
        </w:tc>
        <w:tc>
          <w:tcPr>
            <w:tcW w:w="5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9"/>
                <w:szCs w:val="19"/>
                <w:b w:val="1"/>
                <w:bCs w:val="1"/>
                <w:color w:val="auto"/>
              </w:rPr>
              <w:t>Jurisdiction of Incorporation or Organization</w:t>
            </w:r>
          </w:p>
        </w:tc>
      </w:tr>
      <w:tr>
        <w:trPr>
          <w:trHeight w:val="60"/>
        </w:trPr>
        <w:tc>
          <w:tcPr>
            <w:tcW w:w="484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5860" w:type="dxa"/>
            <w:vAlign w:val="bottom"/>
            <w:tcBorders>
              <w:bottom w:val="single" w:sz="8" w:color="auto"/>
              <w:right w:val="single" w:sz="8" w:color="auto"/>
            </w:tcBorders>
            <w:gridSpan w:val="2"/>
          </w:tcPr>
          <w:p>
            <w:pPr>
              <w:spacing w:after="0"/>
              <w:rPr>
                <w:sz w:val="5"/>
                <w:szCs w:val="5"/>
                <w:color w:val="auto"/>
              </w:rPr>
            </w:pPr>
          </w:p>
        </w:tc>
      </w:tr>
      <w:tr>
        <w:trPr>
          <w:trHeight w:val="294"/>
        </w:trPr>
        <w:tc>
          <w:tcPr>
            <w:tcW w:w="4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Aadi Subsidiary, Inc.*</w:t>
            </w:r>
          </w:p>
        </w:tc>
        <w:tc>
          <w:tcPr>
            <w:tcW w:w="560" w:type="dxa"/>
            <w:vAlign w:val="bottom"/>
            <w:tcBorders>
              <w:right w:val="single" w:sz="8" w:color="auto"/>
            </w:tcBorders>
          </w:tcPr>
          <w:p>
            <w:pPr>
              <w:spacing w:after="0"/>
              <w:rPr>
                <w:sz w:val="24"/>
                <w:szCs w:val="24"/>
                <w:color w:val="auto"/>
              </w:rPr>
            </w:pPr>
          </w:p>
        </w:tc>
        <w:tc>
          <w:tcPr>
            <w:tcW w:w="5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60"/>
        </w:trPr>
        <w:tc>
          <w:tcPr>
            <w:tcW w:w="4840" w:type="dxa"/>
            <w:vAlign w:val="bottom"/>
            <w:tcBorders>
              <w:left w:val="single" w:sz="8" w:color="auto"/>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w:t>
      </w:r>
    </w:p>
    <w:p>
      <w:pPr>
        <w:spacing w:after="0" w:line="26" w:lineRule="exact"/>
        <w:rPr>
          <w:sz w:val="20"/>
          <w:szCs w:val="20"/>
          <w:color w:val="auto"/>
        </w:rPr>
      </w:pPr>
    </w:p>
    <w:p>
      <w:pPr>
        <w:jc w:val="both"/>
        <w:ind w:right="20" w:hanging="25"/>
        <w:spacing w:after="0" w:line="289" w:lineRule="auto"/>
        <w:rPr>
          <w:sz w:val="20"/>
          <w:szCs w:val="20"/>
          <w:color w:val="auto"/>
        </w:rPr>
      </w:pPr>
      <w:r>
        <w:rPr>
          <w:rFonts w:ascii="Times New Roman" w:cs="Times New Roman" w:eastAsia="Times New Roman" w:hAnsi="Times New Roman"/>
          <w:sz w:val="19"/>
          <w:szCs w:val="19"/>
          <w:color w:val="auto"/>
        </w:rPr>
        <w:t>In March 2025, Whitehawk Therapeutics, Inc. f/k/a Aadi Biosciences, Inc. (the “Company”) completed the sale of 100% of the outstanding shares of capital stock of Aadi Subsidiary, Inc. pursuant to the Stock Purchase Agreement entered into by and among the Company, KAKEN INVESTMENTS INC., a Delaware corporation, KAKEN PHARMACEUTICAL CO., LTD, and Aadi Subsidiary, Inc. on December 19, 2024.</w:t>
      </w:r>
    </w:p>
    <w:p>
      <w:pPr>
        <w:sectPr>
          <w:pgSz w:w="11900" w:h="16838" w:orient="portrait"/>
          <w:cols w:equalWidth="0" w:num="1">
            <w:col w:w="11260"/>
          </w:cols>
          <w:pgMar w:left="320" w:top="1364" w:right="31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333-277018, 333-268021, 333-259785) and Form S-8 (Nos. 333-277020, 333-270933, 333-263639, 333-259787, 333-220057, 333-224189, 333-230114 and 333-237210) of Whitehawk Therapeutics, Inc. of our report dated March 27, 2025, relating to the consolidated financial statements which appear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ectPr>
          <w:pgSz w:w="11900" w:h="16838" w:orient="portrait"/>
          <w:cols w:equalWidth="0" w:num="1">
            <w:col w:w="11240"/>
          </w:cols>
          <w:pgMar w:left="320" w:top="1346" w:right="33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J. Lennon, certify that:</w:t>
      </w:r>
    </w:p>
    <w:p>
      <w:pPr>
        <w:spacing w:after="0" w:line="191" w:lineRule="exact"/>
        <w:rPr>
          <w:sz w:val="20"/>
          <w:szCs w:val="20"/>
          <w:color w:val="auto"/>
        </w:rPr>
      </w:pPr>
    </w:p>
    <w:p>
      <w:pPr>
        <w:ind w:left="620" w:hanging="617"/>
        <w:spacing w:after="0"/>
        <w:tabs>
          <w:tab w:leader="none" w:pos="62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Whitehawk Therapeutics, Inc.;</w:t>
      </w:r>
    </w:p>
    <w:p>
      <w:pPr>
        <w:spacing w:after="0" w:line="203" w:lineRule="exact"/>
        <w:rPr>
          <w:rFonts w:ascii="Times New Roman" w:cs="Times New Roman" w:eastAsia="Times New Roman" w:hAnsi="Times New Roman"/>
          <w:sz w:val="17"/>
          <w:szCs w:val="17"/>
          <w:color w:val="auto"/>
        </w:rPr>
      </w:pPr>
    </w:p>
    <w:p>
      <w:pPr>
        <w:ind w:left="620" w:right="160" w:hanging="617"/>
        <w:spacing w:after="0" w:line="286" w:lineRule="auto"/>
        <w:tabs>
          <w:tab w:leader="none" w:pos="62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620" w:right="600" w:hanging="617"/>
        <w:spacing w:after="0" w:line="286" w:lineRule="auto"/>
        <w:tabs>
          <w:tab w:leader="none" w:pos="62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Times New Roman" w:cs="Times New Roman" w:eastAsia="Times New Roman" w:hAnsi="Times New Roman"/>
          <w:sz w:val="17"/>
          <w:szCs w:val="17"/>
          <w:color w:val="auto"/>
        </w:rPr>
      </w:pPr>
    </w:p>
    <w:p>
      <w:pPr>
        <w:ind w:left="620" w:right="220" w:hanging="617"/>
        <w:spacing w:after="0" w:line="269" w:lineRule="auto"/>
        <w:tabs>
          <w:tab w:leader="none" w:pos="62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Times New Roman" w:cs="Times New Roman" w:eastAsia="Times New Roman" w:hAnsi="Times New Roman"/>
          <w:sz w:val="17"/>
          <w:szCs w:val="17"/>
          <w:color w:val="auto"/>
        </w:rPr>
      </w:pPr>
    </w:p>
    <w:p>
      <w:pPr>
        <w:ind w:left="1240" w:right="260" w:hanging="619"/>
        <w:spacing w:after="0" w:line="269" w:lineRule="auto"/>
        <w:tabs>
          <w:tab w:leader="none" w:pos="1237"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Times New Roman" w:cs="Times New Roman" w:eastAsia="Times New Roman" w:hAnsi="Times New Roman"/>
          <w:sz w:val="17"/>
          <w:szCs w:val="17"/>
          <w:color w:val="auto"/>
        </w:rPr>
      </w:pPr>
    </w:p>
    <w:p>
      <w:pPr>
        <w:ind w:left="1240" w:right="560" w:hanging="619"/>
        <w:spacing w:after="0" w:line="269" w:lineRule="auto"/>
        <w:tabs>
          <w:tab w:leader="none" w:pos="1234"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Times New Roman" w:cs="Times New Roman" w:eastAsia="Times New Roman" w:hAnsi="Times New Roman"/>
          <w:sz w:val="17"/>
          <w:szCs w:val="17"/>
          <w:color w:val="auto"/>
        </w:rPr>
      </w:pPr>
    </w:p>
    <w:p>
      <w:pPr>
        <w:jc w:val="both"/>
        <w:ind w:left="1240" w:right="720" w:hanging="619"/>
        <w:spacing w:after="0" w:line="286" w:lineRule="auto"/>
        <w:tabs>
          <w:tab w:leader="none" w:pos="1237"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240" w:hanging="619"/>
        <w:spacing w:after="0" w:line="269" w:lineRule="auto"/>
        <w:tabs>
          <w:tab w:leader="none" w:pos="1234"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3" w:lineRule="exact"/>
        <w:rPr>
          <w:rFonts w:ascii="Times New Roman" w:cs="Times New Roman" w:eastAsia="Times New Roman" w:hAnsi="Times New Roman"/>
          <w:sz w:val="17"/>
          <w:szCs w:val="17"/>
          <w:color w:val="auto"/>
        </w:rPr>
      </w:pPr>
    </w:p>
    <w:p>
      <w:pPr>
        <w:ind w:left="620" w:right="360" w:hanging="617"/>
        <w:spacing w:after="0" w:line="286" w:lineRule="auto"/>
        <w:tabs>
          <w:tab w:leader="none" w:pos="62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6" w:lineRule="exact"/>
        <w:rPr>
          <w:rFonts w:ascii="Times New Roman" w:cs="Times New Roman" w:eastAsia="Times New Roman" w:hAnsi="Times New Roman"/>
          <w:sz w:val="17"/>
          <w:szCs w:val="17"/>
          <w:color w:val="auto"/>
        </w:rPr>
      </w:pPr>
    </w:p>
    <w:p>
      <w:pPr>
        <w:ind w:left="1240" w:right="180" w:hanging="619"/>
        <w:spacing w:after="0" w:line="286" w:lineRule="auto"/>
        <w:tabs>
          <w:tab w:leader="none" w:pos="1237"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240" w:right="160" w:hanging="619"/>
        <w:spacing w:after="0" w:line="286" w:lineRule="auto"/>
        <w:tabs>
          <w:tab w:leader="none" w:pos="1234"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20"/>
        <w:spacing w:after="0"/>
        <w:tabs>
          <w:tab w:leader="none" w:pos="5940" w:val="left"/>
          <w:tab w:leader="none" w:pos="7880" w:val="left"/>
        </w:tabs>
        <w:rPr>
          <w:sz w:val="20"/>
          <w:szCs w:val="20"/>
          <w:color w:val="auto"/>
        </w:rPr>
      </w:pPr>
      <w:r>
        <w:rPr>
          <w:rFonts w:ascii="Times New Roman" w:cs="Times New Roman" w:eastAsia="Times New Roman" w:hAnsi="Times New Roman"/>
          <w:sz w:val="17"/>
          <w:szCs w:val="17"/>
          <w:color w:val="auto"/>
        </w:rPr>
        <w:t>Date: March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David J. Lennon,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19685</wp:posOffset>
            </wp:positionV>
            <wp:extent cx="30746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3074670"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7"/>
          <w:szCs w:val="17"/>
          <w:b w:val="1"/>
          <w:bCs w:val="1"/>
          <w:color w:val="auto"/>
        </w:rPr>
        <w:t>David J. Lennon, Ph.D.</w:t>
      </w:r>
    </w:p>
    <w:p>
      <w:pPr>
        <w:spacing w:after="0" w:line="1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b w:val="1"/>
          <w:bCs w:val="1"/>
          <w:color w:val="auto"/>
        </w:rPr>
        <w:t>Chief Executive Officer and President</w:t>
      </w:r>
    </w:p>
    <w:p>
      <w:pPr>
        <w:ind w:left="776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1098" w:right="3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Scott Giacobello, certify that:</w:t>
      </w:r>
    </w:p>
    <w:p>
      <w:pPr>
        <w:spacing w:after="0" w:line="191" w:lineRule="exact"/>
        <w:rPr>
          <w:sz w:val="20"/>
          <w:szCs w:val="20"/>
          <w:color w:val="auto"/>
        </w:rPr>
      </w:pPr>
    </w:p>
    <w:p>
      <w:pPr>
        <w:ind w:left="620" w:hanging="617"/>
        <w:spacing w:after="0"/>
        <w:tabs>
          <w:tab w:leader="none" w:pos="62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Whitehawk Therapeutics, Inc.;</w:t>
      </w:r>
    </w:p>
    <w:p>
      <w:pPr>
        <w:spacing w:after="0" w:line="203" w:lineRule="exact"/>
        <w:rPr>
          <w:rFonts w:ascii="Times New Roman" w:cs="Times New Roman" w:eastAsia="Times New Roman" w:hAnsi="Times New Roman"/>
          <w:sz w:val="17"/>
          <w:szCs w:val="17"/>
          <w:color w:val="auto"/>
        </w:rPr>
      </w:pPr>
    </w:p>
    <w:p>
      <w:pPr>
        <w:ind w:left="620" w:right="160" w:hanging="617"/>
        <w:spacing w:after="0" w:line="286" w:lineRule="auto"/>
        <w:tabs>
          <w:tab w:leader="none" w:pos="62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620" w:right="600" w:hanging="617"/>
        <w:spacing w:after="0" w:line="286" w:lineRule="auto"/>
        <w:tabs>
          <w:tab w:leader="none" w:pos="62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Times New Roman" w:cs="Times New Roman" w:eastAsia="Times New Roman" w:hAnsi="Times New Roman"/>
          <w:sz w:val="17"/>
          <w:szCs w:val="17"/>
          <w:color w:val="auto"/>
        </w:rPr>
      </w:pPr>
    </w:p>
    <w:p>
      <w:pPr>
        <w:ind w:left="620" w:right="220" w:hanging="617"/>
        <w:spacing w:after="0" w:line="269" w:lineRule="auto"/>
        <w:tabs>
          <w:tab w:leader="none" w:pos="62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Times New Roman" w:cs="Times New Roman" w:eastAsia="Times New Roman" w:hAnsi="Times New Roman"/>
          <w:sz w:val="17"/>
          <w:szCs w:val="17"/>
          <w:color w:val="auto"/>
        </w:rPr>
      </w:pPr>
    </w:p>
    <w:p>
      <w:pPr>
        <w:ind w:left="1240" w:right="260" w:hanging="619"/>
        <w:spacing w:after="0" w:line="269" w:lineRule="auto"/>
        <w:tabs>
          <w:tab w:leader="none" w:pos="1237"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Times New Roman" w:cs="Times New Roman" w:eastAsia="Times New Roman" w:hAnsi="Times New Roman"/>
          <w:sz w:val="17"/>
          <w:szCs w:val="17"/>
          <w:color w:val="auto"/>
        </w:rPr>
      </w:pPr>
    </w:p>
    <w:p>
      <w:pPr>
        <w:ind w:left="1240" w:right="560" w:hanging="619"/>
        <w:spacing w:after="0" w:line="269" w:lineRule="auto"/>
        <w:tabs>
          <w:tab w:leader="none" w:pos="1234"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Times New Roman" w:cs="Times New Roman" w:eastAsia="Times New Roman" w:hAnsi="Times New Roman"/>
          <w:sz w:val="17"/>
          <w:szCs w:val="17"/>
          <w:color w:val="auto"/>
        </w:rPr>
      </w:pPr>
    </w:p>
    <w:p>
      <w:pPr>
        <w:jc w:val="both"/>
        <w:ind w:left="1240" w:right="720" w:hanging="619"/>
        <w:spacing w:after="0" w:line="286" w:lineRule="auto"/>
        <w:tabs>
          <w:tab w:leader="none" w:pos="1237"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240" w:hanging="619"/>
        <w:spacing w:after="0" w:line="269" w:lineRule="auto"/>
        <w:tabs>
          <w:tab w:leader="none" w:pos="1234"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3" w:lineRule="exact"/>
        <w:rPr>
          <w:rFonts w:ascii="Times New Roman" w:cs="Times New Roman" w:eastAsia="Times New Roman" w:hAnsi="Times New Roman"/>
          <w:sz w:val="17"/>
          <w:szCs w:val="17"/>
          <w:color w:val="auto"/>
        </w:rPr>
      </w:pPr>
    </w:p>
    <w:p>
      <w:pPr>
        <w:ind w:left="620" w:right="360" w:hanging="617"/>
        <w:spacing w:after="0" w:line="286" w:lineRule="auto"/>
        <w:tabs>
          <w:tab w:leader="none" w:pos="62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6" w:lineRule="exact"/>
        <w:rPr>
          <w:rFonts w:ascii="Times New Roman" w:cs="Times New Roman" w:eastAsia="Times New Roman" w:hAnsi="Times New Roman"/>
          <w:sz w:val="17"/>
          <w:szCs w:val="17"/>
          <w:color w:val="auto"/>
        </w:rPr>
      </w:pPr>
    </w:p>
    <w:p>
      <w:pPr>
        <w:ind w:left="1240" w:right="180" w:hanging="619"/>
        <w:spacing w:after="0" w:line="286" w:lineRule="auto"/>
        <w:tabs>
          <w:tab w:leader="none" w:pos="1237"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240" w:right="160" w:hanging="619"/>
        <w:spacing w:after="0" w:line="286" w:lineRule="auto"/>
        <w:tabs>
          <w:tab w:leader="none" w:pos="1234"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20"/>
        <w:spacing w:after="0"/>
        <w:tabs>
          <w:tab w:leader="none" w:pos="5940" w:val="left"/>
          <w:tab w:leader="none" w:pos="8120" w:val="left"/>
        </w:tabs>
        <w:rPr>
          <w:sz w:val="20"/>
          <w:szCs w:val="20"/>
          <w:color w:val="auto"/>
        </w:rPr>
      </w:pPr>
      <w:r>
        <w:rPr>
          <w:rFonts w:ascii="Times New Roman" w:cs="Times New Roman" w:eastAsia="Times New Roman" w:hAnsi="Times New Roman"/>
          <w:sz w:val="17"/>
          <w:szCs w:val="17"/>
          <w:color w:val="auto"/>
        </w:rPr>
        <w:t>Date: March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19685</wp:posOffset>
            </wp:positionV>
            <wp:extent cx="30746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3074670" cy="8255"/>
                    </a:xfrm>
                    <a:prstGeom prst="rect">
                      <a:avLst/>
                    </a:prstGeom>
                    <a:noFill/>
                  </pic:spPr>
                </pic:pic>
              </a:graphicData>
            </a:graphic>
          </wp:anchor>
        </w:drawing>
      </w:r>
    </w:p>
    <w:p>
      <w:pPr>
        <w:spacing w:after="0" w:line="1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7"/>
          <w:szCs w:val="17"/>
          <w:b w:val="1"/>
          <w:bCs w:val="1"/>
          <w:color w:val="auto"/>
        </w:rPr>
        <w:t>Scott Giacobello</w:t>
      </w:r>
    </w:p>
    <w:p>
      <w:pPr>
        <w:spacing w:after="0" w:line="1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ind w:left="778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p>
      <w:pPr>
        <w:sectPr>
          <w:pgSz w:w="11900" w:h="16838" w:orient="portrait"/>
          <w:cols w:equalWidth="0" w:num="1">
            <w:col w:w="11240"/>
          </w:cols>
          <w:pgMar w:left="320" w:top="1098" w:right="33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40" w:firstLine="618"/>
        <w:spacing w:after="0" w:line="269" w:lineRule="auto"/>
        <w:rPr>
          <w:sz w:val="20"/>
          <w:szCs w:val="20"/>
          <w:color w:val="auto"/>
        </w:rPr>
      </w:pPr>
      <w:r>
        <w:rPr>
          <w:rFonts w:ascii="Times New Roman" w:cs="Times New Roman" w:eastAsia="Times New Roman" w:hAnsi="Times New Roman"/>
          <w:sz w:val="17"/>
          <w:szCs w:val="17"/>
          <w:color w:val="auto"/>
        </w:rPr>
        <w:t>In connection with the Annual Report of Whitehawk Therapeutics, Inc. (the “Company”) on Form 10-K for the period ending December 31, 2024 as filed with the Securities and Exchange Commission on the date hereof (the “Report”), I certify, pursuant to 18 U.S.C. § 1350, as adopted pursuant to § 906 of the Sarbanes-Oxley Act of 2002, that:</w:t>
      </w:r>
    </w:p>
    <w:p>
      <w:pPr>
        <w:spacing w:after="0" w:line="167" w:lineRule="exact"/>
        <w:rPr>
          <w:sz w:val="20"/>
          <w:szCs w:val="20"/>
          <w:color w:val="auto"/>
        </w:rPr>
      </w:pPr>
    </w:p>
    <w:p>
      <w:pPr>
        <w:ind w:left="1240" w:hanging="619"/>
        <w:spacing w:after="0"/>
        <w:tabs>
          <w:tab w:leader="none" w:pos="1240"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6" w:lineRule="exact"/>
        <w:rPr>
          <w:rFonts w:ascii="Times New Roman" w:cs="Times New Roman" w:eastAsia="Times New Roman" w:hAnsi="Times New Roman"/>
          <w:sz w:val="17"/>
          <w:szCs w:val="17"/>
          <w:color w:val="auto"/>
        </w:rPr>
      </w:pPr>
    </w:p>
    <w:p>
      <w:pPr>
        <w:ind w:left="1240" w:hanging="619"/>
        <w:spacing w:after="0"/>
        <w:tabs>
          <w:tab w:leader="none" w:pos="1240"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1" w:lineRule="exact"/>
        <w:rPr>
          <w:sz w:val="20"/>
          <w:szCs w:val="20"/>
          <w:color w:val="auto"/>
        </w:rPr>
      </w:pPr>
    </w:p>
    <w:p>
      <w:pPr>
        <w:ind w:left="20"/>
        <w:spacing w:after="0"/>
        <w:tabs>
          <w:tab w:leader="none" w:pos="5940" w:val="left"/>
          <w:tab w:leader="none" w:pos="7880" w:val="left"/>
        </w:tabs>
        <w:rPr>
          <w:sz w:val="20"/>
          <w:szCs w:val="20"/>
          <w:color w:val="auto"/>
        </w:rPr>
      </w:pPr>
      <w:r>
        <w:rPr>
          <w:rFonts w:ascii="Times New Roman" w:cs="Times New Roman" w:eastAsia="Times New Roman" w:hAnsi="Times New Roman"/>
          <w:sz w:val="17"/>
          <w:szCs w:val="17"/>
          <w:color w:val="auto"/>
        </w:rPr>
        <w:t>Date: March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David J. Lennon,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19685</wp:posOffset>
            </wp:positionV>
            <wp:extent cx="30746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3074670"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7"/>
          <w:szCs w:val="17"/>
          <w:b w:val="1"/>
          <w:bCs w:val="1"/>
          <w:color w:val="auto"/>
        </w:rPr>
        <w:t>David J. Lennon, Ph.D.</w:t>
      </w:r>
    </w:p>
    <w:p>
      <w:pPr>
        <w:spacing w:after="0" w:line="1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b w:val="1"/>
          <w:bCs w:val="1"/>
          <w:color w:val="auto"/>
        </w:rPr>
        <w:t>Chief Executive Officer and President</w:t>
      </w:r>
    </w:p>
    <w:p>
      <w:pPr>
        <w:ind w:left="776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1097" w:right="33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40" w:firstLine="618"/>
        <w:spacing w:after="0" w:line="269" w:lineRule="auto"/>
        <w:rPr>
          <w:sz w:val="20"/>
          <w:szCs w:val="20"/>
          <w:color w:val="auto"/>
        </w:rPr>
      </w:pPr>
      <w:r>
        <w:rPr>
          <w:rFonts w:ascii="Times New Roman" w:cs="Times New Roman" w:eastAsia="Times New Roman" w:hAnsi="Times New Roman"/>
          <w:sz w:val="17"/>
          <w:szCs w:val="17"/>
          <w:color w:val="auto"/>
        </w:rPr>
        <w:t>In connection with the Annual Report of Whitehawk Therapeutics, Inc. (the “Company”) on Form 10-K for the period ending December 31, 2024 as filed with the Securities and Exchange Commission on the date hereof (the “Report”), I certify, pursuant to 18 U.S.C. § 1350, as adopted pursuant to § 906 of the Sarbanes-Oxley Act of 2002, that:</w:t>
      </w:r>
    </w:p>
    <w:p>
      <w:pPr>
        <w:spacing w:after="0" w:line="167" w:lineRule="exact"/>
        <w:rPr>
          <w:sz w:val="20"/>
          <w:szCs w:val="20"/>
          <w:color w:val="auto"/>
        </w:rPr>
      </w:pPr>
    </w:p>
    <w:p>
      <w:pPr>
        <w:ind w:left="1240" w:hanging="619"/>
        <w:spacing w:after="0"/>
        <w:tabs>
          <w:tab w:leader="none" w:pos="1240"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6" w:lineRule="exact"/>
        <w:rPr>
          <w:rFonts w:ascii="Times New Roman" w:cs="Times New Roman" w:eastAsia="Times New Roman" w:hAnsi="Times New Roman"/>
          <w:sz w:val="17"/>
          <w:szCs w:val="17"/>
          <w:color w:val="auto"/>
        </w:rPr>
      </w:pPr>
    </w:p>
    <w:p>
      <w:pPr>
        <w:ind w:left="1240" w:hanging="619"/>
        <w:spacing w:after="0"/>
        <w:tabs>
          <w:tab w:leader="none" w:pos="1240"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1" w:lineRule="exact"/>
        <w:rPr>
          <w:sz w:val="20"/>
          <w:szCs w:val="20"/>
          <w:color w:val="auto"/>
        </w:rPr>
      </w:pPr>
    </w:p>
    <w:p>
      <w:pPr>
        <w:ind w:left="20"/>
        <w:spacing w:after="0"/>
        <w:tabs>
          <w:tab w:leader="none" w:pos="5940" w:val="left"/>
          <w:tab w:leader="none" w:pos="8120" w:val="left"/>
        </w:tabs>
        <w:rPr>
          <w:sz w:val="20"/>
          <w:szCs w:val="20"/>
          <w:color w:val="auto"/>
        </w:rPr>
      </w:pPr>
      <w:r>
        <w:rPr>
          <w:rFonts w:ascii="Times New Roman" w:cs="Times New Roman" w:eastAsia="Times New Roman" w:hAnsi="Times New Roman"/>
          <w:sz w:val="17"/>
          <w:szCs w:val="17"/>
          <w:color w:val="auto"/>
        </w:rPr>
        <w:t>Date: March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Scott Giacobello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19685</wp:posOffset>
            </wp:positionV>
            <wp:extent cx="30746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3074670" cy="8255"/>
                    </a:xfrm>
                    <a:prstGeom prst="rect">
                      <a:avLst/>
                    </a:prstGeom>
                    <a:noFill/>
                  </pic:spPr>
                </pic:pic>
              </a:graphicData>
            </a:graphic>
          </wp:anchor>
        </w:drawing>
      </w:r>
    </w:p>
    <w:p>
      <w:pPr>
        <w:spacing w:after="0" w:line="1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7"/>
          <w:szCs w:val="17"/>
          <w:b w:val="1"/>
          <w:bCs w:val="1"/>
          <w:color w:val="auto"/>
        </w:rPr>
        <w:t>Scott Giacobello</w:t>
      </w:r>
    </w:p>
    <w:p>
      <w:pPr>
        <w:spacing w:after="0" w:line="1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ind w:left="778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sectPr>
      <w:pgSz w:w="11900" w:h="16838" w:orient="portrait"/>
      <w:cols w:equalWidth="0" w:num="1">
        <w:col w:w="11240"/>
      </w:cols>
      <w:pgMar w:left="320" w:top="10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1B64D4"/>
    <w:multiLevelType w:val="hybridMultilevel"/>
    <w:lvl w:ilvl="0">
      <w:lvlJc w:val="left"/>
      <w:lvlText w:val="x"/>
      <w:numFmt w:val="bullet"/>
      <w:start w:val="1"/>
    </w:lvl>
  </w:abstractNum>
  <w:abstractNum w:abstractNumId="1">
    <w:nsid w:val="78B5E776"/>
    <w:multiLevelType w:val="hybridMultilevel"/>
    <w:lvl w:ilvl="0">
      <w:lvlJc w:val="left"/>
      <w:lvlText w:val="o"/>
      <w:numFmt w:val="bullet"/>
      <w:start w:val="1"/>
    </w:lvl>
  </w:abstractNum>
  <w:abstractNum w:abstractNumId="2">
    <w:nsid w:val="75486E47"/>
    <w:multiLevelType w:val="hybridMultilevel"/>
    <w:lvl w:ilvl="0">
      <w:lvlJc w:val="left"/>
      <w:lvlText w:val="•"/>
      <w:numFmt w:val="bullet"/>
      <w:start w:val="1"/>
    </w:lvl>
  </w:abstractNum>
  <w:abstractNum w:abstractNumId="3">
    <w:nsid w:val="6E534CDE"/>
    <w:multiLevelType w:val="hybridMultilevel"/>
    <w:lvl w:ilvl="0">
      <w:lvlJc w:val="left"/>
      <w:lvlText w:val="•"/>
      <w:numFmt w:val="bullet"/>
      <w:start w:val="1"/>
    </w:lvl>
  </w:abstractNum>
  <w:abstractNum w:abstractNumId="4">
    <w:nsid w:val="1A0DDE32"/>
    <w:multiLevelType w:val="hybridMultilevel"/>
    <w:lvl w:ilvl="0">
      <w:lvlJc w:val="left"/>
      <w:lvlText w:val="•"/>
      <w:numFmt w:val="bullet"/>
      <w:start w:val="1"/>
    </w:lvl>
  </w:abstractNum>
  <w:abstractNum w:abstractNumId="5">
    <w:nsid w:val="65968C1C"/>
    <w:multiLevelType w:val="hybridMultilevel"/>
    <w:lvl w:ilvl="0">
      <w:lvlJc w:val="left"/>
      <w:lvlText w:val="•"/>
      <w:numFmt w:val="bullet"/>
      <w:start w:val="1"/>
    </w:lvl>
  </w:abstractNum>
  <w:abstractNum w:abstractNumId="6">
    <w:nsid w:val="46263DEC"/>
    <w:multiLevelType w:val="hybridMultilevel"/>
    <w:lvl w:ilvl="0">
      <w:lvlJc w:val="left"/>
      <w:lvlText w:val="•"/>
      <w:numFmt w:val="bullet"/>
      <w:start w:val="1"/>
    </w:lvl>
  </w:abstractNum>
  <w:abstractNum w:abstractNumId="7">
    <w:nsid w:val="260D8C4A"/>
    <w:multiLevelType w:val="hybridMultilevel"/>
    <w:lvl w:ilvl="0">
      <w:lvlJc w:val="left"/>
      <w:lvlText w:val="%1."/>
      <w:numFmt w:val="decimal"/>
      <w:start w:val="1"/>
    </w:lvl>
  </w:abstractNum>
  <w:abstractNum w:abstractNumId="8">
    <w:nsid w:val="73D4D3C4"/>
    <w:multiLevelType w:val="hybridMultilevel"/>
    <w:lvl w:ilvl="0">
      <w:lvlJc w:val="left"/>
      <w:lvlText w:val="%1."/>
      <w:numFmt w:val="decimal"/>
      <w:start w:val="1"/>
    </w:lvl>
  </w:abstractNum>
  <w:abstractNum w:abstractNumId="9">
    <w:nsid w:val="746F2E30"/>
    <w:multiLevelType w:val="hybridMultilevel"/>
    <w:lvl w:ilvl="0">
      <w:lvlJc w:val="left"/>
      <w:lvlText w:val="*"/>
      <w:numFmt w:val="bullet"/>
      <w:start w:val="1"/>
    </w:lvl>
  </w:abstractNum>
  <w:abstractNum w:abstractNumId="10">
    <w:nsid w:val="6FDE8AF6"/>
    <w:multiLevelType w:val="hybridMultilevel"/>
    <w:lvl w:ilvl="0">
      <w:lvlJc w:val="left"/>
      <w:lvlText w:val="•"/>
      <w:numFmt w:val="bullet"/>
      <w:start w:val="1"/>
    </w:lvl>
  </w:abstractNum>
  <w:abstractNum w:abstractNumId="11">
    <w:nsid w:val="3FC32E20"/>
    <w:multiLevelType w:val="hybridMultilevel"/>
    <w:lvl w:ilvl="0">
      <w:lvlJc w:val="left"/>
      <w:lvlText w:val="%1."/>
      <w:numFmt w:val="decimal"/>
      <w:start w:val="1"/>
    </w:lvl>
  </w:abstractNum>
  <w:abstractNum w:abstractNumId="12">
    <w:nsid w:val="49C0E823"/>
    <w:multiLevelType w:val="hybridMultilevel"/>
    <w:lvl w:ilvl="0">
      <w:lvlJc w:val="left"/>
      <w:lvlText w:val="%1."/>
      <w:numFmt w:val="decimal"/>
      <w:start w:val="1"/>
    </w:lvl>
  </w:abstractNum>
  <w:abstractNum w:abstractNumId="13">
    <w:nsid w:val="14D53685"/>
    <w:multiLevelType w:val="hybridMultilevel"/>
    <w:lvl w:ilvl="0">
      <w:lvlJc w:val="left"/>
      <w:lvlText w:val="•"/>
      <w:numFmt w:val="bullet"/>
      <w:start w:val="1"/>
    </w:lvl>
  </w:abstractNum>
  <w:abstractNum w:abstractNumId="14">
    <w:nsid w:val="230F856C"/>
    <w:multiLevelType w:val="hybridMultilevel"/>
    <w:lvl w:ilvl="0">
      <w:lvlJc w:val="left"/>
      <w:lvlText w:val="•"/>
      <w:numFmt w:val="bullet"/>
      <w:start w:val="1"/>
    </w:lvl>
  </w:abstractNum>
  <w:abstractNum w:abstractNumId="15">
    <w:nsid w:val="6EAA85FB"/>
    <w:multiLevelType w:val="hybridMultilevel"/>
    <w:lvl w:ilvl="0">
      <w:lvlJc w:val="left"/>
      <w:lvlText w:val="•"/>
      <w:numFmt w:val="bullet"/>
      <w:start w:val="1"/>
    </w:lvl>
  </w:abstractNum>
  <w:abstractNum w:abstractNumId="16">
    <w:nsid w:val="3F06ECB2"/>
    <w:multiLevelType w:val="hybridMultilevel"/>
    <w:lvl w:ilvl="0">
      <w:lvlJc w:val="left"/>
      <w:lvlText w:val="•"/>
      <w:numFmt w:val="bullet"/>
      <w:start w:val="1"/>
    </w:lvl>
  </w:abstractNum>
  <w:abstractNum w:abstractNumId="17">
    <w:nsid w:val="3B594807"/>
    <w:multiLevelType w:val="hybridMultilevel"/>
    <w:lvl w:ilvl="0">
      <w:lvlJc w:val="left"/>
      <w:lvlText w:val="•"/>
      <w:numFmt w:val="bullet"/>
      <w:start w:val="1"/>
    </w:lvl>
  </w:abstractNum>
  <w:abstractNum w:abstractNumId="18">
    <w:nsid w:val="6CAA2304"/>
    <w:multiLevelType w:val="hybridMultilevel"/>
    <w:lvl w:ilvl="0">
      <w:lvlJc w:val="left"/>
      <w:lvlText w:val="•"/>
      <w:numFmt w:val="bullet"/>
      <w:start w:val="1"/>
    </w:lvl>
  </w:abstractNum>
  <w:abstractNum w:abstractNumId="19">
    <w:nsid w:val="3F7C2FF4"/>
    <w:multiLevelType w:val="hybridMultilevel"/>
    <w:lvl w:ilvl="0">
      <w:lvlJc w:val="left"/>
      <w:lvlText w:val="•"/>
      <w:numFmt w:val="bullet"/>
      <w:start w:val="1"/>
    </w:lvl>
  </w:abstractNum>
  <w:abstractNum w:abstractNumId="20">
    <w:nsid w:val="25413BEC"/>
    <w:multiLevelType w:val="hybridMultilevel"/>
    <w:lvl w:ilvl="0">
      <w:lvlJc w:val="left"/>
      <w:lvlText w:val="(%1)"/>
      <w:numFmt w:val="decimal"/>
      <w:start w:val="1"/>
    </w:lvl>
  </w:abstractNum>
  <w:abstractNum w:abstractNumId="21">
    <w:nsid w:val="17180B0B"/>
    <w:multiLevelType w:val="hybridMultilevel"/>
    <w:lvl w:ilvl="0">
      <w:lvlJc w:val="left"/>
      <w:lvlText w:val="•"/>
      <w:numFmt w:val="bullet"/>
      <w:start w:val="1"/>
    </w:lvl>
  </w:abstractNum>
  <w:abstractNum w:abstractNumId="22">
    <w:nsid w:val="579328B9"/>
    <w:multiLevelType w:val="hybridMultilevel"/>
    <w:lvl w:ilvl="0">
      <w:lvlJc w:val="left"/>
      <w:lvlText w:val="•"/>
      <w:numFmt w:val="bullet"/>
      <w:start w:val="1"/>
    </w:lvl>
  </w:abstractNum>
  <w:abstractNum w:abstractNumId="23">
    <w:nsid w:val="5D205E20"/>
    <w:multiLevelType w:val="hybridMultilevel"/>
    <w:lvl w:ilvl="0">
      <w:lvlJc w:val="left"/>
      <w:lvlText w:val="•"/>
      <w:numFmt w:val="bullet"/>
      <w:start w:val="1"/>
    </w:lvl>
  </w:abstractNum>
  <w:abstractNum w:abstractNumId="24">
    <w:nsid w:val="11CCA8BA"/>
    <w:multiLevelType w:val="hybridMultilevel"/>
    <w:lvl w:ilvl="0">
      <w:lvlJc w:val="left"/>
      <w:lvlText w:val="•"/>
      <w:numFmt w:val="bullet"/>
      <w:start w:val="1"/>
    </w:lvl>
  </w:abstractNum>
  <w:abstractNum w:abstractNumId="25">
    <w:nsid w:val="4D32AB86"/>
    <w:multiLevelType w:val="hybridMultilevel"/>
    <w:lvl w:ilvl="0">
      <w:lvlJc w:val="left"/>
      <w:lvlText w:val="•"/>
      <w:numFmt w:val="bullet"/>
      <w:start w:val="1"/>
    </w:lvl>
  </w:abstractNum>
  <w:abstractNum w:abstractNumId="26">
    <w:nsid w:val="3F07ACC3"/>
    <w:multiLevelType w:val="hybridMultilevel"/>
    <w:lvl w:ilvl="0">
      <w:lvlJc w:val="left"/>
      <w:lvlText w:val="•"/>
      <w:numFmt w:val="bullet"/>
      <w:start w:val="1"/>
    </w:lvl>
  </w:abstractNum>
  <w:abstractNum w:abstractNumId="27">
    <w:nsid w:val="6B47F63E"/>
    <w:multiLevelType w:val="hybridMultilevel"/>
    <w:lvl w:ilvl="0">
      <w:lvlJc w:val="left"/>
      <w:lvlText w:val="•"/>
      <w:numFmt w:val="bullet"/>
      <w:start w:val="1"/>
    </w:lvl>
  </w:abstractNum>
  <w:abstractNum w:abstractNumId="28">
    <w:nsid w:val="5CB44A05"/>
    <w:multiLevelType w:val="hybridMultilevel"/>
    <w:lvl w:ilvl="0">
      <w:lvlJc w:val="left"/>
      <w:lvlText w:val="•"/>
      <w:numFmt w:val="bullet"/>
      <w:start w:val="1"/>
    </w:lvl>
  </w:abstractNum>
  <w:abstractNum w:abstractNumId="29">
    <w:nsid w:val="16CF80F1"/>
    <w:multiLevelType w:val="hybridMultilevel"/>
    <w:lvl w:ilvl="0">
      <w:lvlJc w:val="left"/>
      <w:lvlText w:val="•"/>
      <w:numFmt w:val="bullet"/>
      <w:start w:val="1"/>
    </w:lvl>
  </w:abstractNum>
  <w:abstractNum w:abstractNumId="30">
    <w:nsid w:val="1C695DEC"/>
    <w:multiLevelType w:val="hybridMultilevel"/>
    <w:lvl w:ilvl="0">
      <w:lvlJc w:val="left"/>
      <w:lvlText w:val="•"/>
      <w:numFmt w:val="bullet"/>
      <w:start w:val="1"/>
    </w:lvl>
  </w:abstractNum>
  <w:abstractNum w:abstractNumId="31">
    <w:nsid w:val="3FCFAED9"/>
    <w:multiLevelType w:val="hybridMultilevel"/>
    <w:lvl w:ilvl="0">
      <w:lvlJc w:val="left"/>
      <w:lvlText w:val="•"/>
      <w:numFmt w:val="bullet"/>
      <w:start w:val="1"/>
    </w:lvl>
  </w:abstractNum>
  <w:abstractNum w:abstractNumId="32">
    <w:nsid w:val="F856867"/>
    <w:multiLevelType w:val="hybridMultilevel"/>
    <w:lvl w:ilvl="0">
      <w:lvlJc w:val="left"/>
      <w:lvlText w:val="•"/>
      <w:numFmt w:val="bullet"/>
      <w:start w:val="1"/>
    </w:lvl>
  </w:abstractNum>
  <w:abstractNum w:abstractNumId="33">
    <w:nsid w:val="11B1CC33"/>
    <w:multiLevelType w:val="hybridMultilevel"/>
    <w:lvl w:ilvl="0">
      <w:lvlJc w:val="left"/>
      <w:lvlText w:val="(%1)"/>
      <w:numFmt w:val="decimal"/>
      <w:start w:val="2"/>
    </w:lvl>
  </w:abstractNum>
  <w:abstractNum w:abstractNumId="34">
    <w:nsid w:val="2E22FBB7"/>
    <w:multiLevelType w:val="hybridMultilevel"/>
    <w:lvl w:ilvl="0">
      <w:lvlJc w:val="left"/>
      <w:lvlText w:val="•"/>
      <w:numFmt w:val="bullet"/>
      <w:start w:val="1"/>
    </w:lvl>
  </w:abstractNum>
  <w:abstractNum w:abstractNumId="35">
    <w:nsid w:val="29934699"/>
    <w:multiLevelType w:val="hybridMultilevel"/>
    <w:lvl w:ilvl="0">
      <w:lvlJc w:val="left"/>
      <w:lvlText w:val="•"/>
      <w:numFmt w:val="bullet"/>
      <w:start w:val="1"/>
    </w:lvl>
  </w:abstractNum>
  <w:abstractNum w:abstractNumId="36">
    <w:nsid w:val="77485850"/>
    <w:multiLevelType w:val="hybridMultilevel"/>
    <w:lvl w:ilvl="0">
      <w:lvlJc w:val="left"/>
      <w:lvlText w:val="•"/>
      <w:numFmt w:val="bullet"/>
      <w:start w:val="1"/>
    </w:lvl>
  </w:abstractNum>
  <w:abstractNum w:abstractNumId="37">
    <w:nsid w:val="744939A3"/>
    <w:multiLevelType w:val="hybridMultilevel"/>
    <w:lvl w:ilvl="0">
      <w:lvlJc w:val="left"/>
      <w:lvlText w:val="•"/>
      <w:numFmt w:val="bullet"/>
      <w:start w:val="1"/>
    </w:lvl>
  </w:abstractNum>
  <w:abstractNum w:abstractNumId="38">
    <w:nsid w:val="4FA0D2E3"/>
    <w:multiLevelType w:val="hybridMultilevel"/>
    <w:lvl w:ilvl="0">
      <w:lvlJc w:val="left"/>
      <w:lvlText w:val="•"/>
      <w:numFmt w:val="bullet"/>
      <w:start w:val="1"/>
    </w:lvl>
  </w:abstractNum>
  <w:abstractNum w:abstractNumId="39">
    <w:nsid w:val="6B1D2C14"/>
    <w:multiLevelType w:val="hybridMultilevel"/>
    <w:lvl w:ilvl="0">
      <w:lvlJc w:val="left"/>
      <w:lvlText w:val="•"/>
      <w:numFmt w:val="bullet"/>
      <w:start w:val="1"/>
    </w:lvl>
  </w:abstractNum>
  <w:abstractNum w:abstractNumId="40">
    <w:nsid w:val="68B867D3"/>
    <w:multiLevelType w:val="hybridMultilevel"/>
    <w:lvl w:ilvl="0">
      <w:lvlJc w:val="left"/>
      <w:lvlText w:val="(%1)"/>
      <w:numFmt w:val="lowerRoman"/>
      <w:start w:val="4"/>
    </w:lvl>
  </w:abstractNum>
  <w:abstractNum w:abstractNumId="41">
    <w:nsid w:val="3F7F5DD9"/>
    <w:multiLevelType w:val="hybridMultilevel"/>
    <w:lvl w:ilvl="0">
      <w:lvlJc w:val="left"/>
      <w:lvlText w:val="•"/>
      <w:numFmt w:val="bullet"/>
      <w:start w:val="1"/>
    </w:lvl>
  </w:abstractNum>
  <w:abstractNum w:abstractNumId="42">
    <w:nsid w:val="2AE05A34"/>
    <w:multiLevelType w:val="hybridMultilevel"/>
    <w:lvl w:ilvl="0">
      <w:lvlJc w:val="left"/>
      <w:lvlText w:val="•"/>
      <w:numFmt w:val="bullet"/>
      <w:start w:val="1"/>
    </w:lvl>
  </w:abstractNum>
  <w:abstractNum w:abstractNumId="43">
    <w:nsid w:val="32794FF7"/>
    <w:multiLevelType w:val="hybridMultilevel"/>
    <w:lvl w:ilvl="0">
      <w:lvlJc w:val="left"/>
      <w:lvlText w:val="•"/>
      <w:numFmt w:val="bullet"/>
      <w:start w:val="1"/>
    </w:lvl>
  </w:abstractNum>
  <w:abstractNum w:abstractNumId="44">
    <w:nsid w:val="5454945E"/>
    <w:multiLevelType w:val="hybridMultilevel"/>
    <w:lvl w:ilvl="0">
      <w:lvlJc w:val="left"/>
      <w:lvlText w:val="•"/>
      <w:numFmt w:val="bullet"/>
      <w:start w:val="1"/>
    </w:lvl>
  </w:abstractNum>
  <w:abstractNum w:abstractNumId="45">
    <w:nsid w:val="4DEFDFA0"/>
    <w:multiLevelType w:val="hybridMultilevel"/>
    <w:lvl w:ilvl="0">
      <w:lvlJc w:val="left"/>
      <w:lvlText w:val="•"/>
      <w:numFmt w:val="bullet"/>
      <w:start w:val="1"/>
    </w:lvl>
  </w:abstractNum>
  <w:abstractNum w:abstractNumId="46">
    <w:nsid w:val="2123D5F2"/>
    <w:multiLevelType w:val="hybridMultilevel"/>
    <w:lvl w:ilvl="0">
      <w:lvlJc w:val="left"/>
      <w:lvlText w:val="•"/>
      <w:numFmt w:val="bullet"/>
      <w:start w:val="1"/>
    </w:lvl>
  </w:abstractNum>
  <w:abstractNum w:abstractNumId="47">
    <w:nsid w:val="135B8110"/>
    <w:multiLevelType w:val="hybridMultilevel"/>
    <w:lvl w:ilvl="0">
      <w:lvlJc w:val="left"/>
      <w:lvlText w:val="•"/>
      <w:numFmt w:val="bullet"/>
      <w:start w:val="1"/>
    </w:lvl>
  </w:abstractNum>
  <w:abstractNum w:abstractNumId="48">
    <w:nsid w:val="94927A8"/>
    <w:multiLevelType w:val="hybridMultilevel"/>
    <w:lvl w:ilvl="0">
      <w:lvlJc w:val="left"/>
      <w:lvlText w:val="•"/>
      <w:numFmt w:val="bullet"/>
      <w:start w:val="1"/>
    </w:lvl>
  </w:abstractNum>
  <w:abstractNum w:abstractNumId="49">
    <w:nsid w:val="DCDF8F6"/>
    <w:multiLevelType w:val="hybridMultilevel"/>
    <w:lvl w:ilvl="0">
      <w:lvlJc w:val="left"/>
      <w:lvlText w:val="•"/>
      <w:numFmt w:val="bullet"/>
      <w:start w:val="1"/>
    </w:lvl>
  </w:abstractNum>
  <w:abstractNum w:abstractNumId="50">
    <w:nsid w:val="52D7B105"/>
    <w:multiLevelType w:val="hybridMultilevel"/>
    <w:lvl w:ilvl="0">
      <w:lvlJc w:val="left"/>
      <w:lvlText w:val="•"/>
      <w:numFmt w:val="bullet"/>
      <w:start w:val="1"/>
    </w:lvl>
  </w:abstractNum>
  <w:abstractNum w:abstractNumId="51">
    <w:nsid w:val="2E8A6394"/>
    <w:multiLevelType w:val="hybridMultilevel"/>
    <w:lvl w:ilvl="0">
      <w:lvlJc w:val="left"/>
      <w:lvlText w:val="•"/>
      <w:numFmt w:val="bullet"/>
      <w:start w:val="1"/>
    </w:lvl>
  </w:abstractNum>
  <w:abstractNum w:abstractNumId="52">
    <w:nsid w:val="24E60401"/>
    <w:multiLevelType w:val="hybridMultilevel"/>
    <w:lvl w:ilvl="0">
      <w:lvlJc w:val="left"/>
      <w:lvlText w:val="•"/>
      <w:numFmt w:val="bullet"/>
      <w:start w:val="1"/>
    </w:lvl>
  </w:abstractNum>
  <w:abstractNum w:abstractNumId="53">
    <w:nsid w:val="2A6AD9BE"/>
    <w:multiLevelType w:val="hybridMultilevel"/>
    <w:lvl w:ilvl="0">
      <w:lvlJc w:val="left"/>
      <w:lvlText w:val="•"/>
      <w:numFmt w:val="bullet"/>
      <w:start w:val="1"/>
    </w:lvl>
  </w:abstractNum>
  <w:abstractNum w:abstractNumId="54">
    <w:nsid w:val="BAAC1B4"/>
    <w:multiLevelType w:val="hybridMultilevel"/>
    <w:lvl w:ilvl="0">
      <w:lvlJc w:val="left"/>
      <w:lvlText w:val="•"/>
      <w:numFmt w:val="bullet"/>
      <w:start w:val="1"/>
    </w:lvl>
  </w:abstractNum>
  <w:abstractNum w:abstractNumId="55">
    <w:nsid w:val="36B2ACBC"/>
    <w:multiLevelType w:val="hybridMultilevel"/>
    <w:lvl w:ilvl="0">
      <w:lvlJc w:val="left"/>
      <w:lvlText w:val="(%1)"/>
      <w:numFmt w:val="lowerRoman"/>
      <w:start w:val="3"/>
    </w:lvl>
  </w:abstractNum>
  <w:abstractNum w:abstractNumId="56">
    <w:nsid w:val="779D8544"/>
    <w:multiLevelType w:val="hybridMultilevel"/>
    <w:lvl w:ilvl="0">
      <w:lvlJc w:val="left"/>
      <w:lvlText w:val="•"/>
      <w:numFmt w:val="bullet"/>
      <w:start w:val="1"/>
    </w:lvl>
  </w:abstractNum>
  <w:abstractNum w:abstractNumId="57">
    <w:nsid w:val="4AB26E78"/>
    <w:multiLevelType w:val="hybridMultilevel"/>
    <w:lvl w:ilvl="0">
      <w:lvlJc w:val="left"/>
      <w:lvlText w:val="•"/>
      <w:numFmt w:val="bullet"/>
      <w:start w:val="1"/>
    </w:lvl>
  </w:abstractNum>
  <w:abstractNum w:abstractNumId="58">
    <w:nsid w:val="21FAA2FA"/>
    <w:multiLevelType w:val="hybridMultilevel"/>
    <w:lvl w:ilvl="0">
      <w:lvlJc w:val="left"/>
      <w:lvlText w:val="•"/>
      <w:numFmt w:val="bullet"/>
      <w:start w:val="1"/>
    </w:lvl>
  </w:abstractNum>
  <w:abstractNum w:abstractNumId="59">
    <w:nsid w:val="5451CF49"/>
    <w:multiLevelType w:val="hybridMultilevel"/>
    <w:lvl w:ilvl="0">
      <w:lvlJc w:val="left"/>
      <w:lvlText w:val="•"/>
      <w:numFmt w:val="bullet"/>
      <w:start w:val="1"/>
    </w:lvl>
  </w:abstractNum>
  <w:abstractNum w:abstractNumId="60">
    <w:nsid w:val="6181EF69"/>
    <w:multiLevelType w:val="hybridMultilevel"/>
    <w:lvl w:ilvl="0">
      <w:lvlJc w:val="left"/>
      <w:lvlText w:val="•"/>
      <w:numFmt w:val="bullet"/>
      <w:start w:val="1"/>
    </w:lvl>
  </w:abstractNum>
  <w:abstractNum w:abstractNumId="61">
    <w:nsid w:val="3E6400E6"/>
    <w:multiLevelType w:val="hybridMultilevel"/>
    <w:lvl w:ilvl="0">
      <w:lvlJc w:val="left"/>
      <w:lvlText w:val="%1)"/>
      <w:numFmt w:val="decimal"/>
      <w:start w:val="4"/>
    </w:lvl>
  </w:abstractNum>
  <w:abstractNum w:abstractNumId="62">
    <w:nsid w:val="14217E23"/>
    <w:multiLevelType w:val="hybridMultilevel"/>
    <w:lvl w:ilvl="0">
      <w:lvlJc w:val="left"/>
      <w:lvlText w:val="%1"/>
      <w:numFmt w:val="decimal"/>
      <w:start w:val="1"/>
    </w:lvl>
    <w:lvl w:ilvl="1">
      <w:lvlJc w:val="left"/>
      <w:lvlText w:val="(%2)"/>
      <w:numFmt w:val="decimal"/>
      <w:start w:val="1"/>
    </w:lvl>
  </w:abstractNum>
  <w:abstractNum w:abstractNumId="63">
    <w:nsid w:val="710757D0"/>
    <w:multiLevelType w:val="hybridMultilevel"/>
    <w:lvl w:ilvl="0">
      <w:lvlJc w:val="left"/>
      <w:lvlText w:val="%1."/>
      <w:numFmt w:val="decimal"/>
      <w:start w:val="4"/>
    </w:lvl>
    <w:lvl w:ilvl="1">
      <w:lvlJc w:val="left"/>
      <w:lvlText w:val="%2"/>
      <w:numFmt w:val="decimal"/>
      <w:start w:val="1"/>
    </w:lvl>
  </w:abstractNum>
  <w:abstractNum w:abstractNumId="64">
    <w:nsid w:val="5015CD1A"/>
    <w:multiLevelType w:val="hybridMultilevel"/>
    <w:lvl w:ilvl="0">
      <w:lvlJc w:val="left"/>
      <w:lvlText w:val="%1."/>
      <w:numFmt w:val="decimal"/>
      <w:start w:val="7"/>
    </w:lvl>
  </w:abstractNum>
  <w:abstractNum w:abstractNumId="65">
    <w:nsid w:val="424479DA"/>
    <w:multiLevelType w:val="hybridMultilevel"/>
    <w:lvl w:ilvl="0">
      <w:lvlJc w:val="left"/>
      <w:lvlText w:val="•"/>
      <w:numFmt w:val="bullet"/>
      <w:start w:val="1"/>
    </w:lvl>
  </w:abstractNum>
  <w:abstractNum w:abstractNumId="66">
    <w:nsid w:val="1A9A9E69"/>
    <w:multiLevelType w:val="hybridMultilevel"/>
    <w:lvl w:ilvl="0">
      <w:lvlJc w:val="left"/>
      <w:lvlText w:val="•"/>
      <w:numFmt w:val="bullet"/>
      <w:start w:val="1"/>
    </w:lvl>
  </w:abstractNum>
  <w:abstractNum w:abstractNumId="67">
    <w:nsid w:val="475E256A"/>
    <w:multiLevelType w:val="hybridMultilevel"/>
    <w:lvl w:ilvl="0">
      <w:lvlJc w:val="left"/>
      <w:lvlText w:val="(%1)"/>
      <w:numFmt w:val="decimal"/>
      <w:start w:val="1"/>
    </w:lvl>
  </w:abstractNum>
  <w:abstractNum w:abstractNumId="68">
    <w:nsid w:val="368DB37E"/>
    <w:multiLevelType w:val="hybridMultilevel"/>
    <w:lvl w:ilvl="0">
      <w:lvlJc w:val="left"/>
      <w:lvlText w:val="%1"/>
      <w:numFmt w:val="decimal"/>
      <w:start w:val="104"/>
    </w:lvl>
  </w:abstractNum>
  <w:abstractNum w:abstractNumId="69">
    <w:nsid w:val="6A3B714C"/>
    <w:multiLevelType w:val="hybridMultilevel"/>
    <w:lvl w:ilvl="0">
      <w:lvlJc w:val="left"/>
      <w:lvlText w:val="•"/>
      <w:numFmt w:val="bullet"/>
      <w:start w:val="1"/>
    </w:lvl>
  </w:abstractNum>
  <w:abstractNum w:abstractNumId="70">
    <w:nsid w:val="327B517E"/>
    <w:multiLevelType w:val="hybridMultilevel"/>
    <w:lvl w:ilvl="0">
      <w:lvlJc w:val="left"/>
      <w:lvlText w:val="%1."/>
      <w:numFmt w:val="decimal"/>
      <w:start w:val="1"/>
    </w:lvl>
    <w:lvl w:ilvl="1">
      <w:lvlJc w:val="left"/>
      <w:lvlText w:val="•"/>
      <w:numFmt w:val="bullet"/>
      <w:start w:val="1"/>
    </w:lvl>
  </w:abstractNum>
  <w:abstractNum w:abstractNumId="71">
    <w:nsid w:val="1F461B51"/>
    <w:multiLevelType w:val="hybridMultilevel"/>
    <w:lvl w:ilvl="0">
      <w:lvlJc w:val="left"/>
      <w:lvlText w:val="%1."/>
      <w:numFmt w:val="decimal"/>
      <w:start w:val="2"/>
    </w:lvl>
    <w:lvl w:ilvl="1">
      <w:lvlJc w:val="left"/>
      <w:lvlText w:val="(%2)"/>
      <w:numFmt w:val="lowerLetter"/>
      <w:start w:val="1"/>
    </w:lvl>
  </w:abstractNum>
  <w:abstractNum w:abstractNumId="72">
    <w:nsid w:val="29BACF25"/>
    <w:multiLevelType w:val="hybridMultilevel"/>
    <w:lvl w:ilvl="0">
      <w:lvlJc w:val="left"/>
      <w:lvlText w:val="(%1)"/>
      <w:numFmt w:val="lowerLetter"/>
      <w:start w:val="2"/>
    </w:lvl>
  </w:abstractNum>
  <w:abstractNum w:abstractNumId="73">
    <w:nsid w:val="5D5BABB3"/>
    <w:multiLevelType w:val="hybridMultilevel"/>
    <w:lvl w:ilvl="0">
      <w:lvlJc w:val="left"/>
      <w:lvlText w:val="(%1)"/>
      <w:numFmt w:val="lowerRoman"/>
      <w:start w:val="1"/>
    </w:lvl>
  </w:abstractNum>
  <w:abstractNum w:abstractNumId="74">
    <w:nsid w:val="51BF6B48"/>
    <w:multiLevelType w:val="hybridMultilevel"/>
    <w:lvl w:ilvl="0">
      <w:lvlJc w:val="left"/>
      <w:lvlText w:val="(%1)"/>
      <w:numFmt w:val="lowerLetter"/>
      <w:start w:val="9"/>
    </w:lvl>
    <w:lvl w:ilvl="1">
      <w:lvlJc w:val="left"/>
      <w:lvlText w:val="-"/>
      <w:numFmt w:val="bullet"/>
      <w:start w:val="1"/>
    </w:lvl>
  </w:abstractNum>
  <w:abstractNum w:abstractNumId="75">
    <w:nsid w:val="7E0F6384"/>
    <w:multiLevelType w:val="hybridMultilevel"/>
    <w:lvl w:ilvl="0">
      <w:lvlJc w:val="left"/>
      <w:lvlText w:val="(%1)"/>
      <w:numFmt w:val="lowerLetter"/>
      <w:start w:val="20"/>
    </w:lvl>
    <w:lvl w:ilvl="1">
      <w:lvlJc w:val="left"/>
      <w:lvlText w:val="(%2)"/>
      <w:numFmt w:val="lowerRoman"/>
      <w:start w:val="1"/>
    </w:lvl>
  </w:abstractNum>
  <w:abstractNum w:abstractNumId="76">
    <w:nsid w:val="2B4B8B53"/>
    <w:multiLevelType w:val="hybridMultilevel"/>
    <w:lvl w:ilvl="0">
      <w:lvlJc w:val="left"/>
      <w:lvlText w:val="(%1)"/>
      <w:numFmt w:val="lowerLetter"/>
      <w:start w:val="21"/>
    </w:lvl>
  </w:abstractNum>
  <w:abstractNum w:abstractNumId="77">
    <w:nsid w:val="72E3413A"/>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78">
    <w:nsid w:val="116AE49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79">
    <w:nsid w:val="3494B2F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80">
    <w:nsid w:val="B13A31"/>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81">
    <w:nsid w:val="64429599"/>
    <w:multiLevelType w:val="hybridMultilevel"/>
    <w:lvl w:ilvl="0">
      <w:lvlJc w:val="left"/>
      <w:lvlText w:val="(%1)"/>
      <w:numFmt w:val="lowerRoman"/>
      <w:start w:val="5"/>
    </w:lvl>
  </w:abstractNum>
  <w:abstractNum w:abstractNumId="82">
    <w:nsid w:val="631F1690"/>
    <w:multiLevelType w:val="hybridMultilevel"/>
    <w:lvl w:ilvl="0">
      <w:lvlJc w:val="left"/>
      <w:lvlText w:val="(%1)"/>
      <w:numFmt w:val="lowerRoman"/>
      <w:start w:val="7"/>
    </w:lvl>
  </w:abstractNum>
  <w:abstractNum w:abstractNumId="83">
    <w:nsid w:val="25973E32"/>
    <w:multiLevelType w:val="hybridMultilevel"/>
    <w:lvl w:ilvl="0">
      <w:lvlJc w:val="left"/>
      <w:lvlText w:val="(%1)"/>
      <w:numFmt w:val="lowerRoman"/>
      <w:start w:val="12"/>
    </w:lvl>
    <w:lvl w:ilvl="1">
      <w:lvlJc w:val="left"/>
      <w:lvlText w:val="-"/>
      <w:numFmt w:val="bullet"/>
      <w:start w:val="1"/>
    </w:lvl>
  </w:abstractNum>
  <w:abstractNum w:abstractNumId="84">
    <w:nsid w:val="EAD6F5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3"/>
    </w:lvl>
    <w:lvl w:ilvl="3">
      <w:lvlJc w:val="left"/>
      <w:lvlText w:val="%4"/>
      <w:numFmt w:val="decimal"/>
      <w:start w:val="1"/>
    </w:lvl>
    <w:lvl w:ilvl="4">
      <w:lvlJc w:val="left"/>
      <w:lvlText w:val="%5"/>
      <w:numFmt w:val="upperLetter"/>
      <w:start w:val="1"/>
    </w:lvl>
    <w:lvl w:ilvl="5">
      <w:lvlJc w:val="left"/>
      <w:lvlText w:val="-"/>
      <w:numFmt w:val="bullet"/>
      <w:start w:val="1"/>
    </w:lvl>
  </w:abstractNum>
  <w:abstractNum w:abstractNumId="85">
    <w:nsid w:val="6EC9D84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lvl w:ilvl="4">
      <w:lvlJc w:val="left"/>
      <w:lvlText w:val="%5"/>
      <w:numFmt w:val="upperLetter"/>
      <w:start w:val="1"/>
    </w:lvl>
    <w:lvl w:ilvl="5">
      <w:lvlJc w:val="left"/>
      <w:lvlText w:val="-"/>
      <w:numFmt w:val="bullet"/>
      <w:start w:val="1"/>
    </w:lvl>
  </w:abstractNum>
  <w:abstractNum w:abstractNumId="86">
    <w:nsid w:val="5C49EAE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lvl w:ilvl="5">
      <w:lvlJc w:val="left"/>
      <w:lvlText w:val="-"/>
      <w:numFmt w:val="bullet"/>
      <w:start w:val="1"/>
    </w:lvl>
  </w:abstractNum>
  <w:abstractNum w:abstractNumId="87">
    <w:nsid w:val="64AF49B"/>
    <w:multiLevelType w:val="hybridMultilevel"/>
    <w:lvl w:ilvl="0">
      <w:lvlJc w:val="left"/>
      <w:lvlText w:val="%1"/>
      <w:numFmt w:val="lowerRoman"/>
      <w:start w:val="1"/>
    </w:lvl>
    <w:lvl w:ilvl="1">
      <w:lvlJc w:val="left"/>
      <w:lvlText w:val="(%2)"/>
      <w:numFmt w:val="decimal"/>
      <w:start w:val="3"/>
    </w:lvl>
  </w:abstractNum>
  <w:abstractNum w:abstractNumId="88">
    <w:nsid w:val="397C46BC"/>
    <w:multiLevelType w:val="hybridMultilevel"/>
    <w:lvl w:ilvl="0">
      <w:lvlJc w:val="left"/>
      <w:lvlText w:val="(%1)"/>
      <w:numFmt w:val="lowerRoman"/>
      <w:start w:val="2"/>
    </w:lvl>
    <w:lvl w:ilvl="1">
      <w:lvlJc w:val="left"/>
      <w:lvlText w:val="%2"/>
      <w:numFmt w:val="decimal"/>
      <w:start w:val="1"/>
    </w:lvl>
  </w:abstractNum>
  <w:abstractNum w:abstractNumId="89">
    <w:nsid w:val="7E448DE9"/>
    <w:multiLevelType w:val="hybridMultilevel"/>
    <w:lvl w:ilvl="0">
      <w:lvlJc w:val="left"/>
      <w:lvlText w:val="(%1)"/>
      <w:numFmt w:val="decimal"/>
      <w:start w:val="5"/>
    </w:lvl>
    <w:lvl w:ilvl="1">
      <w:lvlJc w:val="left"/>
      <w:lvlText w:val="(%2)"/>
      <w:numFmt w:val="lowerLetter"/>
      <w:start w:val="4"/>
    </w:lvl>
    <w:lvl w:ilvl="2">
      <w:lvlJc w:val="left"/>
      <w:lvlText w:val="(%3)"/>
      <w:numFmt w:val="lowerLetter"/>
      <w:start w:val="9"/>
    </w:lvl>
  </w:abstractNum>
  <w:abstractNum w:abstractNumId="90">
    <w:nsid w:val="5A9CC3E5"/>
    <w:multiLevelType w:val="hybridMultilevel"/>
    <w:lvl w:ilvl="0">
      <w:lvlJc w:val="left"/>
      <w:lvlText w:val="(%1)"/>
      <w:numFmt w:val="lowerRoman"/>
      <w:start w:val="2"/>
    </w:lvl>
  </w:abstractNum>
  <w:abstractNum w:abstractNumId="91">
    <w:nsid w:val="1AFE3625"/>
    <w:multiLevelType w:val="hybridMultilevel"/>
    <w:lvl w:ilvl="0">
      <w:lvlJc w:val="left"/>
      <w:lvlText w:val="(%1)"/>
      <w:numFmt w:val="decimal"/>
      <w:start w:val="12"/>
    </w:lvl>
  </w:abstractNum>
  <w:abstractNum w:abstractNumId="92">
    <w:nsid w:val="3CA88ECF"/>
    <w:multiLevelType w:val="hybridMultilevel"/>
    <w:lvl w:ilvl="0">
      <w:lvlJc w:val="left"/>
      <w:lvlText w:val="(%1)"/>
      <w:numFmt w:val="lowerRoman"/>
      <w:start w:val="5"/>
    </w:lvl>
    <w:lvl w:ilvl="1">
      <w:lvlJc w:val="left"/>
      <w:lvlText w:val="(%2)"/>
      <w:numFmt w:val="decimal"/>
      <w:start w:val="1"/>
    </w:lvl>
    <w:lvl w:ilvl="2">
      <w:lvlJc w:val="left"/>
      <w:lvlText w:val="-"/>
      <w:numFmt w:val="bullet"/>
      <w:start w:val="1"/>
    </w:lvl>
  </w:abstractNum>
  <w:abstractNum w:abstractNumId="93">
    <w:nsid w:val="6EBE4208"/>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94">
    <w:nsid w:val="C058DF5"/>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95">
    <w:nsid w:val="CBE5BE9"/>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96">
    <w:nsid w:val="3102BBE2"/>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97">
    <w:nsid w:val="26A02C5E"/>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lvl w:ilvl="3">
      <w:lvlJc w:val="left"/>
      <w:lvlText w:val="-"/>
      <w:numFmt w:val="bullet"/>
      <w:start w:val="1"/>
    </w:lvl>
  </w:abstractNum>
  <w:abstractNum w:abstractNumId="98">
    <w:nsid w:val="541C8153"/>
    <w:multiLevelType w:val="hybridMultilevel"/>
    <w:lvl w:ilvl="0">
      <w:lvlJc w:val="left"/>
      <w:lvlText w:val="(%1)"/>
      <w:numFmt w:val="decimal"/>
      <w:start w:val="3"/>
    </w:lvl>
    <w:lvl w:ilvl="1">
      <w:lvlJc w:val="left"/>
      <w:lvlText w:val="%2."/>
      <w:numFmt w:val="decimal"/>
      <w:start w:val="13"/>
    </w:lvl>
    <w:lvl w:ilvl="2">
      <w:lvlJc w:val="left"/>
      <w:lvlText w:val="(%3)"/>
      <w:numFmt w:val="lowerLetter"/>
      <w:start w:val="1"/>
    </w:lvl>
    <w:lvl w:ilvl="3">
      <w:lvlJc w:val="left"/>
      <w:lvlText w:val="-"/>
      <w:numFmt w:val="bullet"/>
      <w:start w:val="1"/>
    </w:lvl>
  </w:abstractNum>
  <w:abstractNum w:abstractNumId="99">
    <w:nsid w:val="67906F60"/>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00">
    <w:nsid w:val="10DB9DAA"/>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101">
    <w:nsid w:val="697D2D2"/>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102">
    <w:nsid w:val="6D68AB2"/>
    <w:multiLevelType w:val="hybridMultilevel"/>
    <w:lvl w:ilvl="0">
      <w:lvlJc w:val="left"/>
      <w:lvlText w:val="%1"/>
      <w:numFmt w:val="decimal"/>
      <w:start w:val="1"/>
    </w:lvl>
    <w:lvl w:ilvl="1">
      <w:lvlJc w:val="left"/>
      <w:lvlText w:val="%2."/>
      <w:numFmt w:val="decimal"/>
      <w:start w:val="21"/>
    </w:lvl>
    <w:lvl w:ilvl="2">
      <w:lvlJc w:val="left"/>
      <w:lvlText w:val="(%3)"/>
      <w:numFmt w:val="lowerLetter"/>
      <w:start w:val="1"/>
    </w:lvl>
    <w:lvl w:ilvl="3">
      <w:lvlJc w:val="left"/>
      <w:lvlText w:val="-"/>
      <w:numFmt w:val="bullet"/>
      <w:start w:val="1"/>
    </w:lvl>
  </w:abstractNum>
  <w:abstractNum w:abstractNumId="103">
    <w:nsid w:val="3A966CD0"/>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04">
    <w:nsid w:val="63F37E85"/>
    <w:multiLevelType w:val="hybridMultilevel"/>
    <w:lvl w:ilvl="0">
      <w:lvlJc w:val="left"/>
      <w:lvlText w:val="%1."/>
      <w:numFmt w:val="decimal"/>
      <w:start w:val="1"/>
    </w:lvl>
    <w:lvl w:ilvl="1">
      <w:lvlJc w:val="left"/>
      <w:lvlText w:val="(%2)"/>
      <w:numFmt w:val="lowerLetter"/>
      <w:start w:val="1"/>
    </w:lvl>
  </w:abstractNum>
  <w:abstractNum w:abstractNumId="105">
    <w:nsid w:val="5895F5FA"/>
    <w:multiLevelType w:val="hybridMultilevel"/>
    <w:lvl w:ilvl="0">
      <w:lvlJc w:val="left"/>
      <w:lvlText w:val="%1."/>
      <w:numFmt w:val="decimal"/>
      <w:start w:val="5"/>
    </w:lvl>
    <w:lvl w:ilvl="1">
      <w:lvlJc w:val="left"/>
      <w:lvlText w:val="(%2)"/>
      <w:numFmt w:val="lowerLetter"/>
      <w:start w:val="1"/>
    </w:lvl>
  </w:abstractNum>
  <w:abstractNum w:abstractNumId="106">
    <w:nsid w:val="38A5D054"/>
    <w:multiLevelType w:val="hybridMultilevel"/>
    <w:lvl w:ilvl="0">
      <w:lvlJc w:val="left"/>
      <w:lvlText w:val="-"/>
      <w:numFmt w:val="bullet"/>
      <w:start w:val="1"/>
    </w:lvl>
    <w:lvl w:ilvl="1">
      <w:lvlJc w:val="left"/>
      <w:lvlText w:val="%2."/>
      <w:numFmt w:val="decimal"/>
      <w:start w:val="6"/>
    </w:lvl>
    <w:lvl w:ilvl="2">
      <w:lvlJc w:val="left"/>
      <w:lvlText w:val="(%3)"/>
      <w:numFmt w:val="lowerLetter"/>
      <w:start w:val="1"/>
    </w:lvl>
  </w:abstractNum>
  <w:abstractNum w:abstractNumId="107">
    <w:nsid w:val="F3F09D8"/>
    <w:multiLevelType w:val="hybridMultilevel"/>
    <w:lvl w:ilvl="0">
      <w:lvlJc w:val="left"/>
      <w:lvlText w:val="-"/>
      <w:numFmt w:val="bullet"/>
      <w:start w:val="1"/>
    </w:lvl>
    <w:lvl w:ilvl="1">
      <w:lvlJc w:val="left"/>
      <w:lvlText w:val="(%2)"/>
      <w:numFmt w:val="lowerLetter"/>
      <w:start w:val="2"/>
    </w:lvl>
  </w:abstractNum>
  <w:abstractNum w:abstractNumId="108">
    <w:nsid w:val="4B793735"/>
    <w:multiLevelType w:val="hybridMultilevel"/>
    <w:lvl w:ilvl="0">
      <w:lvlJc w:val="left"/>
      <w:lvlText w:val="-"/>
      <w:numFmt w:val="bullet"/>
      <w:start w:val="1"/>
    </w:lvl>
    <w:lvl w:ilvl="1">
      <w:lvlJc w:val="left"/>
      <w:lvlText w:val="%2."/>
      <w:numFmt w:val="decimal"/>
      <w:start w:val="9"/>
    </w:lvl>
  </w:abstractNum>
  <w:abstractNum w:abstractNumId="109">
    <w:nsid w:val="4A10B4E8"/>
    <w:multiLevelType w:val="hybridMultilevel"/>
    <w:lvl w:ilvl="0">
      <w:lvlJc w:val="left"/>
      <w:lvlText w:val="-"/>
      <w:numFmt w:val="bullet"/>
      <w:start w:val="1"/>
    </w:lvl>
    <w:lvl w:ilvl="1">
      <w:lvlJc w:val="left"/>
      <w:lvlText w:val="%2."/>
      <w:numFmt w:val="decimal"/>
      <w:start w:val="14"/>
    </w:lvl>
  </w:abstractNum>
  <w:abstractNum w:abstractNumId="110">
    <w:nsid w:val="43D3BCD4"/>
    <w:multiLevelType w:val="hybridMultilevel"/>
    <w:lvl w:ilvl="0">
      <w:lvlJc w:val="left"/>
      <w:lvlText w:val="-"/>
      <w:numFmt w:val="bullet"/>
      <w:start w:val="1"/>
    </w:lvl>
    <w:lvl w:ilvl="1">
      <w:lvlJc w:val="left"/>
      <w:lvlText w:val="%2."/>
      <w:numFmt w:val="decimal"/>
      <w:start w:val="21"/>
    </w:lvl>
    <w:lvl w:ilvl="2">
      <w:lvlJc w:val="left"/>
      <w:lvlText w:val="*"/>
      <w:numFmt w:val="bullet"/>
      <w:start w:val="1"/>
    </w:lvl>
  </w:abstractNum>
  <w:abstractNum w:abstractNumId="111">
    <w:nsid w:val="4C2A7166"/>
    <w:multiLevelType w:val="hybridMultilevel"/>
    <w:lvl w:ilvl="0">
      <w:lvlJc w:val="left"/>
      <w:lvlText w:val="%1."/>
      <w:numFmt w:val="decimal"/>
      <w:start w:val="1"/>
    </w:lvl>
  </w:abstractNum>
  <w:abstractNum w:abstractNumId="112">
    <w:nsid w:val="2E534A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13">
    <w:nsid w:val="26F2D364"/>
    <w:multiLevelType w:val="hybridMultilevel"/>
    <w:lvl w:ilvl="0">
      <w:lvlJc w:val="left"/>
      <w:lvlText w:val="(%1)"/>
      <w:numFmt w:val="lowerRoman"/>
      <w:start w:val="2"/>
    </w:lvl>
  </w:abstractNum>
  <w:abstractNum w:abstractNumId="114">
    <w:nsid w:val="71C1AF98"/>
    <w:multiLevelType w:val="hybridMultilevel"/>
    <w:lvl w:ilvl="0">
      <w:lvlJc w:val="left"/>
      <w:lvlText w:val="(%1)"/>
      <w:numFmt w:val="lowerLetter"/>
      <w:start w:val="8"/>
    </w:lvl>
  </w:abstractNum>
  <w:abstractNum w:abstractNumId="115">
    <w:nsid w:val="3D00B9D9"/>
    <w:multiLevelType w:val="hybridMultilevel"/>
    <w:lvl w:ilvl="0">
      <w:lvlJc w:val="left"/>
      <w:lvlText w:val="%1"/>
      <w:numFmt w:val="decimal"/>
      <w:start w:val="1"/>
    </w:lvl>
    <w:lvl w:ilvl="1">
      <w:lvlJc w:val="left"/>
      <w:lvlText w:val="(%2)"/>
      <w:numFmt w:val="lowerLetter"/>
      <w:start w:val="9"/>
    </w:lvl>
  </w:abstractNum>
  <w:abstractNum w:abstractNumId="116">
    <w:nsid w:val="15BCABA8"/>
    <w:multiLevelType w:val="hybridMultilevel"/>
    <w:lvl w:ilvl="0">
      <w:lvlJc w:val="left"/>
      <w:lvlText w:val="(%1)"/>
      <w:numFmt w:val="decimal"/>
      <w:start w:val="3"/>
    </w:lvl>
    <w:lvl w:ilvl="1">
      <w:lvlJc w:val="left"/>
      <w:lvlText w:val="%2"/>
      <w:numFmt w:val="lowerLetter"/>
      <w:start w:val="1"/>
    </w:lvl>
  </w:abstractNum>
  <w:abstractNum w:abstractNumId="117">
    <w:nsid w:val="4E0B9A87"/>
    <w:multiLevelType w:val="hybridMultilevel"/>
    <w:lvl w:ilvl="0">
      <w:lvlJc w:val="left"/>
      <w:lvlText w:val="(%1)"/>
      <w:numFmt w:val="lowerLetter"/>
      <w:start w:val="18"/>
    </w:lvl>
  </w:abstractNum>
  <w:abstractNum w:abstractNumId="118">
    <w:nsid w:val="434BAE75"/>
    <w:multiLevelType w:val="hybridMultilevel"/>
    <w:lvl w:ilvl="0">
      <w:lvlJc w:val="left"/>
      <w:lvlText w:val="(%1)"/>
      <w:numFmt w:val="lowerLetter"/>
      <w:start w:val="21"/>
    </w:lvl>
    <w:lvl w:ilvl="1">
      <w:lvlJc w:val="left"/>
      <w:lvlText w:val="(%2)"/>
      <w:numFmt w:val="lowerRoman"/>
      <w:start w:val="1"/>
    </w:lvl>
  </w:abstractNum>
  <w:abstractNum w:abstractNumId="119">
    <w:nsid w:val="4F38F265"/>
    <w:multiLevelType w:val="hybridMultilevel"/>
    <w:lvl w:ilvl="0">
      <w:lvlJc w:val="left"/>
      <w:lvlText w:val="(%1)"/>
      <w:numFmt w:val="lowerLetter"/>
      <w:start w:val="23"/>
    </w:lvl>
  </w:abstractNum>
  <w:abstractNum w:abstractNumId="120">
    <w:nsid w:val="4C502870"/>
    <w:multiLevelType w:val="hybridMultilevel"/>
    <w:lvl w:ilvl="0">
      <w:lvlJc w:val="left"/>
      <w:lvlText w:val="(%1)"/>
      <w:numFmt w:val="lowerLetter"/>
      <w:start w:val="25"/>
    </w:lvl>
  </w:abstractNum>
  <w:abstractNum w:abstractNumId="121">
    <w:nsid w:val="1DE8725A"/>
    <w:multiLevelType w:val="hybridMultilevel"/>
    <w:lvl w:ilvl="0">
      <w:lvlJc w:val="left"/>
      <w:lvlText w:val="(%1)"/>
      <w:numFmt w:val="lowerLetter"/>
      <w:start w:val="28"/>
    </w:lvl>
  </w:abstractNum>
  <w:abstractNum w:abstractNumId="122">
    <w:nsid w:val="6A37288A"/>
    <w:multiLevelType w:val="hybridMultilevel"/>
    <w:lvl w:ilvl="0">
      <w:lvlJc w:val="left"/>
      <w:lvlText w:val="%1"/>
      <w:numFmt w:val="decimal"/>
      <w:start w:val="1"/>
    </w:lvl>
    <w:lvl w:ilvl="1">
      <w:lvlJc w:val="left"/>
      <w:lvlText w:val="(%2)"/>
      <w:numFmt w:val="lowerLetter"/>
      <w:start w:val="36"/>
    </w:lvl>
    <w:lvl w:ilvl="2">
      <w:lvlJc w:val="left"/>
      <w:lvlText w:val="%3"/>
      <w:numFmt w:val="lowerLetter"/>
      <w:start w:val="1"/>
    </w:lvl>
  </w:abstractNum>
  <w:abstractNum w:abstractNumId="123">
    <w:nsid w:val="8F8B73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24">
    <w:nsid w:val="CA6B462"/>
    <w:multiLevelType w:val="hybridMultilevel"/>
    <w:lvl w:ilvl="0">
      <w:lvlJc w:val="left"/>
      <w:lvlText w:val="%1."/>
      <w:numFmt w:val="decimal"/>
      <w:start w:val="5"/>
    </w:lvl>
    <w:lvl w:ilvl="1">
      <w:lvlJc w:val="left"/>
      <w:lvlText w:val="(%2)"/>
      <w:numFmt w:val="lowerLetter"/>
      <w:start w:val="1"/>
    </w:lvl>
  </w:abstractNum>
  <w:abstractNum w:abstractNumId="125">
    <w:nsid w:val="763CB680"/>
    <w:multiLevelType w:val="hybridMultilevel"/>
    <w:lvl w:ilvl="0">
      <w:lvlJc w:val="left"/>
      <w:lvlText w:val="%1"/>
      <w:numFmt w:val="decimal"/>
      <w:start w:val="1"/>
    </w:lvl>
    <w:lvl w:ilvl="1">
      <w:lvlJc w:val="left"/>
      <w:lvlText w:val="(%2)"/>
      <w:numFmt w:val="lowerLetter"/>
      <w:start w:val="5"/>
    </w:lvl>
  </w:abstractNum>
  <w:abstractNum w:abstractNumId="126">
    <w:nsid w:val="15B71329"/>
    <w:multiLevelType w:val="hybridMultilevel"/>
    <w:lvl w:ilvl="0">
      <w:lvlJc w:val="left"/>
      <w:lvlText w:val="%1"/>
      <w:numFmt w:val="decimal"/>
      <w:start w:val="423"/>
    </w:lvl>
    <w:lvl w:ilvl="1">
      <w:lvlJc w:val="left"/>
      <w:lvlText w:val="(%2)"/>
      <w:numFmt w:val="lowerLetter"/>
      <w:start w:val="7"/>
    </w:lvl>
  </w:abstractNum>
  <w:abstractNum w:abstractNumId="127">
    <w:nsid w:val="3DA97044"/>
    <w:multiLevelType w:val="hybridMultilevel"/>
    <w:lvl w:ilvl="0">
      <w:lvlJc w:val="left"/>
      <w:lvlText w:val="%1."/>
      <w:numFmt w:val="decimal"/>
      <w:start w:val="7"/>
    </w:lvl>
    <w:lvl w:ilvl="1">
      <w:lvlJc w:val="left"/>
      <w:lvlText w:val="%2"/>
      <w:numFmt w:val="lowerLetter"/>
      <w:start w:val="1"/>
    </w:lvl>
  </w:abstractNum>
  <w:abstractNum w:abstractNumId="128">
    <w:nsid w:val="1CDCE2DE"/>
    <w:multiLevelType w:val="hybridMultilevel"/>
    <w:lvl w:ilvl="0">
      <w:lvlJc w:val="left"/>
      <w:lvlText w:val="%1."/>
      <w:numFmt w:val="decimal"/>
      <w:start w:val="8"/>
    </w:lvl>
    <w:lvl w:ilvl="1">
      <w:lvlJc w:val="left"/>
      <w:lvlText w:val="(%2)"/>
      <w:numFmt w:val="lowerLetter"/>
      <w:start w:val="1"/>
    </w:lvl>
  </w:abstractNum>
  <w:abstractNum w:abstractNumId="129">
    <w:nsid w:val="69D3947C"/>
    <w:multiLevelType w:val="hybridMultilevel"/>
    <w:lvl w:ilvl="0">
      <w:lvlJc w:val="left"/>
      <w:lvlText w:val="%1"/>
      <w:numFmt w:val="lowerLetter"/>
      <w:start w:val="1"/>
    </w:lvl>
    <w:lvl w:ilvl="1">
      <w:lvlJc w:val="left"/>
      <w:lvlText w:val="(%2)"/>
      <w:numFmt w:val="lowerLetter"/>
      <w:start w:val="1"/>
    </w:lvl>
  </w:abstractNum>
  <w:abstractNum w:abstractNumId="130">
    <w:nsid w:val="2539DFA5"/>
    <w:multiLevelType w:val="hybridMultilevel"/>
    <w:lvl w:ilvl="0">
      <w:lvlJc w:val="left"/>
      <w:lvlText w:val="(%1)"/>
      <w:numFmt w:val="lowerLetter"/>
      <w:start w:val="35"/>
    </w:lvl>
    <w:lvl w:ilvl="1">
      <w:lvlJc w:val="left"/>
      <w:lvlText w:val="(%2)"/>
      <w:numFmt w:val="lowerLetter"/>
      <w:start w:val="2"/>
    </w:lvl>
  </w:abstractNum>
  <w:abstractNum w:abstractNumId="131">
    <w:nsid w:val="2DB88089"/>
    <w:multiLevelType w:val="hybridMultilevel"/>
    <w:lvl w:ilvl="0">
      <w:lvlJc w:val="left"/>
      <w:lvlText w:val="%1."/>
      <w:numFmt w:val="decimal"/>
      <w:start w:val="11"/>
    </w:lvl>
    <w:lvl w:ilvl="1">
      <w:lvlJc w:val="left"/>
      <w:lvlText w:val="(%2)"/>
      <w:numFmt w:val="lowerLetter"/>
      <w:start w:val="1"/>
    </w:lvl>
  </w:abstractNum>
  <w:abstractNum w:abstractNumId="132">
    <w:nsid w:val="706B674E"/>
    <w:multiLevelType w:val="hybridMultilevel"/>
    <w:lvl w:ilvl="0">
      <w:lvlJc w:val="left"/>
      <w:lvlText w:val="%1"/>
      <w:numFmt w:val="decimal"/>
      <w:start w:val="1"/>
    </w:lvl>
    <w:lvl w:ilvl="1">
      <w:lvlJc w:val="left"/>
      <w:lvlText w:val="(%2)"/>
      <w:numFmt w:val="lowerLetter"/>
      <w:start w:val="2"/>
    </w:lvl>
  </w:abstractNum>
  <w:abstractNum w:abstractNumId="133">
    <w:nsid w:val="2C106A57"/>
    <w:multiLevelType w:val="hybridMultilevel"/>
    <w:lvl w:ilvl="0">
      <w:lvlJc w:val="left"/>
      <w:lvlText w:val="%1."/>
      <w:numFmt w:val="decimal"/>
      <w:start w:val="14"/>
    </w:lvl>
    <w:lvl w:ilvl="1">
      <w:lvlJc w:val="left"/>
      <w:lvlText w:val="%2"/>
      <w:numFmt w:val="lowerLetter"/>
      <w:start w:val="1"/>
    </w:lvl>
  </w:abstractNum>
  <w:abstractNum w:abstractNumId="134">
    <w:nsid w:val="684EED59"/>
    <w:multiLevelType w:val="hybridMultilevel"/>
    <w:lvl w:ilvl="0">
      <w:lvlJc w:val="left"/>
      <w:lvlText w:val="%1."/>
      <w:numFmt w:val="decimal"/>
      <w:start w:val="16"/>
    </w:lvl>
    <w:lvl w:ilvl="1">
      <w:lvlJc w:val="left"/>
      <w:lvlText w:val="(%2)"/>
      <w:numFmt w:val="lowerLetter"/>
      <w:start w:val="1"/>
    </w:lvl>
  </w:abstractNum>
  <w:abstractNum w:abstractNumId="135">
    <w:nsid w:val="545EE5D3"/>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136">
    <w:nsid w:val="4A66051"/>
    <w:multiLevelType w:val="hybridMultilevel"/>
    <w:lvl w:ilvl="0">
      <w:lvlJc w:val="left"/>
      <w:lvlText w:val="%1."/>
      <w:numFmt w:val="decimal"/>
      <w:start w:val="20"/>
    </w:lvl>
  </w:abstractNum>
  <w:abstractNum w:abstractNumId="137">
    <w:nsid w:val="20F4BDAD"/>
    <w:multiLevelType w:val="hybridMultilevel"/>
    <w:lvl w:ilvl="0">
      <w:lvlJc w:val="left"/>
      <w:lvlText w:val="%1."/>
      <w:numFmt w:val="decimal"/>
      <w:start w:val="26"/>
    </w:lvl>
  </w:abstractNum>
  <w:abstractNum w:abstractNumId="138">
    <w:nsid w:val="639DEFAC"/>
    <w:multiLevelType w:val="hybridMultilevel"/>
    <w:lvl w:ilvl="0">
      <w:lvlJc w:val="left"/>
      <w:lvlText w:val="%1."/>
      <w:numFmt w:val="decimal"/>
      <w:start w:val="27"/>
    </w:lvl>
  </w:abstractNum>
  <w:abstractNum w:abstractNumId="139">
    <w:nsid w:val="501F9786"/>
    <w:multiLevelType w:val="hybridMultilevel"/>
    <w:lvl w:ilvl="0">
      <w:lvlJc w:val="left"/>
      <w:lvlText w:val="%1."/>
      <w:numFmt w:val="decimal"/>
      <w:start w:val="1"/>
    </w:lvl>
  </w:abstractNum>
  <w:abstractNum w:abstractNumId="140">
    <w:nsid w:val="6B057295"/>
    <w:multiLevelType w:val="hybridMultilevel"/>
    <w:lvl w:ilvl="0">
      <w:lvlJc w:val="left"/>
      <w:lvlText w:val="%1."/>
      <w:numFmt w:val="decimal"/>
      <w:start w:val="7"/>
    </w:lvl>
  </w:abstractNum>
  <w:abstractNum w:abstractNumId="141">
    <w:nsid w:val="2771AC80"/>
    <w:multiLevelType w:val="hybridMultilevel"/>
    <w:lvl w:ilvl="0">
      <w:lvlJc w:val="left"/>
      <w:lvlText w:val=","/>
      <w:numFmt w:val="bullet"/>
      <w:start w:val="1"/>
    </w:lvl>
  </w:abstractNum>
  <w:abstractNum w:abstractNumId="142">
    <w:nsid w:val="1C4A08E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43">
    <w:nsid w:val="1958BD17"/>
    <w:multiLevelType w:val="hybridMultilevel"/>
    <w:lvl w:ilvl="0">
      <w:lvlJc w:val="left"/>
      <w:lvlText w:val="(%1)"/>
      <w:numFmt w:val="decimal"/>
      <w:start w:val="60"/>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44">
    <w:nsid w:val="4E647FE4"/>
    <w:multiLevelType w:val="hybridMultilevel"/>
    <w:lvl w:ilvl="0">
      <w:lvlJc w:val="left"/>
      <w:lvlText w:val="%1"/>
      <w:numFmt w:val="decimal"/>
      <w:start w:val="1"/>
    </w:lvl>
    <w:lvl w:ilvl="1">
      <w:lvlJc w:val="left"/>
      <w:lvlText w:val="(%2)"/>
      <w:numFmt w:val="lowerLetter"/>
      <w:start w:val="3"/>
    </w:lvl>
  </w:abstractNum>
  <w:abstractNum w:abstractNumId="145">
    <w:nsid w:val="E0BB885"/>
    <w:multiLevelType w:val="hybridMultilevel"/>
    <w:lvl w:ilvl="0">
      <w:lvlJc w:val="left"/>
      <w:lvlText w:val="%1."/>
      <w:numFmt w:val="decimal"/>
      <w:start w:val="5"/>
    </w:lvl>
    <w:lvl w:ilvl="1">
      <w:lvlJc w:val="left"/>
      <w:lvlText w:val="%2"/>
      <w:numFmt w:val="lowerLetter"/>
      <w:start w:val="1"/>
    </w:lvl>
  </w:abstractNum>
  <w:abstractNum w:abstractNumId="146">
    <w:nsid w:val="565976F1"/>
    <w:multiLevelType w:val="hybridMultilevel"/>
    <w:lvl w:ilvl="0">
      <w:lvlJc w:val="left"/>
      <w:lvlText w:val="%1."/>
      <w:numFmt w:val="decimal"/>
      <w:start w:val="6"/>
    </w:lvl>
    <w:lvl w:ilvl="1">
      <w:lvlJc w:val="left"/>
      <w:lvlText w:val="(%2)"/>
      <w:numFmt w:val="lowerLetter"/>
      <w:start w:val="1"/>
    </w:lvl>
  </w:abstractNum>
  <w:abstractNum w:abstractNumId="147">
    <w:nsid w:val="64212B8C"/>
    <w:multiLevelType w:val="hybridMultilevel"/>
    <w:lvl w:ilvl="0">
      <w:lvlJc w:val="left"/>
      <w:lvlText w:val="%1"/>
      <w:numFmt w:val="lowerLetter"/>
      <w:start w:val="1"/>
    </w:lvl>
    <w:lvl w:ilvl="1">
      <w:lvlJc w:val="left"/>
      <w:lvlText w:val="(%2)"/>
      <w:numFmt w:val="lowerLetter"/>
      <w:start w:val="3"/>
    </w:lvl>
  </w:abstractNum>
  <w:abstractNum w:abstractNumId="148">
    <w:nsid w:val="5C17530C"/>
    <w:multiLevelType w:val="hybridMultilevel"/>
    <w:lvl w:ilvl="0">
      <w:lvlJc w:val="left"/>
      <w:lvlText w:val="(%1)"/>
      <w:numFmt w:val="lowerLetter"/>
      <w:start w:val="22"/>
    </w:lvl>
    <w:lvl w:ilvl="1">
      <w:lvlJc w:val="left"/>
      <w:lvlText w:val="(%2)"/>
      <w:numFmt w:val="lowerLetter"/>
      <w:start w:val="4"/>
    </w:lvl>
  </w:abstractNum>
  <w:abstractNum w:abstractNumId="149">
    <w:nsid w:val="19A52566"/>
    <w:multiLevelType w:val="hybridMultilevel"/>
    <w:lvl w:ilvl="0">
      <w:lvlJc w:val="left"/>
      <w:lvlText w:val="%1"/>
      <w:numFmt w:val="decimal"/>
      <w:start w:val="1"/>
    </w:lvl>
    <w:lvl w:ilvl="1">
      <w:lvlJc w:val="left"/>
      <w:lvlText w:val="(%2)"/>
      <w:numFmt w:val="lowerLetter"/>
      <w:start w:val="6"/>
    </w:lvl>
  </w:abstractNum>
  <w:abstractNum w:abstractNumId="150">
    <w:nsid w:val="335A1DF1"/>
    <w:multiLevelType w:val="hybridMultilevel"/>
    <w:lvl w:ilvl="0">
      <w:lvlJc w:val="left"/>
      <w:lvlText w:val="%1."/>
      <w:numFmt w:val="decimal"/>
      <w:start w:val="8"/>
    </w:lvl>
    <w:lvl w:ilvl="1">
      <w:lvlJc w:val="left"/>
      <w:lvlText w:val="%2"/>
      <w:numFmt w:val="lowerLetter"/>
      <w:start w:val="1"/>
    </w:lvl>
  </w:abstractNum>
  <w:abstractNum w:abstractNumId="151">
    <w:nsid w:val="28677B7C"/>
    <w:multiLevelType w:val="hybridMultilevel"/>
    <w:lvl w:ilvl="0">
      <w:lvlJc w:val="left"/>
      <w:lvlText w:val="%1."/>
      <w:numFmt w:val="decimal"/>
      <w:start w:val="11"/>
    </w:lvl>
    <w:lvl w:ilvl="1">
      <w:lvlJc w:val="left"/>
      <w:lvlText w:val="(%2)"/>
      <w:numFmt w:val="lowerLetter"/>
      <w:start w:val="1"/>
    </w:lvl>
  </w:abstractNum>
  <w:abstractNum w:abstractNumId="152">
    <w:nsid w:val="378D97C0"/>
    <w:multiLevelType w:val="hybridMultilevel"/>
    <w:lvl w:ilvl="0">
      <w:lvlJc w:val="left"/>
      <w:lvlText w:val="%1."/>
      <w:numFmt w:val="decimal"/>
      <w:start w:val="13"/>
    </w:lvl>
  </w:abstractNum>
  <w:abstractNum w:abstractNumId="153">
    <w:nsid w:val="1D91467C"/>
    <w:multiLevelType w:val="hybridMultilevel"/>
    <w:lvl w:ilvl="0">
      <w:lvlJc w:val="left"/>
      <w:lvlText w:val="%1."/>
      <w:numFmt w:val="decimal"/>
      <w:start w:val="19"/>
    </w:lvl>
  </w:abstractNum>
  <w:abstractNum w:abstractNumId="154">
    <w:nsid w:val="316032BB"/>
    <w:multiLevelType w:val="hybridMultilevel"/>
    <w:lvl w:ilvl="0">
      <w:lvlJc w:val="left"/>
      <w:lvlText w:val="%1."/>
      <w:numFmt w:val="decimal"/>
      <w:start w:val="25"/>
    </w:lvl>
    <w:lvl w:ilvl="1">
      <w:lvlJc w:val="left"/>
      <w:lvlText w:val="*"/>
      <w:numFmt w:val="bullet"/>
      <w:start w:val="1"/>
    </w:lvl>
  </w:abstractNum>
  <w:abstractNum w:abstractNumId="155">
    <w:nsid w:val="44344C22"/>
    <w:multiLevelType w:val="hybridMultilevel"/>
    <w:lvl w:ilvl="0">
      <w:lvlJc w:val="left"/>
      <w:lvlText w:val="(%1)"/>
      <w:numFmt w:val="lowerLetter"/>
      <w:start w:val="1"/>
    </w:lvl>
    <w:lvl w:ilvl="1">
      <w:lvlJc w:val="left"/>
      <w:lvlText w:val="(%2)"/>
      <w:numFmt w:val="lowerRoman"/>
      <w:start w:val="1"/>
    </w:lvl>
  </w:abstractNum>
  <w:abstractNum w:abstractNumId="156">
    <w:nsid w:val="13CDFCFC"/>
    <w:multiLevelType w:val="hybridMultilevel"/>
    <w:lvl w:ilvl="0">
      <w:lvlJc w:val="left"/>
      <w:lvlText w:val="(%1)"/>
      <w:numFmt w:val="lowerLetter"/>
      <w:start w:val="4"/>
    </w:lvl>
  </w:abstractNum>
  <w:abstractNum w:abstractNumId="157">
    <w:nsid w:val="471745E4"/>
    <w:multiLevelType w:val="hybridMultilevel"/>
    <w:lvl w:ilvl="0">
      <w:lvlJc w:val="left"/>
      <w:lvlText w:val="%1."/>
      <w:numFmt w:val="decimal"/>
      <w:start w:val="1"/>
    </w:lvl>
  </w:abstractNum>
  <w:abstractNum w:abstractNumId="158">
    <w:nsid w:val="1DDBC6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59">
    <w:nsid w:val="30AADFDA"/>
    <w:multiLevelType w:val="hybridMultilevel"/>
    <w:lvl w:ilvl="0">
      <w:lvlJc w:val="left"/>
      <w:lvlText w:val="(%1)"/>
      <w:numFmt w:val="lowerRoman"/>
      <w:start w:val="2"/>
    </w:lvl>
  </w:abstractNum>
  <w:abstractNum w:abstractNumId="160">
    <w:nsid w:val="30EADA61"/>
    <w:multiLevelType w:val="hybridMultilevel"/>
    <w:lvl w:ilvl="0">
      <w:lvlJc w:val="left"/>
      <w:lvlText w:val="(%1)"/>
      <w:numFmt w:val="lowerLetter"/>
      <w:start w:val="7"/>
    </w:lvl>
    <w:lvl w:ilvl="1">
      <w:lvlJc w:val="left"/>
      <w:lvlText w:val="-"/>
      <w:numFmt w:val="bullet"/>
      <w:start w:val="1"/>
    </w:lvl>
  </w:abstractNum>
  <w:abstractNum w:abstractNumId="161">
    <w:nsid w:val="27179C0B"/>
    <w:multiLevelType w:val="hybridMultilevel"/>
    <w:lvl w:ilvl="0">
      <w:lvlJc w:val="left"/>
      <w:lvlText w:val="(%1)"/>
      <w:numFmt w:val="lowerLetter"/>
      <w:start w:val="17"/>
    </w:lvl>
    <w:lvl w:ilvl="1">
      <w:lvlJc w:val="left"/>
      <w:lvlText w:val="(%2)"/>
      <w:numFmt w:val="lowerRoman"/>
      <w:start w:val="1"/>
    </w:lvl>
  </w:abstractNum>
  <w:abstractNum w:abstractNumId="162">
    <w:nsid w:val="5E636063"/>
    <w:multiLevelType w:val="hybridMultilevel"/>
    <w:lvl w:ilvl="0">
      <w:lvlJc w:val="left"/>
      <w:lvlText w:val="(%1)"/>
      <w:numFmt w:val="lowerLetter"/>
      <w:start w:val="18"/>
    </w:lvl>
    <w:lvl w:ilvl="1">
      <w:lvlJc w:val="left"/>
      <w:lvlText w:val="-"/>
      <w:numFmt w:val="bullet"/>
      <w:start w:val="1"/>
    </w:lvl>
  </w:abstractNum>
  <w:abstractNum w:abstractNumId="163">
    <w:nsid w:val="215641AF"/>
    <w:multiLevelType w:val="hybridMultilevel"/>
    <w:lvl w:ilvl="0">
      <w:lvlJc w:val="left"/>
      <w:lvlText w:val="%1"/>
      <w:numFmt w:val="decimal"/>
      <w:start w:val="1"/>
    </w:lvl>
    <w:lvl w:ilvl="1">
      <w:lvlJc w:val="left"/>
      <w:lvlText w:val="(%2)"/>
      <w:numFmt w:val="lowerLetter"/>
      <w:start w:val="27"/>
    </w:lvl>
    <w:lvl w:ilvl="2">
      <w:lvlJc w:val="left"/>
      <w:lvlText w:val="-"/>
      <w:numFmt w:val="bullet"/>
      <w:start w:val="1"/>
    </w:lvl>
  </w:abstractNum>
  <w:abstractNum w:abstractNumId="164">
    <w:nsid w:val="53280662"/>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65">
    <w:nsid w:val="46B24DB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6">
    <w:nsid w:val="75B5278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7">
    <w:nsid w:val="57CE66B4"/>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68">
    <w:nsid w:val="67A70B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lvl w:ilvl="3">
      <w:lvlJc w:val="left"/>
      <w:lvlText w:val="-"/>
      <w:numFmt w:val="bullet"/>
      <w:start w:val="1"/>
    </w:lvl>
  </w:abstractNum>
  <w:abstractNum w:abstractNumId="169">
    <w:nsid w:val="5953172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170">
    <w:nsid w:val="27EDFE3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71">
    <w:nsid w:val="52AC7DF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2">
    <w:nsid w:val="C4C3AF"/>
    <w:multiLevelType w:val="hybridMultilevel"/>
    <w:lvl w:ilvl="0">
      <w:lvlJc w:val="left"/>
      <w:lvlText w:val="(%1)"/>
      <w:numFmt w:val="decimal"/>
      <w:start w:val="8"/>
    </w:lvl>
    <w:lvl w:ilvl="1">
      <w:lvlJc w:val="left"/>
      <w:lvlText w:val="(%2)"/>
      <w:numFmt w:val="lowerLetter"/>
      <w:start w:val="4"/>
    </w:lvl>
    <w:lvl w:ilvl="2">
      <w:lvlJc w:val="left"/>
      <w:lvlText w:val="(%3)"/>
      <w:numFmt w:val="lowerLetter"/>
      <w:start w:val="9"/>
    </w:lvl>
  </w:abstractNum>
  <w:abstractNum w:abstractNumId="173">
    <w:nsid w:val="44380727"/>
    <w:multiLevelType w:val="hybridMultilevel"/>
    <w:lvl w:ilvl="0">
      <w:lvlJc w:val="left"/>
      <w:lvlText w:val="(%1)"/>
      <w:numFmt w:val="lowerRoman"/>
      <w:start w:val="2"/>
    </w:lvl>
  </w:abstractNum>
  <w:abstractNum w:abstractNumId="174">
    <w:nsid w:val="6C053B16"/>
    <w:multiLevelType w:val="hybridMultilevel"/>
    <w:lvl w:ilvl="0">
      <w:lvlJc w:val="left"/>
      <w:lvlText w:val="(%1)"/>
      <w:numFmt w:val="decimal"/>
      <w:start w:val="12"/>
    </w:lvl>
  </w:abstractNum>
  <w:abstractNum w:abstractNumId="175">
    <w:nsid w:val="4F29439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lvl w:ilvl="3">
      <w:lvlJc w:val="left"/>
      <w:lvlText w:val="(%4)"/>
      <w:numFmt w:val="decimal"/>
      <w:start w:val="1"/>
    </w:lvl>
    <w:lvl w:ilvl="4">
      <w:lvlJc w:val="left"/>
      <w:lvlText w:val="-"/>
      <w:numFmt w:val="bullet"/>
      <w:start w:val="1"/>
    </w:lvl>
  </w:abstractNum>
  <w:abstractNum w:abstractNumId="176">
    <w:nsid w:val="5243BFA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177">
    <w:nsid w:val="425EB207"/>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178">
    <w:nsid w:val="334A6F1F"/>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179">
    <w:nsid w:val="2E5B12B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80">
    <w:nsid w:val="5C03D76D"/>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81">
    <w:nsid w:val="66A48D11"/>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82">
    <w:nsid w:val="56C28E34"/>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183">
    <w:nsid w:val="13916F2D"/>
    <w:multiLevelType w:val="hybridMultilevel"/>
    <w:lvl w:ilvl="0">
      <w:lvlJc w:val="left"/>
      <w:lvlText w:val="%1."/>
      <w:numFmt w:val="decimal"/>
      <w:start w:val="14"/>
    </w:lvl>
    <w:lvl w:ilvl="1">
      <w:lvlJc w:val="left"/>
      <w:lvlText w:val="(%2)"/>
      <w:numFmt w:val="lowerLetter"/>
      <w:start w:val="1"/>
    </w:lvl>
  </w:abstractNum>
  <w:abstractNum w:abstractNumId="184">
    <w:nsid w:val="435D38D"/>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185">
    <w:nsid w:val="822C0EF"/>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186">
    <w:nsid w:val="57C5BB4F"/>
    <w:multiLevelType w:val="hybridMultilevel"/>
    <w:lvl w:ilvl="0">
      <w:lvlJc w:val="left"/>
      <w:lvlText w:val="(%1)"/>
      <w:numFmt w:val="lowerLetter"/>
      <w:start w:val="2"/>
    </w:lvl>
    <w:lvl w:ilvl="1">
      <w:lvlJc w:val="left"/>
      <w:lvlText w:val="-"/>
      <w:numFmt w:val="bullet"/>
      <w:start w:val="1"/>
    </w:lvl>
  </w:abstractNum>
  <w:abstractNum w:abstractNumId="187">
    <w:nsid w:val="1803D089"/>
    <w:multiLevelType w:val="hybridMultilevel"/>
    <w:lvl w:ilvl="0">
      <w:lvlJc w:val="left"/>
      <w:lvlText w:val="%1."/>
      <w:numFmt w:val="decimal"/>
      <w:start w:val="1"/>
    </w:lvl>
    <w:lvl w:ilvl="1">
      <w:lvlJc w:val="left"/>
      <w:lvlText w:val="(%2)"/>
      <w:numFmt w:val="lowerLetter"/>
      <w:start w:val="1"/>
    </w:lvl>
  </w:abstractNum>
  <w:abstractNum w:abstractNumId="188">
    <w:nsid w:val="4F3A06D4"/>
    <w:multiLevelType w:val="hybridMultilevel"/>
    <w:lvl w:ilvl="0">
      <w:lvlJc w:val="left"/>
      <w:lvlText w:val="(%1)"/>
      <w:numFmt w:val="lowerLetter"/>
      <w:start w:val="1"/>
    </w:lvl>
  </w:abstractNum>
  <w:abstractNum w:abstractNumId="189">
    <w:nsid w:val="59A377B6"/>
    <w:multiLevelType w:val="hybridMultilevel"/>
    <w:lvl w:ilvl="0">
      <w:lvlJc w:val="left"/>
      <w:lvlText w:val="-"/>
      <w:numFmt w:val="bullet"/>
      <w:start w:val="1"/>
    </w:lvl>
    <w:lvl w:ilvl="1">
      <w:lvlJc w:val="left"/>
      <w:lvlText w:val="%2."/>
      <w:numFmt w:val="decimal"/>
      <w:start w:val="6"/>
    </w:lvl>
    <w:lvl w:ilvl="2">
      <w:lvlJc w:val="left"/>
      <w:lvlText w:val="(%3)"/>
      <w:numFmt w:val="lowerLetter"/>
      <w:start w:val="1"/>
    </w:lvl>
  </w:abstractNum>
  <w:abstractNum w:abstractNumId="190">
    <w:nsid w:val="48AEB063"/>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2"/>
    </w:lvl>
  </w:abstractNum>
  <w:abstractNum w:abstractNumId="191">
    <w:nsid w:val="24E135"/>
    <w:multiLevelType w:val="hybridMultilevel"/>
    <w:lvl w:ilvl="0">
      <w:lvlJc w:val="left"/>
      <w:lvlText w:val="(%1)"/>
      <w:numFmt w:val="lowerLetter"/>
      <w:start w:val="9"/>
    </w:lvl>
    <w:lvl w:ilvl="1">
      <w:lvlJc w:val="left"/>
      <w:lvlText w:val="-"/>
      <w:numFmt w:val="bullet"/>
      <w:start w:val="1"/>
    </w:lvl>
    <w:lvl w:ilvl="2">
      <w:lvlJc w:val="left"/>
      <w:lvlText w:val="%3"/>
      <w:numFmt w:val="lowerLetter"/>
      <w:start w:val="1"/>
    </w:lvl>
  </w:abstractNum>
  <w:abstractNum w:abstractNumId="192">
    <w:nsid w:val="BB13C1"/>
    <w:multiLevelType w:val="hybridMultilevel"/>
    <w:lvl w:ilvl="0">
      <w:lvlJc w:val="left"/>
      <w:lvlText w:val="-"/>
      <w:numFmt w:val="bullet"/>
      <w:start w:val="1"/>
    </w:lvl>
    <w:lvl w:ilvl="1">
      <w:lvlJc w:val="left"/>
      <w:lvlText w:val="%2."/>
      <w:numFmt w:val="decimal"/>
      <w:start w:val="9"/>
    </w:lvl>
  </w:abstractNum>
  <w:abstractNum w:abstractNumId="193">
    <w:nsid w:val="271210C7"/>
    <w:multiLevelType w:val="hybridMultilevel"/>
    <w:lvl w:ilvl="0">
      <w:lvlJc w:val="left"/>
      <w:lvlText w:val="-"/>
      <w:numFmt w:val="bullet"/>
      <w:start w:val="1"/>
    </w:lvl>
    <w:lvl w:ilvl="1">
      <w:lvlJc w:val="left"/>
      <w:lvlText w:val="%2."/>
      <w:numFmt w:val="decimal"/>
      <w:start w:val="16"/>
    </w:lvl>
  </w:abstractNum>
  <w:abstractNum w:abstractNumId="194">
    <w:nsid w:val="217B22E4"/>
    <w:multiLevelType w:val="hybridMultilevel"/>
    <w:lvl w:ilvl="0">
      <w:lvlJc w:val="left"/>
      <w:lvlText w:val="-"/>
      <w:numFmt w:val="bullet"/>
      <w:start w:val="1"/>
    </w:lvl>
    <w:lvl w:ilvl="1">
      <w:lvlJc w:val="left"/>
      <w:lvlText w:val="%2."/>
      <w:numFmt w:val="decimal"/>
      <w:start w:val="23"/>
    </w:lvl>
    <w:lvl w:ilvl="2">
      <w:lvlJc w:val="left"/>
      <w:lvlText w:val="*"/>
      <w:numFmt w:val="bullet"/>
      <w:start w:val="1"/>
    </w:lvl>
  </w:abstractNum>
  <w:abstractNum w:abstractNumId="195">
    <w:nsid w:val="53E31A24"/>
    <w:multiLevelType w:val="hybridMultilevel"/>
    <w:lvl w:ilvl="0">
      <w:lvlJc w:val="left"/>
      <w:lvlText w:val="%1."/>
      <w:numFmt w:val="decimal"/>
      <w:start w:val="1"/>
    </w:lvl>
  </w:abstractNum>
  <w:abstractNum w:abstractNumId="196">
    <w:nsid w:val="6DC45E83"/>
    <w:multiLevelType w:val="hybridMultilevel"/>
    <w:lvl w:ilvl="0">
      <w:lvlJc w:val="left"/>
      <w:lvlText w:val="%1."/>
      <w:numFmt w:val="upperLetter"/>
      <w:start w:val="1"/>
    </w:lvl>
  </w:abstractNum>
  <w:abstractNum w:abstractNumId="197">
    <w:nsid w:val="17304A67"/>
    <w:multiLevelType w:val="hybridMultilevel"/>
    <w:lvl w:ilvl="0">
      <w:lvlJc w:val="left"/>
      <w:lvlText w:val="[***]"/>
      <w:numFmt w:val="bullet"/>
      <w:start w:val="1"/>
    </w:lvl>
    <w:lvl w:ilvl="1">
      <w:lvlJc w:val="left"/>
      <w:lvlText w:val="(%2)"/>
      <w:numFmt w:val="lowerLetter"/>
      <w:start w:val="1"/>
    </w:lvl>
  </w:abstractNum>
  <w:abstractNum w:abstractNumId="198">
    <w:nsid w:val="2BB180D8"/>
    <w:multiLevelType w:val="hybridMultilevel"/>
    <w:lvl w:ilvl="0">
      <w:lvlJc w:val="left"/>
      <w:lvlText w:val="[***]"/>
      <w:numFmt w:val="bullet"/>
      <w:start w:val="1"/>
    </w:lvl>
    <w:lvl w:ilvl="1">
      <w:lvlJc w:val="left"/>
      <w:lvlText w:val="(%2)"/>
      <w:numFmt w:val="lowerLetter"/>
      <w:start w:val="5"/>
    </w:lvl>
  </w:abstractNum>
  <w:abstractNum w:abstractNumId="199">
    <w:nsid w:val="556B69ED"/>
    <w:multiLevelType w:val="hybridMultilevel"/>
    <w:lvl w:ilvl="0">
      <w:lvlJc w:val="left"/>
      <w:lvlText w:val="(%1)"/>
      <w:numFmt w:val="lowerLetter"/>
      <w:start w:val="1"/>
    </w:lvl>
  </w:abstractNum>
  <w:abstractNum w:abstractNumId="200">
    <w:nsid w:val="70836196"/>
    <w:multiLevelType w:val="hybridMultilevel"/>
    <w:lvl w:ilvl="0">
      <w:lvlJc w:val="left"/>
      <w:lvlText w:val="(%1)"/>
      <w:numFmt w:val="lowerLetter"/>
      <w:start w:val="2"/>
    </w:lvl>
  </w:abstractNum>
  <w:abstractNum w:abstractNumId="201">
    <w:nsid w:val="539F7F12"/>
    <w:multiLevelType w:val="hybridMultilevel"/>
    <w:lvl w:ilvl="0">
      <w:lvlJc w:val="left"/>
      <w:lvlText w:val="(%1)"/>
      <w:numFmt w:val="lowerLetter"/>
      <w:start w:val="1"/>
    </w:lvl>
  </w:abstractNum>
  <w:abstractNum w:abstractNumId="202">
    <w:nsid w:val="2817E7EC"/>
    <w:multiLevelType w:val="hybridMultilevel"/>
    <w:lvl w:ilvl="0">
      <w:lvlJc w:val="left"/>
      <w:lvlText w:val="(%1)"/>
      <w:numFmt w:val="lowerLetter"/>
      <w:start w:val="1"/>
    </w:lvl>
  </w:abstractNum>
  <w:abstractNum w:abstractNumId="203">
    <w:nsid w:val="71482545"/>
    <w:multiLevelType w:val="hybridMultilevel"/>
    <w:lvl w:ilvl="0">
      <w:lvlJc w:val="left"/>
      <w:lvlText w:val="(%1)"/>
      <w:numFmt w:val="lowerLetter"/>
      <w:start w:val="6"/>
    </w:lvl>
  </w:abstractNum>
  <w:abstractNum w:abstractNumId="204">
    <w:nsid w:val="17D78639"/>
    <w:multiLevelType w:val="hybridMultilevel"/>
    <w:lvl w:ilvl="0">
      <w:lvlJc w:val="left"/>
      <w:lvlText w:val="(%1)"/>
      <w:numFmt w:val="lowerLetter"/>
      <w:start w:val="1"/>
    </w:lvl>
    <w:lvl w:ilvl="1">
      <w:lvlJc w:val="left"/>
      <w:lvlText w:val="(%2)"/>
      <w:numFmt w:val="lowerRoman"/>
      <w:start w:val="1"/>
    </w:lvl>
  </w:abstractNum>
  <w:abstractNum w:abstractNumId="205">
    <w:nsid w:val="141D2302"/>
    <w:multiLevelType w:val="hybridMultilevel"/>
    <w:lvl w:ilvl="0">
      <w:lvlJc w:val="left"/>
      <w:lvlText w:val="(%1)"/>
      <w:numFmt w:val="lowerLetter"/>
      <w:start w:val="1"/>
    </w:lvl>
  </w:abstractNum>
  <w:abstractNum w:abstractNumId="206">
    <w:nsid w:val="407168D8"/>
    <w:multiLevelType w:val="hybridMultilevel"/>
    <w:lvl w:ilvl="0">
      <w:lvlJc w:val="left"/>
      <w:lvlText w:val="(%1)"/>
      <w:numFmt w:val="lowerLetter"/>
      <w:start w:val="1"/>
    </w:lvl>
  </w:abstractNum>
  <w:abstractNum w:abstractNumId="207">
    <w:nsid w:val="6A1B45E5"/>
    <w:multiLevelType w:val="hybridMultilevel"/>
    <w:lvl w:ilvl="0">
      <w:lvlJc w:val="left"/>
      <w:lvlText w:val="(%1)"/>
      <w:numFmt w:val="lowerLetter"/>
      <w:start w:val="2"/>
    </w:lvl>
  </w:abstractNum>
  <w:abstractNum w:abstractNumId="208">
    <w:nsid w:val="567BD50A"/>
    <w:multiLevelType w:val="hybridMultilevel"/>
    <w:lvl w:ilvl="0">
      <w:lvlJc w:val="left"/>
      <w:lvlText w:val="[***]"/>
      <w:numFmt w:val="bullet"/>
      <w:start w:val="1"/>
    </w:lvl>
    <w:lvl w:ilvl="1">
      <w:lvlJc w:val="left"/>
      <w:lvlText w:val="(%2)"/>
      <w:numFmt w:val="lowerLetter"/>
      <w:start w:val="1"/>
    </w:lvl>
  </w:abstractNum>
  <w:abstractNum w:abstractNumId="209">
    <w:nsid w:val="73BBD7F8"/>
    <w:multiLevelType w:val="hybridMultilevel"/>
    <w:lvl w:ilvl="0">
      <w:lvlJc w:val="left"/>
      <w:lvlText w:val="(%1)"/>
      <w:numFmt w:val="lowerLetter"/>
      <w:start w:val="2"/>
    </w:lvl>
  </w:abstractNum>
  <w:abstractNum w:abstractNumId="210">
    <w:nsid w:val="1876589D"/>
    <w:multiLevelType w:val="hybridMultilevel"/>
    <w:lvl w:ilvl="0">
      <w:lvlJc w:val="left"/>
      <w:lvlText w:val="(%1)"/>
      <w:numFmt w:val="lowerLetter"/>
      <w:start w:val="1"/>
    </w:lvl>
  </w:abstractNum>
  <w:abstractNum w:abstractNumId="211">
    <w:nsid w:val="327FAC77"/>
    <w:multiLevelType w:val="hybridMultilevel"/>
    <w:lvl w:ilvl="0">
      <w:lvlJc w:val="left"/>
      <w:lvlText w:val="(%1)"/>
      <w:numFmt w:val="lowerLetter"/>
      <w:start w:val="2"/>
    </w:lvl>
  </w:abstractNum>
  <w:abstractNum w:abstractNumId="212">
    <w:nsid w:val="5A606509"/>
    <w:multiLevelType w:val="hybridMultilevel"/>
    <w:lvl w:ilvl="0">
      <w:lvlJc w:val="left"/>
      <w:lvlText w:val="(%1)"/>
      <w:numFmt w:val="lowerLetter"/>
      <w:start w:val="1"/>
    </w:lvl>
  </w:abstractNum>
  <w:abstractNum w:abstractNumId="213">
    <w:nsid w:val="6F38E6D1"/>
    <w:multiLevelType w:val="hybridMultilevel"/>
    <w:lvl w:ilvl="0">
      <w:lvlJc w:val="left"/>
      <w:lvlText w:val="(%1)"/>
      <w:numFmt w:val="lowerLetter"/>
      <w:start w:val="2"/>
    </w:lvl>
  </w:abstractNum>
  <w:abstractNum w:abstractNumId="214">
    <w:nsid w:val="46111BA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15">
    <w:nsid w:val="5E963896"/>
    <w:multiLevelType w:val="hybridMultilevel"/>
    <w:lvl w:ilvl="0">
      <w:lvlJc w:val="left"/>
      <w:lvlText w:val="(%1)"/>
      <w:numFmt w:val="lowerLetter"/>
      <w:start w:val="1"/>
    </w:lvl>
  </w:abstractNum>
  <w:abstractNum w:abstractNumId="216">
    <w:nsid w:val="775BA7C1"/>
    <w:multiLevelType w:val="hybridMultilevel"/>
    <w:lvl w:ilvl="0">
      <w:lvlJc w:val="left"/>
      <w:lvlText w:val="(%1)"/>
      <w:numFmt w:val="lowerLetter"/>
      <w:start w:val="3"/>
    </w:lvl>
  </w:abstractNum>
  <w:abstractNum w:abstractNumId="217">
    <w:nsid w:val="1DD6D6F4"/>
    <w:multiLevelType w:val="hybridMultilevel"/>
    <w:lvl w:ilvl="0">
      <w:lvlJc w:val="left"/>
      <w:lvlText w:val="%1"/>
      <w:numFmt w:val="lowerLetter"/>
      <w:start w:val="1"/>
    </w:lvl>
    <w:lvl w:ilvl="1">
      <w:lvlJc w:val="left"/>
      <w:lvlText w:val="(%2)"/>
      <w:numFmt w:val="lowerLetter"/>
      <w:start w:val="1"/>
    </w:lvl>
  </w:abstractNum>
  <w:abstractNum w:abstractNumId="218">
    <w:nsid w:val="769A091F"/>
    <w:multiLevelType w:val="hybridMultilevel"/>
    <w:lvl w:ilvl="0">
      <w:lvlJc w:val="left"/>
      <w:lvlText w:val="(%1)"/>
      <w:numFmt w:val="lowerLetter"/>
      <w:start w:val="35"/>
    </w:lvl>
    <w:lvl w:ilvl="1">
      <w:lvlJc w:val="left"/>
      <w:lvlText w:val="%2"/>
      <w:numFmt w:val="lowerLetter"/>
      <w:start w:val="1"/>
    </w:lvl>
  </w:abstractNum>
  <w:abstractNum w:abstractNumId="219">
    <w:nsid w:val="4695AE95"/>
    <w:multiLevelType w:val="hybridMultilevel"/>
    <w:lvl w:ilvl="0">
      <w:lvlJc w:val="left"/>
      <w:lvlText w:val="[***]"/>
      <w:numFmt w:val="bullet"/>
      <w:start w:val="1"/>
    </w:lvl>
    <w:lvl w:ilvl="1">
      <w:lvlJc w:val="left"/>
      <w:lvlText w:val="(%2)"/>
      <w:numFmt w:val="lowerLetter"/>
      <w:start w:val="2"/>
    </w:lvl>
  </w:abstractNum>
  <w:abstractNum w:abstractNumId="220">
    <w:nsid w:val="777A4EAA"/>
    <w:multiLevelType w:val="hybridMultilevel"/>
    <w:lvl w:ilvl="0">
      <w:lvlJc w:val="left"/>
      <w:lvlText w:val="[***]"/>
      <w:numFmt w:val="bullet"/>
      <w:start w:val="1"/>
    </w:lvl>
    <w:lvl w:ilvl="1">
      <w:lvlJc w:val="left"/>
      <w:lvlText w:val="(%2)"/>
      <w:numFmt w:val="lowerLetter"/>
      <w:start w:val="3"/>
    </w:lvl>
  </w:abstractNum>
  <w:abstractNum w:abstractNumId="221">
    <w:nsid w:val="3F48B982"/>
    <w:multiLevelType w:val="hybridMultilevel"/>
    <w:lvl w:ilvl="0">
      <w:lvlJc w:val="left"/>
      <w:lvlText w:val="(%1)"/>
      <w:numFmt w:val="lowerLetter"/>
      <w:start w:val="1"/>
    </w:lvl>
  </w:abstractNum>
  <w:abstractNum w:abstractNumId="222">
    <w:nsid w:val="46BA8FCA"/>
    <w:multiLevelType w:val="hybridMultilevel"/>
    <w:lvl w:ilvl="0">
      <w:lvlJc w:val="left"/>
      <w:lvlText w:val="(%1)"/>
      <w:numFmt w:val="lowerLetter"/>
      <w:start w:val="2"/>
    </w:lvl>
  </w:abstractNum>
  <w:abstractNum w:abstractNumId="223">
    <w:nsid w:val="7835626C"/>
    <w:multiLevelType w:val="hybridMultilevel"/>
    <w:lvl w:ilvl="0">
      <w:lvlJc w:val="left"/>
      <w:lvlText w:val="(%1)"/>
      <w:numFmt w:val="lowerLetter"/>
      <w:start w:val="1"/>
    </w:lvl>
  </w:abstractNum>
  <w:abstractNum w:abstractNumId="224">
    <w:nsid w:val="665ACA49"/>
    <w:multiLevelType w:val="hybridMultilevel"/>
    <w:lvl w:ilvl="0">
      <w:lvlJc w:val="left"/>
      <w:lvlText w:val="(%1)"/>
      <w:numFmt w:val="lowerLetter"/>
      <w:start w:val="1"/>
    </w:lvl>
  </w:abstractNum>
  <w:abstractNum w:abstractNumId="225">
    <w:nsid w:val="6835B2AE"/>
    <w:multiLevelType w:val="hybridMultilevel"/>
    <w:lvl w:ilvl="0">
      <w:lvlJc w:val="left"/>
      <w:lvlText w:val="(%1)"/>
      <w:numFmt w:val="lowerLetter"/>
      <w:start w:val="1"/>
    </w:lvl>
    <w:lvl w:ilvl="1">
      <w:lvlJc w:val="left"/>
      <w:lvlText w:val="(%2)"/>
      <w:numFmt w:val="lowerRoman"/>
      <w:start w:val="1"/>
    </w:lvl>
  </w:abstractNum>
  <w:abstractNum w:abstractNumId="226">
    <w:nsid w:val="4C187C90"/>
    <w:multiLevelType w:val="hybridMultilevel"/>
    <w:lvl w:ilvl="0">
      <w:lvlJc w:val="left"/>
      <w:lvlText w:val="(%1)"/>
      <w:numFmt w:val="lowerLetter"/>
      <w:start w:val="1"/>
    </w:lvl>
  </w:abstractNum>
  <w:abstractNum w:abstractNumId="227">
    <w:nsid w:val="541F28CD"/>
    <w:multiLevelType w:val="hybridMultilevel"/>
    <w:lvl w:ilvl="0">
      <w:lvlJc w:val="left"/>
      <w:lvlText w:val="(%1)"/>
      <w:numFmt w:val="lowerLetter"/>
      <w:start w:val="3"/>
    </w:lvl>
  </w:abstractNum>
  <w:abstractNum w:abstractNumId="228">
    <w:nsid w:val="7F65FD16"/>
    <w:multiLevelType w:val="hybridMultilevel"/>
    <w:lvl w:ilvl="0">
      <w:lvlJc w:val="left"/>
      <w:lvlText w:val="(%1)"/>
      <w:numFmt w:val="lowerLetter"/>
      <w:start w:val="1"/>
    </w:lvl>
  </w:abstractNum>
  <w:abstractNum w:abstractNumId="229">
    <w:nsid w:val="77C9FD68"/>
    <w:multiLevelType w:val="hybridMultilevel"/>
    <w:lvl w:ilvl="0">
      <w:lvlJc w:val="left"/>
      <w:lvlText w:val="(%1)"/>
      <w:numFmt w:val="lowerLetter"/>
      <w:start w:val="3"/>
    </w:lvl>
  </w:abstractNum>
  <w:abstractNum w:abstractNumId="230">
    <w:nsid w:val="298A92BA"/>
    <w:multiLevelType w:val="hybridMultilevel"/>
    <w:lvl w:ilvl="0">
      <w:lvlJc w:val="left"/>
      <w:lvlText w:val="(%1)"/>
      <w:numFmt w:val="lowerLetter"/>
      <w:start w:val="9"/>
    </w:lvl>
  </w:abstractNum>
  <w:abstractNum w:abstractNumId="231">
    <w:nsid w:val="6FE95EAC"/>
    <w:multiLevelType w:val="hybridMultilevel"/>
    <w:lvl w:ilvl="0">
      <w:lvlJc w:val="left"/>
      <w:lvlText w:val="(%1)"/>
      <w:numFmt w:val="lowerLetter"/>
      <w:start w:val="13"/>
    </w:lvl>
  </w:abstractNum>
  <w:abstractNum w:abstractNumId="232">
    <w:nsid w:val="4B697C7A"/>
    <w:multiLevelType w:val="hybridMultilevel"/>
    <w:lvl w:ilvl="0">
      <w:lvlJc w:val="left"/>
      <w:lvlText w:val="(%1)"/>
      <w:numFmt w:val="lowerLetter"/>
      <w:start w:val="21"/>
    </w:lvl>
  </w:abstractNum>
  <w:abstractNum w:abstractNumId="233">
    <w:nsid w:val="51A27AA6"/>
    <w:multiLevelType w:val="hybridMultilevel"/>
    <w:lvl w:ilvl="0">
      <w:lvlJc w:val="left"/>
      <w:lvlText w:val="(%1)"/>
      <w:numFmt w:val="lowerLetter"/>
      <w:start w:val="23"/>
    </w:lvl>
  </w:abstractNum>
  <w:abstractNum w:abstractNumId="234">
    <w:nsid w:val="613183F2"/>
    <w:multiLevelType w:val="hybridMultilevel"/>
    <w:lvl w:ilvl="0">
      <w:lvlJc w:val="left"/>
      <w:lvlText w:val="(%1)"/>
      <w:numFmt w:val="lowerLetter"/>
      <w:start w:val="27"/>
    </w:lvl>
  </w:abstractNum>
  <w:abstractNum w:abstractNumId="235">
    <w:nsid w:val="634102B4"/>
    <w:multiLevelType w:val="hybridMultilevel"/>
    <w:lvl w:ilvl="0">
      <w:lvlJc w:val="left"/>
      <w:lvlText w:val="(%1)"/>
      <w:numFmt w:val="lowerLetter"/>
      <w:start w:val="1"/>
    </w:lvl>
  </w:abstractNum>
  <w:abstractNum w:abstractNumId="236">
    <w:nsid w:val="65BF9DA8"/>
    <w:multiLevelType w:val="hybridMultilevel"/>
    <w:lvl w:ilvl="0">
      <w:lvlJc w:val="left"/>
      <w:lvlText w:val="(%1)"/>
      <w:numFmt w:val="lowerLetter"/>
      <w:start w:val="2"/>
    </w:lvl>
  </w:abstractNum>
  <w:abstractNum w:abstractNumId="237">
    <w:nsid w:val="21A2ECCA"/>
    <w:multiLevelType w:val="hybridMultilevel"/>
    <w:lvl w:ilvl="0">
      <w:lvlJc w:val="left"/>
      <w:lvlText w:val="(%1)"/>
      <w:numFmt w:val="lowerLetter"/>
      <w:start w:val="1"/>
    </w:lvl>
  </w:abstractNum>
  <w:abstractNum w:abstractNumId="238">
    <w:nsid w:val="4D5C4899"/>
    <w:multiLevelType w:val="hybridMultilevel"/>
    <w:lvl w:ilvl="0">
      <w:lvlJc w:val="left"/>
      <w:lvlText w:val="(%1)"/>
      <w:numFmt w:val="lowerLetter"/>
      <w:start w:val="1"/>
    </w:lvl>
  </w:abstractNum>
  <w:abstractNum w:abstractNumId="239">
    <w:nsid w:val="3C3B72B2"/>
    <w:multiLevelType w:val="hybridMultilevel"/>
    <w:lvl w:ilvl="0">
      <w:lvlJc w:val="left"/>
      <w:lvlText w:val="(%1)"/>
      <w:numFmt w:val="lowerRoman"/>
      <w:start w:val="1"/>
    </w:lvl>
  </w:abstractNum>
  <w:abstractNum w:abstractNumId="240">
    <w:nsid w:val="155EC4C2"/>
    <w:multiLevelType w:val="hybridMultilevel"/>
    <w:lvl w:ilvl="0">
      <w:lvlJc w:val="left"/>
      <w:lvlText w:val="(%1)"/>
      <w:numFmt w:val="lowerLetter"/>
      <w:start w:val="2"/>
    </w:lvl>
  </w:abstractNum>
  <w:abstractNum w:abstractNumId="241">
    <w:nsid w:val="65D2A137"/>
    <w:multiLevelType w:val="hybridMultilevel"/>
    <w:lvl w:ilvl="0">
      <w:lvlJc w:val="left"/>
      <w:lvlText w:val="(%1)"/>
      <w:numFmt w:val="lowerLetter"/>
      <w:start w:val="1"/>
    </w:lvl>
    <w:lvl w:ilvl="1">
      <w:lvlJc w:val="left"/>
      <w:lvlText w:val="(%2)"/>
      <w:numFmt w:val="lowerRoman"/>
      <w:start w:val="1"/>
    </w:lvl>
  </w:abstractNum>
  <w:abstractNum w:abstractNumId="242">
    <w:nsid w:val="6EBB1F2A"/>
    <w:multiLevelType w:val="hybridMultilevel"/>
    <w:lvl w:ilvl="0">
      <w:lvlJc w:val="left"/>
      <w:lvlText w:val="(%1)"/>
      <w:numFmt w:val="lowerLetter"/>
      <w:start w:val="1"/>
    </w:lvl>
  </w:abstractNum>
  <w:abstractNum w:abstractNumId="243">
    <w:nsid w:val="6FBF29CB"/>
    <w:multiLevelType w:val="hybridMultilevel"/>
    <w:lvl w:ilvl="0">
      <w:lvlJc w:val="left"/>
      <w:lvlText w:val="(%1)"/>
      <w:numFmt w:val="lowerLetter"/>
      <w:start w:val="1"/>
    </w:lvl>
  </w:abstractNum>
  <w:abstractNum w:abstractNumId="244">
    <w:nsid w:val="550B8808"/>
    <w:multiLevelType w:val="hybridMultilevel"/>
    <w:lvl w:ilvl="0">
      <w:lvlJc w:val="left"/>
      <w:lvlText w:val="%1."/>
      <w:numFmt w:val="decimal"/>
      <w:start w:val="1"/>
    </w:lvl>
    <w:lvl w:ilvl="1">
      <w:lvlJc w:val="left"/>
      <w:lvlText w:val="(%2)"/>
      <w:numFmt w:val="lowerLetter"/>
      <w:start w:val="1"/>
    </w:lvl>
  </w:abstractNum>
  <w:abstractNum w:abstractNumId="245">
    <w:nsid w:val="34CC3AC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6">
    <w:nsid w:val="4E556261"/>
    <w:multiLevelType w:val="hybridMultilevel"/>
    <w:lvl w:ilvl="0">
      <w:lvlJc w:val="left"/>
      <w:lvlText w:val="(%1)"/>
      <w:numFmt w:val="lowerLetter"/>
      <w:start w:val="2"/>
    </w:lvl>
    <w:lvl w:ilvl="1">
      <w:lvlJc w:val="left"/>
      <w:lvlText w:val="(%2)"/>
      <w:numFmt w:val="lowerRoman"/>
      <w:start w:val="1"/>
    </w:lvl>
  </w:abstractNum>
  <w:abstractNum w:abstractNumId="247">
    <w:nsid w:val="4C672FC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48">
    <w:nsid w:val="52A311C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49">
    <w:nsid w:val="44EF6B8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50">
    <w:nsid w:val="12FCDE5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1">
    <w:nsid w:val="4A1D606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52">
    <w:nsid w:val="4382503"/>
    <w:multiLevelType w:val="hybridMultilevel"/>
    <w:lvl w:ilvl="0">
      <w:lvlJc w:val="left"/>
      <w:lvlText w:val="(%1)"/>
      <w:numFmt w:val="lowerLetter"/>
      <w:start w:val="2"/>
    </w:lvl>
    <w:lvl w:ilvl="1">
      <w:lvlJc w:val="left"/>
      <w:lvlText w:val="(%2)"/>
      <w:numFmt w:val="lowerRoman"/>
      <w:start w:val="1"/>
    </w:lvl>
  </w:abstractNum>
  <w:abstractNum w:abstractNumId="253">
    <w:nsid w:val="59B76E28"/>
    <w:multiLevelType w:val="hybridMultilevel"/>
    <w:lvl w:ilvl="0">
      <w:lvlJc w:val="left"/>
      <w:lvlText w:val="%1"/>
      <w:numFmt w:val="decimal"/>
      <w:start w:val="1"/>
    </w:lvl>
    <w:lvl w:ilvl="1">
      <w:lvlJc w:val="left"/>
      <w:lvlText w:val="(%2)"/>
      <w:numFmt w:val="lowerLetter"/>
      <w:start w:val="3"/>
    </w:lvl>
  </w:abstractNum>
  <w:abstractNum w:abstractNumId="254">
    <w:nsid w:val="4252C2DA"/>
    <w:multiLevelType w:val="hybridMultilevel"/>
    <w:lvl w:ilvl="0">
      <w:lvlJc w:val="left"/>
      <w:lvlText w:val="(%1)"/>
      <w:numFmt w:val="decimal"/>
      <w:start w:val="30"/>
    </w:lvl>
    <w:lvl w:ilvl="1">
      <w:lvlJc w:val="left"/>
      <w:lvlText w:val="%2"/>
      <w:numFmt w:val="lowerLetter"/>
      <w:start w:val="1"/>
    </w:lvl>
  </w:abstractNum>
  <w:abstractNum w:abstractNumId="255">
    <w:nsid w:val="6A92EF4C"/>
    <w:multiLevelType w:val="hybridMultilevel"/>
    <w:lvl w:ilvl="0">
      <w:lvlJc w:val="left"/>
      <w:lvlText w:val="%1"/>
      <w:numFmt w:val="decimal"/>
      <w:start w:val="1"/>
    </w:lvl>
    <w:lvl w:ilvl="1">
      <w:lvlJc w:val="left"/>
      <w:lvlText w:val="(%2)"/>
      <w:numFmt w:val="lowerLetter"/>
      <w:start w:val="7"/>
    </w:lvl>
  </w:abstractNum>
  <w:abstractNum w:abstractNumId="256">
    <w:nsid w:val="41ED20D7"/>
    <w:multiLevelType w:val="hybridMultilevel"/>
    <w:lvl w:ilvl="0">
      <w:lvlJc w:val="left"/>
      <w:lvlText w:val="%1."/>
      <w:numFmt w:val="decimal"/>
      <w:start w:val="9"/>
    </w:lvl>
    <w:lvl w:ilvl="1">
      <w:lvlJc w:val="left"/>
      <w:lvlText w:val="(%2)"/>
      <w:numFmt w:val="lowerLetter"/>
      <w:start w:val="1"/>
    </w:lvl>
  </w:abstractNum>
  <w:abstractNum w:abstractNumId="257">
    <w:nsid w:val="E6B3F6A"/>
    <w:multiLevelType w:val="hybridMultilevel"/>
    <w:lvl w:ilvl="0">
      <w:lvlJc w:val="left"/>
      <w:lvlText w:val="%1."/>
      <w:numFmt w:val="decimal"/>
      <w:start w:val="10"/>
    </w:lvl>
  </w:abstractNum>
  <w:abstractNum w:abstractNumId="258">
    <w:nsid w:val="3EB21819"/>
    <w:multiLevelType w:val="hybridMultilevel"/>
    <w:lvl w:ilvl="0">
      <w:lvlJc w:val="left"/>
      <w:lvlText w:val="%1."/>
      <w:numFmt w:val="decimal"/>
      <w:start w:val="13"/>
    </w:lvl>
  </w:abstractNum>
  <w:abstractNum w:abstractNumId="259">
    <w:nsid w:val="41531DED"/>
    <w:multiLevelType w:val="hybridMultilevel"/>
    <w:lvl w:ilvl="0">
      <w:lvlJc w:val="left"/>
      <w:lvlText w:val="%1."/>
      <w:numFmt w:val="decimal"/>
      <w:start w:val="15"/>
    </w:lvl>
  </w:abstractNum>
  <w:abstractNum w:abstractNumId="260">
    <w:nsid w:val="6353CD2"/>
    <w:multiLevelType w:val="hybridMultilevel"/>
    <w:lvl w:ilvl="0">
      <w:lvlJc w:val="left"/>
      <w:lvlText w:val="•"/>
      <w:numFmt w:val="bullet"/>
      <w:start w:val="1"/>
    </w:lvl>
  </w:abstractNum>
  <w:abstractNum w:abstractNumId="261">
    <w:nsid w:val="683CAAD3"/>
    <w:multiLevelType w:val="hybridMultilevel"/>
    <w:lvl w:ilvl="0">
      <w:lvlJc w:val="left"/>
      <w:lvlText w:val="%1."/>
      <w:numFmt w:val="upperLetter"/>
      <w:start w:val="1"/>
    </w:lvl>
  </w:abstractNum>
  <w:abstractNum w:abstractNumId="262">
    <w:nsid w:val="313C7C9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63">
    <w:nsid w:val="519EB94C"/>
    <w:multiLevelType w:val="hybridMultilevel"/>
    <w:lvl w:ilvl="0">
      <w:lvlJc w:val="left"/>
      <w:lvlText w:val="%1."/>
      <w:numFmt w:val="decimal"/>
      <w:start w:val="2"/>
    </w:lvl>
  </w:abstractNum>
  <w:abstractNum w:abstractNumId="264">
    <w:nsid w:val="39DF2579"/>
    <w:multiLevelType w:val="hybridMultilevel"/>
    <w:lvl w:ilvl="0">
      <w:lvlJc w:val="left"/>
      <w:lvlText w:val="%1."/>
      <w:numFmt w:val="decimal"/>
      <w:start w:val="3"/>
    </w:lvl>
  </w:abstractNum>
  <w:abstractNum w:abstractNumId="265">
    <w:nsid w:val="126E008B"/>
    <w:multiLevelType w:val="hybridMultilevel"/>
    <w:lvl w:ilvl="0">
      <w:lvlJc w:val="left"/>
      <w:lvlText w:val="%1."/>
      <w:numFmt w:val="lowerLetter"/>
      <w:start w:val="1"/>
    </w:lvl>
  </w:abstractNum>
  <w:abstractNum w:abstractNumId="266">
    <w:nsid w:val="34DFBC00"/>
    <w:multiLevelType w:val="hybridMultilevel"/>
    <w:lvl w:ilvl="0">
      <w:lvlJc w:val="left"/>
      <w:lvlText w:val="%1."/>
      <w:numFmt w:val="lowerLetter"/>
      <w:start w:val="12"/>
    </w:lvl>
  </w:abstractNum>
  <w:abstractNum w:abstractNumId="267">
    <w:nsid w:val="1F9EC322"/>
    <w:multiLevelType w:val="hybridMultilevel"/>
    <w:lvl w:ilvl="0">
      <w:lvlJc w:val="left"/>
      <w:lvlText w:val="%1."/>
      <w:numFmt w:val="upperLetter"/>
      <w:start w:val="3"/>
    </w:lvl>
  </w:abstractNum>
  <w:abstractNum w:abstractNumId="268">
    <w:nsid w:val="3410ED56"/>
    <w:multiLevelType w:val="hybridMultilevel"/>
    <w:lvl w:ilvl="0">
      <w:lvlJc w:val="left"/>
      <w:lvlText w:val="%1."/>
      <w:numFmt w:val="upperLetter"/>
      <w:start w:val="4"/>
    </w:lvl>
  </w:abstractNum>
  <w:abstractNum w:abstractNumId="269">
    <w:nsid w:val="23C049A"/>
    <w:multiLevelType w:val="hybridMultilevel"/>
    <w:lvl w:ilvl="0">
      <w:lvlJc w:val="left"/>
      <w:lvlText w:val="%1."/>
      <w:numFmt w:val="decimal"/>
      <w:start w:val="1"/>
    </w:lvl>
  </w:abstractNum>
  <w:abstractNum w:abstractNumId="270">
    <w:nsid w:val="5BDA35D4"/>
    <w:multiLevelType w:val="hybridMultilevel"/>
    <w:lvl w:ilvl="0">
      <w:lvlJc w:val="left"/>
      <w:lvlText w:val="%1."/>
      <w:numFmt w:val="decimal"/>
      <w:start w:val="2"/>
    </w:lvl>
  </w:abstractNum>
  <w:abstractNum w:abstractNumId="271">
    <w:nsid w:val="496FB218"/>
    <w:multiLevelType w:val="hybridMultilevel"/>
    <w:lvl w:ilvl="0">
      <w:lvlJc w:val="left"/>
      <w:lvlText w:val="%1."/>
      <w:numFmt w:val="upperLetter"/>
      <w:start w:val="5"/>
    </w:lvl>
    <w:lvl w:ilvl="1">
      <w:lvlJc w:val="left"/>
      <w:lvlText w:val="%2."/>
      <w:numFmt w:val="decimal"/>
      <w:start w:val="1"/>
    </w:lvl>
  </w:abstractNum>
  <w:abstractNum w:abstractNumId="272">
    <w:nsid w:val="680EA5D1"/>
    <w:multiLevelType w:val="hybridMultilevel"/>
    <w:lvl w:ilvl="0">
      <w:lvlJc w:val="left"/>
      <w:lvlText w:val="%1."/>
      <w:numFmt w:val="decimal"/>
      <w:start w:val="2"/>
    </w:lvl>
  </w:abstractNum>
  <w:abstractNum w:abstractNumId="273">
    <w:nsid w:val="4A9554FE"/>
    <w:multiLevelType w:val="hybridMultilevel"/>
    <w:lvl w:ilvl="0">
      <w:lvlJc w:val="left"/>
      <w:lvlText w:val="%1"/>
      <w:numFmt w:val="upperLetter"/>
      <w:start w:val="1"/>
    </w:lvl>
    <w:lvl w:ilvl="1">
      <w:lvlJc w:val="left"/>
      <w:lvlText w:val="%2."/>
      <w:numFmt w:val="decimal"/>
      <w:start w:val="3"/>
    </w:lvl>
  </w:abstractNum>
  <w:abstractNum w:abstractNumId="274">
    <w:nsid w:val="392EDBE4"/>
    <w:multiLevelType w:val="hybridMultilevel"/>
    <w:lvl w:ilvl="0">
      <w:lvlJc w:val="left"/>
      <w:lvlText w:val="%1."/>
      <w:numFmt w:val="upperLetter"/>
      <w:start w:val="6"/>
    </w:lvl>
    <w:lvl w:ilvl="1">
      <w:lvlJc w:val="left"/>
      <w:lvlText w:val="%2"/>
      <w:numFmt w:val="decimal"/>
      <w:start w:val="1"/>
    </w:lvl>
  </w:abstractNum>
  <w:abstractNum w:abstractNumId="275">
    <w:nsid w:val="3D1A2DD9"/>
    <w:multiLevelType w:val="hybridMultilevel"/>
    <w:lvl w:ilvl="0">
      <w:lvlJc w:val="left"/>
      <w:lvlText w:val="%1"/>
      <w:numFmt w:val="upperLetter"/>
      <w:start w:val="1"/>
    </w:lvl>
    <w:lvl w:ilvl="1">
      <w:lvlJc w:val="left"/>
      <w:lvlText w:val="%2."/>
      <w:numFmt w:val="decimal"/>
      <w:start w:val="1"/>
    </w:lvl>
  </w:abstractNum>
  <w:abstractNum w:abstractNumId="276">
    <w:nsid w:val="7F618FCD"/>
    <w:multiLevelType w:val="hybridMultilevel"/>
    <w:lvl w:ilvl="0">
      <w:lvlJc w:val="left"/>
      <w:lvlText w:val="%1."/>
      <w:numFmt w:val="upperLetter"/>
      <w:start w:val="8"/>
    </w:lvl>
  </w:abstractNum>
  <w:abstractNum w:abstractNumId="277">
    <w:nsid w:val="7843E45"/>
    <w:multiLevelType w:val="hybridMultilevel"/>
    <w:lvl w:ilvl="0">
      <w:lvlJc w:val="left"/>
      <w:lvlText w:val="%1."/>
      <w:numFmt w:val="decimal"/>
      <w:start w:val="1"/>
    </w:lvl>
  </w:abstractNum>
  <w:abstractNum w:abstractNumId="278">
    <w:nsid w:val="9815DA3"/>
    <w:multiLevelType w:val="hybridMultilevel"/>
    <w:lvl w:ilvl="0">
      <w:lvlJc w:val="left"/>
      <w:lvlText w:val="%1."/>
      <w:numFmt w:val="decimal"/>
      <w:start w:val="8"/>
    </w:lvl>
  </w:abstractNum>
  <w:abstractNum w:abstractNumId="279">
    <w:nsid w:val="5204A191"/>
    <w:multiLevelType w:val="hybridMultilevel"/>
    <w:lvl w:ilvl="0">
      <w:lvlJc w:val="left"/>
      <w:lvlText w:val="%1."/>
      <w:numFmt w:val="upperLetter"/>
      <w:start w:val="9"/>
    </w:lvl>
  </w:abstractNum>
  <w:abstractNum w:abstractNumId="280">
    <w:nsid w:val="4C73A9C6"/>
    <w:multiLevelType w:val="hybridMultilevel"/>
    <w:lvl w:ilvl="0">
      <w:lvlJc w:val="left"/>
      <w:lvlText w:val="%1."/>
      <w:numFmt w:val="upperLetter"/>
      <w:start w:val="10"/>
    </w:lvl>
  </w:abstractNum>
  <w:abstractNum w:abstractNumId="281">
    <w:nsid w:val="1C7E3C01"/>
    <w:multiLevelType w:val="hybridMultilevel"/>
    <w:lvl w:ilvl="0">
      <w:lvlJc w:val="left"/>
      <w:lvlText w:val="%1."/>
      <w:numFmt w:val="upperLetter"/>
      <w:start w:val="11"/>
    </w:lvl>
  </w:abstractNum>
  <w:abstractNum w:abstractNumId="282">
    <w:nsid w:val="1C2201FF"/>
    <w:multiLevelType w:val="hybridMultilevel"/>
    <w:lvl w:ilvl="0">
      <w:lvlJc w:val="left"/>
      <w:lvlText w:val="%1."/>
      <w:numFmt w:val="upperLetter"/>
      <w:start w:val="12"/>
    </w:lvl>
  </w:abstractNum>
  <w:abstractNum w:abstractNumId="283">
    <w:nsid w:val="50ABCEC9"/>
    <w:multiLevelType w:val="hybridMultilevel"/>
    <w:lvl w:ilvl="0">
      <w:lvlJc w:val="left"/>
      <w:lvlText w:val="%1."/>
      <w:numFmt w:val="upperLetter"/>
      <w:start w:val="13"/>
    </w:lvl>
  </w:abstractNum>
  <w:abstractNum w:abstractNumId="284">
    <w:nsid w:val="7635AA2A"/>
    <w:multiLevelType w:val="hybridMultilevel"/>
    <w:lvl w:ilvl="0">
      <w:lvlJc w:val="left"/>
      <w:lvlText w:val="%1."/>
      <w:numFmt w:val="upperLetter"/>
      <w:start w:val="14"/>
    </w:lvl>
  </w:abstractNum>
  <w:abstractNum w:abstractNumId="285">
    <w:nsid w:val="5E74C4D9"/>
    <w:multiLevelType w:val="hybridMultilevel"/>
    <w:lvl w:ilvl="0">
      <w:lvlJc w:val="left"/>
      <w:lvlText w:val="%1."/>
      <w:numFmt w:val="decimal"/>
      <w:start w:val="1"/>
    </w:lvl>
    <w:lvl w:ilvl="1">
      <w:lvlJc w:val="left"/>
      <w:lvlText w:val="%2."/>
      <w:numFmt w:val="lowerLetter"/>
      <w:start w:val="1"/>
    </w:lvl>
  </w:abstractNum>
  <w:abstractNum w:abstractNumId="286">
    <w:nsid w:val="3B3EBE15"/>
    <w:multiLevelType w:val="hybridMultilevel"/>
    <w:lvl w:ilvl="0">
      <w:lvlJc w:val="left"/>
      <w:lvlText w:val="%1."/>
      <w:numFmt w:val="decimal"/>
      <w:start w:val="4"/>
    </w:lvl>
    <w:lvl w:ilvl="1">
      <w:lvlJc w:val="left"/>
      <w:lvlText w:val="•"/>
      <w:numFmt w:val="bullet"/>
      <w:start w:val="1"/>
    </w:lvl>
  </w:abstractNum>
  <w:abstractNum w:abstractNumId="287">
    <w:nsid w:val="3822CB01"/>
    <w:multiLevelType w:val="hybridMultilevel"/>
    <w:lvl w:ilvl="0">
      <w:lvlJc w:val="left"/>
      <w:lvlText w:val="%1."/>
      <w:numFmt w:val="decimal"/>
      <w:start w:val="9"/>
    </w:lvl>
    <w:lvl w:ilvl="1">
      <w:lvlJc w:val="left"/>
      <w:lvlText w:val="%2."/>
      <w:numFmt w:val="lowerLetter"/>
      <w:start w:val="1"/>
    </w:lvl>
  </w:abstractNum>
  <w:abstractNum w:abstractNumId="288">
    <w:nsid w:val="6CE00443"/>
    <w:multiLevelType w:val="hybridMultilevel"/>
    <w:lvl w:ilvl="0">
      <w:lvlJc w:val="left"/>
      <w:lvlText w:val="•"/>
      <w:numFmt w:val="bullet"/>
      <w:start w:val="1"/>
    </w:lvl>
  </w:abstractNum>
  <w:abstractNum w:abstractNumId="289">
    <w:nsid w:val="79F0D62F"/>
    <w:multiLevelType w:val="hybridMultilevel"/>
    <w:lvl w:ilvl="0">
      <w:lvlJc w:val="left"/>
      <w:lvlText w:val="%1."/>
      <w:numFmt w:val="decimal"/>
      <w:start w:val="1"/>
    </w:lvl>
    <w:lvl w:ilvl="1">
      <w:lvlJc w:val="left"/>
      <w:lvlText w:val="(%2)"/>
      <w:numFmt w:val="lowerLetter"/>
      <w:start w:val="1"/>
    </w:lvl>
  </w:abstractNum>
  <w:abstractNum w:abstractNumId="290">
    <w:nsid w:val="7975E8EE"/>
    <w:multiLevelType w:val="hybridMultilevel"/>
    <w:lvl w:ilvl="0">
      <w:lvlJc w:val="left"/>
      <w:lvlText w:val="%1."/>
      <w:numFmt w:val="decimal"/>
      <w:start w:val="1"/>
    </w:lvl>
    <w:lvl w:ilvl="1">
      <w:lvlJc w:val="left"/>
      <w:lvlText w:val="(%2)"/>
      <w:numFmt w:val="lowerLetter"/>
      <w:start w:val="1"/>
    </w:lvl>
  </w:abstractNum>
  <w:abstractNum w:abstractNumId="291">
    <w:nsid w:val="73154115"/>
    <w:multiLevelType w:val="hybridMultilevel"/>
    <w:lvl w:ilvl="0">
      <w:lvlJc w:val="left"/>
      <w:lvlText w:val="(%1)"/>
      <w:numFmt w:val="decimal"/>
      <w:start w:val="1"/>
    </w:lvl>
  </w:abstractNum>
  <w:abstractNum w:abstractNumId="292">
    <w:nsid w:val="622D810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87"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177" Type="http://schemas.openxmlformats.org/officeDocument/2006/relationships/hyperlink" Target="http://www.sec.gov/Archives/edgar/data/0001422142/000119312521162770/d120588dex21.htm" TargetMode="External"/><Relationship Id="rId178" Type="http://schemas.openxmlformats.org/officeDocument/2006/relationships/hyperlink" Target="https://www.sec.gov/Archives/edgar/data/1422142/000119312524282407/d891246dex21.htm" TargetMode="External"/><Relationship Id="rId179" Type="http://schemas.openxmlformats.org/officeDocument/2006/relationships/hyperlink" Target="https://www.sec.gov/Archives/edgar/data/1422142/000119312521257910/d119681dex31.htm" TargetMode="External"/><Relationship Id="rId180" Type="http://schemas.openxmlformats.org/officeDocument/2006/relationships/hyperlink" Target="https://www.sec.gov/Archives/edgar/data/1422142/000119312525056708/d839636dex32.htm" TargetMode="External"/><Relationship Id="rId181" Type="http://schemas.openxmlformats.org/officeDocument/2006/relationships/hyperlink" Target="https://www.sec.gov/Archives/edgar/data/1422142/000119312522249235/d367672dex41.htm" TargetMode="External"/><Relationship Id="rId182" Type="http://schemas.openxmlformats.org/officeDocument/2006/relationships/hyperlink" Target="https://www.sec.gov/Archives/edgar/data/1422142/000119312524282407/d891246dex41.htm" TargetMode="External"/><Relationship Id="rId183" Type="http://schemas.openxmlformats.org/officeDocument/2006/relationships/hyperlink" Target="https://www.sec.gov/Archives/edgar/data/1422142/000119312522249235/d367672dex101.htm" TargetMode="External"/><Relationship Id="rId184" Type="http://schemas.openxmlformats.org/officeDocument/2006/relationships/hyperlink" Target="https://www.sec.gov/Archives/edgar/data/1422142/000119312522249235/d367672dex102.htm" TargetMode="External"/><Relationship Id="rId185" Type="http://schemas.openxmlformats.org/officeDocument/2006/relationships/hyperlink" Target="https://www.sec.gov/Archives/edgar/data/1422142/000119312521257910/d119681dex103.htm" TargetMode="External"/><Relationship Id="rId186" Type="http://schemas.openxmlformats.org/officeDocument/2006/relationships/hyperlink" Target="https://www.sec.gov/Archives/edgar/data/1422142/000156459022010721/aadi-ex105_377.htm" TargetMode="External"/><Relationship Id="rId188" Type="http://schemas.openxmlformats.org/officeDocument/2006/relationships/hyperlink" Target="http://www.sec.gov/Archives/edgar/data/1422142/000119312521257910/d119681dex109.htm" TargetMode="External"/><Relationship Id="rId189" Type="http://schemas.openxmlformats.org/officeDocument/2006/relationships/hyperlink" Target="http://www.sec.gov/Archives/edgar/data/1422142/000119312521257910/d119681dex1010.htm" TargetMode="External"/><Relationship Id="rId190" Type="http://schemas.openxmlformats.org/officeDocument/2006/relationships/hyperlink" Target="https://www.sec.gov/Archives/edgar/data/1422142/000119312521257910/d119681dex1011.htm" TargetMode="External"/><Relationship Id="rId191" Type="http://schemas.openxmlformats.org/officeDocument/2006/relationships/hyperlink" Target="https://www.sec.gov/Archives/edgar/data/1422142/000156459018005868/arpo-ex1015_878.htm" TargetMode="External"/><Relationship Id="rId192" Type="http://schemas.openxmlformats.org/officeDocument/2006/relationships/hyperlink" Target="https://www.sec.gov/Archives/edgar/data/1422142/000119312522078484/d266766dex11.htm" TargetMode="External"/><Relationship Id="rId193" Type="http://schemas.openxmlformats.org/officeDocument/2006/relationships/hyperlink" Target="https://www.sec.gov/Archives/edgar/data/1422142/000119312523248461/d561858dex102.htm" TargetMode="External"/><Relationship Id="rId194" Type="http://schemas.openxmlformats.org/officeDocument/2006/relationships/hyperlink" Target="https://www.sec.gov/Archives/edgar/data/1422142/000162828024035636/exhibit103.htm" TargetMode="External"/><Relationship Id="rId195" Type="http://schemas.openxmlformats.org/officeDocument/2006/relationships/hyperlink" Target="https://www.sec.gov/Archives/edgar/data/1422142/000162828024035636/exhibit102.htm" TargetMode="External"/><Relationship Id="rId196" Type="http://schemas.openxmlformats.org/officeDocument/2006/relationships/hyperlink" Target="https://www.sec.gov/Archives/edgar/data/1422142/000119312524222116/d880684dex101.htm" TargetMode="External"/><Relationship Id="rId197" Type="http://schemas.openxmlformats.org/officeDocument/2006/relationships/hyperlink" Target="https://www.sec.gov/Archives/edgar/data/1422142/000162828024045698/exhibit103ndesaitransition.htm" TargetMode="External"/><Relationship Id="rId198" Type="http://schemas.openxmlformats.org/officeDocument/2006/relationships/hyperlink" Target="https://www.sec.gov/Archives/edgar/data/1422142/000162828024045698/exhibit104litri.htm" TargetMode="External"/><Relationship Id="rId199" Type="http://schemas.openxmlformats.org/officeDocument/2006/relationships/hyperlink" Target="https://www.sec.gov/Archives/edgar/data/1422142/000119312524282407/d891246dex101.htm" TargetMode="External"/><Relationship Id="rId200" Type="http://schemas.openxmlformats.org/officeDocument/2006/relationships/hyperlink" Target="https://www.sec.gov/Archives/edgar/data/1422142/000119312524282407/d891246dex102.htm" TargetMode="External"/><Relationship Id="rId201" Type="http://schemas.openxmlformats.org/officeDocument/2006/relationships/hyperlink" Target="https://www.sec.gov/Archives/edgar/data/1422142/000119312525045605/d892218dex101.htm" TargetMode="External"/><Relationship Id="rId204" Type="http://schemas.openxmlformats.org/officeDocument/2006/relationships/hyperlink" Target="https://www.sec.gov/Archives/edgar/data/1422142/000162828024010901/aadi-20231231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2025-03-28T05:32:00Z</dcterms:created>
  <dcterms:modified xsi:type="dcterms:W3CDTF">2025-03-28T05:32:00Z</dcterms:modified>
</cp:coreProperties>
</file>