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80" w:right="1580" w:hanging="3872"/>
        <w:spacing w:after="0" w:line="344" w:lineRule="auto"/>
        <w:tabs>
          <w:tab w:leader="none" w:pos="50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57" w:lineRule="exact"/>
        <w:rPr>
          <w:sz w:val="24"/>
          <w:szCs w:val="24"/>
          <w:color w:val="auto"/>
        </w:rPr>
      </w:pPr>
    </w:p>
    <w:p>
      <w:pPr>
        <w:ind w:left="3060" w:right="1580" w:hanging="3052"/>
        <w:spacing w:after="0" w:line="328" w:lineRule="auto"/>
        <w:tabs>
          <w:tab w:leader="none" w:pos="499"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001-38560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Aerpio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5" w:lineRule="exact"/>
        <w:rPr>
          <w:sz w:val="24"/>
          <w:szCs w:val="24"/>
          <w:color w:val="auto"/>
        </w:rPr>
      </w:pPr>
    </w:p>
    <w:tbl>
      <w:tblPr>
        <w:tblLayout w:type="fixed"/>
        <w:tblInd w:w="1300" w:type="dxa"/>
        <w:tblCellMar>
          <w:top w:w="0" w:type="dxa"/>
          <w:left w:w="0" w:type="dxa"/>
          <w:bottom w:w="0" w:type="dxa"/>
          <w:right w:w="0" w:type="dxa"/>
        </w:tblCellMar>
      </w:tblPr>
      <w:tr>
        <w:trPr>
          <w:trHeight w:val="216"/>
        </w:trPr>
        <w:tc>
          <w:tcPr>
            <w:tcW w:w="6100" w:type="dxa"/>
            <w:vAlign w:val="bottom"/>
          </w:tcPr>
          <w:p>
            <w:pPr>
              <w:jc w:val="center"/>
              <w:ind w:right="2981"/>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tcPr>
          <w:p>
            <w:pPr>
              <w:jc w:val="center"/>
              <w:ind w:left="285"/>
              <w:spacing w:after="0"/>
              <w:rPr>
                <w:sz w:val="20"/>
                <w:szCs w:val="20"/>
                <w:color w:val="auto"/>
              </w:rPr>
            </w:pPr>
            <w:r>
              <w:rPr>
                <w:rFonts w:ascii="Arial" w:cs="Arial" w:eastAsia="Arial" w:hAnsi="Arial"/>
                <w:sz w:val="18"/>
                <w:szCs w:val="18"/>
                <w:b w:val="1"/>
                <w:bCs w:val="1"/>
                <w:color w:val="auto"/>
                <w:w w:val="93"/>
              </w:rPr>
              <w:t>EIN 61-1547850</w:t>
            </w:r>
          </w:p>
        </w:tc>
      </w:tr>
      <w:tr>
        <w:trPr>
          <w:trHeight w:val="135"/>
        </w:trPr>
        <w:tc>
          <w:tcPr>
            <w:tcW w:w="6100" w:type="dxa"/>
            <w:vAlign w:val="bottom"/>
          </w:tcPr>
          <w:p>
            <w:pPr>
              <w:jc w:val="center"/>
              <w:ind w:right="2981"/>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1580" w:type="dxa"/>
            <w:vAlign w:val="bottom"/>
          </w:tcPr>
          <w:p>
            <w:pPr>
              <w:jc w:val="center"/>
              <w:ind w:left="285"/>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6100" w:type="dxa"/>
            <w:vAlign w:val="bottom"/>
          </w:tcPr>
          <w:p>
            <w:pPr>
              <w:jc w:val="center"/>
              <w:ind w:right="2981"/>
              <w:spacing w:after="0"/>
              <w:rPr>
                <w:sz w:val="20"/>
                <w:szCs w:val="20"/>
                <w:color w:val="auto"/>
              </w:rPr>
            </w:pPr>
            <w:r>
              <w:rPr>
                <w:rFonts w:ascii="Arial" w:cs="Arial" w:eastAsia="Arial" w:hAnsi="Arial"/>
                <w:sz w:val="13"/>
                <w:szCs w:val="13"/>
                <w:b w:val="1"/>
                <w:bCs w:val="1"/>
                <w:color w:val="auto"/>
                <w:w w:val="88"/>
              </w:rPr>
              <w:t>incorporation or organization)</w:t>
            </w:r>
          </w:p>
        </w:tc>
        <w:tc>
          <w:tcPr>
            <w:tcW w:w="1580" w:type="dxa"/>
            <w:vAlign w:val="bottom"/>
          </w:tcPr>
          <w:p>
            <w:pPr>
              <w:jc w:val="center"/>
              <w:ind w:left="285"/>
              <w:spacing w:after="0"/>
              <w:rPr>
                <w:sz w:val="20"/>
                <w:szCs w:val="20"/>
                <w:color w:val="auto"/>
              </w:rPr>
            </w:pPr>
            <w:r>
              <w:rPr>
                <w:rFonts w:ascii="Arial" w:cs="Arial" w:eastAsia="Arial" w:hAnsi="Arial"/>
                <w:sz w:val="13"/>
                <w:szCs w:val="13"/>
                <w:b w:val="1"/>
                <w:bCs w:val="1"/>
                <w:color w:val="auto"/>
                <w:w w:val="89"/>
              </w:rPr>
              <w:t>Identification No.)</w:t>
            </w:r>
          </w:p>
        </w:tc>
      </w:tr>
      <w:tr>
        <w:trPr>
          <w:trHeight w:val="281"/>
        </w:trPr>
        <w:tc>
          <w:tcPr>
            <w:tcW w:w="6100" w:type="dxa"/>
            <w:vAlign w:val="bottom"/>
          </w:tcPr>
          <w:p>
            <w:pPr>
              <w:jc w:val="center"/>
              <w:ind w:right="2961"/>
              <w:spacing w:after="0"/>
              <w:rPr>
                <w:sz w:val="20"/>
                <w:szCs w:val="20"/>
                <w:color w:val="auto"/>
              </w:rPr>
            </w:pPr>
            <w:r>
              <w:rPr>
                <w:rFonts w:ascii="Arial" w:cs="Arial" w:eastAsia="Arial" w:hAnsi="Arial"/>
                <w:sz w:val="18"/>
                <w:szCs w:val="18"/>
                <w:b w:val="1"/>
                <w:bCs w:val="1"/>
                <w:color w:val="auto"/>
                <w:w w:val="91"/>
              </w:rPr>
              <w:t>c/o 10663 Loveland-Madeira Road #168</w:t>
            </w:r>
          </w:p>
        </w:tc>
        <w:tc>
          <w:tcPr>
            <w:tcW w:w="1580" w:type="dxa"/>
            <w:vAlign w:val="bottom"/>
          </w:tcPr>
          <w:p>
            <w:pPr>
              <w:spacing w:after="0"/>
              <w:rPr>
                <w:sz w:val="24"/>
                <w:szCs w:val="24"/>
                <w:color w:val="auto"/>
              </w:rPr>
            </w:pPr>
          </w:p>
        </w:tc>
      </w:tr>
      <w:tr>
        <w:trPr>
          <w:trHeight w:val="216"/>
        </w:trPr>
        <w:tc>
          <w:tcPr>
            <w:tcW w:w="6100" w:type="dxa"/>
            <w:vAlign w:val="bottom"/>
          </w:tcPr>
          <w:p>
            <w:pPr>
              <w:jc w:val="center"/>
              <w:ind w:right="2981"/>
              <w:spacing w:after="0"/>
              <w:rPr>
                <w:sz w:val="20"/>
                <w:szCs w:val="20"/>
                <w:color w:val="auto"/>
              </w:rPr>
            </w:pPr>
            <w:r>
              <w:rPr>
                <w:rFonts w:ascii="Arial" w:cs="Arial" w:eastAsia="Arial" w:hAnsi="Arial"/>
                <w:sz w:val="18"/>
                <w:szCs w:val="18"/>
                <w:b w:val="1"/>
                <w:bCs w:val="1"/>
                <w:color w:val="auto"/>
                <w:w w:val="93"/>
              </w:rPr>
              <w:t>Loveland, OH</w:t>
            </w:r>
          </w:p>
        </w:tc>
        <w:tc>
          <w:tcPr>
            <w:tcW w:w="1580" w:type="dxa"/>
            <w:vAlign w:val="bottom"/>
          </w:tcPr>
          <w:p>
            <w:pPr>
              <w:jc w:val="center"/>
              <w:ind w:left="285"/>
              <w:spacing w:after="0"/>
              <w:rPr>
                <w:sz w:val="20"/>
                <w:szCs w:val="20"/>
                <w:color w:val="auto"/>
              </w:rPr>
            </w:pPr>
            <w:r>
              <w:rPr>
                <w:rFonts w:ascii="Arial" w:cs="Arial" w:eastAsia="Arial" w:hAnsi="Arial"/>
                <w:sz w:val="18"/>
                <w:szCs w:val="18"/>
                <w:b w:val="1"/>
                <w:bCs w:val="1"/>
                <w:color w:val="auto"/>
                <w:w w:val="91"/>
              </w:rPr>
              <w:t>45140</w:t>
            </w:r>
          </w:p>
        </w:tc>
      </w:tr>
      <w:tr>
        <w:trPr>
          <w:trHeight w:val="135"/>
        </w:trPr>
        <w:tc>
          <w:tcPr>
            <w:tcW w:w="6100" w:type="dxa"/>
            <w:vAlign w:val="bottom"/>
          </w:tcPr>
          <w:p>
            <w:pPr>
              <w:jc w:val="center"/>
              <w:ind w:right="2981"/>
              <w:spacing w:after="0" w:line="135" w:lineRule="exact"/>
              <w:rPr>
                <w:sz w:val="20"/>
                <w:szCs w:val="20"/>
                <w:color w:val="auto"/>
              </w:rPr>
            </w:pPr>
            <w:r>
              <w:rPr>
                <w:rFonts w:ascii="Arial" w:cs="Arial" w:eastAsia="Arial" w:hAnsi="Arial"/>
                <w:sz w:val="13"/>
                <w:szCs w:val="13"/>
                <w:b w:val="1"/>
                <w:bCs w:val="1"/>
                <w:color w:val="auto"/>
                <w:w w:val="85"/>
              </w:rPr>
              <w:t>(Address of principal executive offices)</w:t>
            </w:r>
          </w:p>
        </w:tc>
        <w:tc>
          <w:tcPr>
            <w:tcW w:w="1580" w:type="dxa"/>
            <w:vAlign w:val="bottom"/>
          </w:tcPr>
          <w:p>
            <w:pPr>
              <w:jc w:val="center"/>
              <w:ind w:left="285"/>
              <w:spacing w:after="0" w:line="135" w:lineRule="exact"/>
              <w:rPr>
                <w:sz w:val="20"/>
                <w:szCs w:val="20"/>
                <w:color w:val="auto"/>
              </w:rPr>
            </w:pPr>
            <w:r>
              <w:rPr>
                <w:rFonts w:ascii="Arial" w:cs="Arial" w:eastAsia="Arial" w:hAnsi="Arial"/>
                <w:sz w:val="13"/>
                <w:szCs w:val="13"/>
                <w:b w:val="1"/>
                <w:bCs w:val="1"/>
                <w:color w:val="auto"/>
                <w:w w:val="90"/>
              </w:rPr>
              <w:t>(Zip Code)</w:t>
            </w:r>
          </w:p>
        </w:tc>
      </w:tr>
      <w:tr>
        <w:trPr>
          <w:trHeight w:val="216"/>
        </w:trPr>
        <w:tc>
          <w:tcPr>
            <w:tcW w:w="6100" w:type="dxa"/>
            <w:vAlign w:val="bottom"/>
          </w:tcPr>
          <w:p>
            <w:pPr>
              <w:jc w:val="right"/>
              <w:ind w:right="1141"/>
              <w:spacing w:after="0"/>
              <w:rPr>
                <w:sz w:val="20"/>
                <w:szCs w:val="20"/>
                <w:color w:val="auto"/>
              </w:rPr>
            </w:pPr>
            <w:r>
              <w:rPr>
                <w:rFonts w:ascii="Arial" w:cs="Arial" w:eastAsia="Arial" w:hAnsi="Arial"/>
                <w:sz w:val="18"/>
                <w:szCs w:val="18"/>
                <w:b w:val="1"/>
                <w:bCs w:val="1"/>
                <w:color w:val="auto"/>
              </w:rPr>
              <w:t>(513) 985-1920</w:t>
            </w:r>
          </w:p>
        </w:tc>
        <w:tc>
          <w:tcPr>
            <w:tcW w:w="1580" w:type="dxa"/>
            <w:vAlign w:val="bottom"/>
          </w:tcPr>
          <w:p>
            <w:pPr>
              <w:spacing w:after="0"/>
              <w:rPr>
                <w:sz w:val="18"/>
                <w:szCs w:val="18"/>
                <w:color w:val="auto"/>
              </w:rPr>
            </w:pPr>
          </w:p>
        </w:tc>
      </w:tr>
      <w:tr>
        <w:trPr>
          <w:trHeight w:val="164"/>
        </w:trPr>
        <w:tc>
          <w:tcPr>
            <w:tcW w:w="6100" w:type="dxa"/>
            <w:vAlign w:val="bottom"/>
          </w:tcPr>
          <w:p>
            <w:pPr>
              <w:jc w:val="center"/>
              <w:ind w:left="2461"/>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580" w:type="dxa"/>
            <w:vAlign w:val="bottom"/>
          </w:tcPr>
          <w:p>
            <w:pPr>
              <w:spacing w:after="0"/>
              <w:rPr>
                <w:sz w:val="14"/>
                <w:szCs w:val="14"/>
                <w:color w:val="auto"/>
              </w:rPr>
            </w:pPr>
          </w:p>
        </w:tc>
      </w:tr>
      <w:tr>
        <w:trPr>
          <w:trHeight w:val="416"/>
        </w:trPr>
        <w:tc>
          <w:tcPr>
            <w:tcW w:w="6100" w:type="dxa"/>
            <w:vAlign w:val="bottom"/>
          </w:tcPr>
          <w:p>
            <w:pPr>
              <w:jc w:val="center"/>
              <w:ind w:right="2981"/>
              <w:spacing w:after="0"/>
              <w:rPr>
                <w:sz w:val="20"/>
                <w:szCs w:val="20"/>
                <w:color w:val="auto"/>
              </w:rPr>
            </w:pPr>
            <w:r>
              <w:rPr>
                <w:rFonts w:ascii="Arial" w:cs="Arial" w:eastAsia="Arial" w:hAnsi="Arial"/>
                <w:sz w:val="18"/>
                <w:szCs w:val="18"/>
                <w:b w:val="1"/>
                <w:bCs w:val="1"/>
                <w:color w:val="auto"/>
                <w:w w:val="92"/>
              </w:rPr>
              <w:t>9987 Carver Road</w:t>
            </w:r>
          </w:p>
        </w:tc>
        <w:tc>
          <w:tcPr>
            <w:tcW w:w="1580" w:type="dxa"/>
            <w:vAlign w:val="bottom"/>
          </w:tcPr>
          <w:p>
            <w:pPr>
              <w:spacing w:after="0"/>
              <w:rPr>
                <w:sz w:val="24"/>
                <w:szCs w:val="24"/>
                <w:color w:val="auto"/>
              </w:rPr>
            </w:pPr>
          </w:p>
        </w:tc>
      </w:tr>
      <w:tr>
        <w:trPr>
          <w:trHeight w:val="216"/>
        </w:trPr>
        <w:tc>
          <w:tcPr>
            <w:tcW w:w="6100" w:type="dxa"/>
            <w:vAlign w:val="bottom"/>
          </w:tcPr>
          <w:p>
            <w:pPr>
              <w:jc w:val="center"/>
              <w:ind w:right="2961"/>
              <w:spacing w:after="0"/>
              <w:rPr>
                <w:sz w:val="20"/>
                <w:szCs w:val="20"/>
                <w:color w:val="auto"/>
              </w:rPr>
            </w:pPr>
            <w:r>
              <w:rPr>
                <w:rFonts w:ascii="Arial" w:cs="Arial" w:eastAsia="Arial" w:hAnsi="Arial"/>
                <w:sz w:val="18"/>
                <w:szCs w:val="18"/>
                <w:b w:val="1"/>
                <w:bCs w:val="1"/>
                <w:color w:val="auto"/>
                <w:w w:val="95"/>
              </w:rPr>
              <w:t>Cincinnati, OH</w:t>
            </w:r>
          </w:p>
        </w:tc>
        <w:tc>
          <w:tcPr>
            <w:tcW w:w="1580" w:type="dxa"/>
            <w:vAlign w:val="bottom"/>
          </w:tcPr>
          <w:p>
            <w:pPr>
              <w:jc w:val="center"/>
              <w:ind w:left="285"/>
              <w:spacing w:after="0"/>
              <w:rPr>
                <w:sz w:val="20"/>
                <w:szCs w:val="20"/>
                <w:color w:val="auto"/>
              </w:rPr>
            </w:pPr>
            <w:r>
              <w:rPr>
                <w:rFonts w:ascii="Arial" w:cs="Arial" w:eastAsia="Arial" w:hAnsi="Arial"/>
                <w:sz w:val="18"/>
                <w:szCs w:val="18"/>
                <w:b w:val="1"/>
                <w:bCs w:val="1"/>
                <w:color w:val="auto"/>
                <w:w w:val="91"/>
              </w:rPr>
              <w:t>45242</w:t>
            </w:r>
          </w:p>
        </w:tc>
      </w:tr>
      <w:tr>
        <w:trPr>
          <w:trHeight w:val="149"/>
        </w:trPr>
        <w:tc>
          <w:tcPr>
            <w:tcW w:w="6100" w:type="dxa"/>
            <w:vAlign w:val="bottom"/>
          </w:tcPr>
          <w:p>
            <w:pPr>
              <w:spacing w:after="0"/>
              <w:rPr>
                <w:sz w:val="12"/>
                <w:szCs w:val="12"/>
                <w:color w:val="auto"/>
              </w:rPr>
            </w:pPr>
          </w:p>
        </w:tc>
        <w:tc>
          <w:tcPr>
            <w:tcW w:w="1580" w:type="dxa"/>
            <w:vAlign w:val="bottom"/>
          </w:tcPr>
          <w:p>
            <w:pPr>
              <w:jc w:val="center"/>
              <w:ind w:left="285"/>
              <w:spacing w:after="0"/>
              <w:rPr>
                <w:sz w:val="20"/>
                <w:szCs w:val="20"/>
                <w:color w:val="auto"/>
              </w:rPr>
            </w:pPr>
            <w:r>
              <w:rPr>
                <w:rFonts w:ascii="Arial" w:cs="Arial" w:eastAsia="Arial" w:hAnsi="Arial"/>
                <w:sz w:val="13"/>
                <w:szCs w:val="13"/>
                <w:b w:val="1"/>
                <w:bCs w:val="1"/>
                <w:color w:val="auto"/>
                <w:w w:val="90"/>
              </w:rPr>
              <w:t>(Zip Code)</w:t>
            </w:r>
          </w:p>
        </w:tc>
      </w:tr>
    </w:tbl>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0"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$0.0001 par value per share</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ARPO</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Nasdaq Capital Market</w:t>
            </w:r>
          </w:p>
        </w:tc>
      </w:tr>
    </w:tbl>
    <w:p>
      <w:pPr>
        <w:spacing w:after="0" w:line="71"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jc w:val="both"/>
        <w:ind w:right="28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20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20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7"/>
        </w:trPr>
        <w:tc>
          <w:tcPr>
            <w:tcW w:w="17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240" w:type="dxa"/>
            <w:vAlign w:val="bottom"/>
          </w:tcPr>
          <w:p>
            <w:pPr>
              <w:ind w:left="3200"/>
              <w:spacing w:after="0"/>
              <w:rPr>
                <w:sz w:val="20"/>
                <w:szCs w:val="20"/>
                <w:color w:val="auto"/>
              </w:rPr>
            </w:pPr>
            <w:r>
              <w:rPr>
                <w:rFonts w:ascii="Arial" w:cs="Arial" w:eastAsia="Arial" w:hAnsi="Arial"/>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4"/>
          <w:szCs w:val="24"/>
          <w:color w:val="auto"/>
        </w:rPr>
      </w:pPr>
    </w:p>
    <w:p>
      <w:pPr>
        <w:spacing w:after="0" w:line="363" w:lineRule="exact"/>
        <w:rPr>
          <w:sz w:val="24"/>
          <w:szCs w:val="24"/>
          <w:color w:val="auto"/>
        </w:rPr>
      </w:pPr>
    </w:p>
    <w:p>
      <w:pPr>
        <w:ind w:right="6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right="216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9, 2021, the registrant had 47,660,492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Summary of the Material and Other Risks Associated with Our Business</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Our business is subject to numerous risks and uncertainties that you should be aware of in evaluating our business, including those described in Part II, Item 1A. “Risk Factors” in this Quarterly Report on Form 10-Q. These risks include, but are not limited to, the following:</w:t>
      </w:r>
    </w:p>
    <w:p>
      <w:pPr>
        <w:spacing w:after="0" w:line="38" w:lineRule="exact"/>
        <w:rPr>
          <w:sz w:val="20"/>
          <w:szCs w:val="20"/>
          <w:color w:val="auto"/>
        </w:rPr>
      </w:pPr>
    </w:p>
    <w:p>
      <w:pPr>
        <w:ind w:left="740" w:right="30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complete, or delays in completing, the potential merger (the “Merger”) with Aadi Bioscience, Inc. (“Aadi”) announced on May 17, 2021 could materially and adversely affect our results of operations, business, financial results and/or stock price.</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cannot be sure if or when the Merger will be completed.</w:t>
      </w:r>
    </w:p>
    <w:p>
      <w:pPr>
        <w:spacing w:after="0" w:line="117" w:lineRule="exact"/>
        <w:rPr>
          <w:rFonts w:ascii="Arial" w:cs="Arial" w:eastAsia="Arial" w:hAnsi="Arial"/>
          <w:sz w:val="18"/>
          <w:szCs w:val="18"/>
          <w:color w:val="auto"/>
        </w:rPr>
      </w:pPr>
    </w:p>
    <w:p>
      <w:pPr>
        <w:ind w:left="740" w:right="260" w:hanging="368"/>
        <w:spacing w:after="0" w:line="342"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Because the Merger Agreement provides for a fixed exchange ratio for the number of shares of our common stock that will be issued for each outstanding share of Aadi’s share capital, we may face risks as a result of changes in our stock price during the pendency of the Merger.</w:t>
      </w:r>
    </w:p>
    <w:p>
      <w:pPr>
        <w:spacing w:after="0" w:line="15" w:lineRule="exact"/>
        <w:rPr>
          <w:rFonts w:ascii="Arial" w:cs="Arial" w:eastAsia="Arial" w:hAnsi="Arial"/>
          <w:sz w:val="16"/>
          <w:szCs w:val="16"/>
          <w:color w:val="auto"/>
        </w:rPr>
      </w:pPr>
    </w:p>
    <w:p>
      <w:pPr>
        <w:ind w:left="740" w:right="40" w:hanging="368"/>
        <w:spacing w:after="0" w:line="342"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Merger Agreement contains provisions that limits our ability to pursue alternatives to the Merger, could discourage a potential competing acquiror of us from making an alternative transaction proposal and, in specified circumstances, could require us to pay a termination fee to Aadi.</w:t>
      </w:r>
    </w:p>
    <w:p>
      <w:pPr>
        <w:spacing w:after="0" w:line="15" w:lineRule="exact"/>
        <w:rPr>
          <w:rFonts w:ascii="Arial" w:cs="Arial" w:eastAsia="Arial" w:hAnsi="Arial"/>
          <w:sz w:val="16"/>
          <w:szCs w:val="16"/>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stockholders may not receive any payment on the contingent value right (“CVR”) and the CVRs may otherwise expire valueless.</w:t>
      </w:r>
    </w:p>
    <w:p>
      <w:pPr>
        <w:spacing w:after="0" w:line="128"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substantially dependent on our remaining employees to facilitate the consummation of the Merger.</w:t>
      </w:r>
    </w:p>
    <w:p>
      <w:pPr>
        <w:spacing w:after="0" w:line="117" w:lineRule="exact"/>
        <w:rPr>
          <w:rFonts w:ascii="Arial" w:cs="Arial" w:eastAsia="Arial" w:hAnsi="Arial"/>
          <w:sz w:val="18"/>
          <w:szCs w:val="18"/>
          <w:color w:val="auto"/>
        </w:rPr>
      </w:pPr>
    </w:p>
    <w:p>
      <w:pPr>
        <w:ind w:left="740" w:hanging="368"/>
        <w:spacing w:after="0" w:line="342"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cannot assure you that our exploration of strategic alternatives for our legacy assets will result in a transaction or that any such transaction would be successful, and the process of exploring strategic alternatives or its conclusion could adversely impact our business and our stock price.</w:t>
      </w:r>
    </w:p>
    <w:p>
      <w:pPr>
        <w:spacing w:after="0" w:line="15" w:lineRule="exact"/>
        <w:rPr>
          <w:rFonts w:ascii="Arial" w:cs="Arial" w:eastAsia="Arial" w:hAnsi="Arial"/>
          <w:sz w:val="16"/>
          <w:szCs w:val="16"/>
          <w:color w:val="auto"/>
        </w:rPr>
      </w:pPr>
    </w:p>
    <w:p>
      <w:pPr>
        <w:jc w:val="both"/>
        <w:ind w:left="740" w:right="6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involved in securities class action litigation related to the Merger and may become involved in additional securities class action litigation or stockholder derivative litigation in connection with the Merger, and this could divert the attention of our management and harm our business, and insurance coverage may not be sufficient to cover all related costs and damages.</w:t>
      </w:r>
    </w:p>
    <w:p>
      <w:pPr>
        <w:spacing w:after="0" w:line="75" w:lineRule="exact"/>
        <w:rPr>
          <w:rFonts w:ascii="Arial" w:cs="Arial" w:eastAsia="Arial" w:hAnsi="Arial"/>
          <w:sz w:val="18"/>
          <w:szCs w:val="18"/>
          <w:color w:val="auto"/>
        </w:rPr>
      </w:pPr>
    </w:p>
    <w:p>
      <w:pPr>
        <w:jc w:val="both"/>
        <w:ind w:left="740" w:right="6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pandemic of COVID-19 and the future outbreak of other highly infectious or contagious diseases could seriously harm our research, development and potential future commercialization efforts, increase our costs and expenses and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740" w:right="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heavily on the success of our lead product candidate, razuprotafib. Even if we obtain favorable clinical results, we may not be able to obtain regulatory approval for, or successfully commercialize, razuprotafib.</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clinical trials of our product candidates.</w:t>
      </w:r>
    </w:p>
    <w:p>
      <w:pPr>
        <w:spacing w:after="0" w:line="117" w:lineRule="exact"/>
        <w:rPr>
          <w:rFonts w:ascii="Arial" w:cs="Arial" w:eastAsia="Arial" w:hAnsi="Arial"/>
          <w:sz w:val="18"/>
          <w:szCs w:val="18"/>
          <w:color w:val="auto"/>
        </w:rPr>
      </w:pPr>
    </w:p>
    <w:p>
      <w:pPr>
        <w:ind w:left="740" w:right="140" w:hanging="368"/>
        <w:spacing w:after="0" w:line="259"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drug development is a lengthy and expensive process with an uncertain outcome, and positive results from preclinical studies or earlier stage clinical trials are not necessarily predictive of the results of our future clinical trials of razuprotafib. If we cannot replicate the positive results from preclinical studies or earlier stage clinical trials in subsequent clinical trials, we may be unable to successfully develop, obtain regulatory approval for and commercialize our product candidates.</w:t>
      </w:r>
    </w:p>
    <w:p>
      <w:pPr>
        <w:spacing w:after="0" w:line="78"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delays in the planned clinical development program for razuprotafib, and we do not know whether planned clinical trials will begin on time, need to be redesigned, enroll patients on time or be completed on schedule, if at all.</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efforts to protect our proprietary technologies are not adequate, we may not be able to compete effectively in our market.</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patents covering one or more of our products or product candidates could be found invalid or unenforceable if challenged.</w:t>
      </w:r>
    </w:p>
    <w:p>
      <w:pPr>
        <w:spacing w:after="0" w:line="117"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attract and keep senior management and key scientific personnel, we may be unable to successfully develop our product candidates, conduct our clinical trials and commercialize our products.</w:t>
      </w:r>
    </w:p>
    <w:p>
      <w:pPr>
        <w:spacing w:after="0" w:line="62"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 parties to conduct preclinical studies and clinical trials for our product candidates, and if they do not properly and successfully perform their obligations to us, we may not be able to obtain regulatory approvals for our product candidates.</w:t>
      </w:r>
    </w:p>
    <w:p>
      <w:pPr>
        <w:spacing w:after="0" w:line="62" w:lineRule="exact"/>
        <w:rPr>
          <w:rFonts w:ascii="Arial" w:cs="Arial" w:eastAsia="Arial" w:hAnsi="Arial"/>
          <w:sz w:val="18"/>
          <w:szCs w:val="18"/>
          <w:color w:val="auto"/>
        </w:rPr>
      </w:pPr>
    </w:p>
    <w:p>
      <w:pPr>
        <w:ind w:left="740" w:right="78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intend to rely on third parties to conduct some or all aspects of our product manufacturing, and these third parties may not perform satisfactorily.</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 w:name="page3"/>
    <w:bookmarkEnd w:id="2"/>
    <w:p>
      <w:pPr>
        <w:ind w:left="740" w:hanging="368"/>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limited operating history may make it difficult for you to evaluate the success of our business to date and to assess our future viability.</w:t>
      </w:r>
    </w:p>
    <w:p>
      <w:pPr>
        <w:spacing w:after="0" w:line="128" w:lineRule="exact"/>
        <w:rPr>
          <w:rFonts w:ascii="Arial" w:cs="Arial" w:eastAsia="Arial" w:hAnsi="Arial"/>
          <w:sz w:val="17"/>
          <w:szCs w:val="17"/>
          <w:color w:val="auto"/>
        </w:rPr>
      </w:pPr>
    </w:p>
    <w:p>
      <w:pPr>
        <w:ind w:left="740" w:right="22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substantial additional financing. A failure to obtain this necessary capital when needed could force us to delay, limit, reduce or terminate our product development or commercialization efforts.</w:t>
      </w:r>
    </w:p>
    <w:p>
      <w:pPr>
        <w:spacing w:after="0" w:line="62" w:lineRule="exact"/>
        <w:rPr>
          <w:rFonts w:ascii="Arial" w:cs="Arial" w:eastAsia="Arial" w:hAnsi="Arial"/>
          <w:sz w:val="18"/>
          <w:szCs w:val="18"/>
          <w:color w:val="auto"/>
        </w:rPr>
      </w:pPr>
    </w:p>
    <w:p>
      <w:pPr>
        <w:ind w:left="740" w:right="14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commercial success depends upon attaining significant market acceptance of our product candidates, if approved, among physicians, patients, third-party payors and others in the medical community.</w:t>
      </w:r>
    </w:p>
    <w:p>
      <w:pPr>
        <w:spacing w:after="0" w:line="62"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62"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or have other properties that delay or prevent their regulatory approval or limit their commercial potential.</w:t>
      </w:r>
    </w:p>
    <w:p>
      <w:pPr>
        <w:spacing w:after="0" w:line="62" w:lineRule="exact"/>
        <w:rPr>
          <w:rFonts w:ascii="Arial" w:cs="Arial" w:eastAsia="Arial" w:hAnsi="Arial"/>
          <w:sz w:val="18"/>
          <w:szCs w:val="18"/>
          <w:color w:val="auto"/>
        </w:rPr>
      </w:pPr>
    </w:p>
    <w:p>
      <w:pPr>
        <w:ind w:left="740" w:right="50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 of our common stock may be highly volatile, and may be influenced by numerous factors, some of which are beyond our control.</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 may adversely affect us or our investors.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Securities and Exchange Commission. The risks summarized above or described in full below are not the only risks that we face. Additional risks and uncertainties not presently known to us, or that we currently deem to be immaterial may also materially adversely affect our business, financial condition, results of operations and future growth prospects.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4"/>
          </w:tcPr>
          <w:p>
            <w:pPr>
              <w:ind w:left="80"/>
              <w:spacing w:after="0"/>
              <w:rPr>
                <w:sz w:val="20"/>
                <w:szCs w:val="20"/>
                <w:color w:val="auto"/>
              </w:rPr>
            </w:pPr>
            <w:r>
              <w:rPr>
                <w:rFonts w:ascii="Arial" w:cs="Arial" w:eastAsia="Arial" w:hAnsi="Arial"/>
                <w:sz w:val="14"/>
                <w:szCs w:val="14"/>
                <w:b w:val="1"/>
                <w:bCs w:val="1"/>
                <w:color w:val="auto"/>
              </w:rPr>
              <w:t>Page</w:t>
            </w:r>
          </w:p>
        </w:tc>
      </w:tr>
      <w:tr>
        <w:trPr>
          <w:trHeight w:val="183"/>
        </w:trPr>
        <w:tc>
          <w:tcPr>
            <w:tcW w:w="40" w:type="dxa"/>
            <w:vAlign w:val="bottom"/>
          </w:tcPr>
          <w:p>
            <w:pPr>
              <w:spacing w:after="0"/>
              <w:rPr>
                <w:sz w:val="15"/>
                <w:szCs w:val="15"/>
                <w:color w:val="auto"/>
              </w:rPr>
            </w:pPr>
          </w:p>
        </w:tc>
        <w:tc>
          <w:tcPr>
            <w:tcW w:w="9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800" w:type="dxa"/>
            <w:vAlign w:val="bottom"/>
            <w:gridSpan w:val="16"/>
          </w:tcPr>
          <w:p>
            <w:pPr>
              <w:spacing w:after="0" w:line="18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460" w:type="dxa"/>
            <w:vAlign w:val="bottom"/>
            <w:tcBorders>
              <w:top w:val="single" w:sz="8" w:color="auto"/>
            </w:tcBorders>
            <w:gridSpan w:val="3"/>
          </w:tcPr>
          <w:p>
            <w:pPr>
              <w:jc w:val="right"/>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2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3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8"/>
              </w:rPr>
              <w:t>Condensed Consolidated Financial Statements</w:t>
            </w:r>
          </w:p>
        </w:tc>
        <w:tc>
          <w:tcPr>
            <w:tcW w:w="6460" w:type="dxa"/>
            <w:vAlign w:val="bottom"/>
            <w:gridSpan w:val="8"/>
          </w:tcPr>
          <w:p>
            <w:pPr>
              <w:spacing w:after="0"/>
              <w:rPr>
                <w:sz w:val="18"/>
                <w:szCs w:val="18"/>
                <w:color w:val="auto"/>
              </w:rPr>
            </w:pPr>
          </w:p>
        </w:tc>
        <w:tc>
          <w:tcPr>
            <w:tcW w:w="360" w:type="dxa"/>
            <w:vAlign w:val="bottom"/>
            <w:gridSpan w:val="2"/>
          </w:tcPr>
          <w:p>
            <w:pPr>
              <w:spacing w:after="0"/>
              <w:rPr>
                <w:sz w:val="18"/>
                <w:szCs w:val="18"/>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2</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 June 30, 2021 (Unaudited) and December 31, 2020</w:t>
              </w:r>
            </w:hyperlink>
          </w:p>
        </w:tc>
        <w:tc>
          <w:tcPr>
            <w:tcW w:w="4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5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and Comprehensive (Loss) Income – Three and Six Months Ended June 30, 2021</w:t>
              </w:r>
            </w:hyperlink>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and 2020 (Unaudited)</w:t>
              </w:r>
            </w:hyperlink>
          </w:p>
        </w:tc>
        <w:tc>
          <w:tcPr>
            <w:tcW w:w="8220" w:type="dxa"/>
            <w:vAlign w:val="bottom"/>
            <w:gridSpan w:val="12"/>
          </w:tcPr>
          <w:p>
            <w:pPr>
              <w:spacing w:after="0"/>
              <w:rPr>
                <w:sz w:val="17"/>
                <w:szCs w:val="17"/>
                <w:color w:val="auto"/>
              </w:rPr>
            </w:pPr>
          </w:p>
        </w:tc>
        <w:tc>
          <w:tcPr>
            <w:tcW w:w="3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20" w:type="dxa"/>
            <w:vAlign w:val="bottom"/>
          </w:tcPr>
          <w:p>
            <w:pPr>
              <w:spacing w:after="0"/>
              <w:rPr>
                <w:sz w:val="17"/>
                <w:szCs w:val="17"/>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0" w:type="dxa"/>
            <w:vAlign w:val="bottom"/>
            <w:gridSpan w:val="16"/>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Condensed Consolidated Statements of Stockholders’ Equity –Three and Six Months Ended June 30, 2021 and 2020 (Unaudited)</w:t>
              </w:r>
            </w:hyperlink>
          </w:p>
        </w:tc>
        <w:tc>
          <w:tcPr>
            <w:tcW w:w="48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 Six Months Ended June 30, 2021 and 2020 (Unaudited)</w:t>
              </w:r>
            </w:hyperlink>
          </w:p>
        </w:tc>
        <w:tc>
          <w:tcPr>
            <w:tcW w:w="1400" w:type="dxa"/>
            <w:vAlign w:val="bottom"/>
            <w:tcBorders>
              <w:top w:val="single" w:sz="8" w:color="0000EE"/>
            </w:tcBorders>
          </w:tcPr>
          <w:p>
            <w:pPr>
              <w:spacing w:after="0"/>
              <w:rPr>
                <w:sz w:val="18"/>
                <w:szCs w:val="18"/>
                <w:color w:val="auto"/>
              </w:rPr>
            </w:pPr>
          </w:p>
        </w:tc>
        <w:tc>
          <w:tcPr>
            <w:tcW w:w="5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0" w:type="dxa"/>
            <w:vAlign w:val="bottom"/>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48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6</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48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9"/>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Quantitative and Qualitative Disclosures About Market Risk</w:t>
              </w:r>
            </w:hyperlink>
          </w:p>
        </w:tc>
        <w:tc>
          <w:tcPr>
            <w:tcW w:w="2100" w:type="dxa"/>
            <w:vAlign w:val="bottom"/>
            <w:gridSpan w:val="2"/>
          </w:tcPr>
          <w:p>
            <w:pPr>
              <w:spacing w:after="0"/>
              <w:rPr>
                <w:sz w:val="18"/>
                <w:szCs w:val="18"/>
                <w:color w:val="auto"/>
              </w:rPr>
            </w:pPr>
          </w:p>
        </w:tc>
        <w:tc>
          <w:tcPr>
            <w:tcW w:w="3360" w:type="dxa"/>
            <w:vAlign w:val="bottom"/>
            <w:gridSpan w:val="5"/>
          </w:tcPr>
          <w:p>
            <w:pPr>
              <w:spacing w:after="0"/>
              <w:rPr>
                <w:sz w:val="18"/>
                <w:szCs w:val="18"/>
                <w:color w:val="auto"/>
              </w:rPr>
            </w:pPr>
          </w:p>
        </w:tc>
        <w:tc>
          <w:tcPr>
            <w:tcW w:w="4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5460" w:type="dxa"/>
            <w:vAlign w:val="bottom"/>
            <w:gridSpan w:val="7"/>
          </w:tcPr>
          <w:p>
            <w:pPr>
              <w:spacing w:after="0"/>
              <w:rPr>
                <w:sz w:val="18"/>
                <w:szCs w:val="18"/>
                <w:color w:val="auto"/>
              </w:rPr>
            </w:pPr>
          </w:p>
        </w:tc>
        <w:tc>
          <w:tcPr>
            <w:tcW w:w="4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gridSpan w:val="6"/>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INFORMATION</w:t>
              </w:r>
            </w:hyperlink>
          </w:p>
        </w:tc>
        <w:tc>
          <w:tcPr>
            <w:tcW w:w="7780" w:type="dxa"/>
            <w:vAlign w:val="bottom"/>
            <w:gridSpan w:val="10"/>
          </w:tcPr>
          <w:p>
            <w:pPr>
              <w:spacing w:after="0"/>
              <w:rPr>
                <w:sz w:val="18"/>
                <w:szCs w:val="18"/>
                <w:color w:val="auto"/>
              </w:rPr>
            </w:pPr>
          </w:p>
        </w:tc>
        <w:tc>
          <w:tcPr>
            <w:tcW w:w="4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020" w:type="dxa"/>
            <w:vAlign w:val="bottom"/>
            <w:gridSpan w:val="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7780" w:type="dxa"/>
            <w:vAlign w:val="bottom"/>
            <w:gridSpan w:val="10"/>
          </w:tcPr>
          <w:p>
            <w:pPr>
              <w:spacing w:after="0"/>
              <w:rPr>
                <w:sz w:val="18"/>
                <w:szCs w:val="18"/>
                <w:color w:val="auto"/>
              </w:rPr>
            </w:pPr>
          </w:p>
        </w:tc>
        <w:tc>
          <w:tcPr>
            <w:tcW w:w="4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Risk Factors</w:t>
              </w:r>
            </w:hyperlink>
          </w:p>
        </w:tc>
        <w:tc>
          <w:tcPr>
            <w:tcW w:w="400" w:type="dxa"/>
            <w:vAlign w:val="bottom"/>
          </w:tcPr>
          <w:p>
            <w:pPr>
              <w:spacing w:after="0"/>
              <w:rPr>
                <w:sz w:val="18"/>
                <w:szCs w:val="18"/>
                <w:color w:val="auto"/>
              </w:rPr>
            </w:pPr>
          </w:p>
        </w:tc>
        <w:tc>
          <w:tcPr>
            <w:tcW w:w="8500" w:type="dxa"/>
            <w:vAlign w:val="bottom"/>
            <w:gridSpan w:val="13"/>
          </w:tcPr>
          <w:p>
            <w:pPr>
              <w:spacing w:after="0"/>
              <w:rPr>
                <w:sz w:val="18"/>
                <w:szCs w:val="18"/>
                <w:color w:val="auto"/>
              </w:rPr>
            </w:pPr>
          </w:p>
        </w:tc>
        <w:tc>
          <w:tcPr>
            <w:tcW w:w="4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Unregistered Sales of Equity Securities and Use of Proceeds</w:t>
              </w:r>
            </w:hyperlink>
          </w:p>
        </w:tc>
        <w:tc>
          <w:tcPr>
            <w:tcW w:w="48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7"/>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Defaults Upon Senior Securities</w:t>
              </w:r>
            </w:hyperlink>
          </w:p>
        </w:tc>
        <w:tc>
          <w:tcPr>
            <w:tcW w:w="2020" w:type="dxa"/>
            <w:vAlign w:val="bottom"/>
            <w:gridSpan w:val="2"/>
          </w:tcPr>
          <w:p>
            <w:pPr>
              <w:spacing w:after="0"/>
              <w:rPr>
                <w:sz w:val="18"/>
                <w:szCs w:val="18"/>
                <w:color w:val="auto"/>
              </w:rPr>
            </w:pPr>
          </w:p>
        </w:tc>
        <w:tc>
          <w:tcPr>
            <w:tcW w:w="5460" w:type="dxa"/>
            <w:vAlign w:val="bottom"/>
            <w:gridSpan w:val="7"/>
          </w:tcPr>
          <w:p>
            <w:pPr>
              <w:spacing w:after="0"/>
              <w:rPr>
                <w:sz w:val="18"/>
                <w:szCs w:val="18"/>
                <w:color w:val="auto"/>
              </w:rPr>
            </w:pPr>
          </w:p>
        </w:tc>
        <w:tc>
          <w:tcPr>
            <w:tcW w:w="48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Mine Safety Disclosures</w:t>
              </w:r>
            </w:hyperlink>
          </w:p>
        </w:tc>
        <w:tc>
          <w:tcPr>
            <w:tcW w:w="7480" w:type="dxa"/>
            <w:vAlign w:val="bottom"/>
            <w:gridSpan w:val="9"/>
          </w:tcPr>
          <w:p>
            <w:pPr>
              <w:spacing w:after="0"/>
              <w:rPr>
                <w:sz w:val="18"/>
                <w:szCs w:val="18"/>
                <w:color w:val="auto"/>
              </w:rPr>
            </w:pPr>
          </w:p>
        </w:tc>
        <w:tc>
          <w:tcPr>
            <w:tcW w:w="48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5"/>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8040" w:type="dxa"/>
            <w:vAlign w:val="bottom"/>
            <w:gridSpan w:val="11"/>
          </w:tcPr>
          <w:p>
            <w:pPr>
              <w:spacing w:after="0"/>
              <w:rPr>
                <w:sz w:val="18"/>
                <w:szCs w:val="18"/>
                <w:color w:val="auto"/>
              </w:rPr>
            </w:pPr>
          </w:p>
        </w:tc>
        <w:tc>
          <w:tcPr>
            <w:tcW w:w="48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500" w:type="dxa"/>
            <w:vAlign w:val="bottom"/>
            <w:gridSpan w:val="1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Exhibits</w:t>
              </w:r>
            </w:hyperlink>
          </w:p>
        </w:tc>
        <w:tc>
          <w:tcPr>
            <w:tcW w:w="700" w:type="dxa"/>
            <w:vAlign w:val="bottom"/>
            <w:gridSpan w:val="2"/>
          </w:tcPr>
          <w:p>
            <w:pPr>
              <w:spacing w:after="0"/>
              <w:rPr>
                <w:sz w:val="18"/>
                <w:szCs w:val="18"/>
                <w:color w:val="auto"/>
              </w:rPr>
            </w:pPr>
          </w:p>
        </w:tc>
        <w:tc>
          <w:tcPr>
            <w:tcW w:w="8500" w:type="dxa"/>
            <w:vAlign w:val="bottom"/>
            <w:gridSpan w:val="13"/>
          </w:tcPr>
          <w:p>
            <w:pPr>
              <w:spacing w:after="0"/>
              <w:rPr>
                <w:sz w:val="18"/>
                <w:szCs w:val="18"/>
                <w:color w:val="auto"/>
              </w:rPr>
            </w:pPr>
          </w:p>
        </w:tc>
        <w:tc>
          <w:tcPr>
            <w:tcW w:w="48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20" w:type="dxa"/>
            <w:vAlign w:val="bottom"/>
            <w:gridSpan w:val="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Signatures</w:t>
              </w:r>
            </w:hyperlink>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4"/>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r>
      <w:tr>
        <w:trPr>
          <w:trHeight w:val="351"/>
        </w:trPr>
        <w:tc>
          <w:tcPr>
            <w:tcW w:w="40" w:type="dxa"/>
            <w:vAlign w:val="bottom"/>
            <w:tcBorders>
              <w:bottom w:val="single" w:sz="8" w:color="9A9A9A"/>
            </w:tcBorders>
          </w:tcPr>
          <w:p>
            <w:pPr>
              <w:spacing w:after="0"/>
              <w:rPr>
                <w:sz w:val="24"/>
                <w:szCs w:val="24"/>
                <w:color w:val="auto"/>
              </w:rPr>
            </w:pPr>
          </w:p>
        </w:tc>
        <w:tc>
          <w:tcPr>
            <w:tcW w:w="76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173"/>
              <w:spacing w:after="0" w:line="155" w:lineRule="exact"/>
              <w:rPr>
                <w:sz w:val="20"/>
                <w:szCs w:val="20"/>
                <w:color w:val="auto"/>
              </w:rPr>
            </w:pPr>
            <w:r>
              <w:rPr>
                <w:rFonts w:ascii="Arial" w:cs="Arial" w:eastAsia="Arial" w:hAnsi="Arial"/>
                <w:sz w:val="14"/>
                <w:szCs w:val="14"/>
                <w:b w:val="1"/>
                <w:bCs w:val="1"/>
                <w:i w:val="1"/>
                <w:iCs w:val="1"/>
                <w:color w:val="auto"/>
                <w:w w:val="89"/>
              </w:rPr>
              <w:t>(unaudited)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36,816,128</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42,604,935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40"/>
              <w:spacing w:after="0"/>
              <w:rPr>
                <w:sz w:val="20"/>
                <w:szCs w:val="20"/>
                <w:color w:val="auto"/>
              </w:rPr>
            </w:pPr>
            <w:r>
              <w:rPr>
                <w:rFonts w:ascii="Arial" w:cs="Arial" w:eastAsia="Arial" w:hAnsi="Arial"/>
                <w:sz w:val="18"/>
                <w:szCs w:val="18"/>
                <w:color w:val="auto"/>
              </w:rPr>
              <w:t>Prepaid research and development contracts</w:t>
            </w:r>
          </w:p>
        </w:tc>
        <w:tc>
          <w:tcPr>
            <w:tcW w:w="2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510,177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578,461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1,603,913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37,394,589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44,719,025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2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20,000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37,424,041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44,924,674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2,198,140</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1,799,371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operating lease liability</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9,955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2,208,095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1,866,809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2,208,095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1,866,809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12)</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$0.0001 par value per share; 300,000,000 shares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and 47,477,084 and 47,251,319 shares issued and</w:t>
            </w:r>
          </w:p>
        </w:tc>
        <w:tc>
          <w:tcPr>
            <w:tcW w:w="260" w:type="dxa"/>
            <w:vAlign w:val="bottom"/>
            <w:shd w:val="clear" w:color="auto" w:fill="CFF0FC"/>
          </w:tcPr>
          <w:p>
            <w:pPr>
              <w:spacing w:after="0"/>
              <w:rPr>
                <w:sz w:val="18"/>
                <w:szCs w:val="18"/>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4,747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June 30, 2021 and December 31, 2020, respectively.</w:t>
            </w:r>
          </w:p>
        </w:tc>
        <w:tc>
          <w:tcPr>
            <w:tcW w:w="260" w:type="dxa"/>
            <w:vAlign w:val="bottom"/>
            <w:shd w:val="clear" w:color="auto" w:fill="CFF0FC"/>
          </w:tcPr>
          <w:p>
            <w:pPr>
              <w:spacing w:after="0"/>
              <w:rPr>
                <w:sz w:val="20"/>
                <w:szCs w:val="20"/>
                <w:color w:val="auto"/>
              </w:rPr>
            </w:pPr>
          </w:p>
        </w:tc>
        <w:tc>
          <w:tcPr>
            <w:tcW w:w="130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190,611,718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189,603,985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(155,400,519)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(146,550,845)</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35,215,946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43,057,865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37,424,041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44,924,674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37" w:right="8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AERPIO PHARMACEUTICALS, INC.</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(Loss) Income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5"/>
          </w:tcPr>
          <w:p>
            <w:pPr>
              <w:jc w:val="right"/>
              <w:ind w:right="231"/>
              <w:spacing w:after="0"/>
              <w:rPr>
                <w:sz w:val="20"/>
                <w:szCs w:val="20"/>
                <w:color w:val="auto"/>
              </w:rPr>
            </w:pPr>
            <w:r>
              <w:rPr>
                <w:rFonts w:ascii="Arial" w:cs="Arial" w:eastAsia="Arial" w:hAnsi="Arial"/>
                <w:sz w:val="14"/>
                <w:szCs w:val="14"/>
                <w:b w:val="1"/>
                <w:bCs w:val="1"/>
                <w:color w:val="auto"/>
                <w:w w:val="98"/>
              </w:rPr>
              <w:t>Three Months Ended June 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4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51"/>
        </w:trPr>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4"/>
          </w:tcPr>
          <w:p>
            <w:pPr>
              <w:jc w:val="right"/>
              <w:spacing w:after="0" w:line="151" w:lineRule="exact"/>
              <w:rPr>
                <w:sz w:val="20"/>
                <w:szCs w:val="20"/>
                <w:color w:val="auto"/>
              </w:rPr>
            </w:pPr>
            <w:r>
              <w:rPr>
                <w:rFonts w:ascii="Arial" w:cs="Arial" w:eastAsia="Arial" w:hAnsi="Arial"/>
                <w:sz w:val="14"/>
                <w:szCs w:val="14"/>
                <w:i w:val="1"/>
                <w:iCs w:val="1"/>
                <w:color w:val="auto"/>
              </w:rPr>
              <w:t>(unaudited)</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4"/>
          </w:tcPr>
          <w:p>
            <w:pPr>
              <w:jc w:val="right"/>
              <w:spacing w:after="0" w:line="151" w:lineRule="exact"/>
              <w:rPr>
                <w:sz w:val="20"/>
                <w:szCs w:val="20"/>
                <w:color w:val="auto"/>
              </w:rPr>
            </w:pPr>
            <w:r>
              <w:rPr>
                <w:rFonts w:ascii="Arial" w:cs="Arial" w:eastAsia="Arial" w:hAnsi="Arial"/>
                <w:sz w:val="14"/>
                <w:szCs w:val="14"/>
                <w:i w:val="1"/>
                <w:iCs w:val="1"/>
                <w:color w:val="auto"/>
              </w:rPr>
              <w:t>(unaudited)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4"/>
        </w:trPr>
        <w:tc>
          <w:tcPr>
            <w:tcW w:w="4720" w:type="dxa"/>
            <w:vAlign w:val="bottom"/>
          </w:tcPr>
          <w:p>
            <w:pPr>
              <w:spacing w:after="0"/>
              <w:rPr>
                <w:sz w:val="20"/>
                <w:szCs w:val="20"/>
                <w:color w:val="auto"/>
              </w:rPr>
            </w:pPr>
            <w:r>
              <w:rPr>
                <w:rFonts w:ascii="Arial" w:cs="Arial" w:eastAsia="Arial" w:hAnsi="Arial"/>
                <w:sz w:val="18"/>
                <w:szCs w:val="18"/>
                <w:color w:val="auto"/>
              </w:rPr>
              <w:t>License revenue</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15,000,000</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15,000,000</w:t>
            </w:r>
          </w:p>
        </w:tc>
        <w:tc>
          <w:tcPr>
            <w:tcW w:w="120" w:type="dxa"/>
            <w:vAlign w:val="bottom"/>
          </w:tcPr>
          <w:p>
            <w:pPr>
              <w:spacing w:after="0"/>
              <w:rPr>
                <w:sz w:val="20"/>
                <w:szCs w:val="20"/>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719,637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3,548,572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2,947,639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5,377,614</w:t>
            </w:r>
          </w:p>
        </w:tc>
        <w:tc>
          <w:tcPr>
            <w:tcW w:w="120" w:type="dxa"/>
            <w:vAlign w:val="bottom"/>
          </w:tcPr>
          <w:p>
            <w:pPr>
              <w:spacing w:after="0"/>
              <w:rPr>
                <w:sz w:val="19"/>
                <w:szCs w:val="19"/>
                <w:color w:val="auto"/>
              </w:rPr>
            </w:pPr>
          </w:p>
        </w:tc>
      </w:tr>
      <w:tr>
        <w:trPr>
          <w:trHeight w:val="229"/>
        </w:trPr>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4,051,724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2,195,515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6,188,314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4,481,406</w:t>
            </w:r>
          </w:p>
        </w:tc>
        <w:tc>
          <w:tcPr>
            <w:tcW w:w="120" w:type="dxa"/>
            <w:vAlign w:val="bottom"/>
            <w:shd w:val="clear" w:color="auto" w:fill="CFF0FC"/>
          </w:tcPr>
          <w:p>
            <w:pPr>
              <w:spacing w:after="0"/>
              <w:rPr>
                <w:sz w:val="19"/>
                <w:szCs w:val="19"/>
                <w:color w:val="auto"/>
              </w:rPr>
            </w:pPr>
          </w:p>
        </w:tc>
      </w:tr>
      <w:tr>
        <w:trPr>
          <w:trHeight w:val="229"/>
        </w:trPr>
        <w:tc>
          <w:tcPr>
            <w:tcW w:w="4720" w:type="dxa"/>
            <w:vAlign w:val="bottom"/>
          </w:tcPr>
          <w:p>
            <w:pPr>
              <w:ind w:left="24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1,238,270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4,771,361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5,744,087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10,374,223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9,859,020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9"/>
              </w:rPr>
              <w:t>(4,771,361)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9,255,913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2"/>
              </w:rPr>
              <w:t>(10,374,223)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5,140,980</w:t>
            </w:r>
          </w:p>
        </w:tc>
        <w:tc>
          <w:tcPr>
            <w:tcW w:w="120" w:type="dxa"/>
            <w:vAlign w:val="bottom"/>
          </w:tcPr>
          <w:p>
            <w:pPr>
              <w:spacing w:after="0"/>
              <w:rPr>
                <w:sz w:val="19"/>
                <w:szCs w:val="19"/>
                <w:color w:val="auto"/>
              </w:rPr>
            </w:pPr>
          </w:p>
        </w:tc>
      </w:tr>
      <w:tr>
        <w:trPr>
          <w:trHeight w:val="229"/>
        </w:trPr>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360,754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1,518,842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720" w:type="dxa"/>
            <w:vAlign w:val="bottom"/>
          </w:tcPr>
          <w:p>
            <w:pPr>
              <w:ind w:left="240"/>
              <w:spacing w:after="0"/>
              <w:rPr>
                <w:sz w:val="20"/>
                <w:szCs w:val="20"/>
                <w:color w:val="auto"/>
              </w:rPr>
            </w:pPr>
            <w:r>
              <w:rPr>
                <w:rFonts w:ascii="Arial" w:cs="Arial" w:eastAsia="Arial" w:hAnsi="Arial"/>
                <w:sz w:val="18"/>
                <w:szCs w:val="18"/>
                <w:color w:val="auto"/>
              </w:rPr>
              <w:t>Grant income</w:t>
            </w:r>
          </w:p>
        </w:tc>
        <w:tc>
          <w:tcPr>
            <w:tcW w:w="200" w:type="dxa"/>
            <w:vAlign w:val="bottom"/>
          </w:tcPr>
          <w:p>
            <w:pPr>
              <w:spacing w:after="0"/>
              <w:rPr>
                <w:sz w:val="19"/>
                <w:szCs w:val="19"/>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79,900</w:t>
            </w:r>
          </w:p>
        </w:tc>
        <w:tc>
          <w:tcPr>
            <w:tcW w:w="120" w:type="dxa"/>
            <w:vAlign w:val="bottom"/>
          </w:tcPr>
          <w:p>
            <w:pPr>
              <w:spacing w:after="0"/>
              <w:rPr>
                <w:sz w:val="19"/>
                <w:szCs w:val="19"/>
                <w:color w:val="auto"/>
              </w:rPr>
            </w:pPr>
          </w:p>
        </w:tc>
      </w:tr>
      <w:tr>
        <w:trPr>
          <w:trHeight w:val="230"/>
        </w:trPr>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20,119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5,707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136,489</w:t>
            </w:r>
          </w:p>
        </w:tc>
        <w:tc>
          <w:tcPr>
            <w:tcW w:w="120" w:type="dxa"/>
            <w:vAlign w:val="bottom"/>
            <w:shd w:val="clear" w:color="auto" w:fill="CFF0FC"/>
          </w:tcPr>
          <w:p>
            <w:pPr>
              <w:spacing w:after="0"/>
              <w:rPr>
                <w:sz w:val="19"/>
                <w:szCs w:val="19"/>
                <w:color w:val="auto"/>
              </w:rPr>
            </w:pPr>
          </w:p>
        </w:tc>
      </w:tr>
      <w:tr>
        <w:trPr>
          <w:trHeight w:val="223"/>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363,426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1,524,549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216,389</w:t>
            </w:r>
          </w:p>
        </w:tc>
        <w:tc>
          <w:tcPr>
            <w:tcW w:w="120" w:type="dxa"/>
            <w:vAlign w:val="bottom"/>
            <w:tcBorders>
              <w:bottom w:val="single" w:sz="8" w:color="CFF0FC"/>
            </w:tcBorders>
          </w:tcPr>
          <w:p>
            <w:pPr>
              <w:spacing w:after="0"/>
              <w:rPr>
                <w:sz w:val="19"/>
                <w:szCs w:val="19"/>
                <w:color w:val="auto"/>
              </w:rPr>
            </w:pPr>
          </w:p>
        </w:tc>
      </w:tr>
      <w:tr>
        <w:trPr>
          <w:trHeight w:val="223"/>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and comprehensive (loss) income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(4,407,935</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9,276,032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(8,849,674</w:t>
            </w:r>
          </w:p>
        </w:tc>
        <w:tc>
          <w:tcPr>
            <w:tcW w:w="16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5,357,369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and comprehensive (loss) income per common share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(0.09)</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0.23</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(0.19)</w:t>
            </w: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r>
      <w:tr>
        <w:trPr>
          <w:trHeight w:val="215"/>
        </w:trPr>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number of common shares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used in computing net (loss) income per share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attributable to common stockholders</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70"/>
        </w:trPr>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47,372,581</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40,588,004</w:t>
            </w:r>
          </w:p>
        </w:tc>
        <w:tc>
          <w:tcPr>
            <w:tcW w:w="24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47,327,701</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40,588,004</w:t>
            </w:r>
          </w:p>
        </w:tc>
        <w:tc>
          <w:tcPr>
            <w:tcW w:w="120" w:type="dxa"/>
            <w:vAlign w:val="bottom"/>
            <w:tcBorders>
              <w:bottom w:val="single" w:sz="8" w:color="CFF0FC"/>
            </w:tcBorders>
          </w:tcPr>
          <w:p>
            <w:pPr>
              <w:spacing w:after="0"/>
              <w:rPr>
                <w:sz w:val="23"/>
                <w:szCs w:val="23"/>
                <w:color w:val="auto"/>
              </w:rPr>
            </w:pPr>
          </w:p>
        </w:tc>
      </w:tr>
      <w:tr>
        <w:trPr>
          <w:trHeight w:val="210"/>
        </w:trPr>
        <w:tc>
          <w:tcPr>
            <w:tcW w:w="47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47,372,581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40,905,288</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47,327,701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40,747,960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0" w:type="dxa"/>
            <w:vAlign w:val="bottom"/>
            <w:gridSpan w:val="9"/>
          </w:tcPr>
          <w:p>
            <w:pPr>
              <w:jc w:val="center"/>
              <w:ind w:right="40"/>
              <w:spacing w:after="0"/>
              <w:rPr>
                <w:sz w:val="20"/>
                <w:szCs w:val="20"/>
                <w:color w:val="auto"/>
              </w:rPr>
            </w:pPr>
            <w:r>
              <w:rPr>
                <w:rFonts w:ascii="Arial" w:cs="Arial" w:eastAsia="Arial" w:hAnsi="Arial"/>
                <w:sz w:val="14"/>
                <w:szCs w:val="14"/>
                <w:b w:val="1"/>
                <w:bCs w:val="1"/>
                <w:color w:val="auto"/>
                <w:w w:val="93"/>
              </w:rPr>
              <w:t>For the Three and Six Months Ended June 30, 2021 (unaudited)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b w:val="1"/>
                <w:bCs w:val="1"/>
                <w:color w:val="auto"/>
                <w:w w:val="92"/>
              </w:rPr>
              <w:t>Stockholders' Equity</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8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648"/>
              <w:spacing w:after="0" w:line="155" w:lineRule="exact"/>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5"/>
              </w:rPr>
              <w:t>Additional Paid-In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80" w:type="dxa"/>
            <w:vAlign w:val="bottom"/>
          </w:tcPr>
          <w:p>
            <w:pPr>
              <w:spacing w:after="0"/>
              <w:rPr>
                <w:sz w:val="13"/>
                <w:szCs w:val="13"/>
                <w:color w:val="auto"/>
              </w:rPr>
            </w:pPr>
          </w:p>
        </w:tc>
        <w:tc>
          <w:tcPr>
            <w:tcW w:w="102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Par Value</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8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January 1, 2021</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47,251,319</w:t>
            </w:r>
          </w:p>
        </w:tc>
        <w:tc>
          <w:tcPr>
            <w:tcW w:w="3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4,725</w:t>
            </w:r>
          </w:p>
        </w:tc>
        <w:tc>
          <w:tcPr>
            <w:tcW w:w="2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189,603,985</w:t>
            </w:r>
          </w:p>
        </w:tc>
        <w:tc>
          <w:tcPr>
            <w:tcW w:w="2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(146,550,845)</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43,057,865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880" w:type="dxa"/>
            <w:vAlign w:val="bottom"/>
          </w:tcPr>
          <w:p>
            <w:pPr>
              <w:ind w:left="240"/>
              <w:spacing w:after="0" w:line="143" w:lineRule="exact"/>
              <w:rPr>
                <w:sz w:val="20"/>
                <w:szCs w:val="20"/>
                <w:color w:val="auto"/>
              </w:rPr>
            </w:pPr>
            <w:r>
              <w:rPr>
                <w:rFonts w:ascii="Arial" w:cs="Arial" w:eastAsia="Arial" w:hAnsi="Arial"/>
                <w:sz w:val="14"/>
                <w:szCs w:val="14"/>
                <w:color w:val="auto"/>
              </w:rPr>
              <w:t>Issuance of common stock upon</w:t>
            </w: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70,275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80" w:type="dxa"/>
            <w:vAlign w:val="bottom"/>
          </w:tcPr>
          <w:p>
            <w:pPr>
              <w:ind w:left="340"/>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4"/>
                <w:szCs w:val="14"/>
                <w:color w:val="auto"/>
              </w:rPr>
              <w:t>78,769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70,267</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Issuance of common stock</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41,394</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80" w:type="dxa"/>
            <w:vAlign w:val="bottom"/>
          </w:tcPr>
          <w:p>
            <w:pPr>
              <w:ind w:left="240"/>
              <w:spacing w:after="0" w:line="143" w:lineRule="exact"/>
              <w:rPr>
                <w:sz w:val="20"/>
                <w:szCs w:val="20"/>
                <w:color w:val="auto"/>
              </w:rPr>
            </w:pPr>
            <w:r>
              <w:rPr>
                <w:rFonts w:ascii="Arial" w:cs="Arial" w:eastAsia="Arial" w:hAnsi="Arial"/>
                <w:sz w:val="14"/>
                <w:szCs w:val="14"/>
                <w:color w:val="auto"/>
              </w:rPr>
              <w:t>Stock-based compensation</w:t>
            </w: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345,756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80" w:type="dxa"/>
            <w:vAlign w:val="bottom"/>
          </w:tcPr>
          <w:p>
            <w:pPr>
              <w:ind w:left="340"/>
              <w:spacing w:after="0"/>
              <w:rPr>
                <w:sz w:val="20"/>
                <w:szCs w:val="20"/>
                <w:color w:val="auto"/>
              </w:rPr>
            </w:pPr>
            <w:r>
              <w:rPr>
                <w:rFonts w:ascii="Arial" w:cs="Arial" w:eastAsia="Arial" w:hAnsi="Arial"/>
                <w:sz w:val="14"/>
                <w:szCs w:val="14"/>
                <w:color w:val="auto"/>
              </w:rPr>
              <w:t>expense</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345,756</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Net and comprehensive loss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(4,441,739)</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(4,441,739)</w:t>
            </w:r>
          </w:p>
        </w:tc>
        <w:tc>
          <w:tcPr>
            <w:tcW w:w="0" w:type="dxa"/>
            <w:vAlign w:val="bottom"/>
          </w:tcPr>
          <w:p>
            <w:pPr>
              <w:spacing w:after="0"/>
              <w:rPr>
                <w:sz w:val="1"/>
                <w:szCs w:val="1"/>
                <w:color w:val="auto"/>
              </w:rPr>
            </w:pPr>
          </w:p>
        </w:tc>
      </w:tr>
      <w:tr>
        <w:trPr>
          <w:trHeight w:val="195"/>
        </w:trPr>
        <w:tc>
          <w:tcPr>
            <w:tcW w:w="288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 at March 31, 2021</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47,371,482</w:t>
            </w:r>
          </w:p>
        </w:tc>
        <w:tc>
          <w:tcPr>
            <w:tcW w:w="30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4,737</w:t>
            </w:r>
          </w:p>
        </w:tc>
        <w:tc>
          <w:tcPr>
            <w:tcW w:w="28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190,020,008</w:t>
            </w:r>
          </w:p>
        </w:tc>
        <w:tc>
          <w:tcPr>
            <w:tcW w:w="24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(150,992,584)</w:t>
            </w:r>
          </w:p>
        </w:tc>
        <w:tc>
          <w:tcPr>
            <w:tcW w:w="1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39,032,161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880" w:type="dxa"/>
            <w:vAlign w:val="bottom"/>
            <w:shd w:val="clear" w:color="auto" w:fill="CFF0FC"/>
          </w:tcPr>
          <w:p>
            <w:pPr>
              <w:ind w:left="240"/>
              <w:spacing w:after="0" w:line="124" w:lineRule="exact"/>
              <w:rPr>
                <w:sz w:val="20"/>
                <w:szCs w:val="20"/>
                <w:color w:val="auto"/>
              </w:rPr>
            </w:pPr>
            <w:r>
              <w:rPr>
                <w:rFonts w:ascii="Arial" w:cs="Arial" w:eastAsia="Arial" w:hAnsi="Arial"/>
                <w:sz w:val="14"/>
                <w:szCs w:val="14"/>
                <w:color w:val="auto"/>
              </w:rPr>
              <w:t>Issuance of common stock upon</w:t>
            </w:r>
          </w:p>
        </w:tc>
        <w:tc>
          <w:tcPr>
            <w:tcW w:w="10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10,193</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exercise of stock options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13,586</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10,192</w:t>
            </w:r>
          </w:p>
        </w:tc>
        <w:tc>
          <w:tcPr>
            <w:tcW w:w="2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80" w:type="dxa"/>
            <w:vAlign w:val="bottom"/>
          </w:tcPr>
          <w:p>
            <w:pPr>
              <w:ind w:left="240"/>
              <w:spacing w:after="0" w:line="143" w:lineRule="exact"/>
              <w:rPr>
                <w:sz w:val="20"/>
                <w:szCs w:val="20"/>
                <w:color w:val="auto"/>
              </w:rPr>
            </w:pPr>
            <w:r>
              <w:rPr>
                <w:rFonts w:ascii="Arial" w:cs="Arial" w:eastAsia="Arial" w:hAnsi="Arial"/>
                <w:sz w:val="14"/>
                <w:szCs w:val="14"/>
                <w:color w:val="auto"/>
              </w:rPr>
              <w:t>Issuance of common stock upon</w:t>
            </w: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80" w:type="dxa"/>
            <w:vAlign w:val="bottom"/>
          </w:tcPr>
          <w:p>
            <w:pPr>
              <w:ind w:left="340"/>
              <w:spacing w:after="0"/>
              <w:rPr>
                <w:sz w:val="20"/>
                <w:szCs w:val="20"/>
                <w:color w:val="auto"/>
              </w:rPr>
            </w:pPr>
            <w:r>
              <w:rPr>
                <w:rFonts w:ascii="Arial" w:cs="Arial" w:eastAsia="Arial" w:hAnsi="Arial"/>
                <w:sz w:val="14"/>
                <w:szCs w:val="14"/>
                <w:color w:val="auto"/>
              </w:rPr>
              <w:t>exercise of warrants</w:t>
            </w:r>
          </w:p>
        </w:tc>
        <w:tc>
          <w:tcPr>
            <w:tcW w:w="1020" w:type="dxa"/>
            <w:vAlign w:val="bottom"/>
          </w:tcPr>
          <w:p>
            <w:pPr>
              <w:jc w:val="right"/>
              <w:spacing w:after="0"/>
              <w:rPr>
                <w:sz w:val="20"/>
                <w:szCs w:val="20"/>
                <w:color w:val="auto"/>
              </w:rPr>
            </w:pPr>
            <w:r>
              <w:rPr>
                <w:rFonts w:ascii="Arial" w:cs="Arial" w:eastAsia="Arial" w:hAnsi="Arial"/>
                <w:sz w:val="14"/>
                <w:szCs w:val="14"/>
                <w:color w:val="auto"/>
              </w:rPr>
              <w:t>50,000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24,295</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Issuance of common stock</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42,016</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80" w:type="dxa"/>
            <w:vAlign w:val="bottom"/>
          </w:tcPr>
          <w:p>
            <w:pPr>
              <w:ind w:left="240"/>
              <w:spacing w:after="0" w:line="143" w:lineRule="exact"/>
              <w:rPr>
                <w:sz w:val="20"/>
                <w:szCs w:val="20"/>
                <w:color w:val="auto"/>
              </w:rPr>
            </w:pPr>
            <w:r>
              <w:rPr>
                <w:rFonts w:ascii="Arial" w:cs="Arial" w:eastAsia="Arial" w:hAnsi="Arial"/>
                <w:sz w:val="14"/>
                <w:szCs w:val="14"/>
                <w:color w:val="auto"/>
              </w:rPr>
              <w:t>Stock-based compensation</w:t>
            </w: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557,223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80" w:type="dxa"/>
            <w:vAlign w:val="bottom"/>
          </w:tcPr>
          <w:p>
            <w:pPr>
              <w:ind w:left="340"/>
              <w:spacing w:after="0"/>
              <w:rPr>
                <w:sz w:val="20"/>
                <w:szCs w:val="20"/>
                <w:color w:val="auto"/>
              </w:rPr>
            </w:pPr>
            <w:r>
              <w:rPr>
                <w:rFonts w:ascii="Arial" w:cs="Arial" w:eastAsia="Arial" w:hAnsi="Arial"/>
                <w:sz w:val="14"/>
                <w:szCs w:val="14"/>
                <w:color w:val="auto"/>
              </w:rPr>
              <w:t>expense</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557,223</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Net and comprehensive loss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(4,407,935)</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(4,407,935)</w:t>
            </w:r>
          </w:p>
        </w:tc>
        <w:tc>
          <w:tcPr>
            <w:tcW w:w="0" w:type="dxa"/>
            <w:vAlign w:val="bottom"/>
          </w:tcPr>
          <w:p>
            <w:pPr>
              <w:spacing w:after="0"/>
              <w:rPr>
                <w:sz w:val="1"/>
                <w:szCs w:val="1"/>
                <w:color w:val="auto"/>
              </w:rPr>
            </w:pPr>
          </w:p>
        </w:tc>
      </w:tr>
      <w:tr>
        <w:trPr>
          <w:trHeight w:val="156"/>
        </w:trPr>
        <w:tc>
          <w:tcPr>
            <w:tcW w:w="2880" w:type="dxa"/>
            <w:vAlign w:val="bottom"/>
          </w:tcPr>
          <w:p>
            <w:pPr>
              <w:spacing w:after="0" w:line="155" w:lineRule="exact"/>
              <w:rPr>
                <w:sz w:val="20"/>
                <w:szCs w:val="20"/>
                <w:color w:val="auto"/>
              </w:rPr>
            </w:pPr>
            <w:r>
              <w:rPr>
                <w:rFonts w:ascii="Arial" w:cs="Arial" w:eastAsia="Arial" w:hAnsi="Arial"/>
                <w:sz w:val="14"/>
                <w:szCs w:val="14"/>
                <w:color w:val="auto"/>
              </w:rPr>
              <w:t>Balance at June 30, 2021</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47,477,084</w:t>
            </w:r>
          </w:p>
        </w:tc>
        <w:tc>
          <w:tcPr>
            <w:tcW w:w="3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4,747</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190,611,718</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(155,400,519)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35,215,946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9"/>
          </w:tcPr>
          <w:p>
            <w:pPr>
              <w:jc w:val="center"/>
              <w:ind w:right="40"/>
              <w:spacing w:after="0"/>
              <w:rPr>
                <w:sz w:val="20"/>
                <w:szCs w:val="20"/>
                <w:color w:val="auto"/>
              </w:rPr>
            </w:pPr>
            <w:r>
              <w:rPr>
                <w:rFonts w:ascii="Arial" w:cs="Arial" w:eastAsia="Arial" w:hAnsi="Arial"/>
                <w:sz w:val="14"/>
                <w:szCs w:val="14"/>
                <w:b w:val="1"/>
                <w:bCs w:val="1"/>
                <w:color w:val="auto"/>
                <w:w w:val="93"/>
              </w:rPr>
              <w:t>For the Three and Six Months Ended June 30, 2020 (unaudited)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b w:val="1"/>
                <w:bCs w:val="1"/>
                <w:color w:val="auto"/>
                <w:w w:val="92"/>
              </w:rPr>
              <w:t>Stockholders' Equity</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8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648"/>
              <w:spacing w:after="0" w:line="155" w:lineRule="exact"/>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5"/>
              </w:rPr>
              <w:t>Additional Paid-In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80" w:type="dxa"/>
            <w:vAlign w:val="bottom"/>
          </w:tcPr>
          <w:p>
            <w:pPr>
              <w:spacing w:after="0"/>
              <w:rPr>
                <w:sz w:val="13"/>
                <w:szCs w:val="13"/>
                <w:color w:val="auto"/>
              </w:rPr>
            </w:pPr>
          </w:p>
        </w:tc>
        <w:tc>
          <w:tcPr>
            <w:tcW w:w="102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Par Value</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8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January 1, 2020</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40,588,004</w:t>
            </w:r>
          </w:p>
        </w:tc>
        <w:tc>
          <w:tcPr>
            <w:tcW w:w="3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4,059</w:t>
            </w:r>
          </w:p>
        </w:tc>
        <w:tc>
          <w:tcPr>
            <w:tcW w:w="2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178,766,806</w:t>
            </w:r>
          </w:p>
        </w:tc>
        <w:tc>
          <w:tcPr>
            <w:tcW w:w="24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(142,235,522)</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36,535,343</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40"/>
              <w:spacing w:after="0"/>
              <w:rPr>
                <w:sz w:val="20"/>
                <w:szCs w:val="20"/>
                <w:color w:val="auto"/>
              </w:rPr>
            </w:pPr>
            <w:r>
              <w:rPr>
                <w:rFonts w:ascii="Arial" w:cs="Arial" w:eastAsia="Arial" w:hAnsi="Arial"/>
                <w:sz w:val="14"/>
                <w:szCs w:val="14"/>
                <w:color w:val="auto"/>
              </w:rPr>
              <w:t>Issuance of warrants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62,347</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62,347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8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Stock-based compensation</w:t>
            </w:r>
          </w:p>
        </w:tc>
        <w:tc>
          <w:tcPr>
            <w:tcW w:w="10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327,467</w:t>
            </w:r>
          </w:p>
        </w:tc>
        <w:tc>
          <w:tcPr>
            <w:tcW w:w="2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327,467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40"/>
              <w:spacing w:after="0"/>
              <w:rPr>
                <w:sz w:val="20"/>
                <w:szCs w:val="20"/>
                <w:color w:val="auto"/>
              </w:rPr>
            </w:pPr>
            <w:r>
              <w:rPr>
                <w:rFonts w:ascii="Arial" w:cs="Arial" w:eastAsia="Arial" w:hAnsi="Arial"/>
                <w:sz w:val="14"/>
                <w:szCs w:val="14"/>
                <w:color w:val="auto"/>
              </w:rPr>
              <w:t>Net and comprehensive loss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(3,918,663)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(3,918,663)</w:t>
            </w:r>
          </w:p>
        </w:tc>
        <w:tc>
          <w:tcPr>
            <w:tcW w:w="0" w:type="dxa"/>
            <w:vAlign w:val="bottom"/>
          </w:tcPr>
          <w:p>
            <w:pPr>
              <w:spacing w:after="0"/>
              <w:rPr>
                <w:sz w:val="1"/>
                <w:szCs w:val="1"/>
                <w:color w:val="auto"/>
              </w:rPr>
            </w:pPr>
          </w:p>
        </w:tc>
      </w:tr>
      <w:tr>
        <w:trPr>
          <w:trHeight w:val="155"/>
        </w:trPr>
        <w:tc>
          <w:tcPr>
            <w:tcW w:w="28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March 31, 2020</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40,588,004</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4,059</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179,156,620</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(146,154,185)</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33,006,494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ind w:left="240"/>
              <w:spacing w:after="0"/>
              <w:rPr>
                <w:sz w:val="20"/>
                <w:szCs w:val="20"/>
                <w:color w:val="auto"/>
              </w:rPr>
            </w:pPr>
            <w:r>
              <w:rPr>
                <w:rFonts w:ascii="Arial" w:cs="Arial" w:eastAsia="Arial" w:hAnsi="Arial"/>
                <w:sz w:val="14"/>
                <w:szCs w:val="14"/>
                <w:color w:val="auto"/>
              </w:rPr>
              <w:t>Issuance of warrants</w:t>
            </w: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880" w:type="dxa"/>
            <w:vAlign w:val="bottom"/>
            <w:vMerge w:val="continue"/>
          </w:tcPr>
          <w:p>
            <w:pPr>
              <w:spacing w:after="0"/>
              <w:rPr>
                <w:sz w:val="12"/>
                <w:szCs w:val="12"/>
                <w:color w:val="auto"/>
              </w:rPr>
            </w:pPr>
          </w:p>
        </w:tc>
        <w:tc>
          <w:tcPr>
            <w:tcW w:w="10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9,592</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9,592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8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Stock-based compensation</w:t>
            </w:r>
          </w:p>
        </w:tc>
        <w:tc>
          <w:tcPr>
            <w:tcW w:w="10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308,341</w:t>
            </w:r>
          </w:p>
        </w:tc>
        <w:tc>
          <w:tcPr>
            <w:tcW w:w="2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308,341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ind w:left="240"/>
              <w:spacing w:after="0"/>
              <w:rPr>
                <w:sz w:val="20"/>
                <w:szCs w:val="20"/>
                <w:color w:val="auto"/>
              </w:rPr>
            </w:pPr>
            <w:r>
              <w:rPr>
                <w:rFonts w:ascii="Arial" w:cs="Arial" w:eastAsia="Arial" w:hAnsi="Arial"/>
                <w:sz w:val="14"/>
                <w:szCs w:val="14"/>
                <w:color w:val="auto"/>
              </w:rPr>
              <w:t>Net and comprehensive income</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9,276,032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9,276,032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June 30, 2020</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40,588,004</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4,059</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179,474,553</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(136,878,153)</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42,600,459</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62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gridSpan w:val="4"/>
          </w:tcPr>
          <w:p>
            <w:pPr>
              <w:jc w:val="right"/>
              <w:ind w:right="70"/>
              <w:spacing w:after="0"/>
              <w:rPr>
                <w:sz w:val="20"/>
                <w:szCs w:val="20"/>
                <w:color w:val="auto"/>
              </w:rPr>
            </w:pPr>
            <w:r>
              <w:rPr>
                <w:rFonts w:ascii="Arial" w:cs="Arial" w:eastAsia="Arial" w:hAnsi="Arial"/>
                <w:sz w:val="18"/>
                <w:szCs w:val="18"/>
                <w:i w:val="1"/>
                <w:iCs w:val="1"/>
                <w:color w:val="auto"/>
              </w:rPr>
              <w:t>(unaudited)</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and comprehensive (loss) income</w:t>
            </w:r>
          </w:p>
        </w:tc>
        <w:tc>
          <w:tcPr>
            <w:tcW w:w="8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(8,849,674)</w:t>
            </w:r>
          </w:p>
        </w:tc>
        <w:tc>
          <w:tcPr>
            <w:tcW w:w="5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5,357,369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240"/>
              <w:spacing w:after="0"/>
              <w:rPr>
                <w:sz w:val="20"/>
                <w:szCs w:val="20"/>
                <w:color w:val="auto"/>
              </w:rPr>
            </w:pPr>
            <w:r>
              <w:rPr>
                <w:rFonts w:ascii="Arial" w:cs="Arial" w:eastAsia="Arial" w:hAnsi="Arial"/>
                <w:sz w:val="18"/>
                <w:szCs w:val="18"/>
                <w:color w:val="auto"/>
              </w:rPr>
              <w:t>Adjustments to reconcile net and comprehensive (loss) income</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380"/>
              <w:spacing w:after="0"/>
              <w:rPr>
                <w:sz w:val="20"/>
                <w:szCs w:val="20"/>
                <w:color w:val="auto"/>
              </w:rPr>
            </w:pPr>
            <w:r>
              <w:rPr>
                <w:rFonts w:ascii="Arial" w:cs="Arial" w:eastAsia="Arial" w:hAnsi="Arial"/>
                <w:sz w:val="18"/>
                <w:szCs w:val="18"/>
                <w:color w:val="auto"/>
              </w:rPr>
              <w:t>to net cash used in operating activities:</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Depreciation</w:t>
            </w:r>
          </w:p>
        </w:tc>
        <w:tc>
          <w:tcPr>
            <w:tcW w:w="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28,453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480"/>
              <w:spacing w:after="0"/>
              <w:rPr>
                <w:sz w:val="20"/>
                <w:szCs w:val="20"/>
                <w:color w:val="auto"/>
              </w:rPr>
            </w:pPr>
            <w:r>
              <w:rPr>
                <w:rFonts w:ascii="Arial" w:cs="Arial" w:eastAsia="Arial" w:hAnsi="Arial"/>
                <w:sz w:val="18"/>
                <w:szCs w:val="18"/>
                <w:color w:val="auto"/>
              </w:rPr>
              <w:t>Loss on disposal of assets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93,285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Stock-based compensation</w:t>
            </w:r>
          </w:p>
        </w:tc>
        <w:tc>
          <w:tcPr>
            <w:tcW w:w="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902,979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480"/>
              <w:spacing w:after="0"/>
              <w:rPr>
                <w:sz w:val="20"/>
                <w:szCs w:val="20"/>
                <w:color w:val="auto"/>
              </w:rPr>
            </w:pPr>
            <w:r>
              <w:rPr>
                <w:rFonts w:ascii="Arial" w:cs="Arial" w:eastAsia="Arial" w:hAnsi="Arial"/>
                <w:sz w:val="18"/>
                <w:szCs w:val="18"/>
                <w:color w:val="auto"/>
              </w:rPr>
              <w:t>Consulting expenses related to warrants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480"/>
              <w:spacing w:after="0"/>
              <w:rPr>
                <w:sz w:val="20"/>
                <w:szCs w:val="20"/>
                <w:color w:val="auto"/>
              </w:rPr>
            </w:pPr>
            <w:r>
              <w:rPr>
                <w:rFonts w:ascii="Arial" w:cs="Arial" w:eastAsia="Arial" w:hAnsi="Arial"/>
                <w:sz w:val="18"/>
                <w:szCs w:val="18"/>
                <w:color w:val="auto"/>
              </w:rPr>
              <w:t>Prepaid research and development contracts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510,177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current assets</w:t>
            </w:r>
          </w:p>
        </w:tc>
        <w:tc>
          <w:tcPr>
            <w:tcW w:w="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1,025,452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491,704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395,753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(238,797)</w:t>
            </w:r>
          </w:p>
        </w:tc>
        <w:tc>
          <w:tcPr>
            <w:tcW w:w="0" w:type="dxa"/>
            <w:vAlign w:val="bottom"/>
          </w:tcPr>
          <w:p>
            <w:pPr>
              <w:spacing w:after="0"/>
              <w:rPr>
                <w:sz w:val="1"/>
                <w:szCs w:val="1"/>
                <w:color w:val="auto"/>
              </w:rPr>
            </w:pPr>
          </w:p>
        </w:tc>
      </w:tr>
      <w:tr>
        <w:trPr>
          <w:trHeight w:val="223"/>
        </w:trPr>
        <w:tc>
          <w:tcPr>
            <w:tcW w:w="6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5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(5,893,575)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6,351,946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Purchase of furniture and equipment</w:t>
            </w:r>
          </w:p>
        </w:tc>
        <w:tc>
          <w:tcPr>
            <w:tcW w:w="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(12,198)</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480"/>
              <w:spacing w:after="0"/>
              <w:rPr>
                <w:sz w:val="20"/>
                <w:szCs w:val="20"/>
                <w:color w:val="auto"/>
              </w:rPr>
            </w:pPr>
            <w:r>
              <w:rPr>
                <w:rFonts w:ascii="Arial" w:cs="Arial" w:eastAsia="Arial" w:hAnsi="Arial"/>
                <w:sz w:val="18"/>
                <w:szCs w:val="18"/>
                <w:color w:val="auto"/>
                <w:w w:val="98"/>
              </w:rPr>
              <w:t>Proceeds from issuance of common stock upon exercise of stock options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80,468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Proceeds from issuance of common stock upon exercise of warrants</w:t>
            </w:r>
          </w:p>
        </w:tc>
        <w:tc>
          <w:tcPr>
            <w:tcW w:w="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24,300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104,768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(5,788,807)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6,339,748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5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42,604,935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38,524,536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six months ended</w:t>
            </w:r>
          </w:p>
        </w:tc>
        <w:tc>
          <w:tcPr>
            <w:tcW w:w="5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36,816,128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44,864,284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Aerpio Pharmaceuticals, Inc. (the “Company” or “Aerpio”) is a biopharmaceutical company focused on developing compounds that activate Tie2 as well as other indications in which the Company believes that activation of Tie2 may have therapeutic potential. The Company was incorporated as Zeta Acquisition Corp. II (“Zeta”) in the State of Delaware on November 16, 2007. Zeta was a “shell company” (as defined in Rule 12b-2 of the Securities Exchange Act of 1934, as amended).</w:t>
      </w:r>
    </w:p>
    <w:p>
      <w:pPr>
        <w:spacing w:after="0" w:line="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December 2020, the Company announced the topline results from the Phase 2 clinical trial of razuprotafib (formerly known as AKB-9778), a small molecule vascular endothelial protein tyrosine phosphatase (“VE-PTP”) inhibitor. The double-blind, placebo controlled Phase 2 study, in patients with elevated intraocular pressure (“IOP”) associated with open angle glaucoma or ocular hypertension, met its primary efficacy endpoint with its twice-daily dosing group; however, the IOP decrease was not at a level deemed sufficient to move to Phase 3 development. As a result, the Company initiated a process to explore a range of strategic alternatives focused on maximizing stockholder value from our clinical assets and cash resources. As part of this process, the Company explored strategic options for partnering our programs, as well as the potential for an acquisition, company sale, merger, business combination, asset sale, in-license, out-license or other strategic transaction. Ladenburg Thalmann &amp; Co. Inc. and Duane Nash, M.D., J.D., M.B.A., were retained with respect to the strategic review process. There can be no assurance that this exploration of strategic alternatives will result in the Company entering or completing any transaction.</w:t>
      </w:r>
    </w:p>
    <w:p>
      <w:pPr>
        <w:spacing w:after="0" w:line="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May 16, 2021, the Company entered into an agreement and plan of merger (“Merger Agreement”) with Aadi Bioscience, Inc. (“Aadi”), a Delaware corporation, and Aspen Merger Subsidiary, Inc. (“Merger Sub”), a Delaware corporation and a direct, wholly-owned subsidiary of the Company, pursuant to which, subject to the satisfaction or waiver of the conditions set forth in the Merger Agreement, Merger Sub will merge with and into Aadi, with Aadi surviving as a wholly-owned subsidiary of the Company (the “Merger”). If the Merger is completed, the business of Aadi will continue as the business of the combined company.</w:t>
      </w:r>
    </w:p>
    <w:p>
      <w:pPr>
        <w:spacing w:after="0" w:line="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Merger Agreement was approved by the members of the board of directors of the Company (the “Board”) and the Board resolved to recommend approval of the Merger Agreement to the Company’s shareholders.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Merger Agreement, the Company has entered into subscription agreements to raise an aggregate amount of $155.0 million in a Private Investment in Public Equity (“PIPE”) financing in shares of common stock and pre-funded warrants to purchase Aerpio common stock. The PIPE financing is expected to be consummated concurrently with the closing of the Merger, subject to customary closing conditions, and is contingent on the closing of the Merger.</w:t>
      </w:r>
    </w:p>
    <w:p>
      <w:pPr>
        <w:spacing w:after="0" w:line="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Merger is expected to close in the second half of 2021. The closing of the Merger is subject to approval of the Company's shareholders and the satisfaction of certain closing conditions, including, among others, obtaining the requisite approval of the stockholders of Aerpio, Aerpio’s cash and cash equivalents maintaining a balance equal to or greater than $10.0 million and the completion of the PIPE financing. The Merger is intended to qualify as a tax-free reorganization for U.S. federal income tax purposes.</w:t>
      </w:r>
    </w:p>
    <w:p>
      <w:pPr>
        <w:spacing w:after="0" w:line="7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If the Company is unable to satisfy the closing conditions in Aadi’s favor or if other applicable closing conditions are not satisfied, Aadi will not be obligated to complete the Merger. The Merger Agreement provides Aerpio and Aadi with specified termination rights, and further provides that, upon termination of the Merger Agreement under specified circumstances, Aerpio may be required to pay the Aadi a termination fee of $2.0 million. In addition, in connection with certain terminations of the Merger Agreement, Aerpio may be required to pay Aadi’s out-of-pocket fees and expenses up to $750,000.</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Merger is consummated, on a pro forma basis, current shareholders of Aadi will own approximately 66.8% and current shareholders of the Company will own approximately 33.2% of the combined company upon the closing of the Merger, without giving effect to the proposed PIPE. Following the closing of the anticipated PIPE financing, the former Aadi shareholders are expected to own approximately 29.6% of the outstanding shares of Aerpio common stock, on a fully-diluted basis, the shareholders of Aerpio (as of immediately prior to the closing of the Merger) are expected to own approximately 14.7% of the outstanding shares of Aerpio common stock, on a fully-diluted basis, and the PIPE investors are expected to own approximately 55.7% of the outstanding shares of Aerpio common stock, on a fully-diluted basis.</w:t>
      </w:r>
    </w:p>
    <w:p>
      <w:pPr>
        <w:spacing w:after="0" w:line="8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Merger Agreement contemplates that, at or prior to the effective time of the Merger (the “Effective Time”), Aerpio, the Holder Representative (as defined therein) and the Rights Agent (as defined therein) will execute and deliver a contingent value rights agreement (the “CVR Agreement”), pursuant to which each holder of Aerpio common stock as of immediately prior to the Effective Time shall be entitled to one contractual contingent value right issued by Aerpio, subject to and in accordance with the terms and conditions of the CVR Agreement, for each share of Aerpio common stock held by such holder. The contingent value rights are not transferable, except in certain limited circumstances as will be provided in the CVR Agreement, will not be certificated or evidenced by any instrument and will not be registered with the SEC or listed for trading on any exchange.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spacing w:after="0" w:line="293" w:lineRule="auto"/>
        <w:rPr>
          <w:sz w:val="20"/>
          <w:szCs w:val="20"/>
          <w:color w:val="auto"/>
        </w:rPr>
      </w:pPr>
      <w:r>
        <w:rPr>
          <w:rFonts w:ascii="Arial" w:cs="Arial" w:eastAsia="Arial" w:hAnsi="Arial"/>
          <w:sz w:val="16"/>
          <w:szCs w:val="16"/>
          <w:color w:val="auto"/>
        </w:rPr>
        <w:t>In January 2021, the Company executed a realignment plan to reduce operating costs and better align our workforce with the needs of its ongoing business. The realignment plan reduced the Company’s workforce by seven employees, representing approximately 58% of its workforce. As a result of this realignment plan, the Company incurred a one-time employee related severance expenses of approximately $1.2 million in the first six months of 2021 and anticipates the majority of the one-time employee severance liability to be paid during 2021. The final payment of the severance liability in connection with the realignment plan is subject to a number of assumptions, actual results may differ from the original estimate. Additionally, the Company may also incur additional costs not currently contemplated due to events that may occur as a result of, or that are associated with, the realignment plan.</w:t>
      </w:r>
    </w:p>
    <w:p>
      <w:pPr>
        <w:spacing w:after="0" w:line="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to razuprotafib, the Company has the following clinical programs for which the Company is actively exploring partnerships, collaborations and other strategic options: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Acute Respiratory Distress Syndrome: </w:t>
      </w:r>
      <w:r>
        <w:rPr>
          <w:rFonts w:ascii="Arial" w:cs="Arial" w:eastAsia="Arial" w:hAnsi="Arial"/>
          <w:sz w:val="16"/>
          <w:szCs w:val="16"/>
          <w:color w:val="auto"/>
        </w:rPr>
        <w:t>Based on results in preclinical studies and observations in patients in TIME-2 and TIME-2b trials,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believed that a vascular endothelial receptor, Tie2, may play a pivotal role in the defense against microvascular breach in Acute Respiratory Distress Syndrome (“ARDS”) and have therapeutic potential for the treatment of COVID-19 associated ARDS. During 2020, the Company initiated two Phase 2 trials to evaluate subcutaneous razuprotafib for the prevention and treatment of ARDS in adult patients with moderate to severe COVID-19 (“RESCUE”) and critical COVID-19 (“I-SPY”). In January 2021, the Data Monitoring Committee recommended discontinuation of razuprotafib in the I-SPY trial after 21 patients due to the complexity of monitoring patients in the setting of a surge in ICU patients. For the RESCUE trial, the Company decided to stop recruiting in February 2021 after the first 31 patients were enrolled based on challenges recruiting and monitoring patients in the current pandemic environment. Based on topline data for the RESCUE trial, there was a mechanism-based, dose-dependent reduction of blood pressure which was not associated with other adverse events. There was an apparent dose-dependent decrease in Angiopoietin 2 (“Ang2”) that would be consistent with the Tie2 activation mechanism. The efficacy of razuprotafib could not be fully assessed due to the limited number of patients treated in the drug and standard of care arms. At the 28 day study endpoint, there were an equal number of deaths in each group (one per group). Further analysis of the full data set is ongoing. There were no apparent safety signals associated with dosing COVID-19 patients in either trial and we plan to further analyze the data to assess trends in efficacy and biomarkers. All clinical activity related to the RESCUE trial was substantially complete as of June 30, 2021.</w:t>
      </w:r>
    </w:p>
    <w:p>
      <w:pPr>
        <w:spacing w:after="0" w:line="6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Diabetic Kidney Disease: </w:t>
      </w:r>
      <w:r>
        <w:rPr>
          <w:rFonts w:ascii="Arial" w:cs="Arial" w:eastAsia="Arial" w:hAnsi="Arial"/>
          <w:sz w:val="18"/>
          <w:szCs w:val="18"/>
          <w:color w:val="auto"/>
        </w:rPr>
        <w:t>In two consecutive trials, TIME-2 and TIME-2b, subcutaneous razuprotafib showed reduction in Urine Albumin-Creatinine</w:t>
      </w:r>
      <w:r>
        <w:rPr>
          <w:rFonts w:ascii="Arial" w:cs="Arial" w:eastAsia="Arial" w:hAnsi="Arial"/>
          <w:sz w:val="18"/>
          <w:szCs w:val="18"/>
          <w:i w:val="1"/>
          <w:iCs w:val="1"/>
          <w:color w:val="auto"/>
        </w:rPr>
        <w:t xml:space="preserve"> </w:t>
      </w:r>
      <w:r>
        <w:rPr>
          <w:rFonts w:ascii="Arial" w:cs="Arial" w:eastAsia="Arial" w:hAnsi="Arial"/>
          <w:sz w:val="18"/>
          <w:szCs w:val="18"/>
          <w:color w:val="auto"/>
        </w:rPr>
        <w:t>Ratio (“UACR”), a measure of progression of diabetic kidney disease. The Company believes that systemic treatment with razuprotafib could have the potential to change the treatment paradigm for diabetics in the future and potentially address a major societal problem by lowering the cost of care associated generally with diabetes.</w:t>
      </w:r>
    </w:p>
    <w:p>
      <w:pPr>
        <w:spacing w:after="0" w:line="7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ARP-1536 and Bi-Specific Antibody: </w:t>
      </w:r>
      <w:r>
        <w:rPr>
          <w:rFonts w:ascii="Arial" w:cs="Arial" w:eastAsia="Arial" w:hAnsi="Arial"/>
          <w:sz w:val="17"/>
          <w:szCs w:val="17"/>
          <w:color w:val="auto"/>
        </w:rPr>
        <w:t>ARP-1536, the humanized monoclonal antibody directed at the same target as subcutaneous razuprotafib, is in</w:t>
      </w:r>
      <w:r>
        <w:rPr>
          <w:rFonts w:ascii="Arial" w:cs="Arial" w:eastAsia="Arial" w:hAnsi="Arial"/>
          <w:sz w:val="17"/>
          <w:szCs w:val="17"/>
          <w:i w:val="1"/>
          <w:iCs w:val="1"/>
          <w:color w:val="auto"/>
        </w:rPr>
        <w:t xml:space="preserve"> </w:t>
      </w:r>
      <w:r>
        <w:rPr>
          <w:rFonts w:ascii="Arial" w:cs="Arial" w:eastAsia="Arial" w:hAnsi="Arial"/>
          <w:sz w:val="17"/>
          <w:szCs w:val="17"/>
          <w:color w:val="auto"/>
        </w:rPr>
        <w:t>preclinical development. The Company is evaluating development options for ARP-1536, including subcutaneous injection for the treatment of diabetic vascular complications, e.g., diabetic nephropathy and intravitreal injection as an adjunctive therapy for diabetic macular edema. The Company is also developing a bispecific antibody that binds both vascular endothelial growth factor (“VEGF”) and VE-PTP which is designed to inhibit VEGF activation and activate Tie2. The Company believes this bispecific antibody has the potential to be an improved treatment for wet aged-related macular degeneration (“AMD”) and diabetic macular edema via intravitreal injection.</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2018, the Company licensed AKB-4924 (now GB004), a selective stabilizer of hypoxia-inducible factor-1 alpha (“HIF-1 alpha”) to a wholly-owned subsidiary of Gossamer Bio, Inc., GB004, Inc. ( “Gossamer”), which is being developed for the treatment of inflammatory bowel disease (“IBD”). HIF-1 alpha is involved in mucosal wound healing and the reduction of inflammation in the gastrointestinal tract. Gossamer completed the Phase 1b clinical trial in ulcerative colitis (“UC”) patients and reported results during the second quarter of 2020. Gossamer has announced that, subject to developments in the ongoing COVID-19 pandemic, it initiated a 12-week Phase 2 study of GB004 in patients with mild-to-moderate UC during the second half of 2020.</w:t>
      </w:r>
    </w:p>
    <w:p>
      <w:pPr>
        <w:spacing w:after="0" w:line="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May 2020, the Company received a one-time payment of $15.0 million pursuant to an amendment to its license agreement with Gossamer resulting in a reduction in future potential milestone payments and tiered royalty rates over the life of the license agreement. Gossamer is responsible for all remaining development and commercial activities for GB004.</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operations to date have been limited to organizing and staffing the Company, business planning, raising capital, acquiring and developing its technology, identifying potential product candidates and undertaking preclinical and clinical studies. The Company’s revenue has been primarily limited to license revenue from Gossamer. Future revenue is dependent on the terms of the license agreement with Gossamer as further described in Note 10. The Company’s product candidates are subject to long development cycles and there is no assurance the Company will be able to successfully develop, obtain regulatory approval for, or market its product candidates.</w:t>
      </w:r>
    </w:p>
    <w:p>
      <w:pPr>
        <w:spacing w:after="0" w:line="8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Company is subject to a number of risks similar to other life science companies in the current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the Company’s products that are approved, and protection of proprietary technology. If the Company does not successfully commercialize any of its products or mitigate any of these other risks, it will be unable to generate revenue or achieve profitability.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 w:name="page11"/>
    <w:bookmarkEnd w:id="10"/>
    <w:p>
      <w:pPr>
        <w:ind w:right="20"/>
        <w:spacing w:after="0" w:line="279" w:lineRule="auto"/>
        <w:rPr>
          <w:sz w:val="20"/>
          <w:szCs w:val="20"/>
          <w:color w:val="auto"/>
        </w:rPr>
      </w:pPr>
      <w:r>
        <w:rPr>
          <w:rFonts w:ascii="Arial" w:cs="Arial" w:eastAsia="Arial" w:hAnsi="Arial"/>
          <w:sz w:val="17"/>
          <w:szCs w:val="17"/>
          <w:color w:val="auto"/>
        </w:rPr>
        <w:t>Excluding the one-time payments from Gossamer, the Company incurred losses from operations and had a negative cash flows from operating activities for the six months ended June 30, 2021 and 2020 (and since inception). As of June 30, 2021, the Company’s cash and cash equivalents were approximately $36.8 million. Based on its current operating plan, and absent any future financings or strategic partnerships, the Company believes its existing cash and cash equivalents will be sufficient to fund its current operating plan through the fourth quarter of 2022.</w:t>
      </w:r>
    </w:p>
    <w:p>
      <w:pPr>
        <w:spacing w:after="0" w:line="6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COVID-19 has resulted, and may continue to result, in significant governmental measures being implemented to control the spread of the virus through quarantines, travel restrictions, heightened border security and other measures. While the Company cannot predict the scope and severity, these developments and measures could materially and adversely affect its business and its financial condition. In addition, in response to the continuing spread of COVID-19, the Company has kept its executive offices closed with its employees continuing their work outside of the office. The Company is closely monitoring the impact of COVID-19 on all aspects of its business and is taking steps to minimize the impact on its business. However, the extent to which COVID-19 ultimately impacts the Company’s business, results of operations or financial condition will depend on future developments, which despite progress in vaccination efforts, remain highly uncertain and cannot be predicted with confidence, such as the duration of the COVID-19 pandemic, new strains of the virus which may impact rates of infection and vaccination efforts, developments or perceptions regarding the safety of vaccines, new information that may emerge, and any additional preventative and protective actions that governments, or we, may direct, which may result in extending ongoing business disruptions and reduced operations. If the Company or any of the third parties with whom it engages were to experience additional shutdowns or other prolonged business disruptions, the Company’s ability to conduct its business in the manner and on the timelines presently planned could have a material adverse impact on the Company’s business, results of operation and financial condition. In addition, a recurrence of COVID-19 cases could cause other widespread or more severe impacts depending on where infection rates are highest. The Company will continue to monitor the latest developments as it deals with the disruptions and uncertainties relating to the COVID-19 pandemic, including the pace of vaccinations and the emergence of new and more contagious strains of the virus, and any resulting impact on our business, financial condition, results of operations and prospects. Any resulting financial impact cannot be reasonably estimated at this time and may have a material adverse impact on our business, financial condition and results of operations.</w:t>
      </w:r>
    </w:p>
    <w:p>
      <w:pPr>
        <w:spacing w:after="0" w:line="228" w:lineRule="exact"/>
        <w:rPr>
          <w:sz w:val="20"/>
          <w:szCs w:val="20"/>
          <w:color w:val="auto"/>
        </w:rPr>
      </w:pPr>
    </w:p>
    <w:p>
      <w:pPr>
        <w:ind w:right="768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89" w:lineRule="auto"/>
        <w:rPr>
          <w:sz w:val="20"/>
          <w:szCs w:val="20"/>
          <w:color w:val="auto"/>
        </w:rPr>
      </w:pPr>
      <w:r>
        <w:rPr>
          <w:rFonts w:ascii="Arial" w:cs="Arial" w:eastAsia="Arial" w:hAnsi="Arial"/>
          <w:sz w:val="16"/>
          <w:szCs w:val="16"/>
          <w:color w:val="auto"/>
        </w:rPr>
        <w:t>The unaudited condensed consolidated financial statements have been prepared in accordance with U.S. Securities and Exchange Commission (“SEC”) regulations and include all of the information and disclosures required by U.S. generally accepted accounting principles (“U.S. GAAP” or “GAAP”) for interim financial reporting,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U.S. GAAP as found in the Accounting Standards Codification (“ASC”) and Accounting Standards Updates (“ASU”) of the Financial Accounting Standards Board (“FASB”). All adjustments are of a normal and recurring in nature. These unaudited condensed consolidated financial statements should be read in conjunction with the consolidated financial statements of the Company as of and for the year ended December 31, 2020, included in the Company’s Annual Report on Form 10-K filed with the SEC on March 11, 2021. The results of operations for the interim periods are not necessarily indicative of results of operations for a full year. The Company’s condensed consolidated financial statements are stated in U.S. Dollars.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proprietary therapeutics. All the assets and operations of the Company’s sole operating segment are located in the United States.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stock-based compensation expense, revenue recognition and income taxes.</w:t>
      </w:r>
    </w:p>
    <w:p>
      <w:pPr>
        <w:spacing w:after="0" w:line="72"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Company’s results can also be affected by economic conditions, global health concerns, such as the COVID-19, and political, legislative, regulatory and legal actions. Economic conditions, such as recessionary trends, inflation, interest and monetary exchange rates, government fiscal policies, and changes in the prices of research studies, can have a significant effect on operations. While the Company maintains reserves for anticipated liabilities and carries various levels of insurance, the Company could be affected by civil, criminal, regulatory or administrative actions, claims or proceedings.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Cash and cash equivalents consist of all cash on hand and short-term certificates of deposits with original maturities of three months or less at the time of purchase. At June 30, 2021 and December 31, 2020, the Company’s cash equivalents are primarily held in money market funds. The Company maintains balances with its banks in excess of federally insured limits.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the inception of an arrangement, the Company evaluates if a counterparty to a contract is a customer, if the arrangement is within the scope of revenue from contracts with customers guidance and the term of the contract. The Company recognizes revenue when its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As part of the accounting for contracts with customers, the Company must develop assumptions that require judgment to determine the standalone selling price of each performance obligation identified in the contract. The Company then allocates the total transaction price to each performance obligation based on the estimated standalone selling prices of each performance obligation. The Company recognizes the amount of the transaction price as revenue that is allocated to the respective performance obligation when the performance obligation is satisfied or as it is satisfied.</w:t>
      </w:r>
    </w:p>
    <w:p>
      <w:pPr>
        <w:spacing w:after="0" w:line="6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enters into collaboration arrangements, under which it licenses certain rights to its intellectual property to third parties. The terms of these agreements may include payment to the Company of one or more of the following: nonrefundable upfront license fees; development, sale and commercial milestone payments and royalties on net sales of licensed products. Each of these types of payments are classified as license revenue except for revenue from royalties on net sales of licensed products, which are classified as royalty revenue, if received.</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each collaboration agreement that results in revenues, the Company identifies all material promised goods and services, which may include a license to intellectual property, research and development activities and/or transition activities. Promised goods or services are considered to be separate performance obligations if they are distinct. In order to determine the transaction price to be allocated to each performance obligation,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 consideration such that it is probable that a significant reversal of previously recognized revenue will not occur throughout the life of the contract. When 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2" w:name="page13"/>
    <w:bookmarkEnd w:id="12"/>
    <w:p>
      <w:pPr>
        <w:ind w:right="80"/>
        <w:spacing w:after="0" w:line="271" w:lineRule="auto"/>
        <w:rPr>
          <w:sz w:val="20"/>
          <w:szCs w:val="20"/>
          <w:color w:val="auto"/>
        </w:rPr>
      </w:pPr>
      <w:r>
        <w:rPr>
          <w:rFonts w:ascii="Arial" w:cs="Arial" w:eastAsia="Arial" w:hAnsi="Arial"/>
          <w:sz w:val="17"/>
          <w:szCs w:val="17"/>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(“SSP”) in order to account for these agreements. To determine the standalone selling price the Company’s assumptions may include (i) assumptions regarding the probability of obtaining marketing approval for the drug candidate; (ii) estimates regarding the timing of and the expected costs to develop and commercialize the drug candidate; (iii) estimates of future cash flows from potential product sales with respect to the drug candidate; and (iv) appropriate discount and tax rates. Standalone selling prices used to perform the initial allocation are not updated after contract inception. The Company does not include a financing component to its estimated transaction price at contract inception unless it estimates that certain performance obligations will not be satisfied within one year.</w:t>
      </w:r>
    </w:p>
    <w:p>
      <w:pPr>
        <w:spacing w:after="0" w:line="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Upfront License and Amendment License Fees: </w:t>
      </w:r>
      <w:r>
        <w:rPr>
          <w:rFonts w:ascii="Arial" w:cs="Arial" w:eastAsia="Arial" w:hAnsi="Arial"/>
          <w:sz w:val="16"/>
          <w:szCs w:val="16"/>
          <w:color w:val="auto"/>
        </w:rPr>
        <w:t>If a license to the Company’s intellectual property is determined to be distinct from the other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identified in the arrangement, the Company recognizes revenues from nonrefundable, upfront (or one-time) license and amendment license fees based on the relative value prescribed to the license compared to the total value of the arrangement. The revenue is recognized when the cash is received or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license fees. The Company evaluates the measure of progress each reporting period and, if necessary, adjusts the measure of performance and related revenue recognition.</w:t>
      </w:r>
    </w:p>
    <w:p>
      <w:pPr>
        <w:spacing w:after="0" w:line="57"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Development Milestone Payments: </w:t>
      </w:r>
      <w:r>
        <w:rPr>
          <w:rFonts w:ascii="Arial" w:cs="Arial" w:eastAsia="Arial" w:hAnsi="Arial"/>
          <w:sz w:val="17"/>
          <w:szCs w:val="17"/>
          <w:color w:val="auto"/>
        </w:rPr>
        <w:t>Depending on facts and circumstances, the Company may conclude it is appropriate to include the milestone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transaction price using the most likely amount method or it is appropriate to fully constrain the milestone. A milestone payment is included in the transaction price in the reporting period the Company concludes that it is probable that recording revenue in the period will not result in a significant reversal in amounts recognized in future periods. The Company may record revenues from certain milestones in a reporting period before the milestone is achieved if the Company concludes that achievement of the milestone is probable and that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These milestones remain fully constrained until the Company concludes that achievement of the milestone is probable and recognition of revenue related to the milestone will not result in a significant reversal in amounts recognized in future periods. The Company re-evaluates the probability of achievement of such development milestones and any related constraint each reporting period. The Company adjusts its estimate of the overall transaction price, including the amount of collaborative revenue that it has recorded, if necessary.</w:t>
      </w:r>
    </w:p>
    <w:p>
      <w:pPr>
        <w:spacing w:after="0" w:line="7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Sales-based Milestone and Royalty Payments: </w:t>
      </w:r>
      <w:r>
        <w:rPr>
          <w:rFonts w:ascii="Arial" w:cs="Arial" w:eastAsia="Arial" w:hAnsi="Arial"/>
          <w:sz w:val="18"/>
          <w:szCs w:val="18"/>
          <w:color w:val="auto"/>
        </w:rPr>
        <w:t>The Company’s collaborators may be required to pay the Company sales-based milestone payments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license to the Company’s intellectual property is deemed to be the predominant item to which the sales-based milestones and/or royalties relate.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Other income represents reimbursed internal and external qualified expenses, per the terms of the U.S. Government operating through Medical Technology Enterprise Consortium (“MTEC”) arrangement. The reimbursable qualified expenses were incurred in conjunction with the RESCUE trial and the potential of subcutaneous razuprotafib for the prevention and treatment of ARDS in adult patients with moderate to severe COVID-19. The Company recorded $0.4 million and $1.5 million as other income during the three and six months ended June 30, 2021, respectively. No similar arrangements existed in the prior year.</w:t>
      </w:r>
    </w:p>
    <w:p>
      <w:pPr>
        <w:spacing w:after="0" w:line="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Other income is recorded, and costs are generally reimbursed, in the period the internal or external qualified clinical trial expenses are incurred, and paid,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 consists of (i) employee-related expenses, including salaries, benefits, travel and stock-based compensation expense; (ii) external research and development expenses incurred under arrangements with third parties, such as contract research organizations and consultants; (iii) the cost of acquiring, developing and manufacturing clinical study materials; and (iv) costs associated with clinical, preclinical and regulatory activities.</w:t>
      </w:r>
    </w:p>
    <w:p>
      <w:pPr>
        <w:spacing w:after="0" w:line="7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enters into consulting, research, and other agreements with commercial firms, researchers, universities and others for the provision of goods and services. Under such agreements, the Company may pay for services on a monthly, quarterly, project or other basis. Such arrangements are generally cancellable upon reasonable notice and payment of costs incurred. Costs are considered incurred based on an evaluation of the progress to completion of specific tasks under each contract using information and data provided to the Company by its clinical sites and vendors. These costs consist of direct and indirect costs associated with specific projects, as well as fees paid to various entities that perform certain research on behalf of the Company.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in connection with the application for and issuances of patents are expensed as incurred.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Income taxes are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consolidated financial statements or tax returns. Deferred tax assets and liabilities are determined based on the difference between the consolidated financial statement and tax bases of assets and liabilities and for loss and credit carryforwards using enacted tax rates anticipated to be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June 30, 2021 and December 31, 2020, the Company does not have any uncertain tax positions. The Company recognizes interest and penalties related to uncertain tax positions, if any exist, in income tax expense.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and Comprehensive (Loss) Income per Share Attributable to Common Stockholders</w:t>
      </w:r>
    </w:p>
    <w:p>
      <w:pPr>
        <w:spacing w:after="0" w:line="1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Company’s basic net and comprehensive (loss) income per share attributable to common stockholders is calculated by dividing the net and comprehensive (loss) income by the weighted average number of shares of common stock outstanding for the period. The diluted net and comprehensive (loss) income per share attributable to common stockholders is computed by adjusting the weighted average shares outstanding for the dilutive effect of common stock equivalents outstanding for the period, determined using the treasury stock method.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The Company accounts for its stock-based compensation awards in accordance with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ASC 718 requires all stock-based payments to employees, including grants of employee stock options, to be recognized in the consolidated statements of operations and comprehensive (loss) income based on their fair values. All the Company’s stock-based awards are subject only to service-based vesting conditions. The Company estimates the fair value of its stock-based awards using the Black-Scholes option pricing model, which requires the input of assumptions, including (a) the expected stock price volatility, (b) the calculation of expected term of the award, (c) the risk-free interest rate and (d) expected dividends.</w:t>
      </w:r>
    </w:p>
    <w:p>
      <w:pPr>
        <w:spacing w:after="0" w:line="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Due to the historical lack of a public market for the trading of the Company’s common stock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6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The Company uses the simplified method as prescribed by the SEC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a treasury instrument whose term is consistent with the expected life of the stock options.</w:t>
      </w:r>
    </w:p>
    <w:p>
      <w:pPr>
        <w:spacing w:after="0" w:line="5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Compensation expense related to awards to employees is calculated on a straight-line basis by recognizing the grant date fair value over the associated service period of the award, which is generally the vesting term.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Company’s financial instruments consist of cash and cash equivalents, accounts payable and accrued expenses. The Company values cash equivalents using quoted market prices. The fair value of accounts payable and accrued expenses approximates its carrying value because of its short-term nature.</w:t>
      </w:r>
    </w:p>
    <w:p>
      <w:pPr>
        <w:spacing w:after="0" w:line="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Company is required to disclose information on all assets and liabilities reported at fair value that enables an assessment of the inputs used in determining the reported fair values.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hierarchy of inputs used in measuring fair value that maximizes the use of observable inputs and minimizes the use of unobservable inputs by requiring that the observable inputs be used when available.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 w:name="page15"/>
    <w:bookmarkEnd w:id="14"/>
    <w:p>
      <w:pPr>
        <w:ind w:right="80"/>
        <w:spacing w:after="0" w:line="257" w:lineRule="auto"/>
        <w:rPr>
          <w:sz w:val="20"/>
          <w:szCs w:val="20"/>
          <w:color w:val="auto"/>
        </w:rPr>
      </w:pPr>
      <w:r>
        <w:rPr>
          <w:rFonts w:ascii="Arial" w:cs="Arial" w:eastAsia="Arial" w:hAnsi="Arial"/>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80" w:lineRule="exact"/>
        <w:rPr>
          <w:sz w:val="20"/>
          <w:szCs w:val="20"/>
          <w:color w:val="auto"/>
        </w:rPr>
      </w:pPr>
    </w:p>
    <w:p>
      <w:pPr>
        <w:ind w:left="880" w:right="22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or liabilities that the Company has the ability to access at the measurement date</w:t>
      </w:r>
    </w:p>
    <w:p>
      <w:pPr>
        <w:spacing w:after="0" w:line="62"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Valuations that require inputs that reflect the Company’s own assumptions that are both significant to the fair value measurement and unobservable</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There were no transfers within the fair value hierarchy during the three or six months ended June 30, 2021 or 2020. The assets of the Company measured at fair value on a recurring basis as of June 30, 2021 and December 31, 2020, are summarized below:</w:t>
      </w:r>
    </w:p>
    <w:p>
      <w:pPr>
        <w:spacing w:after="0" w:line="24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4"/>
                <w:szCs w:val="14"/>
                <w:b w:val="1"/>
                <w:bCs w:val="1"/>
                <w:color w:val="auto"/>
                <w:w w:val="99"/>
              </w:rPr>
              <w:t>Fair Value Measurements Using</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3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30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1000" w:type="dxa"/>
            <w:vAlign w:val="bottom"/>
          </w:tcPr>
          <w:p>
            <w:pPr>
              <w:jc w:val="right"/>
              <w:ind w:right="34"/>
              <w:spacing w:after="0" w:line="155" w:lineRule="exact"/>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June 30, 2021</w:t>
            </w:r>
          </w:p>
        </w:tc>
        <w:tc>
          <w:tcPr>
            <w:tcW w:w="2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96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36,816,128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FF0FC"/>
          </w:tcPr>
          <w:p>
            <w:pPr>
              <w:ind w:left="88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ind w:right="814"/>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shd w:val="clear" w:color="auto" w:fill="CFF0FC"/>
          </w:tcPr>
          <w:p>
            <w:pPr>
              <w:ind w:left="1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ind w:left="180"/>
              <w:spacing w:after="0"/>
              <w:rPr>
                <w:sz w:val="20"/>
                <w:szCs w:val="20"/>
                <w:color w:val="auto"/>
              </w:rPr>
            </w:pPr>
            <w:r>
              <w:rPr>
                <w:rFonts w:ascii="Arial" w:cs="Arial" w:eastAsia="Arial" w:hAnsi="Arial"/>
                <w:sz w:val="18"/>
                <w:szCs w:val="18"/>
                <w:b w:val="1"/>
                <w:bCs w:val="1"/>
                <w:color w:val="auto"/>
                <w:w w:val="88"/>
              </w:rPr>
              <w:t>36,816,128</w:t>
            </w:r>
          </w:p>
        </w:tc>
        <w:tc>
          <w:tcPr>
            <w:tcW w:w="120" w:type="dxa"/>
            <w:vAlign w:val="bottom"/>
            <w:shd w:val="clear" w:color="auto" w:fill="CFF0FC"/>
          </w:tcPr>
          <w:p>
            <w:pPr>
              <w:spacing w:after="0"/>
              <w:rPr>
                <w:sz w:val="19"/>
                <w:szCs w:val="19"/>
                <w:color w:val="auto"/>
              </w:rPr>
            </w:pPr>
          </w:p>
        </w:tc>
      </w:tr>
      <w:tr>
        <w:trPr>
          <w:trHeight w:val="263"/>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36,816,128</w:t>
            </w:r>
          </w:p>
        </w:tc>
        <w:tc>
          <w:tcPr>
            <w:tcW w:w="2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b w:val="1"/>
                <w:bCs w:val="1"/>
                <w:color w:val="auto"/>
                <w:w w:val="88"/>
              </w:rPr>
              <w:t>—</w:t>
            </w:r>
          </w:p>
        </w:tc>
        <w:tc>
          <w:tcPr>
            <w:tcW w:w="24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88"/>
              </w:rPr>
              <w:t>—</w:t>
            </w:r>
          </w:p>
        </w:tc>
        <w:tc>
          <w:tcPr>
            <w:tcW w:w="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w w:val="88"/>
              </w:rPr>
              <w:t>36,816,128</w:t>
            </w:r>
          </w:p>
        </w:tc>
        <w:tc>
          <w:tcPr>
            <w:tcW w:w="120" w:type="dxa"/>
            <w:vAlign w:val="bottom"/>
            <w:tcBorders>
              <w:bottom w:val="single" w:sz="8" w:color="CFF0FC"/>
            </w:tcBorders>
          </w:tcPr>
          <w:p>
            <w:pPr>
              <w:spacing w:after="0"/>
              <w:rPr>
                <w:sz w:val="22"/>
                <w:szCs w:val="22"/>
                <w:color w:val="auto"/>
              </w:rPr>
            </w:pPr>
          </w:p>
        </w:tc>
      </w:tr>
      <w:tr>
        <w:trPr>
          <w:trHeight w:val="21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42,604,935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814"/>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42,604,935</w:t>
            </w:r>
          </w:p>
        </w:tc>
        <w:tc>
          <w:tcPr>
            <w:tcW w:w="120" w:type="dxa"/>
            <w:vAlign w:val="bottom"/>
            <w:shd w:val="clear" w:color="auto" w:fill="CFF0FC"/>
          </w:tcPr>
          <w:p>
            <w:pPr>
              <w:spacing w:after="0"/>
              <w:rPr>
                <w:sz w:val="19"/>
                <w:szCs w:val="19"/>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42,604,935</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42,604,935</w:t>
            </w:r>
          </w:p>
        </w:tc>
        <w:tc>
          <w:tcPr>
            <w:tcW w:w="12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Cash and cash equivalents are the only financial instruments that potentially subject the Company to concentrations of credit risk. At June 30, 2021 and December 31, 2020, the Company maintains its cash and cash equivalents with high-quality, accredited financial institutions and, accordingly, such funds are subject to minimal credit risk. The Company has no significant off-balance sheet concentrations of credit risk, such as foreign currency exchange contracts, option contracts or other hedging arrangements.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 Income</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Comprehensive (loss) income is defined as the change in equity of a business enterprise during a period from transactions and other events and circumstances from non-owner sources, if any. Comprehensive income was recognized for the three and six months ended June 30, 2020 as a result of the $15.0 million received from Gossamer for Amendment No. 1 during the three months ended June 30,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12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Furniture and equipment is stated at cost, less accumulated depreciation. Furniture and equipment is depreciated using the straight-line method over the estimated useful lives of the assets, generally three to seven years. Such costs are periodically reviewed for recoverability when impairment indicators are present. Such indicators include, among other factors: operating losses, unused capacity, market value declines, and technological obsolescence. Recorded values of asset groups of furniture and equipment that are not expected to be recovered through undiscounted future net cash flows are written down to current fair value, which generally is determined from estimated discounted future net cash flows (assets held for use) or net realizable value (assets held for sale). During the three and six months ended June 30, 2021, the Company disposed of all furniture and equipment. A loss on the disposal of all furniture and equipment of $93,285 was recorded in general and administrative expenses during the three and six months ended June 30, 2021. No similar loss or disposal was recorded during 2020.</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the inception of an arrangement the Company determines whether the arrangement is or contains a lease based on the circumstances present. All leases with a term greater than one year are recognized on the condensed consolidated balance sheet as right-of-use assets, lease liabilities and, if applicable, long-term lease liabilities. The Company has elected not to recognize on the condensed consolidated balance sheet leases with terms of one-year or less if entered into. Lease liabilities and their corresponding right-of-use assets are recorded based on the present value of lease payments over the expected lease term. The interest rate implicit in lease contracts is typically not readily determinable. As such, the Company utilizes the appropriate incremental borrowing rate, which is the rate incurred to borrow on a collateralized basis over a similar term an amount equal to the lease payments in a similar economic environment. Certain adjustments to the right-of-use asset may be required for items such as initial direct costs paid or incentives received.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No new accounting pronouncement have been recently issued or newly effective which would have or be expected to have a material impact on the Company’s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Payable and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513"/>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Restructuring accrual (see Note 11)</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677,891</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746,880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523,037</w:t>
            </w:r>
          </w:p>
        </w:tc>
        <w:tc>
          <w:tcPr>
            <w:tcW w:w="100" w:type="dxa"/>
            <w:vAlign w:val="bottom"/>
          </w:tcPr>
          <w:p>
            <w:pPr>
              <w:spacing w:after="0"/>
              <w:rPr>
                <w:sz w:val="19"/>
                <w:szCs w:val="19"/>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504,903</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444,534</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Accrued project costs</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328,463</w:t>
            </w:r>
          </w:p>
        </w:tc>
        <w:tc>
          <w:tcPr>
            <w:tcW w:w="10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Accrued retention bonus</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225,960</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Accrued vacation</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31,701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48,107</w:t>
            </w:r>
          </w:p>
        </w:tc>
        <w:tc>
          <w:tcPr>
            <w:tcW w:w="10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428,683</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10,805</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26,547</w:t>
            </w:r>
          </w:p>
        </w:tc>
        <w:tc>
          <w:tcPr>
            <w:tcW w:w="100" w:type="dxa"/>
            <w:vAlign w:val="bottom"/>
            <w:tcBorders>
              <w:bottom w:val="single" w:sz="8" w:color="CFF0FC"/>
            </w:tcBorders>
          </w:tcPr>
          <w:p>
            <w:pPr>
              <w:spacing w:after="0"/>
              <w:rPr>
                <w:sz w:val="19"/>
                <w:szCs w:val="19"/>
                <w:color w:val="auto"/>
              </w:rPr>
            </w:pPr>
          </w:p>
        </w:tc>
      </w:tr>
      <w:tr>
        <w:trPr>
          <w:trHeight w:val="223"/>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payable and accrued expenses</w:t>
            </w: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2,198,140</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1,799,371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and December 31, 2020, the Company had 300,000,000 shares of authorized common stock with par value of $0.0001 per share.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has the following characteristics: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holders of common stock are entitled to one vote for each share of common stock held at all meetings of stockholders and written actions in lieu of meetings.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common stock are entitled to receive dividends, if and when declared by the board of directors of the Company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Since the Company’s inception, no dividends have been declared or paid to the holders of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right="420"/>
        <w:spacing w:after="0" w:line="308" w:lineRule="auto"/>
        <w:rPr>
          <w:sz w:val="20"/>
          <w:szCs w:val="20"/>
          <w:color w:val="auto"/>
        </w:rPr>
      </w:pPr>
      <w:r>
        <w:rPr>
          <w:rFonts w:ascii="Arial" w:cs="Arial" w:eastAsia="Arial" w:hAnsi="Arial"/>
          <w:sz w:val="18"/>
          <w:szCs w:val="18"/>
          <w:color w:val="auto"/>
        </w:rPr>
        <w:t>In the event of any voluntary or involuntary liquidation, dissolution, or winding-up of the Company, the holders of common stock are entitled to share ratably in the Company’s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warrants outstanding for the purchase of 550,000 and 600,000 shares of the Company’s common stock at June 30, 2021 and</w:t>
      </w:r>
    </w:p>
    <w:p>
      <w:pPr>
        <w:spacing w:after="0" w:line="3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December 31, 2020, respectively. In October 2019, the Company issued warrants for the purchase of 600,000 shares of the Company’s common stock at an exercise price of $0.486 per share in connection with the hiring of a strategic advisor consultant for a six-month period. These warrants vested in equal monthly installments over a six-month period beginning October 14, 2019 and expire on October 24, 2024. During the three and six months ended June 30, 2021, 50,000 warrants were exercised. At the date of grant the fair value of these awards was determined using a Black-Scholes Merton pricing model.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ind w:right="120"/>
        <w:spacing w:after="0" w:line="313" w:lineRule="auto"/>
        <w:rPr>
          <w:sz w:val="20"/>
          <w:szCs w:val="20"/>
          <w:color w:val="auto"/>
        </w:rPr>
      </w:pPr>
      <w:r>
        <w:rPr>
          <w:rFonts w:ascii="Arial" w:cs="Arial" w:eastAsia="Arial" w:hAnsi="Arial"/>
          <w:sz w:val="16"/>
          <w:szCs w:val="16"/>
          <w:color w:val="auto"/>
        </w:rPr>
        <w:t>The number of shares and the exercise price shall be adjusted for standard anti-dilution events such as stock splits, combinations, reorganizations, or issue shares as part of a stock dividend. Upon a change of control, the warrant holder will have the right to receive securities, cash or other properties it would have been entitled to receive had the warrant been exercised. The warrants are equity classified instruments and do not contain contingent exercise provisions, or other features, that would preclude the Company from concluding that the warrants are indexed solely to the Company’s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Preferred Stock</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June 30, 2021 and December 31, 2020, the Company had 10,000,000 shares of preferred stock, par value $0.0001 per share, in authorized capital. No preferred stock was issued and outstanding at June 30, 2021 and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21"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March 2017, the Board of Directors adopted, and the stockholders approved, the 2017 Stock Option and Incentive Plan (the “2017 Plan”), that became effective in April 2017. The 2017 Plan provides for the issuance of incentive awards up to 4,600,000 shares of common stock to officers, employees, consultants and directors, less the number of shares subject to issued and outstanding awards under the 2011 Plan that were assumed in the Merger. The 2017 Plan also provides that the number of shares reserved for issuance thereunder will be increased annually on the first day of each year beginning in 2018 by four percent (4%) of the shares of common stock outstanding on the last day of the immediately preceding year or such smaller increase as determined by the Board of Directors. In January 2021, the Board of Directors approved a 4% increase adding 1,890,052 shares to the 2017 Plan, which was effective as of January 1, 2021.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options granted generally vest over 48 months. Under the 2017 Plan, options vest in installments of 25% at the one-year anniversary and thereafter in 36 equal monthly installments beginning on the 1</w:t>
      </w:r>
      <w:r>
        <w:rPr>
          <w:rFonts w:ascii="Arial" w:cs="Arial" w:eastAsia="Arial" w:hAnsi="Arial"/>
          <w:sz w:val="14"/>
          <w:szCs w:val="14"/>
          <w:color w:val="auto"/>
        </w:rPr>
        <w:t>st</w:t>
      </w:r>
      <w:r>
        <w:rPr>
          <w:rFonts w:ascii="Arial" w:cs="Arial" w:eastAsia="Arial" w:hAnsi="Arial"/>
          <w:sz w:val="17"/>
          <w:szCs w:val="17"/>
          <w:color w:val="auto"/>
        </w:rPr>
        <w:t xml:space="preserve"> of the month after the one-year anniversary date, subject to the employee’s continuous service with the Company. In May 2019, the Company issued a special retention grant of options to purchase an aggregate of 2,419,050 shares of common stock which vest in installments of 50% at June 30, 2020 and 50% at June 30, 2021, subject to the employee’s continuous service with the Company. The options generally expire ten years after the date of grant. The fair value of the options at the date of grant is recognized as an expense over the requisite service period. During the three months ended June 30, 2021 and 2020, option awards to purchase an aggregate of 216,535 and 260,720 shares of common stock were granted, respectively, and option awards to purchase an aggregate of 287,963 and 962,720 shares of common stock were granted in the six months ended June 30, 2021 and 2020,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2021 and December 31, 2020, 5,324,959 and 3,634,905 shares were reserved for issuance under the 2017 Plan,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during the six months ended June 30, 2021:</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14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2021</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4,642,240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358,209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287,963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(92,355)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Expired/cancelled</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(208,208)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June 30, 2021</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4,629,640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2,196,969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Expected to vest, June 30, 2021</w:t>
            </w: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873,594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578,185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June 30, 2021</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3,756,046</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1,618,784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Aggregate intrinsic value represents the estimated fair value of the Company’s common stock at in excess of the weighted average exercise price multiplied by the number of options outstanding or exercisable. As of June 30, 2021, there was $804,852 of unrecognized compensation cost related to stock options, which is expected to be recognized over a weighted average period of 1.50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During the three months ended June 30, 2021, the Company’s non-employee directors were awarded 42,016 shares of the Company’s common stock at a fair market value of $1.69 for the shares. For the six months ended June 30, 2021, 83,410 shares of the Company’s common stock were issued to non-employee directors. For the six months ended June 30, 2021, the market value per share ranged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7" w:name="page18"/>
    <w:bookmarkEnd w:id="17"/>
    <w:p>
      <w:pPr>
        <w:ind w:right="20"/>
        <w:spacing w:after="0" w:line="263" w:lineRule="auto"/>
        <w:rPr>
          <w:sz w:val="20"/>
          <w:szCs w:val="20"/>
          <w:color w:val="auto"/>
        </w:rPr>
      </w:pPr>
      <w:r>
        <w:rPr>
          <w:rFonts w:ascii="Arial" w:cs="Arial" w:eastAsia="Arial" w:hAnsi="Arial"/>
          <w:sz w:val="18"/>
          <w:szCs w:val="18"/>
          <w:color w:val="auto"/>
        </w:rPr>
        <w:t>from $1.03 to $2.05. The awards were in the form of Unrestricted Stock Awards (as defined in the 2017 Plan) equal to the quarterly cash retainer payable to such directors under the Company’s non-employee director compensation policy currently in effect divided by the average closing price of the Company’s common stock on the Nasdaq Capital Market during the respective quarter end.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Expense Summary</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recognized the following compensation cost related to employee and non-employee stock-based compensation activity for the periods presented:</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284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36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105,157</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176,110</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213,172</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371,899</w:t>
            </w:r>
          </w:p>
        </w:tc>
        <w:tc>
          <w:tcPr>
            <w:tcW w:w="120" w:type="dxa"/>
            <w:vAlign w:val="bottom"/>
            <w:shd w:val="clear" w:color="auto" w:fill="CFF0FC"/>
          </w:tcPr>
          <w:p>
            <w:pPr>
              <w:spacing w:after="0"/>
              <w:rPr>
                <w:sz w:val="19"/>
                <w:szCs w:val="19"/>
                <w:color w:val="auto"/>
              </w:rPr>
            </w:pPr>
          </w:p>
        </w:tc>
      </w:tr>
      <w:tr>
        <w:trPr>
          <w:trHeight w:val="230"/>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452,066</w:t>
            </w: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132,231</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689,807</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263,909</w:t>
            </w:r>
          </w:p>
        </w:tc>
        <w:tc>
          <w:tcPr>
            <w:tcW w:w="120" w:type="dxa"/>
            <w:vAlign w:val="bottom"/>
            <w:tcBorders>
              <w:bottom w:val="single" w:sz="8" w:color="CFF0FC"/>
            </w:tcBorders>
          </w:tcPr>
          <w:p>
            <w:pPr>
              <w:spacing w:after="0"/>
              <w:rPr>
                <w:sz w:val="19"/>
                <w:szCs w:val="19"/>
                <w:color w:val="auto"/>
              </w:rPr>
            </w:pPr>
          </w:p>
        </w:tc>
      </w:tr>
      <w:tr>
        <w:trPr>
          <w:trHeight w:val="223"/>
        </w:trPr>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557,223</w:t>
            </w:r>
          </w:p>
        </w:tc>
        <w:tc>
          <w:tcPr>
            <w:tcW w:w="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308,341</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902,979</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635,808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total expense related to stock options recorded in research and development expense for the three and six months ended June 30, 2021 was $105,157 and $213,172, respectively. The total expense recorded in general and administrative expense for the three and six months ended June 30, 2021 was $452,066 and $689,807, respectively, and consisted of $71,007 and $124,405 from stock awards and $381,059 and $565,402 from stock options, respectively.</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uses the Black-Scholes option pricing model to determine the estimated fair value for stock-based awards. Option pricing and models require the input of various assumptions, including the option’s expected life, expected dividend yield, price volatility and risk-free interest rate of the underlying stock. Accordingly, the weighted-average fair value of the options granted during the six months ended June 30, 2021 and 2020 was $0.90 and $0.43 per share, respectively. The calculation was based on the following assumptions.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3180" w:type="dxa"/>
            <w:vAlign w:val="bottom"/>
            <w:gridSpan w:val="4"/>
          </w:tcPr>
          <w:p>
            <w:pPr>
              <w:ind w:left="520"/>
              <w:spacing w:after="0"/>
              <w:rPr>
                <w:sz w:val="20"/>
                <w:szCs w:val="20"/>
                <w:color w:val="auto"/>
              </w:rPr>
            </w:pPr>
            <w:r>
              <w:rPr>
                <w:rFonts w:ascii="Arial" w:cs="Arial" w:eastAsia="Arial" w:hAnsi="Arial"/>
                <w:sz w:val="14"/>
                <w:szCs w:val="14"/>
                <w:b w:val="1"/>
                <w:bCs w:val="1"/>
                <w:color w:val="auto"/>
              </w:rPr>
              <w:t>Three Months Ended June 30,</w:t>
            </w:r>
          </w:p>
        </w:tc>
        <w:tc>
          <w:tcPr>
            <w:tcW w:w="3220" w:type="dxa"/>
            <w:vAlign w:val="bottom"/>
            <w:gridSpan w:val="4"/>
          </w:tcPr>
          <w:p>
            <w:pPr>
              <w:ind w:left="72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370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48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320" w:type="dxa"/>
            <w:vAlign w:val="bottom"/>
            <w:shd w:val="clear" w:color="auto" w:fill="CFF0FC"/>
          </w:tcPr>
          <w:p>
            <w:pPr>
              <w:jc w:val="right"/>
              <w:ind w:right="376"/>
              <w:spacing w:after="0"/>
              <w:rPr>
                <w:sz w:val="20"/>
                <w:szCs w:val="20"/>
                <w:color w:val="auto"/>
              </w:rPr>
            </w:pPr>
            <w:r>
              <w:rPr>
                <w:rFonts w:ascii="Arial" w:cs="Arial" w:eastAsia="Arial" w:hAnsi="Arial"/>
                <w:sz w:val="18"/>
                <w:szCs w:val="18"/>
                <w:b w:val="1"/>
                <w:bCs w:val="1"/>
                <w:color w:val="auto"/>
              </w:rPr>
              <w:t>5.00</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74"/>
              <w:spacing w:after="0"/>
              <w:rPr>
                <w:sz w:val="20"/>
                <w:szCs w:val="20"/>
                <w:color w:val="auto"/>
              </w:rPr>
            </w:pPr>
            <w:r>
              <w:rPr>
                <w:rFonts w:ascii="Arial" w:cs="Arial" w:eastAsia="Arial" w:hAnsi="Arial"/>
                <w:sz w:val="18"/>
                <w:szCs w:val="18"/>
                <w:color w:val="auto"/>
              </w:rPr>
              <w:t>5.50</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56"/>
              <w:spacing w:after="0"/>
              <w:rPr>
                <w:sz w:val="20"/>
                <w:szCs w:val="20"/>
                <w:color w:val="auto"/>
              </w:rPr>
            </w:pPr>
            <w:r>
              <w:rPr>
                <w:rFonts w:ascii="Arial" w:cs="Arial" w:eastAsia="Arial" w:hAnsi="Arial"/>
                <w:sz w:val="18"/>
                <w:szCs w:val="18"/>
                <w:b w:val="1"/>
                <w:bCs w:val="1"/>
                <w:color w:val="auto"/>
              </w:rPr>
              <w:t>5.08</w:t>
            </w:r>
          </w:p>
        </w:tc>
        <w:tc>
          <w:tcPr>
            <w:tcW w:w="480" w:type="dxa"/>
            <w:vAlign w:val="bottom"/>
            <w:shd w:val="clear" w:color="auto" w:fill="CFF0FC"/>
          </w:tcPr>
          <w:p>
            <w:pPr>
              <w:spacing w:after="0"/>
              <w:rPr>
                <w:sz w:val="19"/>
                <w:szCs w:val="19"/>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5.92</w:t>
            </w:r>
          </w:p>
        </w:tc>
        <w:tc>
          <w:tcPr>
            <w:tcW w:w="100" w:type="dxa"/>
            <w:vAlign w:val="bottom"/>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7"/>
              </w:rPr>
              <w:t>0.85%</w:t>
            </w:r>
          </w:p>
        </w:tc>
        <w:tc>
          <w:tcPr>
            <w:tcW w:w="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0.38%</w:t>
            </w:r>
          </w:p>
        </w:tc>
        <w:tc>
          <w:tcPr>
            <w:tcW w:w="2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7"/>
              </w:rPr>
              <w:t>0.77%</w:t>
            </w:r>
          </w:p>
        </w:tc>
        <w:tc>
          <w:tcPr>
            <w:tcW w:w="4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0.53%</w:t>
            </w:r>
          </w:p>
        </w:tc>
        <w:tc>
          <w:tcPr>
            <w:tcW w:w="100" w:type="dxa"/>
            <w:vAlign w:val="bottom"/>
          </w:tcPr>
          <w:p>
            <w:pPr>
              <w:spacing w:after="0"/>
              <w:rPr>
                <w:sz w:val="19"/>
                <w:szCs w:val="19"/>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4"/>
              </w:rPr>
              <w:t>74.57%</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74.82%</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4"/>
              </w:rPr>
              <w:t>74.47%</w:t>
            </w:r>
          </w:p>
        </w:tc>
        <w:tc>
          <w:tcPr>
            <w:tcW w:w="480" w:type="dxa"/>
            <w:vAlign w:val="bottom"/>
            <w:shd w:val="clear" w:color="auto" w:fill="CFF0FC"/>
          </w:tcPr>
          <w:p>
            <w:pPr>
              <w:spacing w:after="0"/>
              <w:rPr>
                <w:sz w:val="19"/>
                <w:szCs w:val="19"/>
                <w:color w:val="auto"/>
              </w:rPr>
            </w:pP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69.36%</w:t>
            </w:r>
          </w:p>
        </w:tc>
        <w:tc>
          <w:tcPr>
            <w:tcW w:w="100" w:type="dxa"/>
            <w:vAlign w:val="bottom"/>
            <w:shd w:val="clear" w:color="auto" w:fill="CFF0FC"/>
          </w:tcPr>
          <w:p>
            <w:pPr>
              <w:spacing w:after="0"/>
              <w:rPr>
                <w:sz w:val="19"/>
                <w:szCs w:val="19"/>
                <w:color w:val="auto"/>
              </w:rPr>
            </w:pPr>
          </w:p>
        </w:tc>
      </w:tr>
      <w:tr>
        <w:trPr>
          <w:trHeight w:val="234"/>
        </w:trPr>
        <w:tc>
          <w:tcPr>
            <w:tcW w:w="37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7"/>
              </w:rPr>
              <w:t>0.00%</w:t>
            </w:r>
          </w:p>
        </w:tc>
        <w:tc>
          <w:tcPr>
            <w:tcW w:w="2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2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7"/>
              </w:rPr>
              <w:t>0.00%</w:t>
            </w:r>
          </w:p>
        </w:tc>
        <w:tc>
          <w:tcPr>
            <w:tcW w:w="48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did not record a current or deferred income tax expense or benefit for the three and six months ended June 30, 2021 and 2020, due to the Company’s net and comprehensive losses and increases in its deferred tax asset valuation allowance.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and Comprehensive (Loss) Income per Share Attributable to Common Stockholders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and comprehensive (loss) income per share attributable to common stockholders for the periods presented: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236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Net and comprehensive (loss) income attributable to</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b w:val="1"/>
                <w:bCs w:val="1"/>
                <w:color w:val="auto"/>
                <w:w w:val="95"/>
              </w:rPr>
              <w:t>(4,407,935)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vMerge w:val="restart"/>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(8,849,674)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stockholders</w:t>
            </w:r>
          </w:p>
        </w:tc>
        <w:tc>
          <w:tcPr>
            <w:tcW w:w="260" w:type="dxa"/>
            <w:vAlign w:val="bottom"/>
            <w:vMerge w:val="continue"/>
            <w:shd w:val="clear" w:color="auto" w:fill="CFF0FC"/>
          </w:tcPr>
          <w:p>
            <w:pPr>
              <w:spacing w:after="0"/>
              <w:rPr>
                <w:sz w:val="20"/>
                <w:szCs w:val="20"/>
                <w:color w:val="auto"/>
              </w:rPr>
            </w:pPr>
          </w:p>
        </w:tc>
        <w:tc>
          <w:tcPr>
            <w:tcW w:w="980" w:type="dxa"/>
            <w:vAlign w:val="bottom"/>
            <w:gridSpan w:val="2"/>
            <w:vMerge w:val="continue"/>
            <w:shd w:val="clear" w:color="auto" w:fill="CFF0FC"/>
          </w:tcPr>
          <w:p>
            <w:pPr>
              <w:spacing w:after="0"/>
              <w:rPr>
                <w:sz w:val="20"/>
                <w:szCs w:val="20"/>
                <w:color w:val="auto"/>
              </w:rPr>
            </w:pP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9,276,032</w:t>
            </w:r>
          </w:p>
        </w:tc>
        <w:tc>
          <w:tcPr>
            <w:tcW w:w="240" w:type="dxa"/>
            <w:vAlign w:val="bottom"/>
            <w:shd w:val="clear" w:color="auto" w:fill="CFF0FC"/>
          </w:tcPr>
          <w:p>
            <w:pPr>
              <w:spacing w:after="0"/>
              <w:rPr>
                <w:sz w:val="20"/>
                <w:szCs w:val="20"/>
                <w:color w:val="auto"/>
              </w:rPr>
            </w:pPr>
          </w:p>
        </w:tc>
        <w:tc>
          <w:tcPr>
            <w:tcW w:w="180" w:type="dxa"/>
            <w:vAlign w:val="bottom"/>
            <w:vMerge w:val="continue"/>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5,357,369</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used in</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computing EPS</w:t>
            </w: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47,372,581</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40,588,004</w:t>
            </w:r>
          </w:p>
        </w:tc>
        <w:tc>
          <w:tcPr>
            <w:tcW w:w="24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47,327,701</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40,588,004</w:t>
            </w:r>
          </w:p>
        </w:tc>
        <w:tc>
          <w:tcPr>
            <w:tcW w:w="100" w:type="dxa"/>
            <w:vAlign w:val="bottom"/>
            <w:tcBorders>
              <w:bottom w:val="single" w:sz="8" w:color="CFF0FC"/>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47,372,581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40,905,288</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47,327,701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40,747,960</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vMerge w:val="restart"/>
          </w:tcPr>
          <w:p>
            <w:pPr>
              <w:spacing w:after="0"/>
              <w:rPr>
                <w:sz w:val="20"/>
                <w:szCs w:val="20"/>
                <w:color w:val="auto"/>
              </w:rPr>
            </w:pPr>
            <w:r>
              <w:rPr>
                <w:rFonts w:ascii="Arial" w:cs="Arial" w:eastAsia="Arial" w:hAnsi="Arial"/>
                <w:sz w:val="18"/>
                <w:szCs w:val="18"/>
                <w:color w:val="auto"/>
              </w:rPr>
              <w:t>Basic and diluted EPS</w:t>
            </w: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Holders of non-vested stock-based compensation awards do not have voting rights.</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following weighted average common stock equivalents were excluded from the calculation of basic and diluted net and comprehensive (loss) income per share attributable to common stockholders for the periods presented because including them would have had an anti-dilutive effect:</w:t>
      </w:r>
    </w:p>
    <w:p>
      <w:pPr>
        <w:spacing w:after="0" w:line="8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296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 June 30,</w:t>
            </w:r>
          </w:p>
        </w:tc>
        <w:tc>
          <w:tcPr>
            <w:tcW w:w="2820" w:type="dxa"/>
            <w:vAlign w:val="bottom"/>
            <w:gridSpan w:val="4"/>
          </w:tcPr>
          <w:p>
            <w:pPr>
              <w:ind w:left="50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432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1,594,647</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3,846,560</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1,611,297</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4,094,423</w:t>
            </w:r>
          </w:p>
        </w:tc>
        <w:tc>
          <w:tcPr>
            <w:tcW w:w="100" w:type="dxa"/>
            <w:vAlign w:val="bottom"/>
            <w:shd w:val="clear" w:color="auto" w:fill="CFF0FC"/>
          </w:tcPr>
          <w:p>
            <w:pPr>
              <w:spacing w:after="0"/>
              <w:rPr>
                <w:sz w:val="19"/>
                <w:szCs w:val="19"/>
                <w:color w:val="auto"/>
              </w:rPr>
            </w:pPr>
          </w:p>
        </w:tc>
      </w:tr>
      <w:tr>
        <w:trPr>
          <w:trHeight w:val="234"/>
        </w:trPr>
        <w:tc>
          <w:tcPr>
            <w:tcW w:w="432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550,000</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550,000</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0"/>
                <w:szCs w:val="20"/>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Stock Purchase Plan</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March 2017, the Board of Directors adopted and the stockholders approved the Employee Stock Purchase Plan that became effective in April 2017. On June 20, 2018, the Company’s stockholders approved the Amended and Restated 2017 Employee Stock Purchase Plan (the “ESPP”) at the 2018 annual meeting of stockholders. Pursuant to the terms of the ESPP, the Company will reserve for issuance 300,000 shares of the Company’s common stock in the aggregate, plus, on January 1, 2019 and each January 1 thereafter through January 1, 2028, the number of shares of the Company’s common stock reserved and available for issuance under the ESPP will be cumulatively increased by the least of (i) one percent of the number of shares of the Company’s common stock issued and outstanding on the immediately preceding December 31; (ii) 350,000 shares; or (iii) such lesser number of shares of the Company’s common stock as determined by the Board of Directors, in each case subject to adjustment in accordance with the terms of the ESPP. In January 2021, the Company’s Board of Directors approved an increase of 350,000 shares to the ESPP, which increase was effective as of January 1, 2021. No shares under the ESPP are outstanding at June 30, 2021 and December 31, 2020.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 Agreement</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June 24, 2018, the Company entered into a license agreement (the “Gossamer License Agreement”) with Gossamer, under which the Company granted Gossamer an exclusive, sublicensable license to develop and commercialize AKB-4924 and other structurally related products worldwide, with initial development expected in the indications of induction and maintenance in ulcerative colitis and Crohn’s Disease (collectively “initial indications”). Prior to the execution of the Gossamer License Agreement, AKB-4924 was a pipeline program for the Company that completed a Phase 1a clinical trial in healthy volunteers</w:t>
      </w:r>
      <w:r>
        <w:rPr>
          <w:rFonts w:ascii="Arial" w:cs="Arial" w:eastAsia="Arial" w:hAnsi="Arial"/>
          <w:sz w:val="18"/>
          <w:szCs w:val="18"/>
          <w:b w:val="1"/>
          <w:bCs w:val="1"/>
          <w:color w:val="auto"/>
        </w:rPr>
        <w:t>.</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May 12, 2020, the Company entered into Amendment No. 1 to the Gossamer License Agreement (“Amendment No. 1”). Pursuant to Amendment No. 1, Gossamer made a payment to the Company of $15.0 million on May 12, 2020. For the year ended December 31, 2020, the Company recognized revenue of $15.0 million based on the terms of Amendment No. 1.</w:t>
      </w:r>
    </w:p>
    <w:p>
      <w:pPr>
        <w:spacing w:after="0" w:line="7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Gossamer is responsible for the development and commercialization of the licensed products, and a joint development committee has been formed to oversee the development and manufacturing activities related to the licensed products. Under the terms of the Gossamer License Agreement and as amended by Amendment No. 1 (collectively, the “Amended Gossamer License Agreement”), Gossamer is obligated to use its commercially reasonable efforts to develop and commercialize licensed products in the United States, two major European countries and Japan for at least one of the initial indications. The Amended Gossamer License Agreement includes an exclusivity provision that prohibits the Company from developing, manufacturing or commercializing, and prohibits Gossamer from clinically developing or commercializing certain HIF stabilizing compounds other than as permitted in the Amended Gossamer License Agreement.</w:t>
      </w:r>
    </w:p>
    <w:p>
      <w:pPr>
        <w:spacing w:after="0" w:line="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terms of the Amended Gossamer License Agreement, the Company is eligible to receive up to $40.0 million in approval milestone payments related to indications in ulcerative colitis and Crohn’s disease, and up to $50.0 million in sales milestone payments. The Company is also eligible to receive the tiered royalties on sales of licensed products from percentages ranging from a low-single-digit to mid-single-digit, subject to certain customary reductions. In addition, under certain circumstances, in lieu of receiving the foregoing milestone payments and royalties, the Company may elect to receive 20% of payments received by Gossamer and its stockholders (with some exclusions) in connection with Gossamer’s grant of a sublicense or other rights to the licensed products or if Gossamer undergoes a changes of control and the value of the transaction exceeds a certain value (provided that Gossamer can prevent the Company from exercising this option if the parent company of Gossamer is the entity undergoing the change of control, in which case each of the royalty rate percentages described above would automatically be increased by low single digits). Conversely, the Company could be required to accept such 20% of those payments if Gossamer agrees to pay the Company a certain minimum upon Gossamer and its stockholders being paid. Such amount may be reduced if the transaction includes pharmaceutical candidates or products or other named asset categories in addition to the licensed products. The Amended Gossamer License Agreement expires on a licensed-product-by-licensed-product and country-by-country basis on the later of fifteen years from the date of first commercial sale or when there is no longer a valid patent claim covering such licensed product in such country. Either party may terminate the Amended Gossamer License Agreement for an uncured material breach by the other party or upon the bankruptcy or insolvency of the other party. Gossamer may terminate the Amended Gossamer License Agreement in the event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9" w:name="page20"/>
    <w:bookmarkEnd w:id="19"/>
    <w:p>
      <w:pPr>
        <w:ind w:right="100"/>
        <w:spacing w:after="0" w:line="263" w:lineRule="auto"/>
        <w:rPr>
          <w:sz w:val="20"/>
          <w:szCs w:val="20"/>
          <w:color w:val="auto"/>
        </w:rPr>
      </w:pPr>
      <w:r>
        <w:rPr>
          <w:rFonts w:ascii="Arial" w:cs="Arial" w:eastAsia="Arial" w:hAnsi="Arial"/>
          <w:sz w:val="18"/>
          <w:szCs w:val="18"/>
          <w:color w:val="auto"/>
        </w:rPr>
        <w:t>Gossamer determines there is a potential safety or efficacy issue with the licensed products. The Company may terminate the Amended Gossamer License Agreement if Gossamer institutes certain actions related to the licensed patents. Under certain termination circumstances, the Company would have worldwide rights to the terminated program.</w:t>
      </w:r>
    </w:p>
    <w:p>
      <w:pPr>
        <w:spacing w:after="0" w:line="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June 30, 2021, all development milestones, sales-based milestones and royalty payments within the Amended Gossamer License Agreement are constrained to the point where no transaction price has been allocated to the future milestones or royalty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January 2021, the Company executed a realignment plan to reduce operating costs and better align its workforce with the needs of its ongoing business. The realignment plan reduced the Company’s workforce by seven employees, representing approximately 58% of the Company’s workforce. As a result, during the six months ended June 30, 2021, the Company recorded employee severance expense of $1.2 million . These amounts are included within restructuring expense in the condensed consolidated statements of operations and comprehensive (loss) income.</w:t>
      </w:r>
    </w:p>
    <w:p>
      <w:pPr>
        <w:spacing w:after="0" w:line="6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Total cash payments against the severance liability was approximately $0.4 million and $0.5 million in the three and six months ended June 30, 2021, respectively. The remaining liability as of June 30, 2021 was approximately $0.7 million and is included in accounts payable and accrued expenses in the condensed consolidated balance sheet. These amounts are expected to be substantially paid in cash by December 31,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 While the outcome of any such proceedings cannot be predicted with certainty, as of June 30, 2021, the Company believes that the results of any such contingencies, either individually or in the aggregate, will not have a materially adverse effect on the Company’s results of operations or financial condition. An unfavorable resolution of one or more pending matters could have a materially adverse impact on the Company’s results of operations or financial condition in the future.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Related to the Merger</w:t>
      </w:r>
    </w:p>
    <w:p>
      <w:pPr>
        <w:spacing w:after="0" w:line="11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 xml:space="preserve">On June 30, 2021, a purported stockholder of the Company filed a complaint in the United States District Court for the Southern District of New York, captioned </w:t>
      </w:r>
      <w:r>
        <w:rPr>
          <w:rFonts w:ascii="Arial" w:cs="Arial" w:eastAsia="Arial" w:hAnsi="Arial"/>
          <w:sz w:val="18"/>
          <w:szCs w:val="18"/>
          <w:i w:val="1"/>
          <w:iCs w:val="1"/>
          <w:color w:val="auto"/>
        </w:rPr>
        <w:t>Dwayne Komurke v. Aerpio Pharmaceuticals Inc., et al</w:t>
      </w:r>
      <w:r>
        <w:rPr>
          <w:rFonts w:ascii="Arial" w:cs="Arial" w:eastAsia="Arial" w:hAnsi="Arial"/>
          <w:sz w:val="18"/>
          <w:szCs w:val="18"/>
          <w:color w:val="auto"/>
        </w:rPr>
        <w:t>., Case No. 1:21-cv-05686 (the “Komurke complaint”), naming the Company, the Company’s Board of Directors, as of the date of the Merger Agreement, Merger Sub and Aadi as defendants.</w:t>
      </w:r>
    </w:p>
    <w:p>
      <w:pPr>
        <w:spacing w:after="0" w:line="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Komurke complaint alleges, among other things, that the Merger consideration is inadequate and that the Company’s proxy statement filed with the SEC on June 21, 2021 in connection with the Merger (the “preliminary proxy statement”), is materially incomplete and misleading by allegedly failing to disclose in violation of Section 14(a) and Section 20(a) of the Exchange Act, as well as Rule 14a-9 promulgated thereunder, certain allegedly material information, including (i) the process leading up to the Merger; (ii) certain financial projections prepared by the Company’s management and summarized in the preliminary proxy statement; and (iii) certain inputs and assumptions used in the financial analyses conducted by Ladenburg in connection with rendering its fairness opinion to the Company’s Board of Directors. The Komurke complaint asserts claims for breach of fiduciary duty against the Company’s Board of Directors; aiding and abetting breaches of fiduciary duty of the Company, Merger Sub and Aadi; violations of Section 14(a) and Rule 14a-9 against all defendants; and violations of Section 20(a) against the Company’s Board of Directors. The relief sought in the Komurke complaint includes equitable relief, including among other things, to enjoin the consummation of the Merger, to rescind the Merger Agreement, to the extent already implemented, or to recover rescissory damages, to direct the defendants to commence a new sale process, to direct the defendants to disseminate a proxy statement that includes certain additional and allegedly material information, to direct the defendants to account to plaintiff for all alleged damages suffered as a result of their alleged wrongdoing and to award plaintiff the cost of the stockholder complaint, including reasonable attorneys’ and expert fees.</w:t>
      </w:r>
    </w:p>
    <w:p>
      <w:pPr>
        <w:spacing w:after="0" w:line="60"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 xml:space="preserve">On July 6, 2021, a purported stockholder of the Company filed a complaint in the United States District Court for the Southern District of New York, captioned </w:t>
      </w:r>
      <w:r>
        <w:rPr>
          <w:rFonts w:ascii="Arial" w:cs="Arial" w:eastAsia="Arial" w:hAnsi="Arial"/>
          <w:sz w:val="16"/>
          <w:szCs w:val="16"/>
          <w:i w:val="1"/>
          <w:iCs w:val="1"/>
          <w:color w:val="auto"/>
        </w:rPr>
        <w:t>Matthew Whitfield v. Aerpio Pharmaceuticals Inc., et al</w:t>
      </w:r>
      <w:r>
        <w:rPr>
          <w:rFonts w:ascii="Arial" w:cs="Arial" w:eastAsia="Arial" w:hAnsi="Arial"/>
          <w:sz w:val="16"/>
          <w:szCs w:val="16"/>
          <w:color w:val="auto"/>
        </w:rPr>
        <w:t>., Case No. 1:21-cv-05787 (referred to as the “Whitfield complaint”), naming the Company and the Company’s Board of Directors, as of the date of the Merger Agreement, as defendants. The Whitfield complaint alleges, among other things, that the preliminary proxy statement omits certain allegedly material information by failing to disclose (i) financial projections of the Company,</w:t>
      </w:r>
    </w:p>
    <w:p>
      <w:pPr>
        <w:spacing w:after="0" w:line="1" w:lineRule="exact"/>
        <w:rPr>
          <w:sz w:val="20"/>
          <w:szCs w:val="20"/>
          <w:color w:val="auto"/>
        </w:rPr>
      </w:pPr>
    </w:p>
    <w:p>
      <w:pPr>
        <w:ind w:firstLine="8"/>
        <w:spacing w:after="0" w:line="290" w:lineRule="auto"/>
        <w:tabs>
          <w:tab w:leader="none" w:pos="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certain information concerning the Company’s management’s financial projections for Aadi, (iii) certain assumptions used in a discounted cash flow analysis performed by Ladenburg, and (iv) certain information concerning the Company’s second financial advisor. The Whitfield complaint asserts claims for violations of Section 14(a) of the Exchange Act and Rule 14a-9 promulgated thereunder against all defendants, and violations of Section 20(a) of the Exchange Act against the Company’s Board of Directors. The Whitfield complaint seeks, among other things: an injunction enjoining consummation of the Merger, an order directing the defendants to disseminate a proxy statement that includes certain additional and allegedly material information, rescissory relief, costs of the action, including plaintiff’s attorneys’ fees and experts’ fees, declaratory relief, and any other relief the court may deem just and proper.</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ind w:right="120"/>
        <w:spacing w:after="0" w:line="289" w:lineRule="auto"/>
        <w:rPr>
          <w:sz w:val="20"/>
          <w:szCs w:val="20"/>
          <w:color w:val="auto"/>
        </w:rPr>
      </w:pPr>
      <w:r>
        <w:rPr>
          <w:rFonts w:ascii="Arial" w:cs="Arial" w:eastAsia="Arial" w:hAnsi="Arial"/>
          <w:sz w:val="16"/>
          <w:szCs w:val="16"/>
          <w:color w:val="auto"/>
        </w:rPr>
        <w:t>On July 6, 2021, a purported stockholder of the Company filed a complaint in the United States District Court for the Southern District of New York, captioned Robin Odach v. Aerpio Pharmaceuticals Inc., et al., Case No. 1:21-cv-05802 (referred to as the “Odach complaint”), naming the Company and the Company’s Board of Directors, as of the date of the Merger Agreement, as defendants. The Odach complaint alleges, among other things, that the preliminary proxy statement contains allegedly material misstatements and omissions, including by failing to disclose (i) the basis for certain assumptions underlying the Company’s management’s financial projections for Aadi, (ii) certain inputs used in a discounted cash flow analysis performed by Ladenburg, and (iii) certain information concerning the Company’s second financial advisor. The Odach complaint asserts claims for violations of Section 14(a) of the Exchange Act and Rule 14a-9 promulgated thereunder against all defendants, and violations of Section 20(a) of the Exchange Act against the Company’s Board of Directors. The Odach complaint seeks, among other things: an injunction enjoining consummation of the Merger, rescissory relief, costs of the action, including plaintiff’s attorneys’ fees and experts’ fees, and any other relief the court may deem just and proper.</w:t>
      </w:r>
    </w:p>
    <w:p>
      <w:pPr>
        <w:spacing w:after="0" w:line="58"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 xml:space="preserve">On July 12, 2021, a purported stockholder of the Company filed a complaint in the United States District Court for the Eastern District of New York, captioned </w:t>
      </w:r>
      <w:r>
        <w:rPr>
          <w:rFonts w:ascii="Arial" w:cs="Arial" w:eastAsia="Arial" w:hAnsi="Arial"/>
          <w:sz w:val="16"/>
          <w:szCs w:val="16"/>
          <w:i w:val="1"/>
          <w:iCs w:val="1"/>
          <w:color w:val="auto"/>
        </w:rPr>
        <w:t>Miah v. Aerpio Pharmaceuticals, Inc., et al.</w:t>
      </w:r>
      <w:r>
        <w:rPr>
          <w:rFonts w:ascii="Arial" w:cs="Arial" w:eastAsia="Arial" w:hAnsi="Arial"/>
          <w:sz w:val="16"/>
          <w:szCs w:val="16"/>
          <w:color w:val="auto"/>
        </w:rPr>
        <w:t>, Case No. 1:21-cv-03912 (referred to as the “Miah complaint”), naming the Company and the Company’s Board of Directors, as of the date of the Merger Agreement, as defendants. The Miah complaint alleges, among other things, that the preliminary proxy statement contains allegedly material misstatements and omissions, including by failing to disclose (i) the basis for certain assumptions underlying the Company’s management’s financial projections for Aadi, (ii) certain inputs used in a discounted cash flow analysis performed by Ladenburg, and (iii) certain information concerning the Company’s second financial advisor. The Miah complaint asserts claims for violations of Section 14(a) of the Exchange Act and Rule 14a-9 promulgated thereunder against all defendants, and violations of Section 20(a) of the Exchange Act against the Company’s Board of Directors. The Miah complaint seeks, among other things: an injunction enjoining consummation of the Merger, rescissory relief, costs of the action, including plaintiff’s attorneys’ fees and experts’ fees, and any other relief the court may deem just and proper.</w:t>
      </w:r>
    </w:p>
    <w:p>
      <w:pPr>
        <w:spacing w:after="0" w:line="5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On July 29, 2021, a purported stockholder of the Company filed a complaint in the United States District Court for the Southern District of New York, captioned </w:t>
      </w:r>
      <w:r>
        <w:rPr>
          <w:rFonts w:ascii="Arial" w:cs="Arial" w:eastAsia="Arial" w:hAnsi="Arial"/>
          <w:sz w:val="17"/>
          <w:szCs w:val="17"/>
          <w:i w:val="1"/>
          <w:iCs w:val="1"/>
          <w:color w:val="auto"/>
        </w:rPr>
        <w:t>Weir v. Aerpio Pharmaceuticals, Inc., et al.</w:t>
      </w:r>
      <w:r>
        <w:rPr>
          <w:rFonts w:ascii="Arial" w:cs="Arial" w:eastAsia="Arial" w:hAnsi="Arial"/>
          <w:sz w:val="17"/>
          <w:szCs w:val="17"/>
          <w:color w:val="auto"/>
        </w:rPr>
        <w:t>, Case No. 1:21-cv-06456 (referred to as the “Weir complaint”), naming the Company and the Company’s Board of Directors, as of the date of the Merger Agreement, as defendants. The Weir complaint alleges, among other things, that the preliminary proxy statement contains allegedly material misstatements and omissions, including by failing to disclose (i) the basis for certain assumptions underlying the Company’s management’s financial projections for Aadi, (ii) certain inputs used in a discounted cash flow analysis performed by Ladenburg, and (iii) certain information concerning the Company’s second financial advisor. The Weir complaint asserts claims for violations of Section 14(a) of the Exchange Act and Rule 14a-9 promulgated thereunder against all defendants, and violations of Section 20(a) of the Exchange Act against the Company’s Board of Directors. The Weir complaint seeks, among other things: an injunction enjoining consummation of the Merger, an order directing the defendants to disseminate a proxy statement that includes certain additional and allegedly material information, rescissory relief, costs of the action, including plaintiff’s attorneys’ fees and experts’ fees, and any other relief the court may deem just and proper.</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On August 2, 2021, a purported stockholder of the Company filed a complaint in the United States District Court for the District of Delaware, captioned </w:t>
      </w:r>
      <w:r>
        <w:rPr>
          <w:rFonts w:ascii="Arial" w:cs="Arial" w:eastAsia="Arial" w:hAnsi="Arial"/>
          <w:sz w:val="17"/>
          <w:szCs w:val="17"/>
          <w:i w:val="1"/>
          <w:iCs w:val="1"/>
          <w:color w:val="auto"/>
        </w:rPr>
        <w:t>Carlisle v. Aerpio Pharmaceuticals, Inc., et al.</w:t>
      </w:r>
      <w:r>
        <w:rPr>
          <w:rFonts w:ascii="Arial" w:cs="Arial" w:eastAsia="Arial" w:hAnsi="Arial"/>
          <w:sz w:val="17"/>
          <w:szCs w:val="17"/>
          <w:color w:val="auto"/>
        </w:rPr>
        <w:t>, Case No. 1:21-cv-01123 (referred to as the “Carlisle complaint”), naming the Company and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as of the date of the Merger Agreement, as defendants. The Carlisle complaint alleges, among other things, that the preliminary proxy statement contains allegedly material misstatements and omissions, including by failing to disclose (i) the basis for certain assumptions underlying the Company’s management’s financial projections for Aadi, (ii) certain inputs used in a discounted cash flow analysis performed by Ladenburg, and (iii) certain information concerning the Company’s second financial advisor. The Carlisle complaint asserts claims for violations of Section 14(a) of the Exchange Act and Rule 14a-9 promulgated thereunder against all defendants, and violations of Section 20(a) of the Exchange Act against the Company’s Board of Directors. The Carlisle complaint seeks, among other things: an injunction enjoining consummation of the Merger, rescissory relief, costs of the action, including plaintiff’s attorneys’ fees and experts’ fees, and any other relief the court may deem just and proper. The Company cannot predict the outcome of the Komurke complaint, the Whitfield complaint, the Odach complaint, the Miah complaint, the Weir complaint, or the Carlisle complaint (collectively referred to as the “stockholder complaints”), nor can the Company predict the amount of time and expense that will be required to resolve the stockholder complaints. The Company believes that the stockholder complaints are without merit and intends to vigorously defend against the stockholder complaints and any subsequently filed similar actions.</w:t>
      </w:r>
    </w:p>
    <w:p>
      <w:pPr>
        <w:spacing w:after="0" w:line="7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Company’s Board of Directors has also received a demand letter from a purported stockholder of the Company, requesting certain books and records of the Company concerning the Merger pursuant to Section 220 of the Delaware General Corporation Law (referred to as the “books and records demand”). The Company cannot predict the outcome of the books and records demand, or other similar demands that may be made in the future, nor can the Company predict the amount of time and expense that may be required to resolve any such demands or resulting litigation. If additional similar complaints are filed, absent new or significantly different allegations, the Company will not necessarily disclose such additional filings.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This Quarterly Report on Form 10-Q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on Form 10-Q include, but are not limited to, statements about:</w:t>
      </w:r>
    </w:p>
    <w:p>
      <w:pPr>
        <w:spacing w:after="0" w:line="58" w:lineRule="exact"/>
        <w:rPr>
          <w:sz w:val="20"/>
          <w:szCs w:val="20"/>
          <w:color w:val="auto"/>
        </w:rPr>
      </w:pPr>
    </w:p>
    <w:p>
      <w:pPr>
        <w:ind w:left="880" w:right="32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satisfy the conditions to the merger transaction with Aadi Bioscience, Inc. (“Aadi”), including the ability to obtain shareholder approval, on the proposed terms and timeframe, and the proposed private placement transaction;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intended benefits to our stockholders of the contingent value rights arrangements entered into in connection with the merger;</w:t>
      </w:r>
    </w:p>
    <w:p>
      <w:pPr>
        <w:spacing w:after="0" w:line="117" w:lineRule="exact"/>
        <w:rPr>
          <w:rFonts w:ascii="Arial" w:cs="Arial" w:eastAsia="Arial" w:hAnsi="Arial"/>
          <w:sz w:val="18"/>
          <w:szCs w:val="18"/>
          <w:color w:val="auto"/>
        </w:rPr>
      </w:pPr>
    </w:p>
    <w:p>
      <w:pPr>
        <w:ind w:left="880" w:right="56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realize the anticipated benefits of transactions related to the merger transaction with Aadi and other restructuring activities, including in connection with the merger transaction, or other initiatives in a timely manner or at all;</w:t>
      </w:r>
    </w:p>
    <w:p>
      <w:pPr>
        <w:spacing w:after="0" w:line="62"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 of unanticipated costs, liabilities or delays relating to the merger transaction with Aadi, including the outcome of any legal proceedings relating to the merger transaction;</w:t>
      </w:r>
    </w:p>
    <w:p>
      <w:pPr>
        <w:spacing w:after="0" w:line="62"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occurrence of any change, effect, event, development, matter, state of facts, series of events or circumstances that could give rise to the termination of the agreement with Aadi related to the merger transaction;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accuracy of our estimates regarding expense, future revenues, uses of cash, capital requirements and the need for additional financing;</w:t>
      </w:r>
    </w:p>
    <w:p>
      <w:pPr>
        <w:spacing w:after="0" w:line="140" w:lineRule="exact"/>
        <w:rPr>
          <w:rFonts w:ascii="Arial" w:cs="Arial" w:eastAsia="Arial" w:hAnsi="Arial"/>
          <w:sz w:val="16"/>
          <w:szCs w:val="16"/>
          <w:color w:val="auto"/>
        </w:rPr>
      </w:pPr>
    </w:p>
    <w:p>
      <w:pPr>
        <w:ind w:left="880" w:right="160" w:hanging="373"/>
        <w:spacing w:after="0" w:line="308"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continued development of GB004 and maintaining and deriving the intended benefits of the Company’s collaboration with Gossamer Bio; ability to continue to develop razuprotafib or other product candidates, including in indications related to COVID-19;</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continued review and evaluation of strategic plans for legacy assets;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protections for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material risks and uncertainties, including those listed under the caption “Risk Factors.”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Quarterly Report on Form 10-Q and have filed with or furnished to the U.S. Securities and Exchange Commission (the “SEC”) completely and with the understanding that our actual future results may be materially different from any future results expressed or implied by these forward-looking statements.</w:t>
      </w:r>
    </w:p>
    <w:p>
      <w:pPr>
        <w:spacing w:after="0" w:line="77" w:lineRule="exact"/>
        <w:rPr>
          <w:sz w:val="20"/>
          <w:szCs w:val="20"/>
          <w:color w:val="auto"/>
        </w:rPr>
      </w:pPr>
    </w:p>
    <w:p>
      <w:pPr>
        <w:jc w:val="both"/>
        <w:ind w:right="320"/>
        <w:spacing w:after="0" w:line="279" w:lineRule="auto"/>
        <w:rPr>
          <w:sz w:val="20"/>
          <w:szCs w:val="20"/>
          <w:color w:val="auto"/>
        </w:rPr>
      </w:pPr>
      <w:r>
        <w:rPr>
          <w:rFonts w:ascii="Arial" w:cs="Arial" w:eastAsia="Arial" w:hAnsi="Arial"/>
          <w:sz w:val="17"/>
          <w:szCs w:val="17"/>
          <w:color w:val="auto"/>
        </w:rPr>
        <w:t>The forward-looking statements in this Quarterly Report on Form 10-Q represent our views as of the date of this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Report.</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the context requires otherwise, references to this Quarterly Report on Form 10-Q to “Aerpio,” the “Company,” “we,” “us,” and “our” refer to Aerpio Pharmaceuticals, Inc. and its subsidiaries, on a consolidated basis.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The following discussion of the financial condition and results of operations of Aerpio Pharmaceuticals, Inc. should be read in conjunction with the unaudited condensed consolidated financial statements and the notes to those statements included in this Quarterly Report on Form 10-Q as of and for the three and six months ended June 30, 2021 and our audited consolidated financial statements and related notes thereto for the year ended December 31, 2020 included in our Annual Report on Form 10-K for the year ended December 31, 2020, which was filed with the Securities and Exchange Commission (the “SEC”) on March 11, 2021. Some of the information contained in this discussion and analysis including information with respect to our plans and strategy for our business, includes forward-looking statements that involve risk, uncertainties and assumptions. You should read the “Risk Factors” section of our Annual Report on Form 10-K for the fiscal year ended December 31, 2020, as updated by the risk factors contained this Quarterly Report on Form 10-Q and our other filings with the SEC, for a discussion of important factors that could cause actual results to differ materially from the results described in or implied by the forward-looking statements contained in the following discussion and analysis.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Aerpio Pharmaceuticals, Inc. (the “Company”) is a biopharmaceutical company focused on developing compounds that activate Tie2 as well as other indications in which we believe that activation of Tie2 may have therapeutic potential. We were incorporated as Zeta Acquisition Corp. II (“Zeta”) in the State of Delaware on November 16, 2007. Zeta was a “shell company” (as defined in Rule 12b-2 of the Exchange Act).</w:t>
      </w:r>
    </w:p>
    <w:p>
      <w:pPr>
        <w:spacing w:after="0" w:line="5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December 2020, the Company announced the topline results from our Phase 2 clinical trial of razuprotafib (formerly known as AKB-9778), a small molecule vascular endothelial protein tyrosine phosphatase (“VE-PTP”) inhibitor. The double-blind, placebo controlled Phase 2 study, in patients with elevated intraocular pressure (“IOP”) associated with open angle glaucoma or ocular hypertension, met its primary efficacy endpoint with its twice-daily dosing group; however, the IOP decrease was not at a level deemed sufficient to move to Phase 3 development. As a result, we initiated a process to explore a range of strategic alternatives focused on maximizing stockholder value from our clinical assets and cash resources. As part of this process, we are exploring strategic options for partnering our programs, as well as the potential for an acquisition, company sale, merger, business combination, asset sale, in-license, out-license or other strategic transaction. Ladenburg Thalmann &amp; Co. Inc. and Duane Nash, M.D., J.D., M.B.A, were retained with respect to the strategic review process.</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May 16, 2021, the Company entered into an agreement and plan of merger (“Merger Agreement” or “Merger”) with Aadi Bioscience, Inc. (“Aadi”), a Delaware corporation, and Aspen Merger Subsidiary, Inc. (“Merger Sub”), a Delaware corporation and a direct, wholly-owned subsidiary of the Company, pursuant to which, subject to the satisfaction or waiver of the conditions set forth in the Merger Agreement, Merger Sub will merge with and into Aadi, with Aadi surviving as a wholly-owned subsidiary of the Company (the “Merger”). If the Merger is completed, the business of Aadi will continue as the business of the combined company.</w:t>
      </w:r>
    </w:p>
    <w:p>
      <w:pPr>
        <w:spacing w:after="0" w:line="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Merger Agreement was approved by the members of the board of directors of the Company (the “Board” or the “Board of Directors”) and the Board resolved to recommend approval of the Merger Agreement to the Company’s shareholders.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Merger Agreement, the Company has entered into subscription agreements to raise an aggregate amount of $155.0 million in a Private Investment in Public Equity (“PIPE”) financing in shares of common stock and pre-funded warrants to purchase Aerpio common stock. The PIPE financing is expected to be consummated concurrently with the closing of the Merger, subject to customary closing conditions, and is contingent on the closing of the Merger.</w:t>
      </w:r>
    </w:p>
    <w:p>
      <w:pPr>
        <w:spacing w:after="0" w:line="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Merger is expected to close in the second half of 2021. The closing of the Merger is subject to approval of the Company's shareholders and the satisfaction of certain closing conditions, including, among others, obtaining the requisite approval of the stockholders of Aerpio, Aerpio’s cash and cash equivalents maintaining a balance equal to or greater than $10.0 million and the completion of the PIPE financing. The Merger is intended to qualify as a tax-free reorganization for U.S. federal income tax purposes.</w:t>
      </w:r>
    </w:p>
    <w:p>
      <w:pPr>
        <w:spacing w:after="0" w:line="7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If the Company is unable to satisfy the closing conditions in Aadi’s favor or if other applicable closing conditions are not satisfied, Aadi will not be obligated to complete the Merger. The Merger Agreement provides Aerpio and Aadi with specified termination rights, and further provides that, upon termination of the Merger Agreement under specified circumstances, Aerpio may be required to pay the Aadi a termination fee of $2.0 million. In addition, in connection with certain terminations of the Merger Agreement, Aerpio may be required to pay Aadi’s out-of-pocket fees and expenses up to $750,000.</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the Merger is consummated, on a pro forma basis, current shareholders of Aadi will own approximately 66.8% and current shareholders of the Company will own approximately 33.2% of the combined company upon the closing of the Merger, without giving effect to the proposed PIPE. Following the closing of the anticipated PIPE financing, the former Aadi shareholders are expected to own approximately 29.6% of the outstanding shares of Aerpio common stock, on a fully-diluted basis, the shareholders of Aerpio (as of immediately prior to the closing of the Merger) are expected to own approximately 14.7% of the outstanding shares of Aerpio common stock, on a fully-diluted basis, and the PIPE investors are expected to own approximately 55.7% of the outstanding shares of Aerpio common stock, on a fully-diluted basis.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right="40"/>
        <w:spacing w:after="0" w:line="270" w:lineRule="auto"/>
        <w:rPr>
          <w:sz w:val="20"/>
          <w:szCs w:val="20"/>
          <w:color w:val="auto"/>
        </w:rPr>
      </w:pPr>
      <w:r>
        <w:rPr>
          <w:rFonts w:ascii="Arial" w:cs="Arial" w:eastAsia="Arial" w:hAnsi="Arial"/>
          <w:sz w:val="17"/>
          <w:szCs w:val="17"/>
          <w:color w:val="auto"/>
        </w:rPr>
        <w:t>The Merger Agreement contemplates that, at or prior to the effective time of the Merger (the “Effective Time”), Aerpio, the Holder Representative (as defined therein) and the Rights Agent (as defined therein) will execute and deliver a contingent value rights agreement (the “CVR Agreement”), pursuant to which each holder of Aerpio common stock as of immediately prior to the Effective Time shall be entitled to one contractual contingent value right issued by Aerpio, subject to and in accordance with the terms and conditions of the CVR Agreement, for each share of Aerpio common stock held by such holder. Each contingent value right shall entitle the holder thereof to receive a defined percentage of the net proceeds, if any, received by the newly combined company, subsequent to the closing of the Merger, pursuant to the Amended Gossamer License Agreement (as defined in Note 10) and any other agreements, with respect to certain other Aerpio assets, entered into prior to the closing of the Merger. The contingent value rights are not transferable, except in certain limited circumstances as will be provided in the CVR Agreement, will not be certificated or evidenced by any instrument and will not be registered with the SEC or listed for trading on any exchange.</w:t>
      </w:r>
    </w:p>
    <w:p>
      <w:pPr>
        <w:spacing w:after="0" w:line="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January 2021, the Company executed a realignment plan to reduce operating costs and better align our workforce with the needs of its ongoing business. The realignment plan reduced our workforce by seven employees, representing approximately 58% of our workforce. As a result of this realignment plan, we incurred one-time employee related severance expenses of approximately $1.2 million in the first quarter of 2021 and anticipate the majority of the one-time employee severance liability to be paid during 2021. The final payment of the severance liability in connection with the realignment plan is subject to a number of assumptions, actual results may differ from the original estimate. Additionally, we may also incur additional costs not currently contemplated due to events that may occur as a result of, or that are associated with, the realignment plan.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other clinical programs include the following for which we are actively exploring partnerships, collaborations and other strategic options:</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Acute Respiratory Distress Syndrome: </w:t>
      </w:r>
      <w:r>
        <w:rPr>
          <w:rFonts w:ascii="Arial" w:cs="Arial" w:eastAsia="Arial" w:hAnsi="Arial"/>
          <w:sz w:val="16"/>
          <w:szCs w:val="16"/>
          <w:color w:val="auto"/>
        </w:rPr>
        <w:t>Based on results in preclinical studies and observations in patients in TIME-2 and TIME-2b trials, we believed that a</w:t>
      </w:r>
      <w:r>
        <w:rPr>
          <w:rFonts w:ascii="Arial" w:cs="Arial" w:eastAsia="Arial" w:hAnsi="Arial"/>
          <w:sz w:val="16"/>
          <w:szCs w:val="16"/>
          <w:i w:val="1"/>
          <w:iCs w:val="1"/>
          <w:color w:val="auto"/>
        </w:rPr>
        <w:t xml:space="preserve"> </w:t>
      </w:r>
      <w:r>
        <w:rPr>
          <w:rFonts w:ascii="Arial" w:cs="Arial" w:eastAsia="Arial" w:hAnsi="Arial"/>
          <w:sz w:val="16"/>
          <w:szCs w:val="16"/>
          <w:color w:val="auto"/>
        </w:rPr>
        <w:t>vascular endothelial receptor, Tie2, may play a pivotal role in the defense against microvascular breach in Acute Respiratory Distress Syndrome (“ARDS”) and have therapeutic potential for the treatment of COVID-19 associated ARDS. During 2020, we initiated two Phase 2 trials to evaluate subcutaneous razuprotafib for the prevention and treatment of ARDS in adult patients with moderate to severe COVID-19 (“RESCUE”) and critical COVID-19 (“I-SPY”). In January 2021, the Data Monitoring Committee recommended discontinuation of razuprotafib in the I-SPY trial after 21 patients due to the complexity of monitoring patients in the setting of a surge in ICU patients. For the RESCUE trial, the Company decided to stop recruiting in February 2021 after the first 31 patients were enrolled based on challenges recruiting and monitoring patients in the current pandemic environment. Based on topline data for the RESCUE trial, there was a mechanism-based, dose-dependent reduction of blood pressure which was not associated with other adverse</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events. There was an apparent dose-dependent decrease in Angiopoietin 2 (“Ang2”) that would be consistent with the Tie2 activation mechanism. The efficacy of razuprotafib could not be fully assessed due to the limited number of patients treated in the drug and standard of care arms. At the 28 day study endpoint, there were an equal number of deaths in each group (one per group). Further analysis of the full data set is ongoing. There were no apparent safety signals associated with dosing COVID-19 patients in either trial and we plan to further analyze the data to assess trends in efficacy and biomarkers. As of June 30, 2021, clinical work for the RESCUE trial is completed.</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Diabetic Kidney Disease: </w:t>
      </w:r>
      <w:r>
        <w:rPr>
          <w:rFonts w:ascii="Arial" w:cs="Arial" w:eastAsia="Arial" w:hAnsi="Arial"/>
          <w:sz w:val="18"/>
          <w:szCs w:val="18"/>
          <w:color w:val="auto"/>
        </w:rPr>
        <w:t>In two consecutive trials, TIME-2 and TIME-2b, subcutaneous razuprotafib showed reduction in Urine Albumin-Creatinine</w:t>
      </w:r>
      <w:r>
        <w:rPr>
          <w:rFonts w:ascii="Arial" w:cs="Arial" w:eastAsia="Arial" w:hAnsi="Arial"/>
          <w:sz w:val="18"/>
          <w:szCs w:val="18"/>
          <w:i w:val="1"/>
          <w:iCs w:val="1"/>
          <w:color w:val="auto"/>
        </w:rPr>
        <w:t xml:space="preserve"> </w:t>
      </w:r>
      <w:r>
        <w:rPr>
          <w:rFonts w:ascii="Arial" w:cs="Arial" w:eastAsia="Arial" w:hAnsi="Arial"/>
          <w:sz w:val="18"/>
          <w:szCs w:val="18"/>
          <w:color w:val="auto"/>
        </w:rPr>
        <w:t>Ratio (“UACR”), a measure of progression of diabetic kidney disease. We believe that systemic treatment with razuprotafib could have the potential to change the treatment paradigm for diabetics in the future and potentially address a major societal problem by lowering the cost of care associated generally with diabetes.</w:t>
      </w:r>
    </w:p>
    <w:p>
      <w:pPr>
        <w:spacing w:after="0" w:line="7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 xml:space="preserve">ARP-1536 and Bi-Specific Antibody: </w:t>
      </w:r>
      <w:r>
        <w:rPr>
          <w:rFonts w:ascii="Arial" w:cs="Arial" w:eastAsia="Arial" w:hAnsi="Arial"/>
          <w:sz w:val="18"/>
          <w:szCs w:val="18"/>
          <w:color w:val="auto"/>
        </w:rPr>
        <w:t>ARP-1536, the humanized monoclonal antibody directed at the same target as subcutaneous razuprotafib, is in</w:t>
      </w:r>
      <w:r>
        <w:rPr>
          <w:rFonts w:ascii="Arial" w:cs="Arial" w:eastAsia="Arial" w:hAnsi="Arial"/>
          <w:sz w:val="18"/>
          <w:szCs w:val="18"/>
          <w:i w:val="1"/>
          <w:iCs w:val="1"/>
          <w:color w:val="auto"/>
        </w:rPr>
        <w:t xml:space="preserve"> </w:t>
      </w:r>
      <w:r>
        <w:rPr>
          <w:rFonts w:ascii="Arial" w:cs="Arial" w:eastAsia="Arial" w:hAnsi="Arial"/>
          <w:sz w:val="18"/>
          <w:szCs w:val="18"/>
          <w:color w:val="auto"/>
        </w:rPr>
        <w:t>preclinical development. We are evaluating development options for ARP-1536, including subcutaneous injection for the treatment of diabetic vascular complications, e.g., diabetic nephropathy and intravitreal injection as an adjunctive therapy for diabetic macular edema. We are also developing a bispecific antibody that binds both vascular endothelial growth factor (“VEGF”) and VE-PTP which is designed to inhibit VEGF activation and activate Tie2. We believe this bispecific antibody has the potential to be an improved treatment for wet aged-related macular degeneration (“AMD”) and diabetic macular edema via intravitreal injection.</w:t>
      </w:r>
    </w:p>
    <w:p>
      <w:pPr>
        <w:spacing w:after="0" w:line="8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i w:val="1"/>
          <w:iCs w:val="1"/>
          <w:color w:val="auto"/>
        </w:rPr>
        <w:t xml:space="preserve">Gossamer License Agreement: </w:t>
      </w:r>
      <w:r>
        <w:rPr>
          <w:rFonts w:ascii="Arial" w:cs="Arial" w:eastAsia="Arial" w:hAnsi="Arial"/>
          <w:sz w:val="16"/>
          <w:szCs w:val="16"/>
          <w:color w:val="auto"/>
        </w:rPr>
        <w:t>In June 2018, we licensed AKB-4924, a selective stabilizer of hypoxia-inducible factor-1 alpha (“HIF-1 alpha”) to</w:t>
      </w:r>
      <w:r>
        <w:rPr>
          <w:rFonts w:ascii="Arial" w:cs="Arial" w:eastAsia="Arial" w:hAnsi="Arial"/>
          <w:sz w:val="16"/>
          <w:szCs w:val="16"/>
          <w:i w:val="1"/>
          <w:iCs w:val="1"/>
          <w:color w:val="auto"/>
        </w:rPr>
        <w:t xml:space="preserve"> </w:t>
      </w:r>
      <w:r>
        <w:rPr>
          <w:rFonts w:ascii="Arial" w:cs="Arial" w:eastAsia="Arial" w:hAnsi="Arial"/>
          <w:sz w:val="16"/>
          <w:szCs w:val="16"/>
          <w:color w:val="auto"/>
        </w:rPr>
        <w:t>Gossamer Bio, Inc. (“Gossamer”) AKB-4924, (now called GB004), is being developed for the treatment of inflammatory bowel disease (“IBD”). HIF-1 alpha is involved in mucosal wound healing and the reduction of inflammation in the gastrointestinal tract. Gossamer completed the Phase 1b clinical trial in ulcerative colitis (“UC”) patients and reported results during the second quarter of 2020. Gossamer has announced that, subject to developments in the ongoing COVID-19 pandemic, it initiated a 12-week Phase 2 study of GB004 in patients with mild-to-moderate UC during the second half of 2020.</w:t>
      </w:r>
    </w:p>
    <w:p>
      <w:pPr>
        <w:spacing w:after="0" w:line="5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May 2020, the Company received a one-time payment of $15.0 million pursuant to an amendment to its license agreement with Gossamer resulting in a reduction in future potential milestone payments and tiered royalty rates over the life of the license agreement. Gossamer is responsible for all remaining development and commercial activities for GB004.</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ind w:right="40"/>
        <w:spacing w:after="0" w:line="271" w:lineRule="auto"/>
        <w:rPr>
          <w:sz w:val="20"/>
          <w:szCs w:val="20"/>
          <w:color w:val="auto"/>
        </w:rPr>
      </w:pPr>
      <w:r>
        <w:rPr>
          <w:rFonts w:ascii="Arial" w:cs="Arial" w:eastAsia="Arial" w:hAnsi="Arial"/>
          <w:sz w:val="17"/>
          <w:szCs w:val="17"/>
          <w:color w:val="auto"/>
        </w:rPr>
        <w:t>Our primary source of liquidity to date has been through public and private sales of our common stock, redeemable convertible preferred stock, convertible debt and the proceeds from the License Agreement entered into with Gossamer (the “Gossamer License Agreement”), as amended by that certain Amendment No. 1 to the Gossamer License Agreement (“Amendment No. 1” and together with the Gossamer License Agreement, as amended by Amendment No. 1, the “Amended Gossamer License Agreement”). We generated $15.0 million of revenue during 2020; however, no revenue was generated during the three and six months ended June 30, 2021 pursuant to Amendment No. 1. We are subject to a number of risks similar to other life science companies in the current stage of our life cycle, including, but not limited to, the need to obtain adequate additional funding, possible failure of preclinical testing or clinical trials, competitors developing new technological innovations, and protection of proprietary technology. If we do not successfully mitigate any of these risks, we will be unable to generate revenue or achieve profitability.</w:t>
      </w:r>
    </w:p>
    <w:p>
      <w:pPr>
        <w:spacing w:after="0" w:line="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for the Gossamer License Agreement that we entered into with Gossamer in June 2018, our operations to date have been limited to organizing and staffing our Company, business planning, raising capital, acquiring and developing our technology, identifying potential product candidates and undertaking preclinical and clinical studies. There can be no assurance of future revenues either from future payments related to the Gossamer License Agreement, transition services or from our product candidates. Our product candidates are subject to long development cycles, and there is no assurance we will be able to successfully develop, obtain regulatory approval for, or market our product candidates. As of June 30, 2021, we had an accumulated deficit of $155.4 million and anticipate incurring additional losses for the next several years.</w:t>
      </w:r>
    </w:p>
    <w:p>
      <w:pPr>
        <w:spacing w:after="0" w:line="7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Based on the Company’s current cash reserves of $36.8 million at June 30, 2021 and financial condition as of this Quarterly Report on Form 10-Q, we believe our existing cash and cash equivalent will be sufficient to fund currently planned operations through at least the fourth quarter of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Considerations: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March 11, 2020, the World Health Organization declared the outbreak of COVID-19 as a global pandemic, which continues to spread throughout the United States and around the world. The COVID-19 pandemic is evolving, and to date has led to the implementation of various responses, including government-imposed quarantines, stay-at-home orders, travel restrictions, mandated business closures and other public health safety measures. In addition, in response to the spread of COVID-19, we have continued to keep our executive offices closed with our employees continue to work outside of our offices. We are closely monitoring the impact of COVID-19 on all aspects of our business, including how it may impact our planned Phase 2 clinical trial for our glaucoma program, expected timelines and costs on an ongoing basis. We do not yet know the full extent of potential delays or the impact on our business, our planned clinical trial, our research programs, healthcare systems or the global economy and we cannot presently predict the scope and severity of any potential business shutdowns or disruptions. The extent to which COVID-19 ultimately impacts our business, results of operations and financial condition will depend on future developments, which despite progress in vaccination efforts, remain highly uncertain and cannot be predicted with confidence, such as the duration of the COVID-19 pandemic, new strains of the virus which may impact rates of infection and vaccination efforts, developments or perceptions regarding the safety of vaccines, new information that may emerge, and any additional preventive and protective actions that governments, or we, may direct, which may result in extending ongoing business disruptions and reduced operations. While certain measures have been relaxed in certain parts of the world as increasing numbers of people have received COVID-19 vaccines, others have remained in place with some areas continuing to experience renewed outbreaks and surge in infection rates. The extent to which such measures are removed or new measures are put in place will depend upon how the pandemic evolves, as well as the distribution of available vaccines, the rates at which they are administered and the emergence of new variants of the virus. If we or any of the third parties with whom we engage were to experience additional shutdowns or other prolonged business disruptions, our ability to conduct our business in the manner and on the timelines presently planned could have a material adverse impact on our business, results of operation and financial condition. In addition, a recurrence or “additional waves” of COVID-19 cases could cause other widespread or more severe impacts depending on where infection rates are highest. We will continue to monitor the latest developments as we deal with the disruptions and uncertainties relating to the COVID-19 pandemic, including the pace of vaccinations and the emergence of new and more contagious strains of the virus, and any resulting impact on our business, financial condition, results of operations and prospects. Any resulting financial impact cannot be reasonably estimated at this time and may have a material adverse impact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following discussion highlights the Company’s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consolidated balance sheets and the condensed consolidated statements of operation and comprehensive (loss) income presented herein. The following discussion and analysis are based on the Company’s condensed consolidated financial statements contained in this Quarterly Report on Form 10-Q, which we have prepared in accordance with U.S. generally accepted accounting principles (“U.S. GAAP” or “GAAP”). You should read the discussion and analysis together with such condensed consolidated financial statements and the related notes thereto.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Components of Statements of Operations and Comprehensive (Loss)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Research and development expenses are expensed as incurred. Research and development expenses consist primarily of (i) employee-related expenses, including salaries, benefits, travel, and stock-based compensation expense, (ii) external research and development expenses incurred under arrangements with third parties, such as contract research organizations (“CRO’s”) and consultants, (iii) the cost of acquiring, developing, and manufacturing clinical study materials, and (iv) costs associated with preclinical, clinical and regulatory activities.</w:t>
      </w:r>
    </w:p>
    <w:p>
      <w:pPr>
        <w:spacing w:after="0" w:line="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Costs for certain development activities are recognized based on an evaluation of the progress to completion of specific tasks using information and data provided to us by our vendors and clinical sites.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360"/>
        <w:spacing w:after="0" w:line="296" w:lineRule="auto"/>
        <w:rPr>
          <w:sz w:val="20"/>
          <w:szCs w:val="20"/>
          <w:color w:val="auto"/>
        </w:rPr>
      </w:pPr>
      <w:r>
        <w:rPr>
          <w:rFonts w:ascii="Arial" w:cs="Arial" w:eastAsia="Arial" w:hAnsi="Arial"/>
          <w:sz w:val="16"/>
          <w:szCs w:val="16"/>
          <w:color w:val="auto"/>
        </w:rPr>
        <w:t>General and administrative expenses consist primarily of compensation and related costs for our finance, human resources and other administrative personnel, including stock-based compensation and employee benefits. In addition, general and administrative expenses include third-party consulting, legal, patent, audit, accounting services and facilities costs. We expect to continue to incur general and administrative expenses due to additional legal, accounting, insurance, investor relations and other costs associated with being a public company. In addition, we expect our general and administrative expenses to increase for the foreseeable future due to transaction costs and expenses related to our potential merger with Aadi.</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121" w:lineRule="exact"/>
        <w:rPr>
          <w:sz w:val="20"/>
          <w:szCs w:val="20"/>
          <w:color w:val="auto"/>
        </w:rPr>
      </w:pPr>
    </w:p>
    <w:p>
      <w:pPr>
        <w:ind w:right="680"/>
        <w:spacing w:after="0" w:line="279" w:lineRule="auto"/>
        <w:rPr>
          <w:sz w:val="20"/>
          <w:szCs w:val="20"/>
          <w:color w:val="auto"/>
        </w:rPr>
      </w:pPr>
      <w:r>
        <w:rPr>
          <w:rFonts w:ascii="Arial" w:cs="Arial" w:eastAsia="Arial" w:hAnsi="Arial"/>
          <w:sz w:val="17"/>
          <w:szCs w:val="17"/>
          <w:color w:val="auto"/>
        </w:rPr>
        <w:t>Restructuring expense consists primarily of severance related expenses of employees terminated as a result of the Company’s restructuring efforts. Expenses include continued payroll, benefits and outplacement services (collectively “severance”) as defined and agreed upon by the respective employees’ severance agreement. Severance is recognized as restructuring expense when employees are notified of the restructuring event with a corresponding restructuring accrual which is reduced as payments are made to the employees.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Other income represents reimbursed internal and external qualified expense, per the terms of the U.S. Government operating through Medical Technology Enterprise Consortium (“MTEC”) arrangement. The reimbursable qualified expenses were incurred in conjunction with the RESCUE trial and the potential of subcutaneous razuprotafib for the prevention and treatment of ARDS in adult patients with moderate to severe COVID-19. During the three and six months ended June 30, 2021, $0.4 million and $1.5 million was recorded as other income. Other income is recorded, and costs are generally reimbursed, in the period the internal or external qualified clinical trial as we incur and pay expenses.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primarily of interest income received on cash and cash equivalents.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3"/>
              </w:rPr>
              <w:t>Three Months Ended June 30,</w:t>
            </w:r>
          </w:p>
        </w:tc>
        <w:tc>
          <w:tcPr>
            <w:tcW w:w="300" w:type="dxa"/>
            <w:vAlign w:val="bottom"/>
          </w:tcPr>
          <w:p>
            <w:pPr>
              <w:spacing w:after="0"/>
              <w:rPr>
                <w:sz w:val="16"/>
                <w:szCs w:val="16"/>
                <w:color w:val="auto"/>
              </w:rPr>
            </w:pPr>
          </w:p>
        </w:tc>
        <w:tc>
          <w:tcPr>
            <w:tcW w:w="2860" w:type="dxa"/>
            <w:vAlign w:val="bottom"/>
            <w:gridSpan w:val="6"/>
          </w:tcPr>
          <w:p>
            <w:pPr>
              <w:ind w:left="38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r>
      <w:tr>
        <w:trPr>
          <w:trHeight w:val="215"/>
        </w:trPr>
        <w:tc>
          <w:tcPr>
            <w:tcW w:w="580" w:type="dxa"/>
            <w:vAlign w:val="bottom"/>
          </w:tcPr>
          <w:p>
            <w:pPr>
              <w:spacing w:after="0"/>
              <w:rPr>
                <w:sz w:val="18"/>
                <w:szCs w:val="18"/>
                <w:color w:val="auto"/>
              </w:rPr>
            </w:pPr>
          </w:p>
        </w:tc>
        <w:tc>
          <w:tcPr>
            <w:tcW w:w="34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 and other</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15,000,000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719,637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3,548,572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2,947,639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5,377,614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4,051,724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2,195,515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6,188,314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4,481,406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1,238,270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4,771,361</w:t>
            </w:r>
          </w:p>
        </w:tc>
        <w:tc>
          <w:tcPr>
            <w:tcW w:w="2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5,744,087</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10,374,223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9,859,020</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(Loss) income from operations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(4,771,361)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9,255,913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(10,374,223)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5,140,980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360,754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1,518,842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Grant income</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79,900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2,672</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5,707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136,489</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363,426</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20,119</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1,524,549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216,389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Net and comprehensive (loss)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(4,407,935)</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9,276,032</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(8,849,674)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5,357,369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Comparison of the Three and Six Months Ended June 30, 2021 and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Revenue</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License revenue for the three and six months ended June 30, 2020 reflects the $15.0 million payment received as consideration pursuant to the amendment to the Gossamer License Agreement. This revenue was recognized when cash was received on May 12, 2020. No such license agreement amendment was executed in 2021, nor were any milestones of the Gossamer license agreement achieved in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8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32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719,637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3,548,572</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2,947,639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5,377,614</w:t>
            </w:r>
          </w:p>
        </w:tc>
        <w:tc>
          <w:tcPr>
            <w:tcW w:w="120" w:type="dxa"/>
            <w:vAlign w:val="bottom"/>
            <w:shd w:val="clear" w:color="auto" w:fill="CFF0FC"/>
          </w:tcPr>
          <w:p>
            <w:pPr>
              <w:spacing w:after="0"/>
              <w:rPr>
                <w:sz w:val="19"/>
                <w:szCs w:val="19"/>
                <w:color w:val="auto"/>
              </w:rPr>
            </w:pP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4,051,724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2,195,515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6,188,314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4,481,406</w:t>
            </w:r>
          </w:p>
        </w:tc>
        <w:tc>
          <w:tcPr>
            <w:tcW w:w="120" w:type="dxa"/>
            <w:vAlign w:val="bottom"/>
          </w:tcPr>
          <w:p>
            <w:pPr>
              <w:spacing w:after="0"/>
              <w:rPr>
                <w:sz w:val="19"/>
                <w:szCs w:val="19"/>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1,238,270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4,771,361</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5,744,087</w:t>
            </w:r>
          </w:p>
        </w:tc>
        <w:tc>
          <w:tcPr>
            <w:tcW w:w="3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10,374,223</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9,859,020</w:t>
            </w:r>
          </w:p>
        </w:tc>
        <w:tc>
          <w:tcPr>
            <w:tcW w:w="120" w:type="dxa"/>
            <w:vAlign w:val="bottom"/>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Research and development expenses for the three months ended June 30, 2021 decreased approximately $2.8 million or 79.7%, compared to the three months ended June 30, 2020. This was the result of decreased spending on clinical trial activity the three months ended June 30, 2020 compared to the same period in 2020. Expenses incurred during the three months ended June 30, 2021 primarily relate to wrapping up the MTEC clinical program</w:t>
      </w:r>
    </w:p>
    <w:p>
      <w:pPr>
        <w:spacing w:after="0" w:line="4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Research and development expenses for the six months ended June 30, 2021 decreased approximately $2.4 million or 45.2%, compared to the six months ended June 30, 2020. This was the result of decreased spending on clinical trial activity year to date 2021 compared to the same period in 2020.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General and administrative expenses for the three months ended June 30, 2021 increased approximately $1.9 million, or 84.5%, compared to the three months ended June 30, 2020. This was primarily the result of increased transaction costs and expenses related to our potential merger with Aadi.</w:t>
      </w:r>
    </w:p>
    <w:p>
      <w:pPr>
        <w:spacing w:after="0" w:line="1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General and administrative expenses for the six months ended June 30, 2021 increased approximately $1.7 million or 38.1%, compared to the six months ended June 30, 2020. This was primarily the result of increased transaction costs and expenses related to our potential merger with Aadi.</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Expense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Restructuring expense for the six months ended June 30, 2021 increased by $1.2 million as a result of the reduction of headcount during the first quarter of 2021. No such actions were taken during the three months ended June 30, 2021, or during the same periods in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70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20" w:type="dxa"/>
            <w:vAlign w:val="bottom"/>
            <w:gridSpan w:val="6"/>
          </w:tcPr>
          <w:p>
            <w:pPr>
              <w:ind w:left="44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3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23"/>
        </w:trPr>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w:t>
            </w:r>
          </w:p>
        </w:tc>
        <w:tc>
          <w:tcPr>
            <w:tcW w:w="880" w:type="dxa"/>
            <w:vAlign w:val="bottom"/>
            <w:tcBorders>
              <w:top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360,754</w:t>
            </w:r>
          </w:p>
        </w:tc>
        <w:tc>
          <w:tcPr>
            <w:tcW w:w="3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1,518,842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Grant income</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79,900</w:t>
            </w:r>
          </w:p>
        </w:tc>
        <w:tc>
          <w:tcPr>
            <w:tcW w:w="100" w:type="dxa"/>
            <w:vAlign w:val="bottom"/>
          </w:tcPr>
          <w:p>
            <w:pPr>
              <w:spacing w:after="0"/>
              <w:rPr>
                <w:sz w:val="19"/>
                <w:szCs w:val="19"/>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8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2,672</w:t>
            </w:r>
          </w:p>
        </w:tc>
        <w:tc>
          <w:tcPr>
            <w:tcW w:w="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20,119</w:t>
            </w:r>
          </w:p>
        </w:tc>
        <w:tc>
          <w:tcPr>
            <w:tcW w:w="3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5,707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136,489</w:t>
            </w:r>
          </w:p>
        </w:tc>
        <w:tc>
          <w:tcPr>
            <w:tcW w:w="100" w:type="dxa"/>
            <w:vAlign w:val="bottom"/>
            <w:shd w:val="clear" w:color="auto" w:fill="CFF0FC"/>
          </w:tcPr>
          <w:p>
            <w:pPr>
              <w:spacing w:after="0"/>
              <w:rPr>
                <w:sz w:val="19"/>
                <w:szCs w:val="19"/>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Total other income</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363,426</w:t>
            </w:r>
          </w:p>
        </w:tc>
        <w:tc>
          <w:tcPr>
            <w:tcW w:w="300" w:type="dxa"/>
            <w:vAlign w:val="bottom"/>
          </w:tcPr>
          <w:p>
            <w:pPr>
              <w:spacing w:after="0"/>
              <w:rPr>
                <w:sz w:val="19"/>
                <w:szCs w:val="19"/>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20,119</w:t>
            </w:r>
          </w:p>
        </w:tc>
        <w:tc>
          <w:tcPr>
            <w:tcW w:w="38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1,524,549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216,389</w:t>
            </w:r>
          </w:p>
        </w:tc>
        <w:tc>
          <w:tcPr>
            <w:tcW w:w="100" w:type="dxa"/>
            <w:vAlign w:val="bottom"/>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Other income for the three and six months ended June 30, 2021 of $0.4 million and $1.5 million, respectively, represents reimbursed internal and external qualified expenses related to the ARDS RESCUE clinical trial, per the terms of the MTEC arrangement. The arrangement with the Company started in the third quarter of 2020. The RESCUE clinical trial was substantially complete at June 30, 2021.</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77" w:right="4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Grant income is recognized as earned based on contract work performed. Grant income amounts can vary greatly from period to period depending on the funding and needs of the party for whom we perform the requested services. No grants were received during the three and six months ended June 30, 2021. Grant income of $79,900 was recognized during the six months ended June 30, 2020, as the corresponding requested work was completed.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Interest income in the three and six months ended June 30, 2021, reflects interest earned on short term money market instruments. The net proceeds from our underwritten public offering in June 2018, sale of Company stock and payments received in conjunction with the execution of the Gossamer License Agreement in June 2018 and Amendment No. 1 in May 2020, less cash used in operations, were available for investment. The decrease in interest income is due to lower interest rates during the three and six months ended June 30, 2021, compared to the prior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Since inception, we have incurred significant net losses and negative cash flows from operations. For the three and six months ended June 30, 2021, we had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losses of $4.4 million and $8.8 million, respectively, compared to net income of $9.3 million and $5.4 million for the three and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2020, respectively, which was the result of the $15.0 million payment from Gossamer for Amendment No. 1 during the second quarter of 2020.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December 31, 2020, we had an accumulated deficit of $155.4 million and $146.6 million, respectively.</w:t>
      </w:r>
    </w:p>
    <w:p>
      <w:pPr>
        <w:spacing w:after="0" w:line="103"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At June 30, 2021, we had cash and cash equivalents of $36.8 million. To date, we have financed our operations principally through private and public offerings of our equity securities, private placements of our redeemable convertible preferred stock, common stock, issuances of secured convertible promissory notes and proceeds from the Amended Gossamer License Agreement and Amendment No. 1. Based on our current plans</w:t>
      </w:r>
      <w:r>
        <w:rPr>
          <w:rFonts w:ascii="Arial" w:cs="Arial" w:eastAsia="Arial" w:hAnsi="Arial"/>
          <w:sz w:val="16"/>
          <w:szCs w:val="16"/>
          <w:b w:val="1"/>
          <w:bCs w:val="1"/>
          <w:color w:val="auto"/>
        </w:rPr>
        <w:t>,</w:t>
      </w:r>
      <w:r>
        <w:rPr>
          <w:rFonts w:ascii="Arial" w:cs="Arial" w:eastAsia="Arial" w:hAnsi="Arial"/>
          <w:sz w:val="16"/>
          <w:szCs w:val="16"/>
          <w:color w:val="auto"/>
        </w:rPr>
        <w:t xml:space="preserve"> we expect that our existing cash and cash equivalents will enable us to conduct our planned operations through at least the fourth quarter of 2022.</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April 2021, we filed a shelf registration statement on Form S-3 with the SEC which was declared effective by the SEC on April 15, 2021 (the “Form S-3”). The shelf registration statement allows us to sell from time-to-time up to $150.0 million of common stock, preferred stock, debt securities, warrants, or units comprised of any combination of these securities, for our own account in one or more offerings. The shelf registration statement is intended to provide us flexibility to conduct registered sales of our securities, subject to market conditions and our future capital needs. The terms of any offering under the shelf registration statement will be established at the time of such offering and will be described in a prospectus supplement filed with the SEC prior to the completion of any such offering.</w:t>
      </w:r>
    </w:p>
    <w:p>
      <w:pPr>
        <w:spacing w:after="0" w:line="8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February 2018, we entered into a Controlled Equity Offering Sales Agreement (the “Sales Agreement”) with Cantor Fitzgerald &amp; Co. (“Cantor”), pursuant to which we were able to issue and sell, from time to time, shares of our common stock having an aggregate offering price of up to $75.0 million through Cantor as our sales agent. Cantor may sell our common stock by any method permitted by law deemed to be an “at the market offering” as defined in Rule 415(a)(4) of the Securities Act, including sales made directly on or through the Nasdaq Capital Market or any other existing trade market for our common stock, in negotiated transactions at market prices prevailing at the time of sale or at prices related to prevailing market prices, or any other method permitted by law. The shares of our common stock that we sold under the Sales Agreement were conducted pursuant to an earlier registration statement on Form S-3 that we filed with the SEC in February 2018.</w:t>
      </w:r>
    </w:p>
    <w:p>
      <w:pPr>
        <w:spacing w:after="0" w:line="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year ended December 31, 2020, 6,523,655 shares of common stock had been sold under this Sales Agreement and received net proceeds of $9.3 million, after deducting expenses of approximately $403,000 (including sales agent compensation of approximately $292,000) that were direct and incremental to the sale of our common stock. During the three and six months ended June 30, 2021, no shares of common stock were sold under this Sales Agreement. Because the earlier registration statement on Form S-3 expired on its three-year anniversary of its effectiveness, we may not make future sales under the Sales Agreement.</w:t>
      </w:r>
    </w:p>
    <w:p>
      <w:pPr>
        <w:spacing w:after="0" w:line="8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 May 16, 2021, we entered into a Merger Agreement with Aadi and Merger Sub pursuant to which, subject to the satisfaction or waiver of the conditions therein, Aadi will merge with and into Merger Sub, with Aadi continuing as the surviving company and a wholly-owned subsidiary of our Company. The Merger Agreement was unanimously approved by the members of the Company's Board, and the Board resolved to recommend approval of the Merger Agreement to the Company's shareholders. Our future operations are highly dependent on the success of the merger with Aadi.</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spacing w:after="0" w:line="254" w:lineRule="auto"/>
        <w:rPr>
          <w:sz w:val="20"/>
          <w:szCs w:val="20"/>
          <w:color w:val="auto"/>
        </w:rPr>
      </w:pPr>
      <w:r>
        <w:rPr>
          <w:rFonts w:ascii="Arial" w:cs="Arial" w:eastAsia="Arial" w:hAnsi="Arial"/>
          <w:sz w:val="18"/>
          <w:szCs w:val="18"/>
          <w:color w:val="auto"/>
        </w:rPr>
        <w:t>We could potentially use our available financial resources sooner than we currently expect, and we may incur additional indebtedness to meet future operation liquidity. We continuously evaluate our needs for additional capital and consider opportunities on an ongoing basis, including capital from many different sources including equity capital, strategic alliances, business development debt, collaborations and business combinations. Adequate additional funding may not be available to us on acceptable terms or at all. Market volatility resulting from COVID-19 pandemic or other factors could also adversely impact our ability to access capital as and when needed. In addition, although we anticipate being able to obtain additional financing through non-dilutive means, we may be unable to do so. Our failure to raise capital as and when needed could have significant negative consequences for our business, financial condition and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920" w:type="dxa"/>
            <w:vAlign w:val="bottom"/>
            <w:gridSpan w:val="4"/>
          </w:tcPr>
          <w:p>
            <w:pPr>
              <w:jc w:val="right"/>
              <w:ind w:right="49"/>
              <w:spacing w:after="0"/>
              <w:rPr>
                <w:sz w:val="20"/>
                <w:szCs w:val="20"/>
                <w:color w:val="auto"/>
              </w:rPr>
            </w:pPr>
            <w:r>
              <w:rPr>
                <w:rFonts w:ascii="Arial" w:cs="Arial" w:eastAsia="Arial" w:hAnsi="Arial"/>
                <w:sz w:val="14"/>
                <w:szCs w:val="14"/>
                <w:b w:val="1"/>
                <w:bCs w:val="1"/>
                <w:color w:val="auto"/>
                <w:w w:val="99"/>
              </w:rPr>
              <w:t>Six Months Ended June 30,</w:t>
            </w:r>
          </w:p>
        </w:tc>
        <w:tc>
          <w:tcPr>
            <w:tcW w:w="1240" w:type="dxa"/>
            <w:vAlign w:val="bottom"/>
            <w:vMerge w:val="restart"/>
          </w:tcPr>
          <w:p>
            <w:pPr>
              <w:jc w:val="right"/>
              <w:ind w:right="7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640" w:type="dxa"/>
            <w:vAlign w:val="bottom"/>
            <w:tcBorders>
              <w:bottom w:val="single" w:sz="8" w:color="CFF0FC"/>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1180" w:type="dxa"/>
            <w:vAlign w:val="bottom"/>
            <w:shd w:val="clear" w:color="auto" w:fill="CFF0FC"/>
          </w:tcPr>
          <w:p>
            <w:pPr>
              <w:jc w:val="right"/>
              <w:ind w:right="1027"/>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(5,893,575)</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62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6,351,946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(12,198)</w:t>
            </w:r>
          </w:p>
        </w:tc>
        <w:tc>
          <w:tcPr>
            <w:tcW w:w="0" w:type="dxa"/>
            <w:vAlign w:val="bottom"/>
          </w:tcPr>
          <w:p>
            <w:pPr>
              <w:spacing w:after="0"/>
              <w:rPr>
                <w:sz w:val="1"/>
                <w:szCs w:val="1"/>
                <w:color w:val="auto"/>
              </w:rPr>
            </w:pPr>
          </w:p>
        </w:tc>
      </w:tr>
      <w:tr>
        <w:trPr>
          <w:trHeight w:val="229"/>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104,768</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180" w:type="dxa"/>
            <w:vAlign w:val="bottom"/>
            <w:tcBorders>
              <w:top w:val="single" w:sz="8" w:color="auto"/>
              <w:bottom w:val="single" w:sz="8" w:color="auto"/>
            </w:tcBorders>
          </w:tcPr>
          <w:p>
            <w:pPr>
              <w:jc w:val="right"/>
              <w:ind w:right="102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(5,788,807)</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6,339,748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have historically experienced negative cash outflows. Our net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general and administrative activities. Our cash flows from operating activities will continue to be affected by spending to advance and support our product candidates in the clinic and other operating and general administrative activities.</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six months ended June 30, 2021, operating activities used $5.9 million in cash as result a net loss of approximately $8.8 million offset by $1.9 million in working capital and $1.0 million in non-cash expenses related to stock-based compensation, loss on disposal of fixed assets and depreciation expense. For the six months ended June 30, 2020, operating activities generated $6.4 million in cash as result of net income of $5.4 million, due to the one-time $15.0 million payment from Gossamer for Amendment No. 1, non-cash expenses of $0.7 million related to stock-based compensation and depreciation expense and working capital of $0.3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Cash used in investing activities for the six months ended June 30, 2020 was related to capital expenditures to support operations. There were no investing activities during the six months ended June 30,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2021 includes $0.1 million net proceeds from issuance of common stock upon exercise of stock options and warrants. There were no financing activities during the six months ended June 30,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Other than as described herein with respect to the Merger Agreement with Aadi and the related transactions, there have been no material changes outside the ordinary course of business during the period covered by this Quarterly Report on Form 10-Q from the contractual obligations and commitments as of December 31, 2020 as described in our Annual Report on Form 10-K filed with the SEC on March 11,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2021 and December 31, 2020, we did not have any off-balance sheet arrangements as defined by applicable SEC regulations.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9" w:name="page30"/>
    <w:bookmarkEnd w:id="29"/>
    <w:p>
      <w:pPr>
        <w:ind w:right="580"/>
        <w:spacing w:after="0" w:line="277" w:lineRule="auto"/>
        <w:rPr>
          <w:sz w:val="20"/>
          <w:szCs w:val="20"/>
          <w:color w:val="auto"/>
        </w:rPr>
      </w:pPr>
      <w:r>
        <w:rPr>
          <w:rFonts w:ascii="Arial" w:cs="Arial" w:eastAsia="Arial" w:hAnsi="Arial"/>
          <w:sz w:val="18"/>
          <w:szCs w:val="18"/>
          <w:color w:val="auto"/>
        </w:rPr>
        <w:t>We believe that the assumptions and estimates have the greatest potential impact on our condensed consolidated financial statements. Therefore, we consider these to be our critical accounting policies and estimates.</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further information on all our significant accounting policies, see the notes to our condensed consolidated financial statements appearing elsewhere in this Quarterly Report on Form 10-Q and our Annual Report on Form 10-K filed with the SEC on March 11,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We are an “emerging growth company” within the meaning of the Jumpstart Our Business Startups Act of 2012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that are not emerging growth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by this Item.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Management’s Evaluation of our Disclosure Controls and Procedures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supervision of and with the participation of our management, including our principal executive officer and our principal financial officer, we conducted an evaluation of the effectiveness of our disclosure controls and procedures as of June 30, 2021, the end of the period covered by this Quarterly Report on Form 10-Q.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Based on this evaluation, management concluded that our internal control over financial reporting was effective as of June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During the quarter ended June 30, 2021,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33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From time to time, we could be subject to various legal proceedings and claims that arise in the ordinary course of our business activities. Regardless of the outcome, legal proceedings can have an adverse impact on us because of defense and settlement costs, diversion of management resources and other factors. Except as set forth below, as of the date of this Quarterly Report on Form 10-Q, we are not currently involved in any material legal proceedings.</w:t>
      </w:r>
    </w:p>
    <w:p>
      <w:pPr>
        <w:spacing w:after="0" w:line="41"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 xml:space="preserve">On June 30, 2021, a purported stockholder of the Company filed a complaint in the United States District Court for the Southern District of New York, captioned </w:t>
      </w:r>
      <w:r>
        <w:rPr>
          <w:rFonts w:ascii="Arial" w:cs="Arial" w:eastAsia="Arial" w:hAnsi="Arial"/>
          <w:sz w:val="16"/>
          <w:szCs w:val="16"/>
          <w:i w:val="1"/>
          <w:iCs w:val="1"/>
          <w:color w:val="auto"/>
        </w:rPr>
        <w:t>Dwayne Komurke v. Aerpio Pharmaceuticals Inc., et al</w:t>
      </w:r>
      <w:r>
        <w:rPr>
          <w:rFonts w:ascii="Arial" w:cs="Arial" w:eastAsia="Arial" w:hAnsi="Arial"/>
          <w:sz w:val="16"/>
          <w:szCs w:val="16"/>
          <w:color w:val="auto"/>
        </w:rPr>
        <w:t>., Case No. 1:21-cv-05686 (the “Komurke complaint”), naming the Company, each member of our board of directors (the “Board” or “Board of Directors”) as of the date of the Merger Agreement, Merger Sub and Aadi as defendants.</w:t>
      </w:r>
    </w:p>
    <w:p>
      <w:pPr>
        <w:spacing w:after="0" w:line="4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Komurke complaint alleges, among other things, that the Merger consideration is inadequate and that our proxy statement filed with the SEC on June 21, 2021 in connection with the Merger (the “preliminary proxy statement”) is materially incomplete and misleading by allegedly failing to disclose in violation of Section 14(a) and Section 20(a) of the Exchange Act, as well as Rule 14a-9 promulgated thereunder, certain allegedly material information, including (i) the process leading up to the Merger; (ii) certain financial projections prepared by our management and summarized in the preliminary proxy statement; and (iii) certain inputs and assumptions used in the financial analyses conducted by Ladenburg in connection with rendering its fairness opinion to our Board of Directors. The Komurke complaint asserts claims for breach of fiduciary duty against our Board of Directors; aiding and abetting breaches of fiduciary duty against the Company, Merger Sub and Aadi; violations of Section 14(a) and Rule 14a-9 against all defendants; and violations of Section 20(a) against our Board of Directors. The relief sought in the Komurke complaint includes equitable relief, including among other things, to enjoin the consummation of the Merger, to rescind the Merger Agreement, to the extent already implemented, or to recover rescissory damages, to direct the defendants to commence a new sale process, to direct the defendants to disseminate a proxy statement that includes certain additional and allegedly material information, to direct the defendants to account to plaintiff for all alleged damages suffered as a result of their alleged wrongdoing and to award plaintiff the cost of the stockholder complaint, including reasonable attorneys’ and expert fees.</w:t>
      </w:r>
    </w:p>
    <w:p>
      <w:pPr>
        <w:spacing w:after="0" w:line="6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On July 6, 2021, a purported stockholder of the Company filed a complaint in the United States District Court for the Southern District of New York, captioned </w:t>
      </w:r>
      <w:r>
        <w:rPr>
          <w:rFonts w:ascii="Arial" w:cs="Arial" w:eastAsia="Arial" w:hAnsi="Arial"/>
          <w:sz w:val="16"/>
          <w:szCs w:val="16"/>
          <w:i w:val="1"/>
          <w:iCs w:val="1"/>
          <w:color w:val="auto"/>
        </w:rPr>
        <w:t>Matthew Whitfield v. Aerpio Pharmaceuticals Inc., et al</w:t>
      </w:r>
      <w:r>
        <w:rPr>
          <w:rFonts w:ascii="Arial" w:cs="Arial" w:eastAsia="Arial" w:hAnsi="Arial"/>
          <w:sz w:val="16"/>
          <w:szCs w:val="16"/>
          <w:color w:val="auto"/>
        </w:rPr>
        <w:t>., Case No. 1:21-cv-05787 (referred to as the “Whitfield complaint”), naming the Company and each member of our Board of Directors as of the date of the Merger Agreement as defendants. The Whitfield complaint alleges, among other things, that the preliminary proxy statement omits certain allegedly material information by failing to disclose (i) financial projections of the Company,</w:t>
      </w:r>
    </w:p>
    <w:p>
      <w:pPr>
        <w:spacing w:after="0" w:line="1" w:lineRule="exact"/>
        <w:rPr>
          <w:sz w:val="20"/>
          <w:szCs w:val="20"/>
          <w:color w:val="auto"/>
        </w:rPr>
      </w:pPr>
    </w:p>
    <w:p>
      <w:pPr>
        <w:ind w:firstLine="8"/>
        <w:spacing w:after="0" w:line="270" w:lineRule="auto"/>
        <w:tabs>
          <w:tab w:leader="none" w:pos="265" w:val="left"/>
        </w:tabs>
        <w:numPr>
          <w:ilvl w:val="0"/>
          <w:numId w:val="9"/>
        </w:numPr>
        <w:rPr>
          <w:rFonts w:ascii="Arial" w:cs="Arial" w:eastAsia="Arial" w:hAnsi="Arial"/>
          <w:sz w:val="17"/>
          <w:szCs w:val="17"/>
          <w:color w:val="auto"/>
        </w:rPr>
      </w:pPr>
      <w:r>
        <w:rPr>
          <w:rFonts w:ascii="Arial" w:cs="Arial" w:eastAsia="Arial" w:hAnsi="Arial"/>
          <w:sz w:val="17"/>
          <w:szCs w:val="17"/>
          <w:color w:val="auto"/>
        </w:rPr>
        <w:t>certain information concerning our management’s financial projections for Aadi, (iii) certain assumptions used in a discounted cash flow analysis performed by Ladenburg, and (iv) certain information concerning our second financial advisor. The Whitfield complaint asserts claims for violations of Section 14(a) of the Exchange Act and Rule 14a-9 promulgated thereunder against all defendants, and violations of Section 20(a) of the Exchange Act against our Board of Directors. The Whitfield complaint seeks, among other things: an injunction enjoining consummation of the Merger, an order directing the defendants to disseminate a proxy statement that includes certain additional and allegedly material information, rescissory relief, costs of the action, including plaintiff’s attorneys’ fees and experts’ fees, declaratory relief, and any other relief the court may deem just and proper.</w:t>
      </w:r>
    </w:p>
    <w:p>
      <w:pPr>
        <w:spacing w:after="0" w:line="7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On July 6, 2021, a purported stockholder of the Company filed a complaint in the United States District Court for the Southern District of New York, captioned Robin Odach v. Aerpio Pharmaceuticals Inc., et al., Case No. 1:21-cv-05802 (referred to as the “Odach complaint”), naming the Company and each member of our Board of Directors as of the date of the Merger Agreement as defendants. The Odach complaint alleges, among other things, that the preliminary proxy statement contains allegedly material misstatements and omissions, including by failing to disclose (i) the basis for certain assumptions underlying our management’s financial projections for Aadi, (ii) certain inputs used in a discounted cash flow analysis performed by Ladenburg, and (iii) certain information concerning our second financial advisor. The Odach complaint asserts claims for violations of Section 14(a) of the Exchange Act and Rule 14a-9 promulgated thereunder against all defendants, and violations of Section 20(a) of the Exchange Act against our Board of Directors. The Odach complaint seeks, among other things: an injunction enjoining consummation of the Merger, rescissory relief, costs of the action, including plaintiff’s attorneys’ fees and experts’ fees, and any other relief the court may deem just and proper.</w:t>
      </w:r>
    </w:p>
    <w:p>
      <w:pPr>
        <w:spacing w:after="0" w:line="7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On July 12, 2021, a purported stockholder of the Company filed a complaint in the United States District Court for the Eastern District of New York, captioned </w:t>
      </w:r>
      <w:r>
        <w:rPr>
          <w:rFonts w:ascii="Arial" w:cs="Arial" w:eastAsia="Arial" w:hAnsi="Arial"/>
          <w:sz w:val="18"/>
          <w:szCs w:val="18"/>
          <w:i w:val="1"/>
          <w:iCs w:val="1"/>
          <w:color w:val="auto"/>
        </w:rPr>
        <w:t>Miah v. Aerpio Pharmaceuticals, Inc., et al.</w:t>
      </w:r>
      <w:r>
        <w:rPr>
          <w:rFonts w:ascii="Arial" w:cs="Arial" w:eastAsia="Arial" w:hAnsi="Arial"/>
          <w:sz w:val="18"/>
          <w:szCs w:val="18"/>
          <w:color w:val="auto"/>
        </w:rPr>
        <w:t>, Case No. 1:21-cv-03912 (referred to as the “Miah complaint”), naming the Company and the Company’s Board of Directors, as of the date of the Merger Agreement, as defendants. The Miah complaint alleges, among other things, that the preliminary proxy statement contains allegedly material misstatements and omissions, including by failing to disclose (i) the basis for certain assumptions underlying the Company’s management’s financial projections for Aadi, (ii) certain inputs used in a discounted cash flow analysis performed by Ladenburg, and (iii) certain information concerning the Company’s second financial advisor. The Miah complaint asserts claims for violations of Section 14(a) of the Exchange Act and Rule 14a-9 promulgated thereunder against all defendants, and violations of Section 20(a) of the Exchange Act against the Company’s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ind w:right="320"/>
        <w:spacing w:after="0" w:line="277" w:lineRule="auto"/>
        <w:rPr>
          <w:sz w:val="20"/>
          <w:szCs w:val="20"/>
          <w:color w:val="auto"/>
        </w:rPr>
      </w:pPr>
      <w:r>
        <w:rPr>
          <w:rFonts w:ascii="Arial" w:cs="Arial" w:eastAsia="Arial" w:hAnsi="Arial"/>
          <w:sz w:val="18"/>
          <w:szCs w:val="18"/>
          <w:color w:val="auto"/>
        </w:rPr>
        <w:t>Board of Directors. The Miah complaint seeks, among other things: an injunction enjoining consummation of the Merger, rescissory relief, costs of the action, including plaintiff’s attorneys’ fees and experts’ fees, and any other relief the court may deem just and proper.</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On July 29, 2021, a purported stockholder of the Company filed a complaint in the United States District Court for the Southern District of New York, captioned </w:t>
      </w:r>
      <w:r>
        <w:rPr>
          <w:rFonts w:ascii="Arial" w:cs="Arial" w:eastAsia="Arial" w:hAnsi="Arial"/>
          <w:sz w:val="17"/>
          <w:szCs w:val="17"/>
          <w:i w:val="1"/>
          <w:iCs w:val="1"/>
          <w:color w:val="auto"/>
        </w:rPr>
        <w:t>Weir v. Aerpio Pharmaceuticals, Inc., et al.</w:t>
      </w:r>
      <w:r>
        <w:rPr>
          <w:rFonts w:ascii="Arial" w:cs="Arial" w:eastAsia="Arial" w:hAnsi="Arial"/>
          <w:sz w:val="17"/>
          <w:szCs w:val="17"/>
          <w:color w:val="auto"/>
        </w:rPr>
        <w:t>, Case No. 1:21-cv-06456 (referred to as the “Weir complaint”), naming the Company and the Company’s Board of Directors, as of the date of the Merger Agreement, as defendants. The Weir complaint alleges, among other things, that the preliminary proxy statement contains allegedly material misstatements and omissions, including by failing to disclose (i) the basis for certain assumptions underlying the Company’s management’s financial projections for Aadi, (ii) certain inputs used in a discounted cash flow analysis performed by Ladenburg, and (iii) certain information concerning the Company’s second financial advisor. The Weir complaint asserts claims for violations of Section 14(a) of the Exchange Act and Rule 14a-9 promulgated thereunder against all defendants, and violations of Section 20(a) of the Exchange Act against the Company’s Board of Directors. The Weir complaint seeks, among other things: an injunction enjoining consummation of the Merger, an order directing the defendants to disseminate a proxy statement that includes certain additional and allegedly material information, rescissory relief, costs of the action, including plaintiff’s attorneys’ fees and experts’ fees, and any other relief the court may deem just and proper.</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On August 2, 2021, a purported stockholder of the Company filed a complaint in the United States District Court for the District of Delaware, captioned </w:t>
      </w:r>
      <w:r>
        <w:rPr>
          <w:rFonts w:ascii="Arial" w:cs="Arial" w:eastAsia="Arial" w:hAnsi="Arial"/>
          <w:sz w:val="16"/>
          <w:szCs w:val="16"/>
          <w:i w:val="1"/>
          <w:iCs w:val="1"/>
          <w:color w:val="auto"/>
        </w:rPr>
        <w:t>Carlisle v. Aerpio Pharmaceuticals, Inc., et al.</w:t>
      </w:r>
      <w:r>
        <w:rPr>
          <w:rFonts w:ascii="Arial" w:cs="Arial" w:eastAsia="Arial" w:hAnsi="Arial"/>
          <w:sz w:val="16"/>
          <w:szCs w:val="16"/>
          <w:color w:val="auto"/>
        </w:rPr>
        <w:t>, Case No. 1:21-cv-01123 (referred to as the “Carlisle complaint”), naming the Company and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as of the date of the Merger Agreement, as defendants. The Carlisle complaint alleges, among other things, that the preliminary proxy statement contains allegedly material misstatements and omissions, including by failing to disclose (i) the basis for certain assumptions underlying the Company’s management’s financial projections for Aadi, (ii) certain inputs used in a discounted cash flow analysis performed by Ladenburg, and (iii) certain information concerning the Company’s second financial advisor. The Carlisle complaint asserts claims for violations of Section 14(a) of the Exchange Act and Rule 14a-9 promulgated thereunder against all defendants, and violations of Section 20(a) of the Exchange Act against the Company’s Board of Directors. The Carlisle complaint seeks, among other things: an injunction enjoining consummation of the Merger, rescissory relief, costs of the action, including plaintiff’s attorneys’ fees and experts’ fees, and any other relief the court may deem just and proper.</w:t>
      </w:r>
    </w:p>
    <w:p>
      <w:pPr>
        <w:spacing w:after="0" w:line="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cannot predict the outcome of the Komurke complaint, the Whitfield complaint, the Odach complaint, the Miah complaint, the Weir complaint, or the Carlisle complaint (collectively referred to as the “stockholder complaints”), nor can we predict the amount of time and expense that will be required to resolve the stockholder complaints. We believe that the stockholder complaints are without merit and we and our Board of Directors intend to vigorously defend against the stockholder complaints and any subsequently filed similar actions.</w:t>
      </w: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Board of Directors has also received a demand letter from a purported stockholder of the Company, requesting certain books and records of the Company concerning the Merger pursuant to Section 220 of the Delaware General Corporation Law (referred to as the “books and records demand”). We cannot predict the outcome of the books and records demand, or other similar demands that may be made in the future, nor can we predict the amount of time and expense that may be required to resolve any such demands or resulting litigation.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If additional similar complaints are filed, absent new or significantly different allegations, we will not necessarily disclose such additional filings.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following risk factors and other information included in this Quarterly Report on Form 10-Q and in other documents that we file with the SEC should be carefully considered. The risks and uncertainties summarized above and described below are not intended to be exhaustive and are not the only ones we face. Additional risks and uncertainties not presently known to us or that we presently deem immaterial may also impair our business operations. Please see page 18 of this Quarterly Report on Form 10-Q for a discussion of some of the forward-looking statements that are qualified by these risk factors. If any of the following risks actually occur, our business, financial condition, results of operations and future growth prospects could be materially and adversely affected.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Clinical Development, Regulatory Review and Approval of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Merger with Aadi Bioscience, Inc. (“Aadi”).</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Failure to complete, or delays in completing, the potential merger with Aadi announced on May 17, 2021 could materially and adversely affect our results of operations, business, financial results and/or stock price.</w:t>
      </w:r>
    </w:p>
    <w:p>
      <w:pPr>
        <w:spacing w:after="0" w:line="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May 16, 2021, we entered into an agreement with Aadi and our wholly-owned merger subsidiary (“Merger Sub”) pursuant to which, if all of the conditions to closing are satisfied or waived, Aadi will merge with and into Merger Sub, with Aadi continuing as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2" w:name="page33"/>
    <w:bookmarkEnd w:id="32"/>
    <w:p>
      <w:pPr>
        <w:ind w:right="120"/>
        <w:spacing w:after="0" w:line="257" w:lineRule="auto"/>
        <w:rPr>
          <w:sz w:val="20"/>
          <w:szCs w:val="20"/>
          <w:color w:val="auto"/>
        </w:rPr>
      </w:pPr>
      <w:r>
        <w:rPr>
          <w:rFonts w:ascii="Arial" w:cs="Arial" w:eastAsia="Arial" w:hAnsi="Arial"/>
          <w:sz w:val="18"/>
          <w:szCs w:val="18"/>
          <w:color w:val="auto"/>
        </w:rPr>
        <w:t>the surviving company and a wholly-owned subsidiary of our Company (the “Merger”). Consummation of the Merger is subject to certain closing conditions, a number of which are not within our control. Any failure to satisfy these required conditions to closing may prevent, delay or otherwise materially adversely affect the completion of the transaction. We cannot predict with certainty whether or when any of the required closing conditions will be satisfied or if another uncertainty may arise and cannot assure you that we will be able to successfully consummate the proposed merger as currently contemplated under the Merger Agreement or at all.</w:t>
      </w:r>
    </w:p>
    <w:p>
      <w:pPr>
        <w:spacing w:after="0" w:line="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efforts to complete the Merger could cause substantial disruptions in, and create uncertainty surrounding, our business, which may materially adversely affect our results of operation and our business. Uncertainty as to whether the Merger will be completed may affect our ability to recruit prospective employees or to retain and motivate existing employees. Employee retention may be particularly challenging while the transaction is pending because employees may experience uncertainty about their roles following the transaction. Uncertainty as to our future could adversely affect our business and our relationship with collaborators, suppliers, vendors, regulators and other business partners. For example, vendors, collaborators and other counterparties may defer decisions about working with us or seek to change existing business relationships with us. Changes to, or termination of, existing business relationships could adversely affect our results of operations and financial condition, as well as the market price of our common stock. The adverse effects of the pendency of the transaction could be exacerbated by any delays in completion of the transaction or termination of the Merger Agreement.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the failure of the proposed merger to be consummated include, but are not limited to, the following:</w:t>
      </w:r>
    </w:p>
    <w:p>
      <w:pPr>
        <w:spacing w:after="0" w:line="117" w:lineRule="exact"/>
        <w:rPr>
          <w:sz w:val="20"/>
          <w:szCs w:val="20"/>
          <w:color w:val="auto"/>
        </w:rPr>
      </w:pPr>
    </w:p>
    <w:p>
      <w:pPr>
        <w:ind w:left="740" w:right="2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would not realize any or all of the potential benefits of the Merger, including any synergies that could result from combining our financial and proprietary resources with those of Aadi, which could have a negative effect on our stock price;</w:t>
      </w:r>
    </w:p>
    <w:p>
      <w:pPr>
        <w:spacing w:after="0" w:line="62"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 some circumstances, we may be required to pay a termination fee to Aadi of $2.0 million and/or pay Aadi’s out-of-pocket fees and expense of up to $750,000;</w:t>
      </w:r>
    </w:p>
    <w:p>
      <w:pPr>
        <w:spacing w:after="0" w:line="62" w:lineRule="exact"/>
        <w:rPr>
          <w:rFonts w:ascii="Arial" w:cs="Arial" w:eastAsia="Arial" w:hAnsi="Arial"/>
          <w:sz w:val="18"/>
          <w:szCs w:val="18"/>
          <w:color w:val="auto"/>
        </w:rPr>
      </w:pPr>
    </w:p>
    <w:p>
      <w:pPr>
        <w:ind w:left="740" w:right="52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remain liable for significant transaction costs, including legal, accounting, financial advisory and other costs relating to the Merger regardless of whether the Merger is consummated;</w:t>
      </w:r>
    </w:p>
    <w:p>
      <w:pPr>
        <w:spacing w:after="0" w:line="62"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trading price of our common stock may decline to the extent that the current market price for our stock reflects a market assumption that the Merger will be completed;</w:t>
      </w:r>
    </w:p>
    <w:p>
      <w:pPr>
        <w:spacing w:after="0" w:line="62"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attention of our management and employees may have been diverted to the Merger rather than to our own operations and the pursuit of other opportunities that could have been beneficial to us;</w:t>
      </w:r>
    </w:p>
    <w:p>
      <w:pPr>
        <w:spacing w:after="0" w:line="62"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involved in securities class action litigation related to the Merger and may be subject to additional securities class action litigation related to any failure to complete the Merger;</w:t>
      </w:r>
    </w:p>
    <w:p>
      <w:pPr>
        <w:spacing w:after="0" w:line="62"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loss of key personnel during the pendency of the Merger as employees and other service providers may experience uncertainty about their future roles with us following completion of the Merger; and</w:t>
      </w:r>
    </w:p>
    <w:p>
      <w:pPr>
        <w:spacing w:after="0" w:line="62" w:lineRule="exact"/>
        <w:rPr>
          <w:rFonts w:ascii="Arial" w:cs="Arial" w:eastAsia="Arial" w:hAnsi="Arial"/>
          <w:sz w:val="18"/>
          <w:szCs w:val="18"/>
          <w:color w:val="auto"/>
        </w:rPr>
      </w:pPr>
    </w:p>
    <w:p>
      <w:pPr>
        <w:ind w:left="740" w:right="700" w:hanging="368"/>
        <w:spacing w:after="0" w:line="263"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 the Merger Agreement, we are subject to certain restrictions on the conduct of our business prior to completing the Merger, which restrictions could adversely affect our ability to conduct our business as we otherwise would have done if we were not subject to these restrictions.</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occurrence of any of these events individually or in combination could materially and adversely affect our results of operations, business, and our stock price.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sure if or when the Merger will be completed.</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consummation of the Merger is subject to the satisfaction or waiver of various conditions, including the authorization of the Merger and/or related transactions by our shareholders and Aadi’s shareholders. In addition, in connection with the Merger Agreement, we have entered into subscription agreements to raise $155.0 million in a Private Investment in Public Equity (“PIPE”) financing in shares of common stock and/or pre-funded warrants to purchase common stock. The financing is expected to be consummated concurrently with the closing of the merger, subject to customary closing conditions, and is contingent on the merger, and vice versa. We cannot guarantee that the closing conditions set forth in the Merger Agreement will be satisfied. If we are unable to satisfy the closing conditions in Aadi’s favor or if other mutual closing conditions are not satisfied, Aadi will not be obligated to complete the Merger. Under certain circumstances, we would be required to pay Aadi a termination fee of $2.0 million. In addition, in connection with certain terminations of the Merger Agreement, Aerpio may be required to pay Aadi’s out-of-pocket fees and expenses up to $750,000, which shall be credited against any termination fee which becomes payable thereafter.</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the Merger is not completed, our board of directors, in discharging its fiduciary obligations to our shareholders, will evaluate other strategic alternatives or financing options that may be available, which alternatives may not be as favorable to our shareholders as the Merger. Any future sale or merger, financing or other transaction may be subject to further shareholder approval. We may also be unable to find, evaluate or complete other strategic alternatives, which may have a materially adverse effect our business.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right="20"/>
        <w:spacing w:after="0" w:line="269" w:lineRule="auto"/>
        <w:rPr>
          <w:sz w:val="20"/>
          <w:szCs w:val="20"/>
          <w:color w:val="auto"/>
        </w:rPr>
      </w:pPr>
      <w:r>
        <w:rPr>
          <w:rFonts w:ascii="Arial" w:cs="Arial" w:eastAsia="Arial" w:hAnsi="Arial"/>
          <w:sz w:val="17"/>
          <w:szCs w:val="17"/>
          <w:color w:val="auto"/>
        </w:rPr>
        <w:t>Our efforts to complete the Merger could cause substantial disruptions in, and create uncertainty surrounding, our business, which may materially adversely affect our results of operation and our business. Uncertainty as to whether the Merger will be completed may affect our ability to recruit prospective employees or to retain and motivate existing employees. Employee retention may be particularly challenging while the transaction is pending because employees may experience uncertainty about their roles following the transaction. A substantial amount of our management’s and employees’ attention is being directed toward the completion of the transaction and thus is being diverted from our day-to-day operations. Uncertainty as to our future could adversely affect our business and our relationship with collaborators, suppliers, vendors, regulators and other business partners. For example, vendors, collaborators and other counterparties may defer decisions concerning working with us, or seek to change existing business relationships with us. Changes to, or termination of, existing business relationships could adversely affect our results of operations and financial condition, as well as the market price of our common stock. The adverse effects of the pendency of the transaction could be exacerbated by any delays in completion of the transaction or termination of the Merger Agreement.</w:t>
      </w:r>
    </w:p>
    <w:p>
      <w:pPr>
        <w:spacing w:after="0" w:line="7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Until the Merger is completed, the Merger Agreement restricts Aadi and us from taking specified actions without the consent of the other party, and, in regards to us, requires us to operate in the ordinary course of business consistent with past practice. These restrictions may prevent Aadi and us from making appropriate changes to our respective businesses or pursuing attractive business opportunities that may arise prior to the completion of the Merger.</w:t>
      </w:r>
    </w:p>
    <w:p>
      <w:pPr>
        <w:spacing w:after="0" w:line="41" w:lineRule="exact"/>
        <w:rPr>
          <w:sz w:val="20"/>
          <w:szCs w:val="20"/>
          <w:color w:val="auto"/>
        </w:rPr>
      </w:pPr>
    </w:p>
    <w:p>
      <w:pPr>
        <w:ind w:right="740"/>
        <w:spacing w:after="0" w:line="375" w:lineRule="auto"/>
        <w:rPr>
          <w:sz w:val="20"/>
          <w:szCs w:val="20"/>
          <w:color w:val="auto"/>
        </w:rPr>
      </w:pPr>
      <w:r>
        <w:rPr>
          <w:rFonts w:ascii="Arial" w:cs="Arial" w:eastAsia="Arial" w:hAnsi="Arial"/>
          <w:sz w:val="15"/>
          <w:szCs w:val="15"/>
          <w:b w:val="1"/>
          <w:bCs w:val="1"/>
          <w:i w:val="1"/>
          <w:iCs w:val="1"/>
          <w:color w:val="auto"/>
        </w:rPr>
        <w:t>Because the Merger Agreement provides for a fixed exchange ratio for the number of shares of our common stock that will be issued for each outstanding share of Aadi’s share capital, we may face risks as a result of changes in our stock price during the pendency of the Merger.</w:t>
      </w:r>
    </w:p>
    <w:p>
      <w:pPr>
        <w:spacing w:after="0" w:line="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Merger Agreement provides for a fixed exchange ratio for the number of shares of our common stock that will be issued for each outstanding share of Aadi’s share capital in the Merger. If the public trading value of shares of our common stock changes over the period of time required to satisfy the Merger’s closing conditions, the consideration to be issued to Aadi’s shareholders at the time of the Merger may be different from the public trading value of shares of our common stock when we entered into the Merger Agreement.</w:t>
      </w:r>
    </w:p>
    <w:p>
      <w:pPr>
        <w:spacing w:after="0" w:line="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The Merger Agreement contains provisions that limits our ability to pursue alternatives to the Merger, could discourage a potential competing acquiror of us from making an alternative transaction proposal and, in specified circumstances, could require us to pay a termination fee to Aadi.</w:t>
      </w:r>
    </w:p>
    <w:p>
      <w:pPr>
        <w:spacing w:after="0" w:line="1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Merger Agreement provides that we shall not, and requires us to refrain from permitting our representatives to, among other things, solicit, participate in negotiations with respect to or approve or recommend any third party proposal for an alternative transaction, subject to exceptions set forth in the Merger Agreement relating to the receipt of certain unsolicited proposals. Further, while our board of directors is permitted to make a recommendation change to our stockholders with respect to the Merger under certain circumstances, unless Aadi terminates the Merger Agreement, we nonetheless will be required to submit the proposals to a stockholder vote at a special meeting. This requirement, which is often called a “force the vote” provision, means that we do not have the right before the stockholder vote to terminate the Merger Agreement to accept a superior proposal. If the Merger Agreement is terminated, in certain circumstances, we may be required to pay Aadi a termination fee of $2.0 million.</w:t>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provisions could discourage a potential third-party acquiror or merger partner that might have an interest in acquiring all or a significant portion of us or pursuing an alternative transaction from considering or proposing such a transaction, even if it were prepared to pay consideration with a higher per share cash or market value than the consideration in the Merger, or might result in a potential third-party acquiror or merger partner proposing to pay a lower price to our stockholders than it might otherwise have proposed to pay because of the added expense of the termination fee that may become payable in certain circumstances.</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the Merger Agreement is terminated and we determine to seek another business combination, we may not be able to negotiate a transaction with another party on terms comparable to, or better than, the terms of the Merger.</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are involved in securities class action litigation related to the Merger and may become involved in additional securities class action litigation or stockholder derivative litigation in connection with the Merger, and this could divert the attention of our management and harm the our business, and insurance coverage may not be sufficient to cover all related costs and damages.</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Securities class action litigation or stockholder derivative litigation frequently follows the announcement of certain significant business transactions, such as a business combination transaction. We and Aadi may become involved in this type of litigation in connection with the Merger and may become involved in this type of litigation in the future. Litigation often is expensive and diverts management’s attention and resources, which could adversely affect our business.</w:t>
      </w:r>
    </w:p>
    <w:p>
      <w:pPr>
        <w:spacing w:after="0" w:line="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connection with the Merger, on June 30, 2021, a purported stockholder of the Company filed a complaint in the United States District Court for the Southern District of New York, captioned </w:t>
      </w:r>
      <w:r>
        <w:rPr>
          <w:rFonts w:ascii="Arial" w:cs="Arial" w:eastAsia="Arial" w:hAnsi="Arial"/>
          <w:sz w:val="18"/>
          <w:szCs w:val="18"/>
          <w:i w:val="1"/>
          <w:iCs w:val="1"/>
          <w:color w:val="auto"/>
        </w:rPr>
        <w:t>Dwayne Komurke v. Aerpio Pharmaceuticals Inc., et al.</w:t>
      </w:r>
      <w:r>
        <w:rPr>
          <w:rFonts w:ascii="Arial" w:cs="Arial" w:eastAsia="Arial" w:hAnsi="Arial"/>
          <w:sz w:val="18"/>
          <w:szCs w:val="18"/>
          <w:color w:val="auto"/>
        </w:rPr>
        <w:t>, Case No. 1:21-CV-05686 (referred to as the “Komurke complaint”), naming the Company and each member of our Board of Directors as of the date of the Merger Agreement, Merger Sub and Aadi as defendants. The Komurke complaint alleges, among other things, that the Merger consideration is inadequate and that our proxy statement filed with the SEC on June 21, 2021 misrepresents and/or omits certain purportedly material information relating to financial projections, analysis performed by Ladenburg, and the process leading up</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ind w:right="160"/>
        <w:spacing w:after="0" w:line="275" w:lineRule="auto"/>
        <w:rPr>
          <w:sz w:val="20"/>
          <w:szCs w:val="20"/>
          <w:color w:val="auto"/>
        </w:rPr>
      </w:pPr>
      <w:r>
        <w:rPr>
          <w:rFonts w:ascii="Arial" w:cs="Arial" w:eastAsia="Arial" w:hAnsi="Arial"/>
          <w:sz w:val="17"/>
          <w:szCs w:val="17"/>
          <w:color w:val="auto"/>
        </w:rPr>
        <w:t>to the execution of the Merger Agreement. The Komurke complaint asserts claims for breach of fiduciary duty against our Board of Directors; aiding and abetting breaches of fiduciary duty of the Company, Merger Sub and Aadi; violations of Section 14(a) of the Exchange Act and Rule 14a-9 promulgated thereunder against all defendants; and violations of Section 20(a) of the Exchange Act against our Board of Directors. The stockholder complaint seeks, among other things: an injunction enjoining consummation of the Merger, costs of the action, including plaintiff’s attorneys’ fees and experts’ fees, declaratory relief, and any other relief the court may deem just and proper.</w:t>
      </w:r>
    </w:p>
    <w:p>
      <w:pPr>
        <w:spacing w:after="0" w:line="6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On July 6, 2021, a purported stockholder of the Company filed a complaint in the United States District Court for the Southern District of New York, captioned </w:t>
      </w:r>
      <w:r>
        <w:rPr>
          <w:rFonts w:ascii="Arial" w:cs="Arial" w:eastAsia="Arial" w:hAnsi="Arial"/>
          <w:sz w:val="18"/>
          <w:szCs w:val="18"/>
          <w:i w:val="1"/>
          <w:iCs w:val="1"/>
          <w:color w:val="auto"/>
        </w:rPr>
        <w:t>Matthew Whitfield v. Aerpio Pharmaceuticals Inc., et al</w:t>
      </w:r>
      <w:r>
        <w:rPr>
          <w:rFonts w:ascii="Arial" w:cs="Arial" w:eastAsia="Arial" w:hAnsi="Arial"/>
          <w:sz w:val="18"/>
          <w:szCs w:val="18"/>
          <w:color w:val="auto"/>
        </w:rPr>
        <w:t>., Case No. 1:21-cv-05787 (referred to as the “Whitfield complaint”), naming the Company and each member of our Board of Directors as of the date of the Merger Agreement as defendants. The Whitfield complaint alleges, among other things, that our proxy statement filed with the SEC on June 21, 2021 omits certain allegedly material information by failing to disclose (i) financial projections of the Company, (ii) certain information concerning our management’s financial projections for Aadi, (iii) certain assumptions used in a discounted cash flow analysis performed by Ladenburg, and (iv) certain information concerning our second financial advisor. The Whitfield complaint asserts claims for violations of Section 14(a) of the Exchange Act and Rule 14a-9 promulgated thereunder against all defendants, and violations of Section 20(a) of the Exchange Act against our Board of Directors. The Whitfield complaint seeks, among other things: an injunction enjoining consummation of the Merger, an order directing the defendants to disseminate a proxy statement that includes certain additional and allegedly material information, rescissory relief, costs of the action, including plaintiff’s attorneys’ fees and experts’ fees, declaratory relief, and any other relief the court may deem just and proper.</w:t>
      </w:r>
    </w:p>
    <w:p>
      <w:pPr>
        <w:spacing w:after="0" w:line="8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On July 6, 2021, a purported stockholder of the Company filed a complaint in the United States District Court for the Southern District of New York, captioned </w:t>
      </w:r>
      <w:r>
        <w:rPr>
          <w:rFonts w:ascii="Arial" w:cs="Arial" w:eastAsia="Arial" w:hAnsi="Arial"/>
          <w:sz w:val="17"/>
          <w:szCs w:val="17"/>
          <w:i w:val="1"/>
          <w:iCs w:val="1"/>
          <w:color w:val="auto"/>
        </w:rPr>
        <w:t>Robin Odach v. Aerpio Pharmaceuticals Inc., et al</w:t>
      </w:r>
      <w:r>
        <w:rPr>
          <w:rFonts w:ascii="Arial" w:cs="Arial" w:eastAsia="Arial" w:hAnsi="Arial"/>
          <w:sz w:val="17"/>
          <w:szCs w:val="17"/>
          <w:color w:val="auto"/>
        </w:rPr>
        <w:t>., Case No. 1:21-cv-05802 (referred to as the “Odach complaint”), naming the Company and each member of our Board of Directors as of the date of the Merger Agreement as defendants. The Odach complaint alleges, among other things, that our proxy statement filed with the SEC on June 21, 2021 contains allegedly material misstatements and omissions, including by failing to disclose (i) the basis for certain assumptions underlying our management’s financial projections for Aadi, (ii) certain inputs used in a discounted cash flow analysis performed by Ladenburg, and (iii) certain information concerning our second financial advisor. The Odach complaint asserts claims for violations of Section 14(a) of the Exchange Act and Rule 14a-9 promulgated thereunder against all defendants, and violations of Section 20(a) of the Exchange Act against our Board of Directors. The Odach complaint seeks, among other things: an injunction enjoining consummation of the Merger, rescissory relief, costs of the action, including plaintiff’s attorneys’ fees and experts’ fees, and any other relief the court may deem just and proper.</w:t>
      </w:r>
    </w:p>
    <w:p>
      <w:pPr>
        <w:spacing w:after="0" w:line="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Board of Directors has also received a demand letter from a purported stockholder of the Company, requesting certain books and records of the Company concerning the Merger pursuant to Section 220 of the Delaware General Corporation Law.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It is possible that additional similar cases could be filed in connection with the Merger.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may not receive any payment on the CVRs and the CVRs may otherwise expire valueless.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Merger Agreement contemplates that, at or prior to the Effective Time, we will execute and deliver a contingent value rights agreement (the “CVR Agreement”), pursuant to which each holder of our common stock as of immediately prior to the Effective Time shall be entitled to one contractual contingent value right (“CVR”) issued by the Company, subject to and in accordance with the terms and conditions of the CVR Agreement, for each share of our common stock held by such holder. Each CVR shall entitle the holder of thereof to receive payments upon certain sale or disposition transactions with respect to our legacy assets. The right of our stockholders to derive any value from the CVRs will be contingent upon the completion of one or more of such transactions as contemplated by the CVR Agreement. As a result, there can be no assurance that holders of CVRs will derive any value from such rights.</w:t>
      </w:r>
    </w:p>
    <w:p>
      <w:pPr>
        <w:spacing w:after="0" w:line="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Finally, the U.S. federal income tax treatment of the CVRs is unclear. There is no legal authority directly addressing the U.S. federal income tax treatment of the receipt of, and payments on, the CVRs, and there can be no assurance that the Internal Revenue Service (the “IRS”) would not assert, or that a court would not sustain, a position different than what is reported by us and that could result in adverse U.S. federal income tax consequences to holders of the CVRs.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substantially dependent on our remaining employees to facilitate the consummation of the merger.</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June 30, 2021 we had only five full-time employees. Our ability to successfully complete the Merger depends in large part on our ability to retain certain remaining personnel. Despite our efforts to retain these employees, one or more may terminate their employment with us on short notice. The loss of the services of certain employees could potentially harm our ability to consummate the Merger, to run our day-to-day business operations, as well as to fulfill our reporting obligations as a public company.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5" w:name="page36"/>
    <w:bookmarkEnd w:id="35"/>
    <w:p>
      <w:pPr>
        <w:jc w:val="both"/>
        <w:ind w:right="300"/>
        <w:spacing w:after="0" w:line="311" w:lineRule="auto"/>
        <w:rPr>
          <w:sz w:val="20"/>
          <w:szCs w:val="20"/>
          <w:color w:val="auto"/>
        </w:rPr>
      </w:pPr>
      <w:r>
        <w:rPr>
          <w:rFonts w:ascii="Arial" w:cs="Arial" w:eastAsia="Arial" w:hAnsi="Arial"/>
          <w:sz w:val="16"/>
          <w:szCs w:val="16"/>
          <w:b w:val="1"/>
          <w:bCs w:val="1"/>
          <w:i w:val="1"/>
          <w:iCs w:val="1"/>
          <w:color w:val="auto"/>
        </w:rPr>
        <w:t>If we do not successfully consummate a strategic transaction with Aadi or otherwise, our Board of Directors may decide to pursue a dissolution and liquidation of our company. In such an event, the amount of cash available for distribution to our stockholders will depend heavily on the timing of such liquidation as well as the amount of cash that will need to be reserved for commitments and contingent liabilities.</w:t>
      </w:r>
    </w:p>
    <w:p>
      <w:pPr>
        <w:spacing w:after="0" w:line="4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There can be no assurance that our agreement with Aadi will result in a successfully consummated transaction. If the Merger is not completed, our Board of Directors, in discharging its fiduciary obligations to our shareholders, will evaluate other strategic alternatives or financing options that may be available. There is no guarantee that we will achieve any such alternatives. If no transaction is completed, our Board of Directors may decide to pursue a dissolution and liquidation of our Company. In such an event, the amount of cash available for distribution to our shareholders will depend heavily on the timing of such decision and, ultimately, such liquidation, since the amount of cash available for distribution continues to decrease as we fund our operations while we evaluate our strategic alternatives. In addition, if our Board of Directors were to approve and recommend, and our shareholders were to approve, a dissolution and liquidation of our Company, we would be required under Delaware corporate law to pay our outstanding obligations, as well as to make reasonable provision for contingent and unknown obligations, prior to making any distributions in liquidation to our shareholders. Our commitments and contingent liabilities may include (i) obligations under our employment and related agreements with certain employees that provide for severance and other payments following a termination of employment occurring for various reasons, including a change in control of our Company; (ii) potential litigation against us, and other various claims and legal actions arising in the ordinary course of business; and (iii) non-cancelable facility lease obligations. As a result of this requirement, a portion of our assets may need to be reserved pending the resolution of such obligations, and the timing of any such resolution is uncertain.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holders of our common stock could lose all or a significant portion of their investment in the event of a liquidation, dissolution or winding up of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Evaluation of Strategic Alternatives for our Legacy Assets</w:t>
      </w:r>
    </w:p>
    <w:p>
      <w:pPr>
        <w:spacing w:after="0" w:line="117"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We cannot assure you that our exploration of strategic alternatives for our legacy assets will result in a transaction or that any such transaction would be successful, and the process of exploring strategic alternatives or its conclusion could adversely impact our business and our stock price.</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October 2019, we announced the engagement of Evercore, Ladenburg Thalmann &amp; Co. Inc. and Duane Nash, M.D., J.D., M.B.A. to assist us in identifying and evaluating a range of potential strategic alternatives, including an acquisition, company sale, merger, business combination, asset sale, in-license, out-license or other strategic transaction. On May 16, 2021, we entered into a definitive agreement for a merger transaction with Aadi as described below. However, we are continuing to explore strategic options for our legacy assets. There can be no assurance that this exploration of strategic alternatives will result in us entering or completing any transaction with respect to those assets or that any resulting plans or transactions will yield additional value for shareholders. Any potential transaction would be dependent on a number of factors that may be beyond our control, including, among other things, market conditions, industry trends, the interest of third parties in a potential transaction with us and the availability of financing to potential buyers on reasonable terms.</w:t>
      </w:r>
    </w:p>
    <w:p>
      <w:pPr>
        <w:spacing w:after="0" w:line="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process of exploring strategic alternatives could adversely impact our business, financial condition and results of operations. We could incur substantial expenses associated with identifying and evaluating potential strategic alternatives, including those related to equity compensation, severance pay and legal, accounting and financial advisory fees. In addition, the process may be time consuming and disruptive to our business operations, could divert the attention of management and the Board of Directors from our business, could negatively impact our ability to attract, retain and motivate key employees, and could expose us to potential litigation in connection with this process or any resulting transaction. Further, speculation regarding any developments related to the review of strategic alternatives and perceived uncertainties related to the future of the Company could cause our stock price to fluctuate significantly.</w:t>
      </w:r>
    </w:p>
    <w:p>
      <w:pPr>
        <w:spacing w:after="0" w:line="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we do not complete the merger transaction with Aadi, we will continue to face risks related to our legacy business as described below. There can be no assurance that we will succeed in such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the COVID-19 Pandemic</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current pandemic of COVID-19 and the future outbreak of other highly infectious or contagious diseases could seriously harm our research, development and potential future commercialization efforts, increase our costs and expenses and have a material adverse effect on our business, financial condition and results of operations.</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Broad-based business or economic disruptions could adversely affect our ongoing or planned research and development activities. For example, in December 2019, an outbreak of a novel strain of coronavirus originated in Wuhan, China, and has since spread to other regions and countries worldwide. In March 2020, the World Health Organization declared the COVID-19 outbreak a pandemic, and the U.S. government-imposed travel restrictions on travel between the United States, Europe and certain other countries. To date,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right="20"/>
        <w:spacing w:after="0" w:line="291" w:lineRule="auto"/>
        <w:rPr>
          <w:sz w:val="20"/>
          <w:szCs w:val="20"/>
          <w:color w:val="auto"/>
        </w:rPr>
      </w:pPr>
      <w:r>
        <w:rPr>
          <w:rFonts w:ascii="Arial" w:cs="Arial" w:eastAsia="Arial" w:hAnsi="Arial"/>
          <w:sz w:val="16"/>
          <w:szCs w:val="16"/>
          <w:color w:val="auto"/>
        </w:rPr>
        <w:t>COVID-19 pandemic has caused significant disruptions to the U.S. and global economy and has contributed to significant volatility and negative pressure in financial markets. The global impact of the outbreak is continually evolving and, as additional cases of the virus are identified, many countries, including the U.S., have reacted by instituting quarantines, restrictions on travel and other public health safety measures. Such orders, restrictions and recommendations, and the perception that additional orders, restrictions or recommendations could occur, have resulted in widespread closures of businesses not deemed “essential,” work stoppages, slowdowns and delays, work-from-home policies, travel restrictions and cancellation of events, as well as record declines in stock prices, among other effects. Although some states are starting to relax quarantines and similar restrictions, the regulations vary on a state by state basis and the impact of loosening of those restrictions and mass vaccination campaigns is not yet known.</w:t>
      </w:r>
    </w:p>
    <w:p>
      <w:pPr>
        <w:spacing w:after="0" w:line="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extent to which COVID-19 may impact our preclinical studies or clinical trial operations will depend on future developments, which are highly uncertain and cannot be predicted with confidence, such as the duration of the outbreak, the severity of COVID-19, or the effectiveness of actions to contain and treat COVID-19. The continued spread of COVID-19 globally could adversely impact our preclinical studies or clinical trial operations in the United States, including our ability to recruit and retain patients and principal investigators and site staff who, as healthcare providers, may have heightened exposure to COVID-19 if an outbreak occurs in their geography. COVID-19 may also affect employees of third-party CROs located in affected geographies that we rely upon to carry out our clinical trials. Any negative impact COVID-19 has to patient enrollment or treatment or the execution of our current product candidates and any future product candidates could cause costly delays to clinical trial activities, which could adversely affect our ability to obtain regulatory approval for and to commercialize our current product candidate and any future product candidates, increase our operating expenses, and have a material adverse effect on our financial results.</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Further, the COVID-19 outbreak may delay enrollment in our clinical trials due to diversion or prioritization of trial site resources away from the conduct of clinical trials and toward the COVID-19 pandemic. Key clinical trial activities, such as site monitoring, may be interrupted due to restrictions in travel, and some patients may be unwilling to enroll in our trials or be unable to comply with clinical trial protocols if quarantines or travel restrictions impede patient movement or interrupt healthcare services, which would delay our ability to conduct clinical trials or release clinical trial results. The spread of COVID-19, or another infectious disease, could also negatively affect the operations at our third-party manufacturers, which could result in delays or disruptions in the supply of our current product candidates and any future product candidates. In addition, we may continue to take temporary precautionary 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8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Additionally, timely enrollment in our clinical trials is dependent upon clinical trial sites which may be adversely affected by global health matters, such as pandemics. Some factors from the COVID-19 outbreak that may adversely affect enrollment in the clinical trials of our product candidates include:</w:t>
      </w:r>
    </w:p>
    <w:p>
      <w:pPr>
        <w:spacing w:after="0" w:line="16" w:lineRule="exact"/>
        <w:rPr>
          <w:sz w:val="20"/>
          <w:szCs w:val="20"/>
          <w:color w:val="auto"/>
        </w:rPr>
      </w:pPr>
    </w:p>
    <w:p>
      <w:pPr>
        <w:ind w:left="740" w:right="140" w:hanging="368"/>
        <w:spacing w:after="0" w:line="263"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740" w:right="100" w:hanging="368"/>
        <w:spacing w:after="0" w:line="308"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limitations on travel that could interrupt key trial activities, such as clinical trial site initiations and monitoring, domestic and international travel by employees, contractors or patients to clinical trial sites, and delay or inability to secure visas or entry permission, as applicable;</w:t>
      </w:r>
    </w:p>
    <w:p>
      <w:pPr>
        <w:spacing w:after="0" w:line="38" w:lineRule="exact"/>
        <w:rPr>
          <w:rFonts w:ascii="Arial" w:cs="Arial" w:eastAsia="Arial" w:hAnsi="Arial"/>
          <w:sz w:val="17"/>
          <w:szCs w:val="17"/>
          <w:color w:val="auto"/>
        </w:rPr>
      </w:pPr>
    </w:p>
    <w:p>
      <w:pPr>
        <w:ind w:left="740" w:right="68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 and</w:t>
      </w:r>
    </w:p>
    <w:p>
      <w:pPr>
        <w:spacing w:after="0" w:line="62" w:lineRule="exact"/>
        <w:rPr>
          <w:rFonts w:ascii="Arial" w:cs="Arial" w:eastAsia="Arial" w:hAnsi="Arial"/>
          <w:sz w:val="18"/>
          <w:szCs w:val="18"/>
          <w:color w:val="auto"/>
        </w:rPr>
      </w:pPr>
    </w:p>
    <w:p>
      <w:pPr>
        <w:ind w:left="740" w:right="80" w:hanging="368"/>
        <w:spacing w:after="0" w:line="342"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employee disruptions caused by workplace closures, staffing shortages, travel limitations or mass transit disruptions, that could adversely impact our business operations or delay necessary interactions with local regulators, ethics committees and other important agencies and contractors.</w:t>
      </w:r>
    </w:p>
    <w:p>
      <w:pPr>
        <w:spacing w:after="0" w:line="16"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We cannot presently predict the scope and severity of any potential business shutdowns or disruptions. If we or any of the third parties with whom we engage were to experience additional shutdowns or other prolonged business disruptions, our ability to conduct our business in the manner and on the timelines presently planned could have a material adverse impact on our business and our results of operation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Development of our Product Candidates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our product candidates. Even if we obtain favorable clinical results, we may not be able to obtain regulatory approval for, or successfully commercialize any of our product candidates.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rely on our lead product candidates, and our business depends almost entirely on the successful clinical development, regulatory approval and commercialization of such product candidates, which may never occur. We have experienced setbacks in the development of our product candidates and we are currently evaluating our development options. For example, in January 2021, following the announcement regarding the topline results from the Phase 2 clinical trial of razuprotafib in patients with elevated IOP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right="20"/>
        <w:spacing w:after="0" w:line="263" w:lineRule="auto"/>
        <w:rPr>
          <w:sz w:val="20"/>
          <w:szCs w:val="20"/>
          <w:color w:val="auto"/>
        </w:rPr>
      </w:pPr>
      <w:r>
        <w:rPr>
          <w:rFonts w:ascii="Arial" w:cs="Arial" w:eastAsia="Arial" w:hAnsi="Arial"/>
          <w:sz w:val="18"/>
          <w:szCs w:val="18"/>
          <w:color w:val="auto"/>
        </w:rPr>
        <w:t>associated with OAG or OHT, we initiated a process to explore a range of strategic alternatives focused on maximizing stockholder value from our clinical assets and cash resources. While the Phase 2 trial met the primary efficacy endpoint at Day 28 with the BID group, the IOP decrease was not at a level deemed sufficient to move to Phase 3 development.</w:t>
      </w:r>
    </w:p>
    <w:p>
      <w:pPr>
        <w:spacing w:after="0" w:line="7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addition, in May 2020, we were selected by Quantum Leap Healthcare Collaborative to participate in the I-SPY COVID Trial to evaluate razuprotafib for the treatment of COVID-19 related ARDS in adult patients with critical COVID-19. In September 2020, we announced the first patient was dosed with razuprotafib in the I-SPY COVID-19 trial. The I-SPY COVID trial is an investigator-sponsored clinical trial, which is being conducted by Quantum Leap Healthcare Collaborative. While we have provided input to I-SPY with respect to the razuprotafib arm of the I-SPY COVID clinical trial, we have not controlled and do not control the design or administration of investigator-sponsored clinical trials, nor the submission or approval of any IND or foreign equivalent required to conduct these trials. As a result,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January 2021, the Data Monitoring Committee recommended discontinuation of razuprotafib in the I-SPY COVID-19 trial after 21 patients due to the complexity of monitoring patients in the setting of a surge in ICU patients. There were no apparent safety signals associated with razuprotafib in these 21 patients and we believe the scientific basis is sound for continuing to evaluate the drug in patients presenting with ARDS across a broader array of infections.</w:t>
      </w:r>
    </w:p>
    <w:p>
      <w:pPr>
        <w:spacing w:after="0" w:line="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August 2020, we announced a second COVID-19 trial to evaluate subcutaneous razuprotafib for the prevention and treatment of ARDS in adult patients with moderate to severe COVID-19 as part of the MTEC-20-09-COVID-19 Treatment Military Infectious Disease Research Program (“MIDRP”) (“RESCUE” trial). The Medical Technology Enterprise Consortium (“MTEC”), a non-profit organization primarily funded by the U.S. Army Medical Research and Development Command, will provide up to $5.1 million of reimbursement related to qualified internal and external spending, as it relates to the clinical trial. In February 2021, we decided to stop recruiting after the first 31 patients were enrolled based on challenges recruiting and monitoring patients in the current pandemic environment. Based on topline data in the RESCUE trial, there were no apparent safety signals associated with dosing COVID-19 patients with razuprotafib. There was a mechanism-based, dose-dependent reduction of blood pressure which was not associated with other adverse events. There was an apparent dose-dependent decrease in Angiopoietin 2 (“Ang2”) that would be consistent with the Tie2 activation mechanism. The efficacy of razuprotafib could not be fully assessed due to the limited number of patients treated in the drug and standard of care arms. At the 28 day study endpoint, there were an equal number of deaths in each group (one per group). Further analysis of the full data set is ongoing. There were no apparent safety signals associated with dosing COVID-19 patients in the RESCUE trial and we plan to further analyze the data to assess trends in efficacy and biomarkers.</w:t>
      </w:r>
    </w:p>
    <w:p>
      <w:pPr>
        <w:spacing w:after="0" w:line="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currently have no products for sale, generate no revenues from sales of any drugs, and may never be able to develop marketable products. Our product candidates will require substantial additional clinical development, testing, manufacturing process development, and regulatory approval before we are permitted to commence commercialization. We are currently evaluating our options for all of our assets as part of our strategic review process. None of our product candidates has advanced into a pivotal trial, and it may be years before such a trial is initiated, if ever. As part of our strategic review process, we may determine to out-license, partner or otherwise dispose of our assets, and we may never derive value from such assets.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candidates. Before obtaining regulatory approval for the commercial sale of any product candidate, we must demonstrate through extensive preclinical testing and clinical trials that any drug candidate is safe and effective and any biological product candidate is safe, pure, and potent for use in each target indication. This process can take many years. Of the large number of drugs in development in the United States, only a small percentage successfully complete the FDA regulatory approval process and are commercialized. Accordingly, even if we are able to obtain the requisite capital to continue to fund our development and clinical programs, we may be unable to successfully develop or commercialize any of our product candidates. In the event that any of our assets are partnered for development, our collaborators would face these and other risks described in these risk factors in the development, approval and commercialization of our product candidates. As a result, we may never derive the intended benefits of such collaborations.</w:t>
      </w:r>
    </w:p>
    <w:p>
      <w:pPr>
        <w:spacing w:after="0" w:line="6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not permitted to market any of our product candidates in the United States until we receive approval of an NDA from the FDA, or in any foreign countries until we receive the requisite approval from such countries. As a condition to submitting an NDA to the FDA, we must conduct and complete further clinical trials, including Phase 3 clinical trials, and any additional nonclinical studies or clinical trials required by the FDA. To date, we have completed only a limited number of clinical trials with our product candidates.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8" w:name="page39"/>
    <w:bookmarkEnd w:id="38"/>
    <w:p>
      <w:pPr>
        <w:ind w:right="20"/>
        <w:spacing w:after="0" w:line="293" w:lineRule="auto"/>
        <w:rPr>
          <w:sz w:val="20"/>
          <w:szCs w:val="20"/>
          <w:color w:val="auto"/>
        </w:rPr>
      </w:pPr>
      <w:r>
        <w:rPr>
          <w:rFonts w:ascii="Arial" w:cs="Arial" w:eastAsia="Arial" w:hAnsi="Arial"/>
          <w:sz w:val="16"/>
          <w:szCs w:val="16"/>
          <w:color w:val="auto"/>
        </w:rPr>
        <w:t>Obtaining approval of an NDA is a complex, lengthy, expensive and uncertain process that typically takes many years following the commencement of clinical trials and depends upon numerous factors, including the substantial discretion of the regulatory authorities. In addition, the policies or regulations, or the type and amount of clinical data necessary to gain approval, may change during the course of a product candidate’s clinical development and may vary among jurisdictions. Our development activities could be harmed or delayed by a partial shutdown of the U.S. government, including the FDA. We have not obtained regulatory approval for any product candidate and it is possible that none of our product candidates will ever receive regulatory approval. The FDA may delay, limit or deny approval of our product candidates for many reasons, including, among others:</w:t>
      </w:r>
    </w:p>
    <w:p>
      <w:pPr>
        <w:spacing w:after="0" w:line="56" w:lineRule="exact"/>
        <w:rPr>
          <w:sz w:val="20"/>
          <w:szCs w:val="20"/>
          <w:color w:val="auto"/>
        </w:rPr>
      </w:pPr>
    </w:p>
    <w:p>
      <w:pPr>
        <w:ind w:left="880" w:right="34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demonstrate that our product candidates are safe and effective in any indications that may be pursued for the product candidate, to the satisfaction of the FDA;</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results of our clinical trials may not meet the level of statistical or clinical significance required by the FDA for marketing approval;</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may not approve the formulation, labeling or specifications of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may require that we conduct additional clinical trials;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contract research organizations (“CROs”) or the clinical investigators that we retain to conduct our clinical trials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our CROs or clinical investigators may fail to perform in accordance with the FDA’s good clinical practice (“GCP”) requirements;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our preclinical studies and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FDA may find deficiencies with the manufacturing processes or facilities of third-party manufacturers with which we contract; or</w:t>
      </w:r>
    </w:p>
    <w:p>
      <w:pPr>
        <w:spacing w:after="0" w:line="128" w:lineRule="exact"/>
        <w:rPr>
          <w:rFonts w:ascii="Arial" w:cs="Arial" w:eastAsia="Arial" w:hAnsi="Arial"/>
          <w:sz w:val="17"/>
          <w:szCs w:val="17"/>
          <w:color w:val="auto"/>
        </w:rPr>
      </w:pPr>
    </w:p>
    <w:p>
      <w:pPr>
        <w:ind w:left="880" w:right="46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policies or regulations of the FDA may significantly change in a manner that renders our clinical data insufficient for approval or may require that we amend or submit new clinical protocols.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similar reasons may cause the EMA or other regulatory authorities to delay, limit or deny approval of our product candidates outside the United States.</w:t>
      </w:r>
    </w:p>
    <w:p>
      <w:pPr>
        <w:spacing w:after="0" w:line="6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market our product candidates. Because our business is substantially dependent upon our product candidates, any such setback in our pursuit of regulatory approval would have a material adverse effect on our business and prospects.</w:t>
      </w:r>
    </w:p>
    <w:p>
      <w:pPr>
        <w:spacing w:after="0" w:line="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Alternatively, even if we obtain regulatory approval, that approval may be for indications or patient populations that are not as broad as we intend or desire or may require labeling that includes significant use or distribution restrictions or safety warnings. We may also be required to perform additional, unanticipated clinical trials to obtain approval or be subject to additional post marketing testing requirements to maintain regulatory approval. In addition, regulatory authorities may withdraw their approval of a product or the FDA may require a risk evaluation and mitigation strategy (“REMS”) for a product, which could impose restrictions on its distribution. Any of the foregoing scenarios could materially harm the commercial prospects for our product candidates.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clinical trials of our product candidates.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and there is no guarantee that we can successfully enroll patients in a timely manner for our clinical trials. Our competitors may have ongoing clinical trials for product candidates that could be competitive with our product candidates, and patients who would otherwise be eligible for our clinical trials may instead enroll in clinical trials of our competitors’ product candidates.</w:t>
      </w:r>
    </w:p>
    <w:p>
      <w:pPr>
        <w:spacing w:after="0" w:line="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trial, to complete our clinical trials in a timely manner. Patient enrollment is affected by factors including:</w:t>
      </w:r>
    </w:p>
    <w:p>
      <w:pPr>
        <w:spacing w:after="0" w:line="62" w:lineRule="exact"/>
        <w:rPr>
          <w:sz w:val="20"/>
          <w:szCs w:val="20"/>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eligibility criteria for the trial in question;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and clinicians’ and patients’ perceptions as to the potential advantages of razuprotafib or any other product candidate in relation to available therapies or other products under development;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 and</w:t>
      </w:r>
    </w:p>
    <w:p>
      <w:pPr>
        <w:spacing w:after="0" w:line="117"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factors we may not be able to control, such as current or potential pandemics that may limit patients, principal investigators or staff or clinical site availability (</w:t>
      </w:r>
      <w:r>
        <w:rPr>
          <w:rFonts w:ascii="Arial" w:cs="Arial" w:eastAsia="Arial" w:hAnsi="Arial"/>
          <w:sz w:val="18"/>
          <w:szCs w:val="18"/>
          <w:i w:val="1"/>
          <w:iCs w:val="1"/>
          <w:color w:val="auto"/>
        </w:rPr>
        <w:t>e.g.,</w:t>
      </w:r>
      <w:r>
        <w:rPr>
          <w:rFonts w:ascii="Arial" w:cs="Arial" w:eastAsia="Arial" w:hAnsi="Arial"/>
          <w:sz w:val="18"/>
          <w:szCs w:val="18"/>
          <w:color w:val="auto"/>
        </w:rPr>
        <w:t xml:space="preserve"> the COVID-19 pandemic).</w:t>
      </w:r>
    </w:p>
    <w:p>
      <w:pPr>
        <w:spacing w:after="0" w:line="6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Clinical drug development is a lengthy and expensive process with an uncertain outcome, and positive results from preclinical studies or earlier stage clinical trials are not necessarily predictive of the results of our future clinical trials. If we cannot replicate the positive results from preclinical studies or earlier stage clinical trials in subsequent clinical trials, we may be unable to successfully develop, obtain regulatory approval for and commercialize our product candidates.</w:t>
      </w:r>
    </w:p>
    <w:p>
      <w:pPr>
        <w:spacing w:after="0" w:line="7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Success in preclinical studies may not be predictive of similar results in humans during clinical trials, and successful results from early or small clinical trials may not be replicated in later and larger clinical trials. For example, while our Phase 2 trial met the primary efficacy endpoint at Day 28 with the BID group, the IOP decrease was not at a level deemed sufficient to move to Phase 3 development. There can be no assurance that the results of any clinical trials that we may undertake in the future will produce positive results. In addition, later stage clinical trials are expected to enroll a larger number of subjects and will treat subjects for longer periods than earlier stage trials, which will result in a greater likelihood that adverse events may be observed. Many companies in the pharmaceutical and biotechnology industries have suffered significant setbacks in late-stage clinical trials after achieving positive results in early stage development, and we may face similar setbacks.</w:t>
      </w:r>
    </w:p>
    <w:p>
      <w:pPr>
        <w:spacing w:after="0" w:line="7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 after this offering.</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80"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ind w:right="36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conduct of any clinical trials we may undertake in the future, and we do not know whether such clinical trials will begin on time, need to be redesigned, enroll patients on time or be completed on schedule,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aborted for a variety of reasons, including delay or failure to:</w:t>
      </w:r>
    </w:p>
    <w:p>
      <w:pPr>
        <w:spacing w:after="0" w:line="117" w:lineRule="exact"/>
        <w:rPr>
          <w:sz w:val="20"/>
          <w:szCs w:val="20"/>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regulatory approval to commence a clinical trial;</w:t>
      </w:r>
    </w:p>
    <w:p>
      <w:pPr>
        <w:spacing w:after="0" w:line="117"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institutional review board (“IRB”) approval at each site;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clinical sites in compliance with trial protocols and regulatory requirements through the completion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the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manufacture sufficient quantities of our product candidate for use in clinical trials.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planned and ongoing clinical trials. We could encounter delays if a clinical trial is suspended or terminated by us, by the relevant IRBs at the sites at which such trials are being conducted, by the Data Safety Monitoring Board (“DSMB”) for such trial or by the FDA or other regulatory authorities. Such authorities may impose such a suspension or termination, including a clinical hold, due to a number of factors, including failure to conduct the clinical trial in accordance with regulatory requirements or our clinical protocols, inspection of the clinical trial operations or trial site by the FDA or other regulatory authorities, unforeseen safety issues or adverse side effects including those experienced by other product candidates in the same class as our product candidates, changes in laws or regulations, or lack of adequate funding to continue the clinical trial.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Regulatory Review and Approval of Product Candidates</w:t>
      </w:r>
    </w:p>
    <w:p>
      <w:pPr>
        <w:spacing w:after="0" w:line="225"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b w:val="1"/>
          <w:bCs w:val="1"/>
          <w:i w:val="1"/>
          <w:iCs w:val="1"/>
          <w:color w:val="auto"/>
        </w:rPr>
        <w:t>Even if we receive regulatory approval for our product candidates, such products will be subject to ongoing regulatory review, which may result in significant additional expense. Additionally, our product candidates, if approved, could be subject to labeling and other restrictions, and we may be subject to penalties if we fail to comply with regulatory requirements or experience unanticipated problems with our products.</w:t>
      </w:r>
    </w:p>
    <w:p>
      <w:pPr>
        <w:spacing w:after="0" w:line="4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to conditions of approval, or contain requirements for potentially costly post-marketing testing, including Phase 4 clinical trials, and surveillance to monitor the safety and efficacy of the products. 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(“cGMP”) requirements and GCP requirements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w:t>
      </w:r>
    </w:p>
    <w:p>
      <w:pPr>
        <w:spacing w:after="0" w:line="5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spacing w:after="0" w:line="16" w:lineRule="exact"/>
        <w:rPr>
          <w:sz w:val="20"/>
          <w:szCs w:val="20"/>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fines, untitled or warning letters or holds on clinical trials;</w:t>
      </w:r>
    </w:p>
    <w:p>
      <w:pPr>
        <w:spacing w:after="0" w:line="117"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submitted by us, or suspension or revocation of product approvals;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REMS program;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FDA’s policies may change and additional government regulations may be enacted.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comply with requirements of foreign jurisdictions in conducting trials outside of the United States. In addition, we may not be able to obtain regulatory approval in foreign jurisdictions.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may conduct our clinical trials for our product candidates in trial sites outside of the United States, including Japan, the United Kingdom and the European Union, and seek regulatory approval for our product candidates in major markets in addition to the United States, including the European Union, the United Kingdom and Japan. Our ability to successfully initiate, enroll and complete a clinical trial in any foreign country, should we attempt to do so, is subject to numerous risks unique to conducting business in international markets, including:</w:t>
      </w:r>
    </w:p>
    <w:p>
      <w:pPr>
        <w:spacing w:after="0" w:line="79" w:lineRule="exact"/>
        <w:rPr>
          <w:sz w:val="20"/>
          <w:szCs w:val="20"/>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qualified CROs and physicians;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different local standards for the conduct of clinical trials;</w:t>
      </w:r>
    </w:p>
    <w:p>
      <w:pPr>
        <w:spacing w:after="0" w:line="117"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acceptability of data obtained from trials conducted in the United States to the EMA and other regulatory authorities.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we fail to successfully meet requirements for the conduct of clinical trials outside of the United States, we may be delayed in obtaining, or be unable to obtain, regulatory approval for our product candidates in countries outside of the United States.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Regulatory authorities outside the United States will require compliance with numerous and varying regulatory requirements. The approval procedures vary among jurisdictions and may involve requirements for additional testing, and the time required to obtain approval may differ from that required to obtain FDA approval. In addition, in many countries outside the United States, a product must be approved for reimbursement before it can be approved for sale in that country. In some cases, the price that we intend to charge for our products is also subject to approval. Approval by the FDA does not ensure approval by regulatory authorities in other countries or jurisdictions, and approval by one foreign regulatory authority does not ensure approval by regulatory authorities in other foreign countries or by the FDA. However, the failure to obtain approval in one jurisdiction may negatively impact our ability to obtain approval in another jurisdiction. The foreign regulatory approval process may include all of the risks associated with obtaining FDA approval. We may not obtain foreign regulatory approvals on a timely basis, if at all. We may not be able to file for regulatory approvals and may not receive necessary approvals to commercialize our products in any market.</w:t>
      </w:r>
    </w:p>
    <w:p>
      <w:pPr>
        <w:spacing w:after="0" w:line="73" w:lineRule="exact"/>
        <w:rPr>
          <w:sz w:val="20"/>
          <w:szCs w:val="20"/>
          <w:color w:val="auto"/>
        </w:rPr>
      </w:pPr>
    </w:p>
    <w:p>
      <w:pPr>
        <w:ind w:right="32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unpredictable.Disruptions at the FDA and other agencies may also slow the time necessary for new drugs to be reviewed and/or approved by necessary government agencies, which would adversely affect our business. For example, over the last several years, including beginning on December 22, 2018,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 Since March 2020 when foreign and domestic inspections were largely placed on hold, the FDA has been working to resume routine surveillance, bioresearch monitoring and pre-approval inspections on a prioritized basis. The FDA has developed a rating system to assist in determining when and where it is safest to conduct prioritized domestic inspections and resumed inspections. As of May 2021, certain inspections, such as foreign preapproval, surveillance, and for-cause inspections that are not deemed mission-critical, remain temporarily postponed. In April 2021, the FDA issued guidance for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20"/>
        <w:spacing w:after="0" w:line="272" w:lineRule="auto"/>
        <w:rPr>
          <w:sz w:val="20"/>
          <w:szCs w:val="20"/>
          <w:color w:val="auto"/>
        </w:rPr>
      </w:pPr>
      <w:r>
        <w:rPr>
          <w:rFonts w:ascii="Arial" w:cs="Arial" w:eastAsia="Arial" w:hAnsi="Arial"/>
          <w:sz w:val="17"/>
          <w:szCs w:val="17"/>
          <w:color w:val="auto"/>
        </w:rPr>
        <w:t>industry formally announcing plans to employ remote interactive evaluations, using risk management methods, to meet user fee commitments and goal dates and in May 2021 announced plans to continue progress toward resuming standard operational levels. Should the FDA determine that an inspection is necessary for approval and an inspection cannot be completed during the review cycle due to restrictions on travel, and the FDA does not determine a remote interactive evaluation to be appropriate, the FDA has stated that it generally intends to issue a complete response letter or defer action on the application until an inspection can be completed. In 2020 and 2021,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Protecting Our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4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 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w:t>
      </w:r>
    </w:p>
    <w:p>
      <w:pPr>
        <w:spacing w:after="0" w:line="8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type of patent does not prevent a competitor from making and marketing a product that is identical to our products for an indication that is outside the scope of the patented method. Likewise, a competitor may make and market a product similar to our products but that are not covered by the scope of our patents.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 In addition, our patents will eventually expire, and the active pharmaceutical ingredients in our current product candidates will become commercially available in generic drug products. Thus, no patent protection may be available with regard to formulation or method of use.The strength of patents in the biotechnology and pharmaceutical field involves complex legal and scientific questions and can be uncertain. The patent applications that we own or license may fail to result in issued patents in the United States or in other foreign countries. Even if the patents do successfully issue, third parties may challenge the validity, enforceability, inventorship,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Moreover, the inventors of our patents or patent applications or our scientific consultants may become involved with competitors, develop products or processes which design around our patents, or become hostile to us or the patents or patent applications on which they are named as inventors. Likewise, our collaborators may become hostile to us or develop products or processes that are adjacent to or compete with us, including products and processes outside the scope of our patents. For example, a hostile collaborator may use technology similar to ours to pursue treatment of an indication that we plan to pursue, and may obtain approval for a product before we do. A hostile collaborator may file patent applications based on information learned from us. Such patent applications may become prior art that will be detrimental to future patent applications by us on similar technology.</w:t>
      </w:r>
    </w:p>
    <w:p>
      <w:pPr>
        <w:spacing w:after="0" w:line="8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Furthermore, for applications in which all claims are entitled to a priority date before March 16, 2013, an interference proceeding can be provoked by a third-party or instituted by the United States Patent and Trademark Office (“USPTO”) to determine who was the first to invent any of the subject matter covered by the patent claims of our applications. For applications containing a claim not entitled to priority before March 16, 2013, there is greater level of uncertainty in the patent law with the passage of the America Invents Act (2011), which brings into effect significant changes to the U.S. patent laws and which introduces new procedures for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right="80"/>
        <w:spacing w:after="0" w:line="259" w:lineRule="auto"/>
        <w:rPr>
          <w:sz w:val="20"/>
          <w:szCs w:val="20"/>
          <w:color w:val="auto"/>
        </w:rPr>
      </w:pPr>
      <w:r>
        <w:rPr>
          <w:rFonts w:ascii="Arial" w:cs="Arial" w:eastAsia="Arial" w:hAnsi="Arial"/>
          <w:sz w:val="18"/>
          <w:szCs w:val="18"/>
          <w:color w:val="auto"/>
        </w:rPr>
        <w:t>challenging pending patent applications and issued patents. A primary change under this reform is creating a “first to file” system in the United States. We, or our collaborators, might not have been the first to file patent applications on certain inventions. Likewise, our collaborators may file patent applications on certain inventions without our knowledge, prior to our filing patent applications on those inventions. This will require us to be cognizant of the time from invention to filing of a patent application.</w:t>
      </w:r>
    </w:p>
    <w:p>
      <w:pPr>
        <w:spacing w:after="0" w:line="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willfully or unintentionally, or that competitors will not otherwise gain access to our trade secrets or independently develop substantially equivalent information and techniques. Trade secrets are difficult to protect, and we have limited control over the protection of trade secrets used by our licensors, collaborators, and suppliers.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currently have a non-exclusive license to one U.S. patent, which we have licensed to Gossamer as part of the June 24, 2018 license agreement. We rely on the licensor to maintain this patent and otherwise protect the intellectual property covered by this non-exclusive license. We have limited control over these activities or over any other intellectual property that may be related to our in-licensed intellectual property. For example, we cannot be certain that activities by the licensor have been or will be conducted in compliance with applicable laws and regulations. We may have no control or input over whether, and in what manner, our licensor may enforce or defend the patent against a third-party. The licensor may enforce or defend the patent less vigorously than if we had enforced or defended the patent ourselves. Further, the licensor may not necessarily seek enforcement in scenarios in which we would feel that enforcement was in our best interests. For example, the licensor may not enforce the patent against a competitor of ours who is not a direct competitor of the licensor. If our in-licensed intellectual property is found to be invalid or unenforceable, then the licensor may not be able to enforce the patent against a competitor of ours. Our non-exclusive license does not prevent a third party from seeking and obtaining a non-exclusive license to the same patent that we license. If we fail to meet our obligations under the non-exclusive license agreement, then the licensor may terminate the license agreement. If the license agreement is terminated, the former licensor may seek to enforce the intellectual property against us. We may choose to terminate the license agreement, and doing so would allow a third party to seek and obtain an exclusive license to the patent. If a third party obtains an exclusive license to intellectual property formerly licensed to us, then the third party may seek to enforce the intellectual property against us. The occurrence of any of the foregoing may negatively impair our collaboration with Gossamer and prevent us from realizing the intended benefits of this collaboration.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covering one or more of our products or product candidates could be found invalid or unenforceable if challenged.</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73"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even if we are successful in stopping infringement of our patents.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right="20"/>
        <w:spacing w:after="0" w:line="263" w:lineRule="auto"/>
        <w:rPr>
          <w:sz w:val="20"/>
          <w:szCs w:val="20"/>
          <w:color w:val="auto"/>
        </w:rPr>
      </w:pPr>
      <w:r>
        <w:rPr>
          <w:rFonts w:ascii="Arial" w:cs="Arial" w:eastAsia="Arial" w:hAnsi="Arial"/>
          <w:sz w:val="18"/>
          <w:szCs w:val="18"/>
          <w:color w:val="auto"/>
        </w:rPr>
        <w:t>There is also the risk that, even if the validity of these patents is upheld, the court will refuse to stop the third party on the ground that such third party’s activities do not infringe our patents. In addition, the U.S. Supreme Court has recently changed some legal principles that affect patent applications, granted patents and assessment of the eligibility or validity of these patents.</w:t>
      </w:r>
    </w:p>
    <w:p>
      <w:pPr>
        <w:spacing w:after="0" w:line="7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As a consequence, issued patents may be found to contain invalid claims according to the newly revised eligibility and validity standards. Some of our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7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may not be able to detect infringement against our patents, as the case may be, which may be especially difficult for formulation patents. Even if we detect infringement by a third party of our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patents against such third party.</w:t>
      </w:r>
    </w:p>
    <w:p>
      <w:pPr>
        <w:spacing w:after="0" w:line="8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If another party questions the patentability of any of our claims in our U.S. patents, the third party can request that the USPTO review the patent claims such as in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(“EPO”) or similar proceedings in other foreign patent offices, where our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Moreover, enforcing a claim that a third party illegally obtained and is using any of our trade secrets is expensive and time consuming, and the outcome is unpredictable. 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These lawsuits also may impact our ability to pursue agreements with third parties in the future.In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A collaborator at such academic institution may use the information learned from the collaboration to compete with us, either in an academic or commercial setting. The collaborator may use the results obtained through the academic collaboration for the benefit of another commercial entity. The collaborator may use technology for the benefit of a third party even if we were entitled to a license or the right to negotiate for a license to the technology from the academic institution.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6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Moreover, our reliance on third parties may be exploited by a third party with knowledge of our Company, including knowledge of our Company strategies, intellectual property, research programs, trade secrets, and scientific discovery including, for example, drug targets, pharmaceutically active ingredients, dosing regimens and mechanisms of action. A third party may start a competing company or may join a competing company. If a third party with whom we have an agreement does become a competitor, this may lead to questions of intellectual property ownership, ownership of physical assets, inventorship and breach of contracts in place with the third party. If we seek to resolve this issue by a lawsuit, then we expect counter claims that may jeopardize the validity and enforceability of our patents. The third parties with whom we collaborate also may have business or legal conflicts of interest. These conflicts of interest can lead to litigation or impact the ability of the third party to fulfill their obligations to us.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5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Intellectual Property Litigation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be costly and time consuming and may delay or harm our drug discovery and development efforts.</w:t>
      </w:r>
    </w:p>
    <w:p>
      <w:pPr>
        <w:spacing w:after="0" w:line="62"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 pharmaceutical and biotechnology industries are characterized by extensive litigation over patent and other intellectual property rights. We may become a party to, or threatened with, future adversarial litigation or other proceedings regarding intellectual property rights with respect to our drug candidates. As the pharmaceutical and biotechnology industries expand and more patents are issued, the risk increases that our drug candidates may give rise to claims of infringement of the patent rights of others.</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While our product candidates are in preclinical studies and clinical trials, we believe that the use of our product candidates in these preclinical studies and clinical trials in the United States falls within the scope of the exemptions provided by 35 U.S.C. Section 271(e), which provides that it shall not be an act of infringement to make, use, offer to sell, or sell within the United States or import into the United States a patented invention solely for uses reasonably related to the development and submission of information to the FDA. As our product candidates progress toward commercialization, the possibility of a patent infringement claim against us increases. We attempt to ensure that our product candidates and the methods we employ to manufacture them, as well as the methods for their use we intend to promote, do not infringe other parties’ patents and other proprietary rights. There can be no assurance they do not, however, and competitors or other parties may assert that we infringe their proprietary rights in any event. Third parties may hold or obtain patents or other intellectual property rights and allege in the future that the use of our product candidates infringes these patents or intellectual property rights, or that we are employing their proprietary technology without authorization. Under U.S. law, a party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right="60"/>
        <w:spacing w:after="0" w:line="301" w:lineRule="auto"/>
        <w:rPr>
          <w:sz w:val="20"/>
          <w:szCs w:val="20"/>
          <w:color w:val="auto"/>
        </w:rPr>
      </w:pPr>
      <w:r>
        <w:rPr>
          <w:rFonts w:ascii="Arial" w:cs="Arial" w:eastAsia="Arial" w:hAnsi="Arial"/>
          <w:sz w:val="16"/>
          <w:szCs w:val="16"/>
          <w:color w:val="auto"/>
        </w:rPr>
        <w:t>There may be patents of third parties of which we are currently unaware with claims to materials, formulations, methods of manufacture or methods for treatment related to the use or manufacture of our drug candidates. Also, because patent applications can take many years to issue, there may be currently pending patent applications which may later result in issued patents that our product candidates may infringe. Notwithstanding the above, third parties may in the future claim that our product candidates and other technologies infringe upon these patents and may file suit against us.</w:t>
      </w:r>
    </w:p>
    <w:p>
      <w:pPr>
        <w:spacing w:after="0" w:line="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Parties making claims against us may seek and obtain injunctive or other equitable relief, which could effectively block our ability to further develop and commercialize razuprotafib or other product candidates. If any third-party patents were held by a court of competent jurisdiction to cover the manufacturing process of any of our product candidates, any molecules formed during the manufacturing process or any final product itself, then the holders of any such patents may be able to block our ability to commercialize such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our intended methods of use, then the holders of any 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acquire or obtain licenses from third parties to advance our research or allow commercialization of our product candidates, and there can be no assurance that we will be able to do so on commercially reasonable terms or at all.</w:t>
      </w:r>
    </w:p>
    <w:p>
      <w:pPr>
        <w:spacing w:after="0" w:line="6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Additionally, we may in the future from time to time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The institution also may only offer a nonexclusive license, providing an opportunity for competitors to license intellectual property important to us. If we are unable to successfully obtain rights to required third-party intellectual property or to maintain the existing intellectual property rights we have, we may have to abandon development of such program and our business and financial condition could suffer. The academic institutions, or our collaborators at those institutions, also may violate the terms of our agreements with them. For example, a collaborator could use proprietary knowledge based on the collaboration to compete with us. These violations may result in litigation, which can be costly and may impact our ability to use resources for product development or other necessary functions.</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Employee Matters</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products.</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are highly dependent on members of our senior management and loss of the services of any of these persons could impede the achievement of our objectives, including with respect to our efforts for the exploration of strategic alternatives.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We may be unable to hire, train, retain or motivate these key personnel on acceptable terms given the intense competition among numerous biopharmaceutical companies for similar personnel. In addition, in January 2021, we adopted a realignment plan to reduce operating costs and better align our workforce with the needs of our ongoing business. The realignment plan reduced our workforce by seven employees, representing approximately 58% of our workforce. As a result, while we have undertaken efforts to retain our current employees, we may experience challenges in doing so.</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conduct our business will be limited.</w:t>
      </w:r>
    </w:p>
    <w:p>
      <w:pPr>
        <w:spacing w:after="0" w:line="8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contract research organizations, consultants and vendors may engage in misconduct or other improper activities, including noncompliance with regulatory standards and requirements and insider trading.</w:t>
      </w:r>
    </w:p>
    <w:p>
      <w:pPr>
        <w:spacing w:after="0" w:line="3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exposed to the risk that our employees, independent contractors, principal investigators, CROs,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if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received confidential and proprietary information from collaborators, prospective licensees and other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drug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auto"/>
        </w:rPr>
        <w:t>Risks Related to Our Business Operations and Growth</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liability claims may result in:</w:t>
      </w:r>
    </w:p>
    <w:p>
      <w:pPr>
        <w:spacing w:after="0" w:line="87" w:lineRule="exact"/>
        <w:rPr>
          <w:sz w:val="20"/>
          <w:szCs w:val="20"/>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Failure to obtain and retain sufficient product liability insurance at an acceptable cost to protect against potential product liability claims could prevent or inhibit the commercialization of products we develop. We currently carry product liability insurance covering our clinical trials in the amount of</w:t>
      </w:r>
    </w:p>
    <w:p>
      <w:pPr>
        <w:ind w:right="20"/>
        <w:spacing w:after="0" w:line="253" w:lineRule="auto"/>
        <w:rPr>
          <w:sz w:val="20"/>
          <w:szCs w:val="20"/>
          <w:color w:val="auto"/>
        </w:rPr>
      </w:pPr>
      <w:r>
        <w:rPr>
          <w:rFonts w:ascii="Arial" w:cs="Arial" w:eastAsia="Arial" w:hAnsi="Arial"/>
          <w:sz w:val="18"/>
          <w:szCs w:val="18"/>
          <w:color w:val="auto"/>
        </w:rPr>
        <w:t>$10 million in the aggregate.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strategic collaborations, which could adversely affect our ability to develop and commercialize our product candidates, negatively impacting our operating results.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currently exploring our development options for our product candidates, and such options may include strategic collaborations and licenses for the future development of our assets. We face competition in seeking appropriate collaborators for our product candidates, and the negotiation process is time-consuming and complex. In order for us to successfully collaborate with a third party on our product candidates, potential collaborators must view these product candidates as economically valuable. Even if we are successful in our efforts to establish strategic collaborations, the terms that we agree upon may not be favorable to us, and we may not be able to maintain such strategic collaborations if, for example, development or approval of a product is delayed or sales of an approved product are disappointing. Any delay in entering into strategic collaboration agreements related to our product candidates could delay the development and commercialization of our product candidates and reduce their competitiveness even if they reach the market. In addition, our strategic collaborators may terminate any agreements they enter into with us, and we may not be able to adequately protect our rights under these agreements. Furthermore, our strategic collaborators will likely negotiate for certain rights to control decisions regarding the development and commercialization of our product candidates, if approved, and may not conduct those activities in the same manner as we do.</w:t>
      </w:r>
    </w:p>
    <w:p>
      <w:pPr>
        <w:spacing w:after="0" w:line="6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June 24, 2018, we entered into a license agreement with Gossamer (the “Gossamer License Agreement”) pursuant to which we granted to Gossamer an exclusive, sublicensable license to develop and commercialize AKB-4924 and other structurally related products worldwide. We received an upfront payment of $20.0 million in connection with the Gossamer License Agreement and are eligible to receive additional payments contingent upon the achievement of specified milestones. On May 12, 2020, we entered into that certain Amendment No. 1 to the Gossamer License Agreement (“Amendment No. 1” and together with the Gossamer License Agreement, as amended by Amendment No. 1, the “Amended Gossamer License Agreement”) and received a payment of $15.0 million in conjunction with the terms of the Amendment 1. We are also eligible to receive tiered royalties on sales of licensed products and additional payments upon the occurrence of specified events involving the licensed products. However, there can be no assurance that we will satisfy the conditions to receive any such payments from Gossamer in a timely manner or at all. While Gossamer is obligated to use its commercially reasonable efforts to develop and commercialize the licensed products, there can be no assurance that such products would be successfully developed and commercialized. In addition, the Amended Gossamer License Agreement contains an exclusivity provision pursuant to which we are prohibited from developing, manufacturing or commercializing certain HIF stabilizing compounds as described in the agreement. While the license agreement expires on a licensed product-by-licensed product and country-by-country basis on the later of fifteen years from the date or first commercial sale or when there is no longer a valid patent claim covering such licensed product in such country, either party may terminate the Amended Gossamer License Agreement for an uncured material breach by the other party or upon the bankruptcy or insolvency of the other party. In addition, Gossamer may terminate the Amended Gossamer License Agreement in the event it determines that there is a potential safety or efficacy issue with the licensed products. Therefore, there can be no assurance that the Amended Gossamer License Agreement will continue for its full duration or that we will realize the intended benefits.</w:t>
      </w:r>
    </w:p>
    <w:p>
      <w:pPr>
        <w:spacing w:after="0" w:line="6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If we fail to establish and maintain strategic collaborations related to our product candidates for the indications and in the geographies in which we do not intend develop and commercialize ourselves, we will bear all of the risk and costs related to the development and commercialization of any such product candidate, and we may need to seek additional financing, hire additional employees and otherwise develop expertise. This could negatively affect the development of any product candidate for which we do not locate a suitable strategic partner.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Past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commenced active operations in 2011, and our operations to date have been limited to organizing and staffing our Company, business planning, raising capital, identifying potential product candidates, undertaking preclinical studies and conducting clinical trials. We currently have two product candidates that we are developing internally, one of which is in preclinical development. Biopharmaceutical product development is a highly speculative undertaking and involves a substantial degree of risk. Only a small fraction of biopharmaceutical development programs ultimately results in commercial products or even product candidates and a number of events could delay our development efforts and negatively impact our ability to obtain regulatory approval for, and to manufacture, market and sell, a product. We have not yet demonstrated our ability to successfully complete later stage clinical trials,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color w:val="auto"/>
        </w:rPr>
        <w:t>In addition, as a young business, we may encounter unforeseen expenses, difficulties, complications, delays and other known and unknown factors. We will need to expand our capabilities to support commercial activities. We may not be successful in adding such capabilities.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continue to incur significant losses for the foreseeable future and may never achieve or maintain profitability.</w:t>
      </w:r>
    </w:p>
    <w:p>
      <w:pPr>
        <w:spacing w:after="0" w:line="6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have incurred net and comprehensive losses each year since our inception, with the exception of the three months ended September 30, 2018 and June 30, 2020, as a result of the upfront Gossamer payments discussed above. For the three months ended June 30, 2021, we incurred net and comprehensive loss of $4.4 million compared to net and comprehensive income of $9.3 million for the three months ended June 30, 2020. As of June 30, 2021, we had an accumulated deficit of $155.4 million. To date, we have not commercialized any products or generated any revenues from the sale of products, and we do not expect to generate any product revenues in the foreseeable future. We do not know whether or when we will generate revenue or become profitable.</w:t>
      </w:r>
    </w:p>
    <w:p>
      <w:pPr>
        <w:spacing w:after="0" w:line="5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preclinical development activities. The amount of our future net losses will depend, in part, on the rate of our future expenditures, and our financial position will depend, in part, on our plans for development of our product candidates and our ability to obtain funding through equity or debt financings, strategic collaborations or grants to fund such development.</w:t>
      </w:r>
    </w:p>
    <w:p>
      <w:pPr>
        <w:spacing w:after="0" w:line="7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expect to continue to incur significant expenses and operating losses for the foreseeable future, including to sustain our operations while we evaluate our development options for our product candidates, seek strategic alternatives and to operate as a public reporting company.</w:t>
      </w:r>
    </w:p>
    <w:p>
      <w:pPr>
        <w:spacing w:after="0" w:line="38"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or when, if at all, we will be able to achieve profitability. If we are required by the United States Food and Drug Administration (“FDA”) the European Medicines Agency (“EMA”) or other regulatory authorities to perform studies in addition to those currently expected, or if there are any delays in completing our clinical trials or the development of any of our product candidates, our expenses could increase.</w:t>
      </w:r>
    </w:p>
    <w:p>
      <w:pPr>
        <w:spacing w:after="0" w:line="4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net and comprehensive (loss) income we incur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5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To become and remain profitable, we must succeed in developing and commercializing our product candidates, which must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w:t>
      </w:r>
    </w:p>
    <w:p>
      <w:pPr>
        <w:spacing w:after="0" w:line="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cause you to lose all or part of your investment.</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corporate restructuring and the associated headcount reduction may not result in anticipated savings, could result in total costs and expenses that are greater than expected and could disrupt our business.</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January 2021, we initiated a realignment plan to reduce operating costs and better align its workforce with the needs of our ongoing business. The realignment plan, reduces its current workforce by seven employees, representing approximately 58% of our workforce. As a result of this realignment plan, we incurred a one-time employee related severance expenses of approximately $1.2 million in the first quarter of 2021. We anticipate the majority of the one-time employee severance liability to be paid during 2021.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our restructuring plan may be disruptive to our operations. For example, our headcount reductions could yield unanticipated consequences, such as increased difficulties in implementing our business strategy, including retention of our remaining employees.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auto"/>
        </w:rPr>
        <w:t>Risks Related to Future Financial Condition</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do not have any committed sources of outside capital. A failure to obtain necessary capital when needed to sustain our business could force us to suspend our operations.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our cash and cash equivalents were $36.8 million. We are currently evaluating our development options for our product candidates.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efforts for continued program development will be time-consuming and expensive.</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our current operating plan, and absent any future financings or strategic partnerships, we believe that our existing cash and cash equivalents will be sufficient to fund our projected operating expenses and capital expenditure requirements through the fourth quarter of 2022. However, our operating plan may change as a result of many factors currently unknown to us, and we may need additional funds sooner than planned. Additional funds may not be available when we need them on terms that are acceptable to us, or at all. Market volatility resulting from the COVID-19 pandemic or other factors could also adversely impact our ability to access capital as and when needed. If adequate funds are not available to us on a timely basis, we may be required to suspend our operations.</w:t>
      </w:r>
    </w:p>
    <w:p>
      <w:pPr>
        <w:spacing w:after="0" w:line="8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product candidates on unfavorable terms to us.</w:t>
      </w:r>
    </w:p>
    <w:p>
      <w:pPr>
        <w:spacing w:after="0" w:line="6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We expect to finance our cash needs through a combination of equity offerings, debt financings and license, development and commercialization agreements with collaborators.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collaborations with third parties, we may have to relinquish valuable rights to our product candidates, future revenue streams, research programs or product candidates or grant licenses on terms that are not favorable to us. For example, in June 2018, we entered into a license agreement with Gossamer for the development and commercialization of AKB-4924.</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raise additional funds through equity or debt financing when needed, we may be required to suspend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Sales, Marketing and Competition</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third-party payors and others in the medical community.</w:t>
      </w:r>
    </w:p>
    <w:p>
      <w:pPr>
        <w:spacing w:after="0" w:line="62"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Even if we obtain marketing approval for one or more of our product candidates, these product candidates may not gain market acceptance among physicians, third-party payors, patients and others in the medical community. In addition, market acceptance of any approved products depends on a number of other factors, including:</w:t>
      </w:r>
    </w:p>
    <w:p>
      <w:pPr>
        <w:spacing w:after="0" w:line="76" w:lineRule="exact"/>
        <w:rPr>
          <w:sz w:val="20"/>
          <w:szCs w:val="20"/>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safety of the product, as demonstrated in clinical trials;</w:t>
      </w:r>
    </w:p>
    <w:p>
      <w:pPr>
        <w:spacing w:after="0" w:line="117"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 approved by regulatory authorities for use with the product, including any warnings that may be required on the label;</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safety and efficacy of treatment in relation to alternative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by third party payors and government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Market acceptance is critical to our ability to generate significant revenue. In addition, any product candidate, if approved and commercialized, may be accepted in only limited capacities or not at all. If any approved products are not accepted by the market at all or to the extent that we expect, we may not be able to generate significant revenue and our business would suffer.</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52" w:name="page53"/>
    <w:bookmarkEnd w:id="52"/>
    <w:p>
      <w:pPr>
        <w:ind w:right="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development and commercialization of new products is highly competitive. Our future success depends on our ability to demonstrate and maintain a competitive advantage with respect to the development and commercialization of our product candidates. Our objective is to develop and commercialize new products with superior efficacy, convenience, tolerability and safety. In many cases, the products that we commercialize will compete with existing, market-leading products.</w:t>
      </w:r>
    </w:p>
    <w:p>
      <w:pPr>
        <w:spacing w:after="0" w:line="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Many of our potential competitors have significantly greater financial, manufacturing, marketing, drug development, technical and human resources than we do. Large pharmaceutical companies, in particular, have extensive experience in clinical testing, obtaining regulatory approvals, recruiting patients and in manufacturing pharmaceutical products. In particular, these companies have greater experience and expertise in securing government contracts and grants to support their research and development efforts, conducting testing and clinical trials, obtaining regulatory approvals to market products,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that we develop obsolete. As a result of all of these factors, our competitors may succeed in obtaining patent protection and/or FDA approval or discovering, developing and commercializing products before, or more effectively than, we do. In addition, any new product that competes 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operations will suffer.</w:t>
      </w:r>
    </w:p>
    <w:p>
      <w:pPr>
        <w:spacing w:after="0" w:line="6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to enter into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these services. There are risks involved with establishing our own sales, marketing and distribution capabilities. For example, recruiting and training a sales force are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Factors that may inhibit our efforts to commercialize our products on our own include:</w:t>
      </w:r>
    </w:p>
    <w:p>
      <w:pPr>
        <w:spacing w:after="0" w:line="58" w:lineRule="exact"/>
        <w:rPr>
          <w:sz w:val="20"/>
          <w:szCs w:val="20"/>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880" w:right="80" w:hanging="373"/>
        <w:spacing w:after="0" w:line="26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state and federal transparency reporting requirements that require us to register our sales representatives and report any gifts, payments for speaking engagements, travel costs, donations, or other support offered to physicians or teaching hospitals which may create additional burden on sales and marketing personnel;</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effectively manage a geographically dispersed sales and marketing team;</w:t>
      </w:r>
    </w:p>
    <w:p>
      <w:pPr>
        <w:spacing w:after="0" w:line="117" w:lineRule="exact"/>
        <w:rPr>
          <w:rFonts w:ascii="Arial" w:cs="Arial" w:eastAsia="Arial" w:hAnsi="Arial"/>
          <w:sz w:val="18"/>
          <w:szCs w:val="18"/>
          <w:color w:val="auto"/>
        </w:rPr>
      </w:pPr>
    </w:p>
    <w:p>
      <w:pPr>
        <w:ind w:left="880" w:right="30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have to enter into arrangements with third parties to perform these services, our profitability, if any, is likely to be materially diminished in relation to if we were to market, sell and distribute any products that we develop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3" w:name="page54"/>
    <w:bookmarkEnd w:id="53"/>
    <w:p>
      <w:pPr>
        <w:ind w:right="62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delay or prevent their regulatory approval or limit their commercial potential.</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Undesirable side effects caused by our product candidates or even competing products in development that utilize a common mechanism of action could cause us or regulatory authorities to interrupt, delay or halt clinical trials and could result in the denial of regulatory approval by the FDA or other regulatory authorities and potential products liability claims. Serious adverse events deemed to be caused by our product candidates could have a material adverse effect on the development of our product candidates and our business as a whole. The most common drug-related adverse events to date in the clinical trials evaluating the safety and tolerability of subcutaneous razuprotafib have been dizziness and asymptomatic decreases in blood pressure, and these adverse events may occur in future development by this route of administration. The most common adverse event seen in the Phase 1b and Phase 2 clinical trials evaluating the safety and tolerability of topical ocular razuprotafib was mild conjunctival hyperemia. Our understanding of the relationship between razuprotafib and these events, as well as our understanding of adverse events in future clinical trials of other product candidates, may change as we gather more information, and additional unexpected adverse events may be observed.</w:t>
      </w:r>
    </w:p>
    <w:p>
      <w:pPr>
        <w:spacing w:after="0" w:line="7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If we or others identify undesirable side effects caused by our product candidates either before or after receipt of marketing approval, a number of potentially significant negative consequences could result, including:</w:t>
      </w:r>
    </w:p>
    <w:p>
      <w:pPr>
        <w:spacing w:after="0" w:line="62" w:lineRule="exact"/>
        <w:rPr>
          <w:sz w:val="20"/>
          <w:szCs w:val="20"/>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clinical trials may be put on hold;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 recruitment could be slowed, or enrolled patients may not want to complete a clinical trial;</w:t>
      </w:r>
    </w:p>
    <w:p>
      <w:pPr>
        <w:spacing w:after="0" w:line="117" w:lineRule="exact"/>
        <w:rPr>
          <w:rFonts w:ascii="Arial" w:cs="Arial" w:eastAsia="Arial" w:hAnsi="Arial"/>
          <w:sz w:val="18"/>
          <w:szCs w:val="18"/>
          <w:color w:val="auto"/>
        </w:rPr>
      </w:pPr>
    </w:p>
    <w:p>
      <w:pPr>
        <w:ind w:left="880" w:right="58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obtain regulatory approval for our product candidates or regulatory authorities may withdraw approvals of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medication guide outlining the risks of such side effects for distribution to patients may be required;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With respect to the potential use of razuprotafib for the treatment of ARDS associated with COVID-19, clinical development remains in the early stages. As a result, while we believe razuprotafib may have a favorable tolerability profile in this patient population, there can be no assurance that we will not observe the incidence of adverse events or serious adverse events upon further development of razuprotafib. For example, the incidence of adverse events and serious adverse events may be magnified in this patient population due to the critical and often life-threatening nature of the underlying disease.</w:t>
      </w:r>
    </w:p>
    <w:p>
      <w:pPr>
        <w:spacing w:after="0" w:line="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products and could substantially increase commercialization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Healthcare Regulation</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any approved products, which could make it difficult for us to sell our products profitably.</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future revenues and profitability will be adversely affected if United States and foreign governmental, private third-party insurers and payors and other third-party payors, including Medicare and Medicaid, do not agree to defray or reimburse the cost of our products to the patients. If these entities fail to provide coverage and reimbursement with respect to our products or provide an insufficient level of coverage and reimbursement, our products may be too costly for some patients to afford them and physicians may not prescribe them. Market acceptance and sales of any approved products will depend significantly on the availability of adequate coverage and reimbursement from third-party payors and may be affected by existing and future healthcare reform measures. Government authorities and third-party payors decide which drugs they will pay for and establish formularies and reimbursement levels. Coverage and reimbursement by a third-party payor may depend upon a number of factors, including the third-party payor’s determination that use of a product is:</w:t>
      </w:r>
    </w:p>
    <w:p>
      <w:pPr>
        <w:spacing w:after="0" w:line="84" w:lineRule="exact"/>
        <w:rPr>
          <w:sz w:val="20"/>
          <w:szCs w:val="20"/>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spacing w:after="0" w:line="286" w:lineRule="auto"/>
        <w:rPr>
          <w:sz w:val="20"/>
          <w:szCs w:val="20"/>
          <w:color w:val="auto"/>
        </w:rPr>
      </w:pPr>
      <w:r>
        <w:rPr>
          <w:rFonts w:ascii="Arial" w:cs="Arial" w:eastAsia="Arial" w:hAnsi="Arial"/>
          <w:sz w:val="16"/>
          <w:szCs w:val="16"/>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Additionally, we may be required to enter into contracts with third-party payors to obtain favorable formulary status. We may not be able to provide data sufficient to gain acceptance with respect to coverage and reimbursement. We cannot be sure that coverage or adequate reimbursement will be available for any of our product candidates. Third-party payors often rely upon Medicare coverage policy and payment limitations in setting their own reimbursement rates, but also have their own methods and approval process apart from Medicate determinations. Therefore, coverage and reimbursement for drug products can differ significantly from payor to payor. Even if we obtain coverage for our product candidates, third-party payors may not establish adequate reimbursement amounts, which may reduce the demand for, or the price of, our products. If reimbursement is not available or is available only to limited levels, we may not be able to commercialize certain of our products. In addition, in the United States, third-party payors are increasingly attempting to contain healthcare costs by limiting both coverage and the level of reimbursement of new drugs. As a result, significant uncertainty exists as to whether and how much third-party payors will reimburse patients for their use of newly approved drugs, which in turn will put pressure on the pricing of drugs. Further, due to the COVID-19 pandemic, millions of individuals have lost or will be losing employer-based insurance coverage, which may adversely affect our ability to commercialize our product candidates even if there is adequate coverage and reimbursement from third party payors.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may be imposed, which may adversely affect our future profitability.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actions and proposals to control and reduce healthcare costs. There have been a number of legislative and regulatory changes and proposed changes regarding the healthcare system that could prevent or delay marketing approval for our product candidates, restrict or regulate post-approval activities and affect our ability to profitably sell any of our products or product candidates for which we obtain marketing approval.</w:t>
      </w:r>
    </w:p>
    <w:p>
      <w:pPr>
        <w:spacing w:after="0" w:line="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some countries, particularly Member States of the European Union, the pricing of prescription pharmaceuticals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could be adversely affected.</w:t>
      </w:r>
    </w:p>
    <w:p>
      <w:pPr>
        <w:spacing w:after="0" w:line="7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impact of recent healthcare reform and other changes in the healthcare industry and in healthcare spending is currently unknown and may adversely affect our business model.</w:t>
      </w:r>
    </w:p>
    <w:p>
      <w:pPr>
        <w:spacing w:after="0" w:line="6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4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United States, the Medicare Prescription Drug, Improvement, and Modernization Act of 2003, also called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products, we expect that there will be additional pressure to reduce costs.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may be enacted in international markets which could similarly impact our business.</w:t>
      </w:r>
    </w:p>
    <w:p>
      <w:pPr>
        <w:spacing w:after="0" w:line="8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addition, the Affordable Care Act (“ACA”) was enacted in 2010 with a goal of reducing the cost of healthcare and substantially changing the way healthcare is financed by both government and private insurers.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biologic products, and creates a new Medicare Part D coverage gap discount program, in which manufacturers must agree to offer 50% (increased to 70% as of January 1, 2019 pursuant to subsequent legislation)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United States since the ACA was enacted. On August 2, 2011, the Budget Control Act of 2011 created measures for spending reductions by Congress. A Joint Select Committee on Deficit Reduction, tasked with recommending a targeted deficit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5" w:name="page56"/>
    <w:bookmarkEnd w:id="55"/>
    <w:p>
      <w:pPr>
        <w:ind w:right="60"/>
        <w:spacing w:after="0" w:line="257" w:lineRule="auto"/>
        <w:rPr>
          <w:sz w:val="20"/>
          <w:szCs w:val="20"/>
          <w:color w:val="auto"/>
        </w:rPr>
      </w:pPr>
      <w:r>
        <w:rPr>
          <w:rFonts w:ascii="Arial" w:cs="Arial" w:eastAsia="Arial" w:hAnsi="Arial"/>
          <w:sz w:val="18"/>
          <w:szCs w:val="18"/>
          <w:color w:val="auto"/>
        </w:rPr>
        <w:t>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 Pursuant to the Coronavirus Aid, Relief, and Economic Security Act, also known as the CARES Act, and the 2020 Omnibus Bill, these reductions are suspended from May 1, 2020 through December 31, 2021 due to the COVID-19 pandemic. Proposed legislation, if passed, would extend this suspension until the end of the pandemic.</w:t>
      </w:r>
    </w:p>
    <w:p>
      <w:pPr>
        <w:spacing w:after="0" w:line="8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administrations or other efforts, if any, to challenge repeal or replace the ACA, will impact our business.</w:t>
      </w:r>
    </w:p>
    <w:p>
      <w:pPr>
        <w:spacing w:after="0" w:line="70"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Moreover, the Drug Supply Chain Security Act imposed new obligations on manufacturers of pharmaceutical products related to product tracking and tracing. Legislative and regulatory proposals have been made to expand post-approval requirements and restrict sales and promotional activities for pharmaceutical products. We are not sure whether additional legislative changes will be enacted, or whether the current regulations, guidance or interpretations will be changed, or what the impact of such changes on our business, if any, may be.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w:t>
      </w:r>
    </w:p>
    <w:p>
      <w:pPr>
        <w:spacing w:after="0" w:line="5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former Trump administration released a plan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On July 24, 2020 and September 13, 2020, former President Trump announced several executive orders related to prescription drug pricing that seek to implement several of the administration’s proposals. The FDA also released a final rule on September 24, 2020, which went into effect on November 30, 2020, providing guidance for states to build and submit importation plans for drugs from Canada.</w:t>
      </w:r>
    </w:p>
    <w:p>
      <w:pPr>
        <w:spacing w:after="0" w:line="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to all U.S. states and territories for a seven-year period beginning January 1, 2021, and ending December 31,</w:t>
      </w:r>
    </w:p>
    <w:p>
      <w:pPr>
        <w:spacing w:after="0" w:line="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2027. The MFN is currently subject to ongoing litigation. Further, authorities in Canada have passed rules designed to safeguard the Canadian drug supply from shortages. If implemented, importation of drugs from Canada and the MFN Model may materially and adversely affect the price we receive for any of our product candidates. Additionally,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Further, implementation of this change and new safe harbors for point-of-sale reductions in price for prescription pharmaceutical products and pharmacy benefit manager service fees are currently under review by the Biden administration and may be amended or repealed. Although a number of these and other proposed measures may require authorization through additional legislation to become effective, and the Biden administration may reverse or otherwise change these measures, both the Biden administration and Congress have indicated that it will continue to seek new legislative measures to control drug costs.Although a number of these and other proposed measures may require authorization through additional legislation to become effective, and the Biden administration may reverse, revoke, or otherwise change these measures, Congress has indicated that it will continue to seek new legislative measures to control drug costs.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It is unclear what effect such changes will have on our business and our ability to receive adequate reimbursement for our future products. Some of these proposed measures, including drug importation and pharmacy benefit manager rebate rule changes, face legal challenges from industry groups and participants. We cannot predict whether additional reform initiatives may be adopted in the future or whether initiatives that have been adopted will be repealed or modified, or whether legal challenges will be successful. The continuing efforts of the government, insurance companies, managed care organizations and other payors of healthcare services to contain or reduce costs of healthcare may adversely affect:</w:t>
      </w:r>
    </w:p>
    <w:p>
      <w:pPr>
        <w:spacing w:after="0" w:line="61" w:lineRule="exact"/>
        <w:rPr>
          <w:sz w:val="20"/>
          <w:szCs w:val="20"/>
          <w:color w:val="auto"/>
        </w:rPr>
      </w:pPr>
    </w:p>
    <w:p>
      <w:pPr>
        <w:ind w:left="5540" w:right="4960" w:hanging="5033"/>
        <w:spacing w:after="0" w:line="623" w:lineRule="auto"/>
        <w:tabs>
          <w:tab w:leader="none" w:pos="878"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demand for any products for which we may obtain regulatory approval;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and the level of taxes that we are required to pay.</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expect that changes and challenges to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future approved product.</w:t>
      </w:r>
    </w:p>
    <w:p>
      <w:pPr>
        <w:spacing w:after="0" w:line="18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If we obtain regulatory approval for any of our product candidates,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w:t>
      </w:r>
    </w:p>
    <w:p>
      <w:pPr>
        <w:spacing w:after="0" w:line="5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 candidates for which we obtain regulatory approval. Our current and future arrangements with third-party payors and customers may expose us to broadly applicable fraud and abuse and other healthcare laws and regulations that may constrain the business or financial arrangements and relationships through which we conduct research and would market, sell and distribute our products. As a pharmaceutical company,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Restrictions under applicable federal and state healthcare laws and regulations that may affect our ability to operate include the following:</w:t>
      </w:r>
    </w:p>
    <w:p>
      <w:pPr>
        <w:spacing w:after="0" w:line="83" w:lineRule="exact"/>
        <w:rPr>
          <w:sz w:val="20"/>
          <w:szCs w:val="20"/>
          <w:color w:val="auto"/>
        </w:rPr>
      </w:pPr>
    </w:p>
    <w:p>
      <w:pPr>
        <w:ind w:left="880" w:right="40" w:hanging="373"/>
        <w:spacing w:after="0" w:line="253"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88" w:lineRule="exact"/>
        <w:rPr>
          <w:rFonts w:ascii="Arial" w:cs="Arial" w:eastAsia="Arial" w:hAnsi="Arial"/>
          <w:sz w:val="18"/>
          <w:szCs w:val="18"/>
          <w:color w:val="auto"/>
        </w:rPr>
      </w:pPr>
    </w:p>
    <w:p>
      <w:pPr>
        <w:ind w:left="880" w:hanging="373"/>
        <w:spacing w:after="0" w:line="270"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86" w:lineRule="exact"/>
        <w:rPr>
          <w:rFonts w:ascii="Arial" w:cs="Arial" w:eastAsia="Arial" w:hAnsi="Arial"/>
          <w:sz w:val="17"/>
          <w:szCs w:val="17"/>
          <w:color w:val="auto"/>
        </w:rPr>
      </w:pPr>
    </w:p>
    <w:p>
      <w:pPr>
        <w:ind w:left="880" w:right="60" w:hanging="373"/>
        <w:spacing w:after="0" w:line="25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97" w:lineRule="exact"/>
        <w:rPr>
          <w:rFonts w:ascii="Arial" w:cs="Arial" w:eastAsia="Arial" w:hAnsi="Arial"/>
          <w:sz w:val="18"/>
          <w:szCs w:val="18"/>
          <w:color w:val="auto"/>
        </w:rPr>
      </w:pPr>
    </w:p>
    <w:p>
      <w:pPr>
        <w:ind w:left="880" w:right="320" w:hanging="373"/>
        <w:spacing w:after="0" w:line="25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ind w:left="880" w:right="100"/>
        <w:spacing w:after="0" w:line="255" w:lineRule="auto"/>
        <w:rPr>
          <w:sz w:val="20"/>
          <w:szCs w:val="20"/>
          <w:color w:val="auto"/>
        </w:rPr>
      </w:pPr>
      <w:r>
        <w:rPr>
          <w:rFonts w:ascii="Arial" w:cs="Arial" w:eastAsia="Arial" w:hAnsi="Arial"/>
          <w:sz w:val="18"/>
          <w:szCs w:val="18"/>
          <w:color w:val="auto"/>
        </w:rPr>
        <w:t>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98" w:lineRule="exact"/>
        <w:rPr>
          <w:sz w:val="20"/>
          <w:szCs w:val="20"/>
          <w:color w:val="auto"/>
        </w:rPr>
      </w:pPr>
    </w:p>
    <w:p>
      <w:pPr>
        <w:ind w:left="880" w:right="60" w:hanging="373"/>
        <w:spacing w:after="0" w:line="272"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U.S. federal transparency requirements under the ACA, including the provision commonly referred to as the Physician Payments Sunshine Act, and its implementing regulations, which requires applicable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 Effective January 1, 2022, these reporting obligations will extend to include transfers of value made to certain non-physician providers such as physician assistants and nurse practitioners.</w:t>
      </w:r>
    </w:p>
    <w:p>
      <w:pPr>
        <w:spacing w:after="0" w:line="82" w:lineRule="exact"/>
        <w:rPr>
          <w:rFonts w:ascii="Arial" w:cs="Arial" w:eastAsia="Arial" w:hAnsi="Arial"/>
          <w:sz w:val="17"/>
          <w:szCs w:val="17"/>
          <w:color w:val="auto"/>
        </w:rPr>
      </w:pPr>
    </w:p>
    <w:p>
      <w:pPr>
        <w:ind w:left="880" w:right="8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w:t>
      </w:r>
    </w:p>
    <w:p>
      <w:pPr>
        <w:spacing w:after="0" w:line="62"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7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 consuming and can divert a company’s attention from the business.Ensuring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Investments in Our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may be influenced by numerous factors, some of which are beyond our control.</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market price of our common stock is likely to be volatile. Since our common stock became listed on Nasdaq Capital Market on June 26, 2018, the trading price of our common stock has ranged from $0.42 to $4.35 per share. The market price of our common stock may continue to fluctuate substantially due to a variety of factors, including market perception of our ability to meet our growth projections and expectations, quarterly operating results of other companies in the same industry, trading volume in our common stock, changes in general conditions in the economy and the financial markets or other developments affecting our business and the business of others in our industry. In addition, the stock market itself is subject to extreme price and volume fluctuations.</w:t>
      </w:r>
    </w:p>
    <w:p>
      <w:pPr>
        <w:spacing w:after="0" w:line="8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This volatility has had a significant effect on the market price of securities issued by many companies for reasons related and unrelated to their operating performance and could have the same effect on our common stock. The market price of shares of our common stock may continue to be subject to wide fluctuations in response to many risk factors listed in this section, and others beyond our control, including:</w:t>
      </w:r>
    </w:p>
    <w:p>
      <w:pPr>
        <w:spacing w:after="0" w:line="76" w:lineRule="exact"/>
        <w:rPr>
          <w:sz w:val="20"/>
          <w:szCs w:val="20"/>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the release of results of our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safety issues with respect to our products or our competitors’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affecting us or our industry;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addition, the stock market, in general, and Nasdaq and biotechnology and pharmaceutical companies in particular, have experienced extreme price and volume fluctuations that have often been unrelated or disproportionate to the operating performance of these companies. As we operate in a single industry, we are especially vulnerable to these factors to the extent that they affect our industry or our products, or to a lesser extent our markets. Historically, securities class action litigation has often been initiated against companies following periods of volatility in their stock price. This type of litigation, if instituted, could result in substantial costs and divert our management’s attention and resources and could also require us to make substantial payments to satisfy judgments or to settle litigation, which could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jc w:val="both"/>
        <w:ind w:right="460"/>
        <w:spacing w:after="0" w:line="375" w:lineRule="auto"/>
        <w:rPr>
          <w:sz w:val="20"/>
          <w:szCs w:val="20"/>
          <w:color w:val="auto"/>
        </w:rPr>
      </w:pPr>
      <w:r>
        <w:rPr>
          <w:rFonts w:ascii="Arial" w:cs="Arial" w:eastAsia="Arial" w:hAnsi="Arial"/>
          <w:sz w:val="15"/>
          <w:szCs w:val="15"/>
          <w:b w:val="1"/>
          <w:bCs w:val="1"/>
          <w:i w:val="1"/>
          <w:iCs w:val="1"/>
          <w:color w:val="auto"/>
        </w:rPr>
        <w:t>We are eligible to be treated as an “emerging growth company” as defined in the Jumpstart Our Business Startups Act of 2012, and we cannot be certain if the reduced disclosure requirements applicable to emerging growth companies will make our common stock less attractive to investors.</w:t>
      </w:r>
    </w:p>
    <w:p>
      <w:pPr>
        <w:spacing w:after="0" w:line="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may take advantage of exemptions from various reporting requirements that are applicable to other public companies that are not emerging growth companies. These exemptions include:</w:t>
      </w:r>
    </w:p>
    <w:p>
      <w:pPr>
        <w:spacing w:after="0" w:line="76" w:lineRule="exact"/>
        <w:rPr>
          <w:sz w:val="20"/>
          <w:szCs w:val="20"/>
          <w:color w:val="auto"/>
        </w:rPr>
      </w:pPr>
    </w:p>
    <w:p>
      <w:pPr>
        <w:ind w:left="880" w:right="240" w:hanging="373"/>
        <w:spacing w:after="0" w:line="342"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regarding the assessment of our internal control over financial reporting;</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taken advantage of these reduced reporting burdens. In particular, we have provided only two years of audited consolidated financial statements and have not included all of the executive compensation related information that would be required if we were not an emerging growth company. Investors may find our common stock less attractive if we continue to rely on these exemptions. If some investors find our common stock less attractive as a result, there may be a less active trading market for our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We could be an emerging growth company for up to five years following the date of completion of our initial public offering, although circumstances could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cause us to lose that status earlier, including if the market value of our common stock held by non-affiliates exceeds $700 million as of any June 30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time or if we have total annual gross revenue of $1.07 billion (as may be inflation-adjusted by the SEC from time to time) or more during any fiscal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year before that time, in which cases we would no longer be an emerging growth company as of the following December 31 or, if we issue more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$1.07 billion in non-convertible debt during any three-year period before that time, we would cease to be an emerging growth company immediately. Even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we no longer qualify as an emerging growth company, we may still qualify as a “smaller reporting company” if the market value of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held by non-affiliates is below $250 million as of June 30 in any given year (or $700 million if we had less than $100 million in revenues), which would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allow us to take advantage of many of the same exemptions from disclosure requirements, including exemption from the auditor attestation requirements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404 of the Sarbanes-Oxley Act and reduced disclosure obligations regarding executive compensation in our periodic reports and proxy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FINRA sales practice requirements may limit a stockholder’s ability to buy and sell our stock.</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Financial Industry Regulatory Authority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0" w:name="page61"/>
    <w:bookmarkEnd w:id="60"/>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we are unable to maintain compliance with Nasdaq Capital Market listing standards, including maintenance of at least $2.5 million of stockholders’ equity and maintenance of a $1.00 minimum bid price, our common stock may be delisted from the Nasdaq Capital Market and you may face significant restrictions on the resale of your shares due to state “blue sky” laws.</w:t>
      </w:r>
    </w:p>
    <w:p>
      <w:pPr>
        <w:spacing w:after="0" w:line="8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There can be no assurances that we will be able to maintain our Nasdaq Capital Market listing in the future. On July 24, 2019, we were notified by Nasdaq Stock Market, LLC (“Nasdaq”)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To regain compliance, the bid price of our common stock must have a closing bid price of at least $1.00 per share for a minimum of 10 consecutive business days. In June 2020, we were notified by Nasdaq that the closing bid price of our common stock was maintained for a minimum of 10 consecutive business days and, therefore, we regained compliance with the minimum bid price requirement. However, there can be no assurance that we will not encounter challenges with maintaining compliance with Nasdaq Capital Market listing standards in the future.</w:t>
      </w:r>
    </w:p>
    <w:p>
      <w:pPr>
        <w:spacing w:after="0" w:line="7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the event we are unable to maintain compliance with the Nasdaq Capital Market listing standards and our common stock is delisted from the Nasdaq Capital Market, it would, among other things, likely lead to a number of negative implications, including an adverse effect on the price of our common stock, reduced liquidity in our common stock, the loss of federal preemption of state securities laws and greater difficulty in obtaining financing. In the event of a de-listing, we would take actions to restore our compliance with Nasdaq’s listing requirements, but we can provide no assurance that any such action taken by us would allow our common stock to become listed again, stabilize the market price or improve the liquidity of our common stock, prevent our common stock from dropping below the Nasdaq Capital Market minimum bid price requirement in the future, or prevent future non-compliance with Nasdaq’s listing requirements. If we cannot restore our compliance with Nasdaq’s listing requirements, we would pursue eligibility for trading of these securities on other markets or exchanges, such as the OTCQB or OTCQX, which are unorganized, inter-dealer, over-the-counter markets which provides significantly less liquidity than the Nasdaq Capital Market or other national securities exchanges.</w:t>
      </w:r>
    </w:p>
    <w:p>
      <w:pPr>
        <w:spacing w:after="0" w:line="7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Furthermore, each state has its own securities laws, often called “blue sky” laws, which (1) limit sales of securities to a state’s residents unless the securities are registered in that state or qualify for an exemption from registration, and (2) govern the reporting requirements for broker-dealers doing business directly or indirectly in the state. Before a security is sold in a state, there must be a registration in place to cover the transaction, or it must be exempt from registration. The applicable broker-dealer must also be registered in that state. If we fail to maintain our Nasdaq Capital Market listing, then we may not be considered to be on a national exchange and do not know whether our securities will be registered or exempt from registration under the laws of any state.</w:t>
      </w:r>
    </w:p>
    <w:p>
      <w:pPr>
        <w:spacing w:after="0" w:line="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determination regarding registration will be made by those broker-dealers, if any, who agree to serve as market makers for our common stock. There may be significant state blue sky law restrictions on the ability of investors to sell, and on purchasers to buy, our securities. You should therefore consider the resale market for our common stock to be limited, as you may be unable to resell your shares without the significant expense of state registration or qualification.</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As of June 30, 2021, our executive officers, directors and principal stockholders, together with their respective affiliates, owned approximately 43.62% of our common stock, including shares subject to outstanding options that are exercisable within 60 days after such date. Accordingly, these stockholders will be able to exert a significant degree of influence over our management and affairs and over matters requiring stockholder approval, including the election of our Board of Directors and approval of significant corporate transactions.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Because we became a reporting company under the Exchange Act by means other than a traditional underwritten initial public offering, we may not be able to attract the attention of research analysts at major brokerage firms.</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Because we did not become a reporting company by conducting an underwritten initial public offering of our common stock, and because we only recently became listed on a national securities exchange, we may obtain research coverage from fewer analysts than we would have obtained. In addition, investment banks may be less likely to agree to underwrite secondary offerings on our behalf or recommend the purchase of our common stock than if we became a public reporting company by means of an underwritten initial public offering, because they may be less familiar with our Company as a result of more limited coverage by analysts and the media, and because we became public at an early stage in our development. The failure to receive research coverage or support in the market for our shares could have an adverse effect on our ability to develop a liquid market for our common stock.</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ind w:right="140"/>
        <w:spacing w:after="0" w:line="277" w:lineRule="auto"/>
        <w:rPr>
          <w:sz w:val="20"/>
          <w:szCs w:val="20"/>
          <w:color w:val="auto"/>
        </w:rPr>
      </w:pPr>
      <w:r>
        <w:rPr>
          <w:rFonts w:ascii="Arial" w:cs="Arial" w:eastAsia="Arial" w:hAnsi="Arial"/>
          <w:sz w:val="18"/>
          <w:szCs w:val="18"/>
          <w:b w:val="1"/>
          <w:bCs w:val="1"/>
          <w:i w:val="1"/>
          <w:iCs w:val="1"/>
          <w:color w:val="auto"/>
        </w:rPr>
        <w:t>The resale of shares covered by a registration statement could adversely affect the market price of our common stock in the public market, should one develop, which result would in turn negatively affect our ability to raise additional equity capital.</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sale, or availability for sale, of our common stock in the public market may adversely affect the prevailing market price of our common stock and may impair our ability to raise additional capital by selling equity or equity-linked securities. We filed and caused to become effective a registration statement with the SEC registering the resale of 27,367,117 shares of our common stock issued in connection with the reverse merger and the concurrent private placement offering in March 2017 and an additional registration statement covering 9,497,337 shares purchased by certain stockholders in June 2018 and subsequent open market purchases. This registration statement permits the resale of these shares at any time. The resale of a substantial number of shares of our common stock in the public market could adversely affect the market price for our common stock and make it more difficult for you to sell shares of our common stock at times and prices that you feel are appropriate. Furthermore, we expect that, because there will be a large number of shares registered pursuant to a registration statement, selling stockholders will continue to offer shares covered by such registration statement for a significant period of time, the precise duration of which cannot be predicted. Accordingly, the adverse market and price pressures resulting from an offering pursuant to a registration statement may continue for an extended period of time and continued negative pressure on the market price of our common stock could have a material adverse effect on our ability to raise additional equity capital.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stock to fund our operations may dilute your investment and reduce your equity interest.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may need to raise capital in the future to fund the development of our drug candidates or for other purposes. Any equity financing may have significant dilutive effect to stockholders and a material decrease in our stockholders’ equity interest in us. Equity financing, if obtained, could result in substantial dilution to our existing stockholders. At its sole discretion, our Board of Directors may issue additional securities without seeking stockholder approval, and we do not know when we will need additional capital or, if we do, whether it will be available to us.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and may not use them effectively.</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currently intend to preserve our cash resources during our efforts to explore strategic alternatives for our Company. Although we currently intend to use our cash and cash equivalents in such a manner, we will have broad discretion in the application of such cash and cash equivalents. Pending their use, we may invest our cash and cash equivalents in a manner that does not produce income or loses value.</w:t>
      </w:r>
    </w:p>
    <w:p>
      <w:pPr>
        <w:spacing w:after="0" w:line="7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As a result of becoming a public company, we are incurring increased costs and our management devotes substantial time to public company compliance programs.</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a public company, we incur significant legal, insurance, accounting and other expenses that we did not incur as a private company. In addition, our administrative staff is required to perform additional tasks. We are investing resources to comply with evolving laws, regulations and standards, and this investment will result in increased general and administrative expenses and may divert management’s time and attention from product development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the reverse merger, pursuant to which we acquired Aerpio, we increased our directors’ and officers’ insurance coverage, which increased our insurance cost. In the future, it will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5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addition,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we are not able to demonstrate compliance with the Sarbanes-Oxley Act, our internal control over financial reporting is perceived as inadequate, or we are unable to produce timely or accurate financial statements, investors may lose confidence in our operating results and the price of our ordinary shares could decline. In addition, if we are unable to continue to meet these requirements, we may not be able to maintain our listing on a national securities exchange.</w:t>
      </w:r>
    </w:p>
    <w:p>
      <w:pPr>
        <w:spacing w:after="0" w:line="7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management team and Board of Directors will need to devote significant efforts to maintaining adequate and effective disclosure controls and procedures and internal control over financial reporting in order to comply with applicable regulations, which may include hiring additional legal, financial reporting and other finance and accounting staff and engaging consultants to assist 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2" w:name="page63"/>
    <w:bookmarkEnd w:id="62"/>
    <w:p>
      <w:pPr>
        <w:ind w:right="40"/>
        <w:spacing w:after="0" w:line="269" w:lineRule="auto"/>
        <w:rPr>
          <w:sz w:val="20"/>
          <w:szCs w:val="20"/>
          <w:color w:val="auto"/>
        </w:rPr>
      </w:pPr>
      <w:r>
        <w:rPr>
          <w:rFonts w:ascii="Arial" w:cs="Arial" w:eastAsia="Arial" w:hAnsi="Arial"/>
          <w:sz w:val="17"/>
          <w:szCs w:val="17"/>
          <w:color w:val="auto"/>
        </w:rPr>
        <w:t>designing and implementing such procedures. Additionally, any of our efforts to improve our internal controls and design, implement and maintain an adequate system of disclosure controls may not be successful and will require that we expend significant cash and other resources. In addition, our management will be required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77"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independent registered public accounting firm will not be required to formally attest to the effectiveness of our internal control over financial reporting following this annual report until the first annual report required to be filed with the SEC following the date we are no longer an “emerging growth company” as defined in the JOBS Act. We cannot assure you that there will not be material weaknesses or significant deficiencies in our internal controls in the future.</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6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An active trading market for our common stock may not develop or be sustainable. If an active trading market does not develop, investors may not be able to resell their shares at or above the purchase price and our ability to raise capital in the future may be impaired.</w:t>
      </w:r>
    </w:p>
    <w:p>
      <w:pPr>
        <w:spacing w:after="0" w:line="1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common stock has been listed on The Nasdaq Capital Market since June 26, 2018. The initial listing price for our common stock was determined through negotiations with the underwriters. This price may not reflect the price at which investors in the market will be willing to buy and sell our shares. Although our common stock is listed on The Nasdaq Capital Market, an active trading market for our shares may never develop or, if developed, be maintained. If an active market for our common stock does not develop or is not maintained, it may be difficult for you to sell shares you purchase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We believe that the state of global economic conditions are particularly volatile and uncertain, not only in light of the COVID-19 pandemic and the potential global recession resulting therefrom, but also due to recent and expected shifts in political, legislative and regulatory conditions concerning, among other matters, international trade and taxation, and that an uneven recovery or a renewed global downturn may negatively impact our ability to conduct clinical trials on the scale and timelines anticipated. There can be no assurance that further deterioration in credit and financial markets and confidence in economic conditions will not occur. Our general business strategy may be adversely affected by any such economic downturn, volatile business or political environment or continued unpredictable and unstable market conditions. If the current equity and credit markets deteriorate, it may make obtaining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To the extent that our profitability and strategies are negatively affected by downturns or volatility in general economic conditions, our business and results of operations may be materially adversely affected.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auto"/>
        </w:rPr>
        <w:t>Risks Related to Our Charter and Bylaws</w:t>
      </w:r>
    </w:p>
    <w:p>
      <w:pPr>
        <w:spacing w:after="0" w:line="117"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jc w:val="both"/>
        <w:ind w:left="880" w:right="460" w:hanging="373"/>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 create a classified Board of Directors whose members serve staggered three-year terms;</w:t>
      </w:r>
    </w:p>
    <w:p>
      <w:pPr>
        <w:spacing w:after="0" w:line="75"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directors then in office;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880" w:right="62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the consummation of a liquidation event unless approved by a supermajority (66 2/3% and majority of the minority, if applicable) vote of the holders of our voting stock;</w:t>
      </w:r>
    </w:p>
    <w:p>
      <w:pPr>
        <w:spacing w:after="0" w:line="62"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 the consummation of an affiliate transaction with a majority stockholder that holds more than 50% of the voting power of our capital stock unless approved by a supermajority (66 2/3%) vote of directors then in office;</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the number of directors on our Board of Directors may only be changed with a supermajority (66 2/3%) of directors then in office, even though less than a quorum;</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 and by a supermajority (66 2/3%) vote of the holders of our voting stock;</w:t>
      </w:r>
    </w:p>
    <w:p>
      <w:pPr>
        <w:spacing w:after="0" w:line="128" w:lineRule="exact"/>
        <w:rPr>
          <w:rFonts w:ascii="Arial" w:cs="Arial" w:eastAsia="Arial" w:hAnsi="Arial"/>
          <w:sz w:val="17"/>
          <w:szCs w:val="17"/>
          <w:color w:val="auto"/>
        </w:rPr>
      </w:pPr>
    </w:p>
    <w:p>
      <w:pPr>
        <w:ind w:left="880" w:right="12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supermajority (66 2/3%) of directors then in office, even though less than a quorum;</w:t>
      </w:r>
    </w:p>
    <w:p>
      <w:pPr>
        <w:spacing w:after="0" w:line="62" w:lineRule="exact"/>
        <w:rPr>
          <w:rFonts w:ascii="Arial" w:cs="Arial" w:eastAsia="Arial" w:hAnsi="Arial"/>
          <w:sz w:val="18"/>
          <w:szCs w:val="18"/>
          <w:color w:val="auto"/>
        </w:rPr>
      </w:pPr>
    </w:p>
    <w:p>
      <w:pPr>
        <w:ind w:left="880" w:right="220" w:hanging="373"/>
        <w:spacing w:after="0" w:line="308"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 a supermajority (66 2/3% and majority of the minority, if applicable) vote of the holders of our voting stock or the supermajority (66 2/3%) vote of the members of our Board of Directors then in office to amend our amended and restated by-laws; and</w:t>
      </w:r>
    </w:p>
    <w:p>
      <w:pPr>
        <w:spacing w:after="0" w:line="38" w:lineRule="exact"/>
        <w:rPr>
          <w:rFonts w:ascii="Arial" w:cs="Arial" w:eastAsia="Arial" w:hAnsi="Arial"/>
          <w:sz w:val="17"/>
          <w:szCs w:val="17"/>
          <w:color w:val="auto"/>
        </w:rPr>
      </w:pPr>
    </w:p>
    <w:p>
      <w:pPr>
        <w:jc w:val="both"/>
        <w:ind w:left="880" w:right="240" w:hanging="373"/>
        <w:spacing w:after="0" w:line="263"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a supermajority (66 2/3% and majority of the minority, if applicable) vote of the holders of our voting stock and a supermajority (66 2/3%) vote of the holders of each class of our voting stock entitled to vote thereon to amend certain provisions of our amended and restated certificate of incorporation.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7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charter and bylaws contain exclusive forum provisions, which may limit a stockholder’s ability to bring a claim in a judicial forum it finds favorable and may discourage lawsuits with respect to such claims.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amended and restated charter provides that, unless we consent in writing to an alternative forum, the Court of Chancery of the State of Delaware (or if such court does not have jurisdiction, the U.S. District Court for the District of Delaware) will be the sole and exclusive forum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to any provision of the Delaware General Corporation Law, our amended and restated certificate of incorporation or our amended and restated bylaws; or</w:t>
      </w:r>
    </w:p>
    <w:p>
      <w:pPr>
        <w:spacing w:after="0" w:line="46" w:lineRule="exact"/>
        <w:rPr>
          <w:sz w:val="20"/>
          <w:szCs w:val="20"/>
          <w:color w:val="auto"/>
        </w:rPr>
      </w:pPr>
    </w:p>
    <w:p>
      <w:pPr>
        <w:ind w:right="120" w:firstLine="8"/>
        <w:spacing w:after="0" w:line="253"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U.S. federal district courts will be the exclusive forum for resolving any complaint asserting a cause of action arising under the Securities Act, or the Federal Forum Provision.</w:t>
      </w:r>
    </w:p>
    <w:p>
      <w:pPr>
        <w:spacing w:after="0" w:line="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recognize that 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courts mandated by our charter and bylaws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Tax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In general, under Section 382 of the Internal Revenue Code of 1986, as amended (the “Code”) a corporation that undergoes an “ownership change” is subject to limitations on its ability to utilize its pre-change net operating losses (“NOLs”), to offset future taxable income. Our existing NOLs may be subject to substantial limitations arising from previous ownership changes under Section 382 of the Code. Future analysis will still be required on any historical NOLs as no studies have been performed to evaluate a change in ownership. In addition, future changes in our stock ownership, many of which are outside of our control, could result in an ownership change under Section 382 of the Code. Our NOLs may also be impaired under state law. Accordingly, we may not be able to utilize a material portion of our NOLs. Furthermore, our ability to utilize our NOLs is conditioned upon our attaining profitability and generating U.S. federal taxable income. As described above under “—Risks Related to Our Financial Position and Need for Additional Capital,” we have incurred significant net losses since our inception and anticipate that we will continue to incur significant losses for the foreseeable future; thus, we do not know whether or when we will generate the U.S. federal taxable income necessary to utilize our NOLs. A full valuation allowance has been provided for the entire amount of our NOLs.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may adversely affect us or our investors.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us or holders of our common stock.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if we sustain cyber-attacks or other privacy or data security incidents that result in security breaches.</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information technology may be subject to cyber-attacks, security breaches or computer hacking. Experienced computer programmers and hackers may be able to penetrate our security controls and misappropriate or compromise sensitive personal,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may also be vulnerable to security incidents or security attacks, acts of vandalism or theft, misplaced or lost data, human errors, or other similar events that could negatively affect our systems and our data, as well as the data of our business partners. Further, third parties that provide services to us, could also be a source of security risk in the event of a failure of their own security systems and infrastructure.</w:t>
      </w:r>
    </w:p>
    <w:p>
      <w:pPr>
        <w:spacing w:after="0" w:line="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costs to eliminate or address the foregoing security threats and vulnerabilities before or after a cyber-incident could be significant. Our remediation efforts may not be successful and could result in interruptions, delays or cessation of service, and loss of existing or potential suppliers, manufacturers or other third parties. In addition, breaches of our security measures and the unauthorized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5" w:name="page66"/>
    <w:bookmarkEnd w:id="65"/>
    <w:p>
      <w:pPr>
        <w:spacing w:after="0" w:line="293" w:lineRule="auto"/>
        <w:rPr>
          <w:sz w:val="20"/>
          <w:szCs w:val="20"/>
          <w:color w:val="auto"/>
        </w:rPr>
      </w:pPr>
      <w:r>
        <w:rPr>
          <w:rFonts w:ascii="Arial" w:cs="Arial" w:eastAsia="Arial" w:hAnsi="Arial"/>
          <w:sz w:val="16"/>
          <w:szCs w:val="16"/>
          <w:color w:val="auto"/>
        </w:rPr>
        <w:t>dissemination of sensitive personal, proprietary or confidential information about us, our business partners, participants in our clinical trials or other third parties could expose us to significant potential liability and reputational harm. In addition, the loss of clinical trial data from completed or ongoing or planned clinical trials as a result of a data security incident or other systems failure could result in delays in our regulatory approval efforts and significantly increase our costs to recover or reproduce the data. As threats related to cyber-attacks develop and grow, we may also find it necessary to make additional investments to protect our data and infrastructure, which may impact our profitability. We could also be negatively impacted by existing and proposed laws and regulations, as well as government policies and practices related to cybersecurity, data privacy, data localization and data protection such as GDPR.</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may be negatively impacted by the United Kingdom’s withdrawal from the European Union.</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June 23, 2016, the United Kingdom held a referendum in which a majority of the eligible members of the electorate voted to leave the European Union, commonly referred to as Brexit. Pursuant to Article 50 of the Treaty on European Union, the United Kingdom ceased being a Member State of the European Union on January 31, 2020. There was a transitional period, during which European Union’s rules continued to apply in the United Kingdom, however this ended on December 31, 2020. The United Kingdom and European Union have signed a EU-UK Trade and Cooperation Agreement, which became provisionally applicable on January 1, 2021 and will become formally applicable once ratified by both the United Kingdom and the European Union. This agreement provides details on how some aspects of the United Kingdom and European Union’s relationship regarding medicinal products will operate, particularly in relation to Good Manufacturing Practice, however there are still many uncertainties. Many of the regulations that now apply in the United Kingdom following the transition period (including financial laws and regulations, tax, intellectual property rights, data protection laws, supply chain logistics, environmental, health and safety laws and regulations, medicine approval and regulations, immigration laws and employment laws), will likely be amended in future as the United Kingdom determines its new approach, which may result in significant divergence from European Union regulations. This lack of clarity on future United Kingdom laws and regulations and their interaction with the European Union laws and regulations increases our regulatory burden of operating in and doing business with both the United Kingdom and the European Union.</w:t>
      </w:r>
    </w:p>
    <w:p>
      <w:pPr>
        <w:spacing w:after="0" w:line="6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long-term effects of Brexit will depend in part on how the EU-UK Trade and Cooperation Agreement, and any future agreements signed by the United Kingdom and the European Union, take effect in practice. Such a withdrawal from the European Union is unprecedented, and it is unclear how the restrictions on the United Kingdom’s access to the European single market for goods, capital, services and labor and the wider commercial, legal and regulatory environment, could impact our current and future operations and clinical activities in the United Kingdom. We may also face new regulatory costs and challenges that could have an adverse effect on our operations as a result of Brexit.</w:t>
      </w:r>
    </w:p>
    <w:p>
      <w:pPr>
        <w:spacing w:after="0" w:line="80"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The United Kingdom will lose the benefits of global trade agreements negotiated by the European Union on behalf of its members, which may result in increased trade barriers that could make our doing business in the European Union or European Economic Area more difficult. We expect that, now the transition period has expired, Brexit could lead to legal uncertainty and potentially divergent national laws and regulations as the United Kingdom determines which European Union laws to replicate or replace, including those related to the regulation of medicinal products. Any of these effects of Brexit, and others we cannot anticipate, could negatively impact our business and results of operations in the United Kingdom.</w:t>
      </w:r>
    </w:p>
    <w:p>
      <w:pPr>
        <w:spacing w:after="0" w:line="5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uncertainty concerning the United Kingdom’s legal, political and economic relationship with the European Union following Brexit may also be a source of instability in the international markets, create significant currency fluctuations, and/or otherwise adversely affect trading agreements or similar cross-border co-operation arrangements (whether economic, tax, fiscal, legal, regulatory or otherwise).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exhibits listed on the Exhibit Index immediately preceding such exhibits, which is incorporated herein by reference, are filed or furnished as part of this Quarterly Report on Form 10-Q.</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40" w:type="dxa"/>
            <w:vAlign w:val="bottom"/>
            <w:gridSpan w:val="14"/>
            <w:vMerge w:val="restart"/>
          </w:tcPr>
          <w:p>
            <w:pPr>
              <w:ind w:left="34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40" w:type="dxa"/>
            <w:vAlign w:val="bottom"/>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100" w:type="dxa"/>
            <w:vAlign w:val="bottom"/>
            <w:tcBorders>
              <w:top w:val="single" w:sz="8" w:color="auto"/>
            </w:tcBorders>
            <w:gridSpan w:val="17"/>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Agreement and Plan of Merger, dated May 16, 2021, by and among the registrant, Aadi Bioscience, Inc. and Aspen Merger Subsidiary, Inc.</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15"/>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(incorporated by reference to Exhibit 2.1 to the Registrant’s Current Report on Form 8-K (File No. 001-38560) filed with the SEC on May</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86">
              <w:r>
                <w:rPr>
                  <w:rFonts w:ascii="Arial" w:cs="Arial" w:eastAsia="Arial" w:hAnsi="Arial"/>
                  <w:sz w:val="18"/>
                  <w:szCs w:val="18"/>
                  <w:color w:val="0000EE"/>
                  <w:w w:val="89"/>
                </w:rPr>
                <w:t>17, 2021)</w:t>
              </w:r>
            </w:hyperlink>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72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100" w:type="dxa"/>
            <w:vAlign w:val="bottom"/>
            <w:gridSpan w:val="17"/>
          </w:tcPr>
          <w:p>
            <w:pPr>
              <w:spacing w:after="0"/>
              <w:rPr>
                <w:rFonts w:ascii="Arial" w:cs="Arial" w:eastAsia="Arial" w:hAnsi="Arial"/>
                <w:sz w:val="18"/>
                <w:szCs w:val="18"/>
                <w:color w:val="0000EE"/>
                <w:w w:val="97"/>
              </w:rPr>
            </w:pPr>
            <w:hyperlink r:id="rId87">
              <w:r>
                <w:rPr>
                  <w:rFonts w:ascii="Arial" w:cs="Arial" w:eastAsia="Arial" w:hAnsi="Arial"/>
                  <w:sz w:val="18"/>
                  <w:szCs w:val="18"/>
                  <w:color w:val="0000EE"/>
                  <w:w w:val="97"/>
                </w:rPr>
                <w:t>Amendment to the Amended and Restated By-laws of Aerpio Pharmaceuticals, Inc. (incorporated by reference to Exhibit 3.1 to the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Registrant’s Current Report on Form 8-K (File No. 001-38560) filed with the SEC on May 17, 2021)</w:t>
              </w:r>
            </w:hyperlink>
          </w:p>
        </w:tc>
        <w:tc>
          <w:tcPr>
            <w:tcW w:w="6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760" w:type="dxa"/>
            <w:vAlign w:val="bottom"/>
            <w:tcBorders>
              <w:bottom w:val="single" w:sz="8" w:color="0000EE"/>
            </w:tcBorders>
            <w:gridSpan w:val="10"/>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Amendment to Transitional Services Agreement, dated April 1, 2021, by and between the Registrant and Kevin G. Peters (incorporated</w:t>
              </w:r>
            </w:hyperlink>
          </w:p>
        </w:tc>
        <w:tc>
          <w:tcPr>
            <w:tcW w:w="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herein by reference to Exhibit 10. 1 to the Registrant’s Form 8-K filed with the Securities and Exchange Commission on April 1, 2021 (File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No. 001-38560)).</w:t>
              </w:r>
            </w:hyperlink>
          </w:p>
        </w:tc>
        <w:tc>
          <w:tcPr>
            <w:tcW w:w="8800" w:type="dxa"/>
            <w:vAlign w:val="bottom"/>
            <w:tcBorders>
              <w:top w:val="single" w:sz="8" w:color="0000EE"/>
            </w:tcBorders>
            <w:gridSpan w:val="1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100" w:type="dxa"/>
            <w:vAlign w:val="bottom"/>
            <w:gridSpan w:val="17"/>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Consulting Services Agreement, dated April 1, 2021, by and between the Registrant and Kevin G. Peters (incorporated herein by reference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tcBorders>
              <w:top w:val="single" w:sz="8" w:color="0000EE"/>
            </w:tcBorders>
            <w:gridSpan w:val="13"/>
          </w:tcPr>
          <w:p>
            <w:pPr>
              <w:spacing w:after="0" w:line="196" w:lineRule="exact"/>
              <w:rPr>
                <w:rFonts w:ascii="Arial" w:cs="Arial" w:eastAsia="Arial" w:hAnsi="Arial"/>
                <w:sz w:val="18"/>
                <w:szCs w:val="18"/>
                <w:color w:val="0000EE"/>
                <w:w w:val="93"/>
              </w:rPr>
            </w:pPr>
            <w:hyperlink r:id="rId89">
              <w:r>
                <w:rPr>
                  <w:rFonts w:ascii="Arial" w:cs="Arial" w:eastAsia="Arial" w:hAnsi="Arial"/>
                  <w:sz w:val="18"/>
                  <w:szCs w:val="18"/>
                  <w:color w:val="0000EE"/>
                  <w:w w:val="93"/>
                </w:rPr>
                <w:t>to Exhibit 10.2 to the Registrant’s Form 8-K filed with the Securities and Exchange Commission on April 1, 2021 (File No. 001-38560)).</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9880" w:type="dxa"/>
            <w:vAlign w:val="bottom"/>
            <w:tcBorders>
              <w:top w:val="single" w:sz="8" w:color="0000EE"/>
            </w:tcBorders>
            <w:gridSpan w:val="11"/>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Subscription Agreement, dated May 16, 2021, by and among the registrant and the investors party thereto (incorporated by reference to</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Exhibit 10.1 to the Registrant’s Current Report on Form 8-K (File No. 001-38560) filed with the SEC on May 17, 2021)</w:t>
              </w:r>
            </w:hyperlink>
          </w:p>
        </w:tc>
        <w:tc>
          <w:tcPr>
            <w:tcW w:w="1080" w:type="dxa"/>
            <w:vAlign w:val="bottom"/>
            <w:tcBorders>
              <w:top w:val="single" w:sz="8" w:color="0000EE"/>
            </w:tcBorders>
            <w:gridSpan w:val="3"/>
          </w:tcPr>
          <w:p>
            <w:pPr>
              <w:spacing w:after="0"/>
              <w:rPr>
                <w:sz w:val="17"/>
                <w:szCs w:val="17"/>
                <w:color w:val="auto"/>
              </w:rPr>
            </w:pPr>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4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502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10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70">
              <w:r>
                <w:rPr>
                  <w:rFonts w:ascii="Arial" w:cs="Arial" w:eastAsia="Arial" w:hAnsi="Arial"/>
                  <w:sz w:val="18"/>
                  <w:szCs w:val="18"/>
                  <w:color w:val="0000EE"/>
                  <w:w w:val="96"/>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502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100" w:type="dxa"/>
            <w:vAlign w:val="bottom"/>
            <w:gridSpan w:val="17"/>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Act of 2002.</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100" w:type="dxa"/>
            <w:vAlign w:val="bottom"/>
            <w:gridSpan w:val="1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00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7"/>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17"/>
          </w:tcPr>
          <w:p>
            <w:pPr>
              <w:spacing w:after="0"/>
              <w:rPr>
                <w:sz w:val="20"/>
                <w:szCs w:val="20"/>
                <w:color w:val="auto"/>
              </w:rPr>
            </w:pPr>
            <w:r>
              <w:rPr>
                <w:rFonts w:ascii="Arial" w:cs="Arial" w:eastAsia="Arial" w:hAnsi="Arial"/>
                <w:sz w:val="18"/>
                <w:szCs w:val="18"/>
                <w:color w:val="auto"/>
              </w:rPr>
              <w:t>IXBRL Instance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7"/>
          </w:tcPr>
          <w:p>
            <w:pPr>
              <w:spacing w:after="0"/>
              <w:rPr>
                <w:sz w:val="20"/>
                <w:szCs w:val="20"/>
                <w:color w:val="auto"/>
              </w:rPr>
            </w:pPr>
            <w:r>
              <w:rPr>
                <w:rFonts w:ascii="Arial" w:cs="Arial" w:eastAsia="Arial" w:hAnsi="Arial"/>
                <w:sz w:val="18"/>
                <w:szCs w:val="18"/>
                <w:color w:val="auto"/>
              </w:rPr>
              <w:t>IXBRL Taxonomy Extension Schema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7"/>
          </w:tcPr>
          <w:p>
            <w:pPr>
              <w:spacing w:after="0"/>
              <w:rPr>
                <w:sz w:val="20"/>
                <w:szCs w:val="20"/>
                <w:color w:val="auto"/>
              </w:rPr>
            </w:pPr>
            <w:r>
              <w:rPr>
                <w:rFonts w:ascii="Arial" w:cs="Arial" w:eastAsia="Arial" w:hAnsi="Arial"/>
                <w:sz w:val="18"/>
                <w:szCs w:val="18"/>
                <w:color w:val="auto"/>
              </w:rPr>
              <w:t>IXBRL Taxonomy Extension Calculation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7"/>
          </w:tcPr>
          <w:p>
            <w:pPr>
              <w:spacing w:after="0"/>
              <w:rPr>
                <w:sz w:val="20"/>
                <w:szCs w:val="20"/>
                <w:color w:val="auto"/>
              </w:rPr>
            </w:pPr>
            <w:r>
              <w:rPr>
                <w:rFonts w:ascii="Arial" w:cs="Arial" w:eastAsia="Arial" w:hAnsi="Arial"/>
                <w:sz w:val="18"/>
                <w:szCs w:val="18"/>
                <w:color w:val="auto"/>
              </w:rPr>
              <w:t>IXBRL Taxonomy Extension Definition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7"/>
          </w:tcPr>
          <w:p>
            <w:pPr>
              <w:spacing w:after="0"/>
              <w:rPr>
                <w:sz w:val="20"/>
                <w:szCs w:val="20"/>
                <w:color w:val="auto"/>
              </w:rPr>
            </w:pPr>
            <w:r>
              <w:rPr>
                <w:rFonts w:ascii="Arial" w:cs="Arial" w:eastAsia="Arial" w:hAnsi="Arial"/>
                <w:sz w:val="18"/>
                <w:szCs w:val="18"/>
                <w:color w:val="auto"/>
              </w:rPr>
              <w:t>IXBRL Taxonomy Extension Label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17"/>
          </w:tcPr>
          <w:p>
            <w:pPr>
              <w:spacing w:after="0"/>
              <w:rPr>
                <w:sz w:val="20"/>
                <w:szCs w:val="20"/>
                <w:color w:val="auto"/>
              </w:rPr>
            </w:pPr>
            <w:r>
              <w:rPr>
                <w:rFonts w:ascii="Arial" w:cs="Arial" w:eastAsia="Arial" w:hAnsi="Arial"/>
                <w:sz w:val="18"/>
                <w:szCs w:val="18"/>
                <w:color w:val="auto"/>
              </w:rPr>
              <w:t>IXBRL Taxonomy Extension Presentation Linkbase Document</w:t>
            </w:r>
          </w:p>
        </w:tc>
        <w:tc>
          <w:tcPr>
            <w:tcW w:w="0" w:type="dxa"/>
            <w:vAlign w:val="bottom"/>
          </w:tcPr>
          <w:p>
            <w:pPr>
              <w:spacing w:after="0"/>
              <w:rPr>
                <w:sz w:val="1"/>
                <w:szCs w:val="1"/>
                <w:color w:val="auto"/>
              </w:rPr>
            </w:pP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100" w:type="dxa"/>
            <w:vAlign w:val="bottom"/>
            <w:gridSpan w:val="17"/>
          </w:tcPr>
          <w:p>
            <w:pPr>
              <w:spacing w:after="0"/>
              <w:rPr>
                <w:sz w:val="20"/>
                <w:szCs w:val="20"/>
                <w:color w:val="auto"/>
              </w:rPr>
            </w:pPr>
            <w:r>
              <w:rPr>
                <w:rFonts w:ascii="Arial" w:cs="Arial" w:eastAsia="Arial" w:hAnsi="Arial"/>
                <w:sz w:val="18"/>
                <w:szCs w:val="18"/>
                <w:color w:val="auto"/>
                <w:w w:val="93"/>
              </w:rPr>
              <w:t>Cover Page Interactive Data File (formatted as inline IXBRL with applicable taxonomy extension information contained in Exhibits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right="260" w:firstLine="8"/>
        <w:spacing w:after="0" w:line="263" w:lineRule="auto"/>
        <w:tabs>
          <w:tab w:leader="none" w:pos="8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7060" w:type="dxa"/>
            <w:vAlign w:val="bottom"/>
            <w:gridSpan w:val="2"/>
          </w:tcPr>
          <w:p>
            <w:pPr>
              <w:ind w:left="2520"/>
              <w:spacing w:after="0"/>
              <w:rPr>
                <w:sz w:val="20"/>
                <w:szCs w:val="20"/>
                <w:color w:val="auto"/>
              </w:rPr>
            </w:pPr>
            <w:r>
              <w:rPr>
                <w:rFonts w:ascii="Arial" w:cs="Arial" w:eastAsia="Arial" w:hAnsi="Arial"/>
                <w:sz w:val="18"/>
                <w:szCs w:val="18"/>
                <w:color w:val="auto"/>
              </w:rPr>
              <w:t>AERPIO PHARMACEUTICALS, INC.</w:t>
            </w:r>
          </w:p>
        </w:tc>
      </w:tr>
      <w:tr>
        <w:trPr>
          <w:trHeight w:val="459"/>
        </w:trPr>
        <w:tc>
          <w:tcPr>
            <w:tcW w:w="4180" w:type="dxa"/>
            <w:vAlign w:val="bottom"/>
          </w:tcPr>
          <w:p>
            <w:pPr>
              <w:spacing w:after="0"/>
              <w:rPr>
                <w:sz w:val="20"/>
                <w:szCs w:val="20"/>
                <w:color w:val="auto"/>
              </w:rPr>
            </w:pPr>
            <w:r>
              <w:rPr>
                <w:rFonts w:ascii="Arial" w:cs="Arial" w:eastAsia="Arial" w:hAnsi="Arial"/>
                <w:sz w:val="18"/>
                <w:szCs w:val="18"/>
                <w:color w:val="auto"/>
              </w:rPr>
              <w:t>Date: August 11, 2021</w:t>
            </w:r>
          </w:p>
        </w:tc>
        <w:tc>
          <w:tcPr>
            <w:tcW w:w="2800" w:type="dxa"/>
            <w:vAlign w:val="bottom"/>
          </w:tcPr>
          <w:p>
            <w:pPr>
              <w:ind w:left="2520"/>
              <w:spacing w:after="0"/>
              <w:rPr>
                <w:sz w:val="20"/>
                <w:szCs w:val="20"/>
                <w:color w:val="auto"/>
              </w:rPr>
            </w:pPr>
            <w:r>
              <w:rPr>
                <w:rFonts w:ascii="Arial" w:cs="Arial" w:eastAsia="Arial" w:hAnsi="Arial"/>
                <w:sz w:val="18"/>
                <w:szCs w:val="18"/>
                <w:color w:val="auto"/>
                <w:w w:val="99"/>
              </w:rPr>
              <w:t>By:</w:t>
            </w: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Joseph Gardner, Ph.D.</w:t>
            </w:r>
          </w:p>
        </w:tc>
      </w:tr>
      <w:tr>
        <w:trPr>
          <w:trHeight w:val="218"/>
        </w:trPr>
        <w:tc>
          <w:tcPr>
            <w:tcW w:w="4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0"/>
              </w:rPr>
              <w:t>Joseph Gardner, Ph.D.</w:t>
            </w:r>
          </w:p>
        </w:tc>
      </w:tr>
      <w:tr>
        <w:trPr>
          <w:trHeight w:val="220"/>
        </w:trPr>
        <w:tc>
          <w:tcPr>
            <w:tcW w:w="41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r>
        <w:trPr>
          <w:trHeight w:val="230"/>
        </w:trPr>
        <w:tc>
          <w:tcPr>
            <w:tcW w:w="4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r>
        <w:trPr>
          <w:trHeight w:val="459"/>
        </w:trPr>
        <w:tc>
          <w:tcPr>
            <w:tcW w:w="4180" w:type="dxa"/>
            <w:vAlign w:val="bottom"/>
          </w:tcPr>
          <w:p>
            <w:pPr>
              <w:spacing w:after="0"/>
              <w:rPr>
                <w:sz w:val="20"/>
                <w:szCs w:val="20"/>
                <w:color w:val="auto"/>
              </w:rPr>
            </w:pPr>
            <w:r>
              <w:rPr>
                <w:rFonts w:ascii="Arial" w:cs="Arial" w:eastAsia="Arial" w:hAnsi="Arial"/>
                <w:sz w:val="18"/>
                <w:szCs w:val="18"/>
                <w:color w:val="auto"/>
              </w:rPr>
              <w:t>Date: August 11, 2021</w:t>
            </w:r>
          </w:p>
        </w:tc>
        <w:tc>
          <w:tcPr>
            <w:tcW w:w="2800" w:type="dxa"/>
            <w:vAlign w:val="bottom"/>
          </w:tcPr>
          <w:p>
            <w:pPr>
              <w:ind w:left="2520"/>
              <w:spacing w:after="0"/>
              <w:rPr>
                <w:sz w:val="20"/>
                <w:szCs w:val="20"/>
                <w:color w:val="auto"/>
              </w:rPr>
            </w:pPr>
            <w:r>
              <w:rPr>
                <w:rFonts w:ascii="Arial" w:cs="Arial" w:eastAsia="Arial" w:hAnsi="Arial"/>
                <w:sz w:val="18"/>
                <w:szCs w:val="18"/>
                <w:color w:val="auto"/>
                <w:w w:val="99"/>
              </w:rPr>
              <w:t>By:</w:t>
            </w: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Regina Marek</w:t>
            </w:r>
          </w:p>
        </w:tc>
      </w:tr>
      <w:tr>
        <w:trPr>
          <w:trHeight w:val="218"/>
        </w:trPr>
        <w:tc>
          <w:tcPr>
            <w:tcW w:w="4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5"/>
              </w:rPr>
              <w:t>Regina Marek</w:t>
            </w:r>
          </w:p>
        </w:tc>
      </w:tr>
      <w:tr>
        <w:trPr>
          <w:trHeight w:val="234"/>
        </w:trPr>
        <w:tc>
          <w:tcPr>
            <w:tcW w:w="4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9"/>
              </w:rPr>
              <w:t>Vice President Finance</w:t>
            </w:r>
          </w:p>
        </w:tc>
      </w:tr>
    </w:tbl>
    <w:p>
      <w:pPr>
        <w:ind w:left="7100"/>
        <w:spacing w:after="0"/>
        <w:rPr>
          <w:sz w:val="20"/>
          <w:szCs w:val="20"/>
          <w:color w:val="auto"/>
        </w:rPr>
      </w:pPr>
      <w:r>
        <w:rPr>
          <w:rFonts w:ascii="Arial" w:cs="Arial" w:eastAsia="Arial" w:hAnsi="Arial"/>
          <w:sz w:val="17"/>
          <w:szCs w:val="17"/>
          <w:i w:val="1"/>
          <w:iCs w:val="1"/>
          <w:color w:val="auto"/>
        </w:rPr>
        <w:t>(Principal Financial and Principal Accounting Officer)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337"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Gardner, certify that:</w:t>
      </w:r>
    </w:p>
    <w:p>
      <w:pPr>
        <w:spacing w:after="0" w:line="225"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740" w:val="left"/>
          <w:tab w:leader="none" w:pos="822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Gardner,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Joseph Gardner, Ph.D.</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President</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Regina Marek, certify that:</w:t>
      </w:r>
    </w:p>
    <w:p>
      <w:pPr>
        <w:spacing w:after="0" w:line="225"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740" w:val="left"/>
          <w:tab w:leader="none" w:pos="852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Regina Marek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Regina Marek</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Vice President Finance</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Accounting Officer)</w:t>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Quarterly Report of Aerpio Pharmaceuticals, Inc., (the “Company”) on Form 10-Q for the period ended June 30, 2021 as filed with the Securities and Exchange Commission on the date hereof (the “Report”), I, Joseph Gardner, President of the Company, certify, pursuant to 18 U.S.C. § 1350, as adopted pursuant to § 906 of the Sarbanes-Oxley Act of 2002, that to my knowledge:</w:t>
      </w:r>
    </w:p>
    <w:p>
      <w:pPr>
        <w:spacing w:after="0" w:line="76"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6740" w:val="left"/>
          <w:tab w:leader="none" w:pos="822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Gardner,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Joseph Gardner, Ph.D.</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President</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80" w:firstLine="510"/>
        <w:spacing w:after="0" w:line="286" w:lineRule="auto"/>
        <w:rPr>
          <w:sz w:val="20"/>
          <w:szCs w:val="20"/>
          <w:color w:val="auto"/>
        </w:rPr>
      </w:pPr>
      <w:r>
        <w:rPr>
          <w:rFonts w:ascii="Arial" w:cs="Arial" w:eastAsia="Arial" w:hAnsi="Arial"/>
          <w:sz w:val="17"/>
          <w:szCs w:val="17"/>
          <w:color w:val="auto"/>
        </w:rPr>
        <w:t>In connection with the Quarterly Report of Aerpio Pharmaceuticals, Inc., (the “Company”) on Form 10-Q for the period ended June 30, 2021 as filed with the Securities and Exchange Commission on the date hereof (the “Report”), I, Regina Marek, Vice President Finance of the Company, certify, pursuant to 18 U.S.C. § 1350, as adopted pursuant to § 906 of the Sarbanes-Oxley Act of 2002, that to my knowledge:</w:t>
      </w:r>
    </w:p>
    <w:p>
      <w:pPr>
        <w:spacing w:after="0" w:line="57"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p>
      <w:pPr>
        <w:spacing w:after="0"/>
        <w:tabs>
          <w:tab w:leader="none" w:pos="6740" w:val="left"/>
          <w:tab w:leader="none" w:pos="8520" w:val="left"/>
        </w:tabs>
        <w:rPr>
          <w:sz w:val="20"/>
          <w:szCs w:val="20"/>
          <w:color w:val="auto"/>
        </w:rPr>
      </w:pPr>
      <w:r>
        <w:rPr>
          <w:rFonts w:ascii="Arial" w:cs="Arial" w:eastAsia="Arial" w:hAnsi="Arial"/>
          <w:sz w:val="18"/>
          <w:szCs w:val="18"/>
          <w:color w:val="auto"/>
        </w:rPr>
        <w:t>Date: August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Regina Marek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Regina Marek</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Vice President Finance</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2"/>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lowerRoman"/>
      <w:start w:val="2"/>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lowerRoman"/>
      <w:start w:val="2"/>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4"/>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86" Type="http://schemas.openxmlformats.org/officeDocument/2006/relationships/hyperlink" Target="http://www.sec.gov/Archives/edgar/data/0001422142/000119312521162770/d120588dex21.htm" TargetMode="External"/><Relationship Id="rId87" Type="http://schemas.openxmlformats.org/officeDocument/2006/relationships/hyperlink" Target="http://www.sec.gov/Archives/edgar/data/0001422142/000119312521162770/d120588dex31.htm" TargetMode="External"/><Relationship Id="rId88" Type="http://schemas.openxmlformats.org/officeDocument/2006/relationships/hyperlink" Target="http://www.sec.gov/Archives/edgar/data/0001422142/000119312521104183/d324269dex101.htm" TargetMode="External"/><Relationship Id="rId89" Type="http://schemas.openxmlformats.org/officeDocument/2006/relationships/hyperlink" Target="http://www.sec.gov/Archives/edgar/data/0001422142/000119312521104183/d324269dex102.htm" TargetMode="External"/><Relationship Id="rId90" Type="http://schemas.openxmlformats.org/officeDocument/2006/relationships/hyperlink" Target="http://www.sec.gov/Archives/edgar/data/0001422142/000119312521162770/d12058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2021-08-11T16:15:22Z</dcterms:created>
  <dcterms:modified xsi:type="dcterms:W3CDTF">2021-08-11T16:15:22Z</dcterms:modified>
</cp:coreProperties>
</file>