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820" w:right="1580" w:hanging="3812"/>
        <w:spacing w:after="0" w:line="344" w:lineRule="auto"/>
        <w:tabs>
          <w:tab w:leader="none" w:pos="5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spacing w:after="0" w:line="257" w:lineRule="exact"/>
        <w:rPr>
          <w:sz w:val="24"/>
          <w:szCs w:val="24"/>
          <w:color w:val="auto"/>
        </w:rPr>
      </w:pPr>
    </w:p>
    <w:p>
      <w:pPr>
        <w:ind w:left="3060" w:right="1580" w:hanging="3052"/>
        <w:spacing w:after="0" w:line="328" w:lineRule="auto"/>
        <w:tabs>
          <w:tab w:leader="none" w:pos="499"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______________ to ______________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001-38560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Aerpio Pharmaceuticals,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56515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5" w:lineRule="exact"/>
        <w:rPr>
          <w:sz w:val="24"/>
          <w:szCs w:val="24"/>
          <w:color w:val="auto"/>
        </w:rPr>
      </w:pPr>
    </w:p>
    <w:tbl>
      <w:tblPr>
        <w:tblLayout w:type="fixed"/>
        <w:tblInd w:w="1780" w:type="dxa"/>
        <w:tblCellMar>
          <w:top w:w="0" w:type="dxa"/>
          <w:left w:w="0" w:type="dxa"/>
          <w:bottom w:w="0" w:type="dxa"/>
          <w:right w:w="0" w:type="dxa"/>
        </w:tblCellMar>
      </w:tblPr>
      <w:tr>
        <w:trPr>
          <w:trHeight w:val="216"/>
        </w:trPr>
        <w:tc>
          <w:tcPr>
            <w:tcW w:w="4020" w:type="dxa"/>
            <w:vAlign w:val="bottom"/>
          </w:tcPr>
          <w:p>
            <w:pPr>
              <w:jc w:val="center"/>
              <w:ind w:right="1864"/>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center"/>
              <w:ind w:left="1886"/>
              <w:spacing w:after="0"/>
              <w:rPr>
                <w:sz w:val="20"/>
                <w:szCs w:val="20"/>
                <w:color w:val="auto"/>
              </w:rPr>
            </w:pPr>
            <w:r>
              <w:rPr>
                <w:rFonts w:ascii="Arial" w:cs="Arial" w:eastAsia="Arial" w:hAnsi="Arial"/>
                <w:sz w:val="18"/>
                <w:szCs w:val="18"/>
                <w:b w:val="1"/>
                <w:bCs w:val="1"/>
                <w:color w:val="auto"/>
                <w:w w:val="93"/>
              </w:rPr>
              <w:t>EIN 61-1547850</w:t>
            </w:r>
          </w:p>
        </w:tc>
      </w:tr>
      <w:tr>
        <w:trPr>
          <w:trHeight w:val="135"/>
        </w:trPr>
        <w:tc>
          <w:tcPr>
            <w:tcW w:w="4020" w:type="dxa"/>
            <w:vAlign w:val="bottom"/>
          </w:tcPr>
          <w:p>
            <w:pPr>
              <w:jc w:val="center"/>
              <w:ind w:right="1864"/>
              <w:spacing w:after="0" w:line="135" w:lineRule="exact"/>
              <w:rPr>
                <w:sz w:val="20"/>
                <w:szCs w:val="20"/>
                <w:color w:val="auto"/>
              </w:rPr>
            </w:pPr>
            <w:r>
              <w:rPr>
                <w:rFonts w:ascii="Arial" w:cs="Arial" w:eastAsia="Arial" w:hAnsi="Arial"/>
                <w:sz w:val="13"/>
                <w:szCs w:val="13"/>
                <w:b w:val="1"/>
                <w:bCs w:val="1"/>
                <w:color w:val="auto"/>
                <w:w w:val="87"/>
              </w:rPr>
              <w:t>(State or other jurisdiction of</w:t>
            </w:r>
          </w:p>
        </w:tc>
        <w:tc>
          <w:tcPr>
            <w:tcW w:w="3180" w:type="dxa"/>
            <w:vAlign w:val="bottom"/>
          </w:tcPr>
          <w:p>
            <w:pPr>
              <w:jc w:val="center"/>
              <w:ind w:left="188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35"/>
        </w:trPr>
        <w:tc>
          <w:tcPr>
            <w:tcW w:w="4020" w:type="dxa"/>
            <w:vAlign w:val="bottom"/>
          </w:tcPr>
          <w:p>
            <w:pPr>
              <w:jc w:val="center"/>
              <w:ind w:right="1864"/>
              <w:spacing w:after="0" w:line="135" w:lineRule="exact"/>
              <w:rPr>
                <w:sz w:val="20"/>
                <w:szCs w:val="20"/>
                <w:color w:val="auto"/>
              </w:rPr>
            </w:pPr>
            <w:r>
              <w:rPr>
                <w:rFonts w:ascii="Arial" w:cs="Arial" w:eastAsia="Arial" w:hAnsi="Arial"/>
                <w:sz w:val="13"/>
                <w:szCs w:val="13"/>
                <w:b w:val="1"/>
                <w:bCs w:val="1"/>
                <w:color w:val="auto"/>
                <w:w w:val="88"/>
              </w:rPr>
              <w:t>incorporation or organization)</w:t>
            </w:r>
          </w:p>
        </w:tc>
        <w:tc>
          <w:tcPr>
            <w:tcW w:w="3180" w:type="dxa"/>
            <w:vAlign w:val="bottom"/>
          </w:tcPr>
          <w:p>
            <w:pPr>
              <w:jc w:val="center"/>
              <w:ind w:left="1886"/>
              <w:spacing w:after="0" w:line="135" w:lineRule="exact"/>
              <w:rPr>
                <w:sz w:val="20"/>
                <w:szCs w:val="20"/>
                <w:color w:val="auto"/>
              </w:rPr>
            </w:pPr>
            <w:r>
              <w:rPr>
                <w:rFonts w:ascii="Arial" w:cs="Arial" w:eastAsia="Arial" w:hAnsi="Arial"/>
                <w:sz w:val="13"/>
                <w:szCs w:val="13"/>
                <w:b w:val="1"/>
                <w:bCs w:val="1"/>
                <w:color w:val="auto"/>
                <w:w w:val="89"/>
              </w:rPr>
              <w:t>Identification No.)</w:t>
            </w:r>
          </w:p>
        </w:tc>
      </w:tr>
      <w:tr>
        <w:trPr>
          <w:trHeight w:val="216"/>
        </w:trPr>
        <w:tc>
          <w:tcPr>
            <w:tcW w:w="4020" w:type="dxa"/>
            <w:vAlign w:val="bottom"/>
          </w:tcPr>
          <w:p>
            <w:pPr>
              <w:jc w:val="center"/>
              <w:ind w:right="1864"/>
              <w:spacing w:after="0"/>
              <w:rPr>
                <w:sz w:val="20"/>
                <w:szCs w:val="20"/>
                <w:color w:val="auto"/>
              </w:rPr>
            </w:pPr>
            <w:r>
              <w:rPr>
                <w:rFonts w:ascii="Arial" w:cs="Arial" w:eastAsia="Arial" w:hAnsi="Arial"/>
                <w:sz w:val="18"/>
                <w:szCs w:val="18"/>
                <w:b w:val="1"/>
                <w:bCs w:val="1"/>
                <w:color w:val="auto"/>
                <w:w w:val="92"/>
              </w:rPr>
              <w:t>9987 Carver Road</w:t>
            </w:r>
          </w:p>
        </w:tc>
        <w:tc>
          <w:tcPr>
            <w:tcW w:w="3180" w:type="dxa"/>
            <w:vAlign w:val="bottom"/>
          </w:tcPr>
          <w:p>
            <w:pPr>
              <w:spacing w:after="0"/>
              <w:rPr>
                <w:sz w:val="18"/>
                <w:szCs w:val="18"/>
                <w:color w:val="auto"/>
              </w:rPr>
            </w:pPr>
          </w:p>
        </w:tc>
      </w:tr>
      <w:tr>
        <w:trPr>
          <w:trHeight w:val="216"/>
        </w:trPr>
        <w:tc>
          <w:tcPr>
            <w:tcW w:w="4020" w:type="dxa"/>
            <w:vAlign w:val="bottom"/>
          </w:tcPr>
          <w:p>
            <w:pPr>
              <w:jc w:val="center"/>
              <w:ind w:right="1844"/>
              <w:spacing w:after="0"/>
              <w:rPr>
                <w:sz w:val="20"/>
                <w:szCs w:val="20"/>
                <w:color w:val="auto"/>
              </w:rPr>
            </w:pPr>
            <w:r>
              <w:rPr>
                <w:rFonts w:ascii="Arial" w:cs="Arial" w:eastAsia="Arial" w:hAnsi="Arial"/>
                <w:sz w:val="18"/>
                <w:szCs w:val="18"/>
                <w:b w:val="1"/>
                <w:bCs w:val="1"/>
                <w:color w:val="auto"/>
                <w:w w:val="95"/>
              </w:rPr>
              <w:t>Cincinnati, OH</w:t>
            </w:r>
          </w:p>
        </w:tc>
        <w:tc>
          <w:tcPr>
            <w:tcW w:w="3180" w:type="dxa"/>
            <w:vAlign w:val="bottom"/>
          </w:tcPr>
          <w:p>
            <w:pPr>
              <w:jc w:val="center"/>
              <w:ind w:left="1886"/>
              <w:spacing w:after="0"/>
              <w:rPr>
                <w:sz w:val="20"/>
                <w:szCs w:val="20"/>
                <w:color w:val="auto"/>
              </w:rPr>
            </w:pPr>
            <w:r>
              <w:rPr>
                <w:rFonts w:ascii="Arial" w:cs="Arial" w:eastAsia="Arial" w:hAnsi="Arial"/>
                <w:sz w:val="18"/>
                <w:szCs w:val="18"/>
                <w:b w:val="1"/>
                <w:bCs w:val="1"/>
                <w:color w:val="auto"/>
                <w:w w:val="91"/>
              </w:rPr>
              <w:t>45242</w:t>
            </w:r>
          </w:p>
        </w:tc>
      </w:tr>
      <w:tr>
        <w:trPr>
          <w:trHeight w:val="164"/>
        </w:trPr>
        <w:tc>
          <w:tcPr>
            <w:tcW w:w="4020" w:type="dxa"/>
            <w:vAlign w:val="bottom"/>
          </w:tcPr>
          <w:p>
            <w:pPr>
              <w:jc w:val="center"/>
              <w:ind w:right="186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180" w:type="dxa"/>
            <w:vAlign w:val="bottom"/>
          </w:tcPr>
          <w:p>
            <w:pPr>
              <w:jc w:val="center"/>
              <w:ind w:left="1886"/>
              <w:spacing w:after="0"/>
              <w:rPr>
                <w:sz w:val="20"/>
                <w:szCs w:val="20"/>
                <w:color w:val="auto"/>
              </w:rPr>
            </w:pPr>
            <w:r>
              <w:rPr>
                <w:rFonts w:ascii="Arial" w:cs="Arial" w:eastAsia="Arial" w:hAnsi="Arial"/>
                <w:sz w:val="13"/>
                <w:szCs w:val="13"/>
                <w:b w:val="1"/>
                <w:bCs w:val="1"/>
                <w:color w:val="auto"/>
                <w:w w:val="90"/>
              </w:rPr>
              <w:t>(Zip Code)</w:t>
            </w:r>
          </w:p>
        </w:tc>
      </w:tr>
    </w:tbl>
    <w:p>
      <w:pPr>
        <w:spacing w:after="0" w:line="52"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(513) 985-1920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7" w:lineRule="exact"/>
        <w:rPr>
          <w:sz w:val="24"/>
          <w:szCs w:val="24"/>
          <w:color w:val="auto"/>
        </w:rPr>
      </w:pPr>
    </w:p>
    <w:p>
      <w:pPr>
        <w:ind w:left="5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9"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38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3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196"/>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Common stock, $0.0001 par value per share</w:t>
            </w:r>
          </w:p>
        </w:tc>
        <w:tc>
          <w:tcPr>
            <w:tcW w:w="3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ARPO</w:t>
            </w:r>
          </w:p>
        </w:tc>
        <w:tc>
          <w:tcPr>
            <w:tcW w:w="3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Nasdaq Capital Market</w:t>
            </w:r>
          </w:p>
        </w:tc>
      </w:tr>
    </w:tbl>
    <w:p>
      <w:pPr>
        <w:spacing w:after="0" w:line="71" w:lineRule="exact"/>
        <w:rPr>
          <w:sz w:val="24"/>
          <w:szCs w:val="24"/>
          <w:color w:val="auto"/>
        </w:rPr>
      </w:pPr>
    </w:p>
    <w:p>
      <w:pPr>
        <w:jc w:val="both"/>
        <w:ind w:firstLine="510"/>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2" w:lineRule="exact"/>
        <w:rPr>
          <w:sz w:val="24"/>
          <w:szCs w:val="24"/>
          <w:color w:val="auto"/>
        </w:rPr>
      </w:pPr>
    </w:p>
    <w:p>
      <w:pPr>
        <w:ind w:right="180" w:firstLine="510"/>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jc w:val="both"/>
        <w:ind w:right="280" w:firstLine="5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17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ind w:left="3200"/>
              <w:spacing w:after="0"/>
              <w:rPr>
                <w:sz w:val="20"/>
                <w:szCs w:val="20"/>
                <w:color w:val="auto"/>
              </w:rPr>
            </w:pPr>
            <w:r>
              <w:rPr>
                <w:rFonts w:ascii="Arial" w:cs="Arial" w:eastAsia="Arial" w:hAnsi="Arial"/>
                <w:sz w:val="16"/>
                <w:szCs w:val="16"/>
                <w:color w:val="auto"/>
              </w:rPr>
              <w:t>Accelerated filer</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760" w:type="dxa"/>
            <w:vAlign w:val="bottom"/>
          </w:tcPr>
          <w:p>
            <w:pPr>
              <w:spacing w:after="0"/>
              <w:rPr>
                <w:sz w:val="20"/>
                <w:szCs w:val="20"/>
                <w:color w:val="auto"/>
              </w:rPr>
            </w:pPr>
            <w:r>
              <w:rPr>
                <w:rFonts w:ascii="Arial" w:cs="Arial" w:eastAsia="Arial" w:hAnsi="Arial"/>
                <w:sz w:val="16"/>
                <w:szCs w:val="16"/>
                <w:color w:val="auto"/>
              </w:rPr>
              <w:t>Non-accelerated filer</w:t>
            </w:r>
          </w:p>
        </w:tc>
        <w:tc>
          <w:tcPr>
            <w:tcW w:w="36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ind w:left="3200"/>
              <w:spacing w:after="0"/>
              <w:rPr>
                <w:sz w:val="20"/>
                <w:szCs w:val="20"/>
                <w:color w:val="auto"/>
              </w:rPr>
            </w:pPr>
            <w:r>
              <w:rPr>
                <w:rFonts w:ascii="Arial" w:cs="Arial" w:eastAsia="Arial" w:hAnsi="Arial"/>
                <w:sz w:val="16"/>
                <w:szCs w:val="16"/>
                <w:color w:val="auto"/>
              </w:rPr>
              <w:t>Smaller reporting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7"/>
        </w:trPr>
        <w:tc>
          <w:tcPr>
            <w:tcW w:w="17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5240" w:type="dxa"/>
            <w:vAlign w:val="bottom"/>
          </w:tcPr>
          <w:p>
            <w:pPr>
              <w:ind w:left="3200"/>
              <w:spacing w:after="0"/>
              <w:rPr>
                <w:sz w:val="20"/>
                <w:szCs w:val="20"/>
                <w:color w:val="auto"/>
              </w:rPr>
            </w:pPr>
            <w:r>
              <w:rPr>
                <w:rFonts w:ascii="Arial" w:cs="Arial" w:eastAsia="Arial" w:hAnsi="Arial"/>
                <w:sz w:val="16"/>
                <w:szCs w:val="16"/>
                <w:color w:val="auto"/>
              </w:rPr>
              <w:t>Emerging growth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00" w:lineRule="exact"/>
        <w:rPr>
          <w:sz w:val="24"/>
          <w:szCs w:val="24"/>
          <w:color w:val="auto"/>
        </w:rPr>
      </w:pPr>
    </w:p>
    <w:p>
      <w:pPr>
        <w:spacing w:after="0" w:line="363" w:lineRule="exact"/>
        <w:rPr>
          <w:sz w:val="24"/>
          <w:szCs w:val="24"/>
          <w:color w:val="auto"/>
        </w:rPr>
      </w:pPr>
    </w:p>
    <w:p>
      <w:pPr>
        <w:ind w:right="60" w:firstLine="51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ind w:left="520" w:right="2160"/>
        <w:spacing w:after="0" w:line="26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May 12, 2021, the registrant had 47,371,482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428625</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Summary of the Material and Other Risks Associated with Our Business</w:t>
      </w:r>
    </w:p>
    <w:p>
      <w:pPr>
        <w:spacing w:after="0" w:line="12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Our business is subject to numerous risks and uncertainties that you should be aware of in evaluating our business, including those described in Part II, Item 1A. “Risk Factors” in this Quarterly Report on Form 10-Q. These risks include, but are not limited to, the following:</w:t>
      </w:r>
    </w:p>
    <w:p>
      <w:pPr>
        <w:spacing w:after="0" w:line="38" w:lineRule="exact"/>
        <w:rPr>
          <w:sz w:val="20"/>
          <w:szCs w:val="20"/>
          <w:color w:val="auto"/>
        </w:rPr>
      </w:pPr>
    </w:p>
    <w:p>
      <w:pPr>
        <w:ind w:left="740" w:right="30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complete, or delays in completing, the potential merger (the “Merger”) with Aadi Bioscience, Inc. (“Aadi”) announced on May 17, 2021 could materially and adversely affect our results of operations, business, financial results and/or stock price.</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cannot be sure if or when the Merger will be completed.</w:t>
      </w:r>
    </w:p>
    <w:p>
      <w:pPr>
        <w:spacing w:after="0" w:line="117" w:lineRule="exact"/>
        <w:rPr>
          <w:rFonts w:ascii="Arial" w:cs="Arial" w:eastAsia="Arial" w:hAnsi="Arial"/>
          <w:sz w:val="18"/>
          <w:szCs w:val="18"/>
          <w:color w:val="auto"/>
        </w:rPr>
      </w:pPr>
    </w:p>
    <w:p>
      <w:pPr>
        <w:ind w:left="740" w:right="260" w:hanging="368"/>
        <w:spacing w:after="0" w:line="342" w:lineRule="auto"/>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Because the Merger Agreement provides for a fixed exchange ratio for the number of shares of our common stock that will be issued for each outstanding share of Aadi’s share capital, we may face risks as a result of changes in our stock price during the pendency of the merger.</w:t>
      </w:r>
    </w:p>
    <w:p>
      <w:pPr>
        <w:spacing w:after="0" w:line="15" w:lineRule="exact"/>
        <w:rPr>
          <w:rFonts w:ascii="Arial" w:cs="Arial" w:eastAsia="Arial" w:hAnsi="Arial"/>
          <w:sz w:val="16"/>
          <w:szCs w:val="16"/>
          <w:color w:val="auto"/>
        </w:rPr>
      </w:pPr>
    </w:p>
    <w:p>
      <w:pPr>
        <w:ind w:left="740" w:right="40" w:hanging="368"/>
        <w:spacing w:after="0" w:line="342" w:lineRule="auto"/>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Merger Agreement contains provisions that limits our ability to pursue alternatives to the Merger, could discourage a potential competing acquiror of us from making an alternative transaction proposal and, in specified circumstances, could require us to pay a termination fee to Aadi.</w:t>
      </w:r>
    </w:p>
    <w:p>
      <w:pPr>
        <w:spacing w:after="0" w:line="15" w:lineRule="exact"/>
        <w:rPr>
          <w:rFonts w:ascii="Arial" w:cs="Arial" w:eastAsia="Arial" w:hAnsi="Arial"/>
          <w:sz w:val="16"/>
          <w:szCs w:val="16"/>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stockholders may not receive any payment on the CVRs and the CVRs may otherwise expire valueless.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substantially dependent on our remaining employees to facilitate the consummation of the merger.</w:t>
      </w:r>
    </w:p>
    <w:p>
      <w:pPr>
        <w:spacing w:after="0" w:line="117" w:lineRule="exact"/>
        <w:rPr>
          <w:rFonts w:ascii="Arial" w:cs="Arial" w:eastAsia="Arial" w:hAnsi="Arial"/>
          <w:sz w:val="18"/>
          <w:szCs w:val="18"/>
          <w:color w:val="auto"/>
        </w:rPr>
      </w:pPr>
    </w:p>
    <w:p>
      <w:pPr>
        <w:ind w:left="740" w:hanging="368"/>
        <w:spacing w:after="0" w:line="342" w:lineRule="auto"/>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cannot assure you that our exploration of strategic alternatives for our legacy assets will result in a transaction or that any such transaction would be successful, and the process of exploring strategic alternatives or its conclusion could adversely impact our business and our stock price.</w:t>
      </w:r>
    </w:p>
    <w:p>
      <w:pPr>
        <w:spacing w:after="0" w:line="15" w:lineRule="exact"/>
        <w:rPr>
          <w:rFonts w:ascii="Arial" w:cs="Arial" w:eastAsia="Arial" w:hAnsi="Arial"/>
          <w:sz w:val="16"/>
          <w:szCs w:val="16"/>
          <w:color w:val="auto"/>
        </w:rPr>
      </w:pPr>
    </w:p>
    <w:p>
      <w:pPr>
        <w:jc w:val="both"/>
        <w:ind w:left="740" w:right="60" w:hanging="368"/>
        <w:spacing w:after="0" w:line="263"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current pandemic of COVID-19 and the future outbreak of other highly infectious or contagious diseases could seriously harm our research, development and potential future commercialization efforts, increase our costs and expenses and have a material adverse effect on our business, financial condition and results of operations.</w:t>
      </w:r>
    </w:p>
    <w:p>
      <w:pPr>
        <w:spacing w:after="0" w:line="75" w:lineRule="exact"/>
        <w:rPr>
          <w:rFonts w:ascii="Arial" w:cs="Arial" w:eastAsia="Arial" w:hAnsi="Arial"/>
          <w:sz w:val="18"/>
          <w:szCs w:val="18"/>
          <w:color w:val="auto"/>
        </w:rPr>
      </w:pPr>
    </w:p>
    <w:p>
      <w:pPr>
        <w:ind w:left="740" w:right="4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depend heavily on the success of our lead product candidate, razuprotafib. Even if we obtain favorable clinical results, we may not be able to obtain regulatory approval for, or successfully commercialize, razuprotafib.</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find it difficult to enroll patients in our clinical trials, which could delay or prevent clinical trials of our product candidates.</w:t>
      </w:r>
    </w:p>
    <w:p>
      <w:pPr>
        <w:spacing w:after="0" w:line="117" w:lineRule="exact"/>
        <w:rPr>
          <w:rFonts w:ascii="Arial" w:cs="Arial" w:eastAsia="Arial" w:hAnsi="Arial"/>
          <w:sz w:val="18"/>
          <w:szCs w:val="18"/>
          <w:color w:val="auto"/>
        </w:rPr>
      </w:pPr>
    </w:p>
    <w:p>
      <w:pPr>
        <w:ind w:left="740" w:right="140" w:hanging="368"/>
        <w:spacing w:after="0" w:line="259"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Clinical drug development is a lengthy and expensive process with an uncertain outcome, and positive results from preclinical studies or earlier stage clinical trials are not necessarily predictive of the results of our future clinical trials of razuprotafib. If we cannot replicate the positive results from preclinical studies or earlier stage clinical trials in subsequent clinical trials, we may be unable to successfully develop, obtain regulatory approval for and commercialize our product candidates.</w:t>
      </w:r>
    </w:p>
    <w:p>
      <w:pPr>
        <w:spacing w:after="0" w:line="78"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experience delays in the planned clinical development program for razuprotafib, and we do not know whether planned clinical trials will begin on time, need to be redesigned, enroll patients on time or be completed on schedule, if at all.</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our efforts to protect our proprietary technologies are not adequate, we may not be able to compete effectively in our market.</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patents covering one or more of our products or product candidates could be found invalid or unenforceable if challenged.</w:t>
      </w:r>
    </w:p>
    <w:p>
      <w:pPr>
        <w:spacing w:after="0" w:line="117" w:lineRule="exact"/>
        <w:rPr>
          <w:rFonts w:ascii="Arial" w:cs="Arial" w:eastAsia="Arial" w:hAnsi="Arial"/>
          <w:sz w:val="18"/>
          <w:szCs w:val="18"/>
          <w:color w:val="auto"/>
        </w:rPr>
      </w:pPr>
    </w:p>
    <w:p>
      <w:pPr>
        <w:ind w:left="740" w:right="8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to attract and keep senior management and key scientific personnel, we may be unable to successfully develop our product candidates, conduct our clinical trials and commercialize our products.</w:t>
      </w:r>
    </w:p>
    <w:p>
      <w:pPr>
        <w:spacing w:after="0" w:line="62" w:lineRule="exact"/>
        <w:rPr>
          <w:rFonts w:ascii="Arial" w:cs="Arial" w:eastAsia="Arial" w:hAnsi="Arial"/>
          <w:sz w:val="18"/>
          <w:szCs w:val="18"/>
          <w:color w:val="auto"/>
        </w:rPr>
      </w:pPr>
    </w:p>
    <w:p>
      <w:pPr>
        <w:ind w:left="740" w:right="16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third parties to conduct preclinical studies and clinical trials for our product candidates, and if they do not properly and successfully perform their obligations to us, we may not be able to obtain regulatory approvals for our product candidates.</w:t>
      </w:r>
    </w:p>
    <w:p>
      <w:pPr>
        <w:spacing w:after="0" w:line="62" w:lineRule="exact"/>
        <w:rPr>
          <w:rFonts w:ascii="Arial" w:cs="Arial" w:eastAsia="Arial" w:hAnsi="Arial"/>
          <w:sz w:val="18"/>
          <w:szCs w:val="18"/>
          <w:color w:val="auto"/>
        </w:rPr>
      </w:pPr>
    </w:p>
    <w:p>
      <w:pPr>
        <w:ind w:left="740" w:right="78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intend to rely on third parties to conduct some or all aspects of our product manufacturing, and these third parties may not perform satisfactorily.</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limited operating history may make it difficult for you to evaluate the success of our business to date and to assess our future viability.</w:t>
      </w:r>
    </w:p>
    <w:p>
      <w:pPr>
        <w:spacing w:after="0" w:line="128" w:lineRule="exact"/>
        <w:rPr>
          <w:rFonts w:ascii="Arial" w:cs="Arial" w:eastAsia="Arial" w:hAnsi="Arial"/>
          <w:sz w:val="17"/>
          <w:szCs w:val="17"/>
          <w:color w:val="auto"/>
        </w:rPr>
      </w:pPr>
    </w:p>
    <w:p>
      <w:pPr>
        <w:ind w:left="740" w:right="20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require substantial additional financing. A failure to obtain this necessary capital when needed could force us to delay, limit, reduce or terminate our product development or commercialization efforts.</w:t>
      </w: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 w:name="page3"/>
    <w:bookmarkEnd w:id="2"/>
    <w:p>
      <w:pPr>
        <w:ind w:left="740" w:right="14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future commercial success depends upon attaining significant market acceptance of our product candidates, if approved, among physicians, patients, third-party payors and others in the medical community.</w:t>
      </w:r>
    </w:p>
    <w:p>
      <w:pPr>
        <w:spacing w:after="0" w:line="62" w:lineRule="exact"/>
        <w:rPr>
          <w:rFonts w:ascii="Arial" w:cs="Arial" w:eastAsia="Arial" w:hAnsi="Arial"/>
          <w:sz w:val="18"/>
          <w:szCs w:val="18"/>
          <w:color w:val="auto"/>
        </w:rPr>
      </w:pPr>
    </w:p>
    <w:p>
      <w:pPr>
        <w:ind w:left="740" w:right="18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products before, or more successfully, than we do.</w:t>
      </w:r>
    </w:p>
    <w:p>
      <w:pPr>
        <w:spacing w:after="0" w:line="62" w:lineRule="exact"/>
        <w:rPr>
          <w:rFonts w:ascii="Arial" w:cs="Arial" w:eastAsia="Arial" w:hAnsi="Arial"/>
          <w:sz w:val="18"/>
          <w:szCs w:val="18"/>
          <w:color w:val="auto"/>
        </w:rPr>
      </w:pPr>
    </w:p>
    <w:p>
      <w:pPr>
        <w:ind w:left="740" w:right="20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product candidates may cause undesirable side effects or have other properties that delay or prevent their regulatory approval or limit their commercial potential.</w:t>
      </w:r>
    </w:p>
    <w:p>
      <w:pPr>
        <w:spacing w:after="0" w:line="62" w:lineRule="exact"/>
        <w:rPr>
          <w:rFonts w:ascii="Arial" w:cs="Arial" w:eastAsia="Arial" w:hAnsi="Arial"/>
          <w:sz w:val="18"/>
          <w:szCs w:val="18"/>
          <w:color w:val="auto"/>
        </w:rPr>
      </w:pPr>
    </w:p>
    <w:p>
      <w:pPr>
        <w:ind w:left="740" w:right="50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market price of our common stock may be highly volatile, and may be influenced by numerous factors, some of which are beyond our control.</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tax law may adversely affect us or our investors.</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summary risk factors described above should be read together with the text of the full risk factors below, in the section entitled “Risk Factors” and the other information set forth in this Quarterly Report on Form 10-Q, including our consolidated financial statements and the related notes, as well as in other documents that we file with the Securities and Exchange Commission. The risks summarized above or described in full below are not the only risks that we face. Additional risks and uncertainties not presently known to us, or that we currently deem to be immaterial may also materially adversely affect our business, financial condition, results of operations and future growth prospects.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gridSpan w:val="4"/>
          </w:tcPr>
          <w:p>
            <w:pPr>
              <w:ind w:left="80"/>
              <w:spacing w:after="0"/>
              <w:rPr>
                <w:sz w:val="20"/>
                <w:szCs w:val="20"/>
                <w:color w:val="auto"/>
              </w:rPr>
            </w:pPr>
            <w:r>
              <w:rPr>
                <w:rFonts w:ascii="Arial" w:cs="Arial" w:eastAsia="Arial" w:hAnsi="Arial"/>
                <w:sz w:val="14"/>
                <w:szCs w:val="14"/>
                <w:b w:val="1"/>
                <w:bCs w:val="1"/>
                <w:color w:val="auto"/>
              </w:rPr>
              <w:t>Page</w:t>
            </w:r>
          </w:p>
        </w:tc>
      </w:tr>
      <w:tr>
        <w:trPr>
          <w:trHeight w:val="183"/>
        </w:trPr>
        <w:tc>
          <w:tcPr>
            <w:tcW w:w="40" w:type="dxa"/>
            <w:vAlign w:val="bottom"/>
          </w:tcPr>
          <w:p>
            <w:pPr>
              <w:spacing w:after="0"/>
              <w:rPr>
                <w:sz w:val="15"/>
                <w:szCs w:val="15"/>
                <w:color w:val="auto"/>
              </w:rPr>
            </w:pPr>
          </w:p>
        </w:tc>
        <w:tc>
          <w:tcPr>
            <w:tcW w:w="92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PART I.</w:t>
            </w:r>
          </w:p>
        </w:tc>
        <w:tc>
          <w:tcPr>
            <w:tcW w:w="9800" w:type="dxa"/>
            <w:vAlign w:val="bottom"/>
            <w:gridSpan w:val="16"/>
          </w:tcPr>
          <w:p>
            <w:pPr>
              <w:spacing w:after="0" w:line="182"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FINANCIAL INFORMATION</w:t>
              </w:r>
            </w:hyperlink>
          </w:p>
        </w:tc>
        <w:tc>
          <w:tcPr>
            <w:tcW w:w="460" w:type="dxa"/>
            <w:vAlign w:val="bottom"/>
            <w:tcBorders>
              <w:top w:val="single" w:sz="8" w:color="auto"/>
            </w:tcBorders>
            <w:gridSpan w:val="3"/>
          </w:tcPr>
          <w:p>
            <w:pPr>
              <w:jc w:val="right"/>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2</w:t>
              </w:r>
            </w:hyperlink>
          </w:p>
        </w:tc>
        <w:tc>
          <w:tcPr>
            <w:tcW w:w="40" w:type="dxa"/>
            <w:vAlign w:val="bottom"/>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34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Financial Statements</w:t>
              </w:r>
            </w:hyperlink>
          </w:p>
        </w:tc>
        <w:tc>
          <w:tcPr>
            <w:tcW w:w="6460" w:type="dxa"/>
            <w:vAlign w:val="bottom"/>
            <w:gridSpan w:val="8"/>
          </w:tcPr>
          <w:p>
            <w:pPr>
              <w:spacing w:after="0"/>
              <w:rPr>
                <w:sz w:val="18"/>
                <w:szCs w:val="18"/>
                <w:color w:val="auto"/>
              </w:rPr>
            </w:pPr>
          </w:p>
        </w:tc>
        <w:tc>
          <w:tcPr>
            <w:tcW w:w="360" w:type="dxa"/>
            <w:vAlign w:val="bottom"/>
            <w:gridSpan w:val="2"/>
          </w:tcPr>
          <w:p>
            <w:pPr>
              <w:spacing w:after="0"/>
              <w:rPr>
                <w:sz w:val="18"/>
                <w:szCs w:val="18"/>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2</w:t>
              </w:r>
            </w:hyperlink>
          </w:p>
        </w:tc>
        <w:tc>
          <w:tcPr>
            <w:tcW w:w="4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 March 31, 2021 (Unaudited) and December 31, 2020</w:t>
              </w:r>
            </w:hyperlink>
          </w:p>
        </w:tc>
        <w:tc>
          <w:tcPr>
            <w:tcW w:w="500" w:type="dxa"/>
            <w:vAlign w:val="bottom"/>
            <w:gridSpan w:val="4"/>
          </w:tcPr>
          <w:p>
            <w:pPr>
              <w:jc w:val="right"/>
              <w:ind w:right="40"/>
              <w:spacing w:after="0"/>
              <w:rPr>
                <w:rFonts w:ascii="Arial" w:cs="Arial" w:eastAsia="Arial" w:hAnsi="Arial"/>
                <w:sz w:val="18"/>
                <w:szCs w:val="18"/>
                <w:color w:val="0000EE"/>
              </w:rPr>
            </w:pPr>
            <w:hyperlink w:anchor="page5">
              <w:r>
                <w:rPr>
                  <w:rFonts w:ascii="Arial" w:cs="Arial" w:eastAsia="Arial" w:hAnsi="Arial"/>
                  <w:sz w:val="18"/>
                  <w:szCs w:val="18"/>
                  <w:color w:val="0000EE"/>
                </w:rPr>
                <w:t>2</w:t>
              </w:r>
            </w:hyperlink>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2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12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Operations and Comprehensive Loss – Three Months Ended March 31, 2021 and 2020</w:t>
              </w:r>
            </w:hyperlink>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6"/>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0" w:type="dxa"/>
            <w:vAlign w:val="bottom"/>
            <w:gridSpan w:val="1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w:t>
              </w:r>
            </w:hyperlink>
          </w:p>
        </w:tc>
        <w:tc>
          <w:tcPr>
            <w:tcW w:w="500" w:type="dxa"/>
            <w:vAlign w:val="bottom"/>
            <w:gridSpan w:val="4"/>
          </w:tcPr>
          <w:p>
            <w:pPr>
              <w:jc w:val="right"/>
              <w:ind w:right="4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3</w:t>
              </w:r>
            </w:hyperlink>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90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Condensed Consolidated Statements of Stockholders’ Equity – Three Months Ended March 31, 2021 and 2020 (Unaudited)</w:t>
              </w:r>
            </w:hyperlink>
          </w:p>
        </w:tc>
        <w:tc>
          <w:tcPr>
            <w:tcW w:w="90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4</w:t>
              </w:r>
            </w:hyperlink>
          </w:p>
        </w:tc>
        <w:tc>
          <w:tcPr>
            <w:tcW w:w="4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2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Cash Flows – Three Months Ended March 31, 2021 and 2020 (Unaudited)</w:t>
              </w:r>
            </w:hyperlink>
          </w:p>
        </w:tc>
        <w:tc>
          <w:tcPr>
            <w:tcW w:w="1580" w:type="dxa"/>
            <w:vAlign w:val="bottom"/>
            <w:gridSpan w:val="3"/>
          </w:tcPr>
          <w:p>
            <w:pPr>
              <w:spacing w:after="0"/>
              <w:rPr>
                <w:sz w:val="18"/>
                <w:szCs w:val="18"/>
                <w:color w:val="auto"/>
              </w:rPr>
            </w:pPr>
          </w:p>
        </w:tc>
        <w:tc>
          <w:tcPr>
            <w:tcW w:w="360" w:type="dxa"/>
            <w:vAlign w:val="bottom"/>
            <w:gridSpan w:val="2"/>
          </w:tcPr>
          <w:p>
            <w:pPr>
              <w:spacing w:after="0"/>
              <w:rPr>
                <w:sz w:val="18"/>
                <w:szCs w:val="18"/>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5</w:t>
              </w:r>
            </w:hyperlink>
          </w:p>
        </w:tc>
        <w:tc>
          <w:tcPr>
            <w:tcW w:w="4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0" w:type="dxa"/>
            <w:vAlign w:val="bottom"/>
            <w:gridSpan w:val="16"/>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 (Unaudited)</w:t>
              </w:r>
            </w:hyperlink>
          </w:p>
        </w:tc>
        <w:tc>
          <w:tcPr>
            <w:tcW w:w="500" w:type="dxa"/>
            <w:vAlign w:val="bottom"/>
            <w:gridSpan w:val="4"/>
          </w:tcPr>
          <w:p>
            <w:pPr>
              <w:jc w:val="right"/>
              <w:ind w:right="40"/>
              <w:spacing w:after="0"/>
              <w:rPr>
                <w:rFonts w:ascii="Arial" w:cs="Arial" w:eastAsia="Arial" w:hAnsi="Arial"/>
                <w:sz w:val="18"/>
                <w:szCs w:val="18"/>
                <w:color w:val="0000EE"/>
              </w:rPr>
            </w:pPr>
            <w:hyperlink w:anchor="page9">
              <w:r>
                <w:rPr>
                  <w:rFonts w:ascii="Arial" w:cs="Arial" w:eastAsia="Arial" w:hAnsi="Arial"/>
                  <w:sz w:val="18"/>
                  <w:szCs w:val="18"/>
                  <w:color w:val="0000EE"/>
                </w:rPr>
                <w:t>6</w:t>
              </w:r>
            </w:hyperlink>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800" w:type="dxa"/>
            <w:vAlign w:val="bottom"/>
            <w:gridSpan w:val="16"/>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500" w:type="dxa"/>
            <w:vAlign w:val="bottom"/>
            <w:gridSpan w:val="4"/>
          </w:tcPr>
          <w:p>
            <w:pPr>
              <w:jc w:val="right"/>
              <w:ind w:right="40"/>
              <w:spacing w:after="0"/>
              <w:rPr>
                <w:rFonts w:ascii="Arial" w:cs="Arial" w:eastAsia="Arial" w:hAnsi="Arial"/>
                <w:sz w:val="18"/>
                <w:szCs w:val="18"/>
                <w:color w:val="0000EE"/>
              </w:rPr>
            </w:pPr>
            <w:hyperlink w:anchor="page22">
              <w:r>
                <w:rPr>
                  <w:rFonts w:ascii="Arial" w:cs="Arial" w:eastAsia="Arial" w:hAnsi="Arial"/>
                  <w:sz w:val="18"/>
                  <w:szCs w:val="18"/>
                  <w:color w:val="0000EE"/>
                </w:rPr>
                <w:t>19</w:t>
              </w:r>
            </w:hyperlink>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9"/>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Quantitative and Qualitative Disclosures About Market Risk</w:t>
              </w:r>
            </w:hyperlink>
          </w:p>
        </w:tc>
        <w:tc>
          <w:tcPr>
            <w:tcW w:w="2100" w:type="dxa"/>
            <w:vAlign w:val="bottom"/>
            <w:gridSpan w:val="2"/>
          </w:tcPr>
          <w:p>
            <w:pPr>
              <w:spacing w:after="0"/>
              <w:rPr>
                <w:sz w:val="18"/>
                <w:szCs w:val="18"/>
                <w:color w:val="auto"/>
              </w:rPr>
            </w:pPr>
          </w:p>
        </w:tc>
        <w:tc>
          <w:tcPr>
            <w:tcW w:w="3360" w:type="dxa"/>
            <w:vAlign w:val="bottom"/>
            <w:gridSpan w:val="5"/>
          </w:tcPr>
          <w:p>
            <w:pPr>
              <w:spacing w:after="0"/>
              <w:rPr>
                <w:sz w:val="18"/>
                <w:szCs w:val="18"/>
                <w:color w:val="auto"/>
              </w:rPr>
            </w:pPr>
          </w:p>
        </w:tc>
        <w:tc>
          <w:tcPr>
            <w:tcW w:w="500" w:type="dxa"/>
            <w:vAlign w:val="bottom"/>
            <w:gridSpan w:val="4"/>
          </w:tcPr>
          <w:p>
            <w:pPr>
              <w:jc w:val="right"/>
              <w:ind w:right="40"/>
              <w:spacing w:after="0"/>
              <w:rPr>
                <w:rFonts w:ascii="Arial" w:cs="Arial" w:eastAsia="Arial" w:hAnsi="Arial"/>
                <w:sz w:val="18"/>
                <w:szCs w:val="18"/>
                <w:color w:val="0000EE"/>
              </w:rPr>
            </w:pPr>
            <w:hyperlink w:anchor="page28">
              <w:r>
                <w:rPr>
                  <w:rFonts w:ascii="Arial" w:cs="Arial" w:eastAsia="Arial" w:hAnsi="Arial"/>
                  <w:sz w:val="18"/>
                  <w:szCs w:val="18"/>
                  <w:color w:val="0000EE"/>
                </w:rPr>
                <w:t>25</w:t>
              </w:r>
            </w:hyperlink>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5460" w:type="dxa"/>
            <w:vAlign w:val="bottom"/>
            <w:gridSpan w:val="7"/>
          </w:tcPr>
          <w:p>
            <w:pPr>
              <w:spacing w:after="0"/>
              <w:rPr>
                <w:sz w:val="18"/>
                <w:szCs w:val="18"/>
                <w:color w:val="auto"/>
              </w:rPr>
            </w:pPr>
          </w:p>
        </w:tc>
        <w:tc>
          <w:tcPr>
            <w:tcW w:w="500" w:type="dxa"/>
            <w:vAlign w:val="bottom"/>
            <w:gridSpan w:val="4"/>
          </w:tcPr>
          <w:p>
            <w:pPr>
              <w:jc w:val="right"/>
              <w:ind w:right="40"/>
              <w:spacing w:after="0"/>
              <w:rPr>
                <w:rFonts w:ascii="Arial" w:cs="Arial" w:eastAsia="Arial" w:hAnsi="Arial"/>
                <w:sz w:val="18"/>
                <w:szCs w:val="18"/>
                <w:color w:val="0000EE"/>
              </w:rPr>
            </w:pPr>
            <w:hyperlink w:anchor="page28">
              <w:r>
                <w:rPr>
                  <w:rFonts w:ascii="Arial" w:cs="Arial" w:eastAsia="Arial" w:hAnsi="Arial"/>
                  <w:sz w:val="18"/>
                  <w:szCs w:val="18"/>
                  <w:color w:val="0000EE"/>
                </w:rPr>
                <w:t>25</w:t>
              </w:r>
            </w:hyperlink>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46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2020" w:type="dxa"/>
            <w:vAlign w:val="bottom"/>
            <w:gridSpan w:val="6"/>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OTHER INFORMATION</w:t>
              </w:r>
            </w:hyperlink>
          </w:p>
        </w:tc>
        <w:tc>
          <w:tcPr>
            <w:tcW w:w="7780" w:type="dxa"/>
            <w:vAlign w:val="bottom"/>
            <w:gridSpan w:val="10"/>
          </w:tcPr>
          <w:p>
            <w:pPr>
              <w:spacing w:after="0"/>
              <w:rPr>
                <w:sz w:val="18"/>
                <w:szCs w:val="18"/>
                <w:color w:val="auto"/>
              </w:rPr>
            </w:pPr>
          </w:p>
        </w:tc>
        <w:tc>
          <w:tcPr>
            <w:tcW w:w="500" w:type="dxa"/>
            <w:vAlign w:val="bottom"/>
            <w:gridSpan w:val="4"/>
          </w:tcPr>
          <w:p>
            <w:pPr>
              <w:jc w:val="right"/>
              <w:ind w:right="40"/>
              <w:spacing w:after="0"/>
              <w:rPr>
                <w:rFonts w:ascii="Arial" w:cs="Arial" w:eastAsia="Arial" w:hAnsi="Arial"/>
                <w:sz w:val="18"/>
                <w:szCs w:val="18"/>
                <w:color w:val="0000EE"/>
              </w:rPr>
            </w:pPr>
            <w:hyperlink w:anchor="page30">
              <w:r>
                <w:rPr>
                  <w:rFonts w:ascii="Arial" w:cs="Arial" w:eastAsia="Arial" w:hAnsi="Arial"/>
                  <w:sz w:val="18"/>
                  <w:szCs w:val="18"/>
                  <w:color w:val="0000EE"/>
                </w:rPr>
                <w:t>27</w:t>
              </w:r>
            </w:hyperlink>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46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020" w:type="dxa"/>
            <w:vAlign w:val="bottom"/>
            <w:gridSpan w:val="6"/>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7780" w:type="dxa"/>
            <w:vAlign w:val="bottom"/>
            <w:gridSpan w:val="10"/>
          </w:tcPr>
          <w:p>
            <w:pPr>
              <w:spacing w:after="0"/>
              <w:rPr>
                <w:sz w:val="18"/>
                <w:szCs w:val="18"/>
                <w:color w:val="auto"/>
              </w:rPr>
            </w:pPr>
          </w:p>
        </w:tc>
        <w:tc>
          <w:tcPr>
            <w:tcW w:w="500" w:type="dxa"/>
            <w:vAlign w:val="bottom"/>
            <w:gridSpan w:val="4"/>
          </w:tcPr>
          <w:p>
            <w:pPr>
              <w:jc w:val="right"/>
              <w:ind w:right="40"/>
              <w:spacing w:after="0"/>
              <w:rPr>
                <w:rFonts w:ascii="Arial" w:cs="Arial" w:eastAsia="Arial" w:hAnsi="Arial"/>
                <w:sz w:val="18"/>
                <w:szCs w:val="18"/>
                <w:color w:val="0000EE"/>
              </w:rPr>
            </w:pPr>
            <w:hyperlink w:anchor="page30">
              <w:r>
                <w:rPr>
                  <w:rFonts w:ascii="Arial" w:cs="Arial" w:eastAsia="Arial" w:hAnsi="Arial"/>
                  <w:sz w:val="18"/>
                  <w:szCs w:val="18"/>
                  <w:color w:val="0000EE"/>
                </w:rPr>
                <w:t>27</w:t>
              </w:r>
            </w:hyperlink>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3"/>
          </w:tcPr>
          <w:p>
            <w:pPr>
              <w:spacing w:after="0"/>
              <w:rPr>
                <w:rFonts w:ascii="Arial" w:cs="Arial" w:eastAsia="Arial" w:hAnsi="Arial"/>
                <w:sz w:val="18"/>
                <w:szCs w:val="18"/>
                <w:color w:val="0000EE"/>
                <w:w w:val="87"/>
              </w:rPr>
            </w:pPr>
            <w:hyperlink w:anchor="page30">
              <w:r>
                <w:rPr>
                  <w:rFonts w:ascii="Arial" w:cs="Arial" w:eastAsia="Arial" w:hAnsi="Arial"/>
                  <w:sz w:val="18"/>
                  <w:szCs w:val="18"/>
                  <w:color w:val="0000EE"/>
                  <w:w w:val="87"/>
                </w:rPr>
                <w:t>Risk Factors</w:t>
              </w:r>
            </w:hyperlink>
          </w:p>
        </w:tc>
        <w:tc>
          <w:tcPr>
            <w:tcW w:w="400" w:type="dxa"/>
            <w:vAlign w:val="bottom"/>
          </w:tcPr>
          <w:p>
            <w:pPr>
              <w:spacing w:after="0"/>
              <w:rPr>
                <w:sz w:val="18"/>
                <w:szCs w:val="18"/>
                <w:color w:val="auto"/>
              </w:rPr>
            </w:pPr>
          </w:p>
        </w:tc>
        <w:tc>
          <w:tcPr>
            <w:tcW w:w="8500" w:type="dxa"/>
            <w:vAlign w:val="bottom"/>
            <w:gridSpan w:val="12"/>
          </w:tcPr>
          <w:p>
            <w:pPr>
              <w:spacing w:after="0"/>
              <w:rPr>
                <w:sz w:val="18"/>
                <w:szCs w:val="18"/>
                <w:color w:val="auto"/>
              </w:rPr>
            </w:pPr>
          </w:p>
        </w:tc>
        <w:tc>
          <w:tcPr>
            <w:tcW w:w="500" w:type="dxa"/>
            <w:vAlign w:val="bottom"/>
            <w:gridSpan w:val="4"/>
          </w:tcPr>
          <w:p>
            <w:pPr>
              <w:jc w:val="right"/>
              <w:ind w:right="40"/>
              <w:spacing w:after="0"/>
              <w:rPr>
                <w:rFonts w:ascii="Arial" w:cs="Arial" w:eastAsia="Arial" w:hAnsi="Arial"/>
                <w:sz w:val="18"/>
                <w:szCs w:val="18"/>
                <w:color w:val="0000EE"/>
              </w:rPr>
            </w:pPr>
            <w:hyperlink w:anchor="page30">
              <w:r>
                <w:rPr>
                  <w:rFonts w:ascii="Arial" w:cs="Arial" w:eastAsia="Arial" w:hAnsi="Arial"/>
                  <w:sz w:val="18"/>
                  <w:szCs w:val="18"/>
                  <w:color w:val="0000EE"/>
                </w:rPr>
                <w:t>27</w:t>
              </w:r>
            </w:hyperlink>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46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800" w:type="dxa"/>
            <w:vAlign w:val="bottom"/>
            <w:gridSpan w:val="16"/>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Unregistered Sales of Equity Securities and Use of Proceeds</w:t>
              </w:r>
            </w:hyperlink>
          </w:p>
        </w:tc>
        <w:tc>
          <w:tcPr>
            <w:tcW w:w="500" w:type="dxa"/>
            <w:vAlign w:val="bottom"/>
            <w:gridSpan w:val="4"/>
          </w:tcPr>
          <w:p>
            <w:pPr>
              <w:jc w:val="right"/>
              <w:ind w:right="40"/>
              <w:spacing w:after="0"/>
              <w:rPr>
                <w:rFonts w:ascii="Arial" w:cs="Arial" w:eastAsia="Arial" w:hAnsi="Arial"/>
                <w:sz w:val="18"/>
                <w:szCs w:val="18"/>
                <w:color w:val="0000EE"/>
              </w:rPr>
            </w:pPr>
            <w:hyperlink w:anchor="page63">
              <w:r>
                <w:rPr>
                  <w:rFonts w:ascii="Arial" w:cs="Arial" w:eastAsia="Arial" w:hAnsi="Arial"/>
                  <w:sz w:val="18"/>
                  <w:szCs w:val="18"/>
                  <w:color w:val="0000EE"/>
                </w:rPr>
                <w:t>60</w:t>
              </w:r>
            </w:hyperlink>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gridSpan w:val="7"/>
          </w:tcPr>
          <w:p>
            <w:pPr>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Defaults Upon Senior Securities</w:t>
              </w:r>
            </w:hyperlink>
          </w:p>
        </w:tc>
        <w:tc>
          <w:tcPr>
            <w:tcW w:w="2020" w:type="dxa"/>
            <w:vAlign w:val="bottom"/>
            <w:gridSpan w:val="2"/>
          </w:tcPr>
          <w:p>
            <w:pPr>
              <w:spacing w:after="0"/>
              <w:rPr>
                <w:sz w:val="18"/>
                <w:szCs w:val="18"/>
                <w:color w:val="auto"/>
              </w:rPr>
            </w:pPr>
          </w:p>
        </w:tc>
        <w:tc>
          <w:tcPr>
            <w:tcW w:w="5460" w:type="dxa"/>
            <w:vAlign w:val="bottom"/>
            <w:gridSpan w:val="7"/>
          </w:tcPr>
          <w:p>
            <w:pPr>
              <w:spacing w:after="0"/>
              <w:rPr>
                <w:sz w:val="18"/>
                <w:szCs w:val="18"/>
                <w:color w:val="auto"/>
              </w:rPr>
            </w:pPr>
          </w:p>
        </w:tc>
        <w:tc>
          <w:tcPr>
            <w:tcW w:w="500" w:type="dxa"/>
            <w:vAlign w:val="bottom"/>
            <w:gridSpan w:val="4"/>
          </w:tcPr>
          <w:p>
            <w:pPr>
              <w:jc w:val="right"/>
              <w:ind w:right="40"/>
              <w:spacing w:after="0"/>
              <w:rPr>
                <w:rFonts w:ascii="Arial" w:cs="Arial" w:eastAsia="Arial" w:hAnsi="Arial"/>
                <w:sz w:val="18"/>
                <w:szCs w:val="18"/>
                <w:color w:val="0000EE"/>
              </w:rPr>
            </w:pPr>
            <w:hyperlink w:anchor="page63">
              <w:r>
                <w:rPr>
                  <w:rFonts w:ascii="Arial" w:cs="Arial" w:eastAsia="Arial" w:hAnsi="Arial"/>
                  <w:sz w:val="18"/>
                  <w:szCs w:val="18"/>
                  <w:color w:val="0000EE"/>
                </w:rPr>
                <w:t>60</w:t>
              </w:r>
            </w:hyperlink>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320" w:type="dxa"/>
            <w:vAlign w:val="bottom"/>
            <w:gridSpan w:val="7"/>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Mine Safety Disclosures</w:t>
              </w:r>
            </w:hyperlink>
          </w:p>
        </w:tc>
        <w:tc>
          <w:tcPr>
            <w:tcW w:w="7480" w:type="dxa"/>
            <w:vAlign w:val="bottom"/>
            <w:gridSpan w:val="9"/>
          </w:tcPr>
          <w:p>
            <w:pPr>
              <w:spacing w:after="0"/>
              <w:rPr>
                <w:sz w:val="18"/>
                <w:szCs w:val="18"/>
                <w:color w:val="auto"/>
              </w:rPr>
            </w:pPr>
          </w:p>
        </w:tc>
        <w:tc>
          <w:tcPr>
            <w:tcW w:w="500" w:type="dxa"/>
            <w:vAlign w:val="bottom"/>
            <w:gridSpan w:val="4"/>
          </w:tcPr>
          <w:p>
            <w:pPr>
              <w:jc w:val="right"/>
              <w:ind w:right="40"/>
              <w:spacing w:after="0"/>
              <w:rPr>
                <w:rFonts w:ascii="Arial" w:cs="Arial" w:eastAsia="Arial" w:hAnsi="Arial"/>
                <w:sz w:val="18"/>
                <w:szCs w:val="18"/>
                <w:color w:val="0000EE"/>
              </w:rPr>
            </w:pPr>
            <w:hyperlink w:anchor="page63">
              <w:r>
                <w:rPr>
                  <w:rFonts w:ascii="Arial" w:cs="Arial" w:eastAsia="Arial" w:hAnsi="Arial"/>
                  <w:sz w:val="18"/>
                  <w:szCs w:val="18"/>
                  <w:color w:val="0000EE"/>
                </w:rPr>
                <w:t>60</w:t>
              </w:r>
            </w:hyperlink>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gridSpan w:val="5"/>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Other Information</w:t>
              </w:r>
            </w:hyperlink>
          </w:p>
        </w:tc>
        <w:tc>
          <w:tcPr>
            <w:tcW w:w="8040" w:type="dxa"/>
            <w:vAlign w:val="bottom"/>
            <w:gridSpan w:val="11"/>
          </w:tcPr>
          <w:p>
            <w:pPr>
              <w:spacing w:after="0"/>
              <w:rPr>
                <w:sz w:val="18"/>
                <w:szCs w:val="18"/>
                <w:color w:val="auto"/>
              </w:rPr>
            </w:pPr>
          </w:p>
        </w:tc>
        <w:tc>
          <w:tcPr>
            <w:tcW w:w="500" w:type="dxa"/>
            <w:vAlign w:val="bottom"/>
            <w:gridSpan w:val="4"/>
          </w:tcPr>
          <w:p>
            <w:pPr>
              <w:jc w:val="right"/>
              <w:ind w:right="40"/>
              <w:spacing w:after="0"/>
              <w:rPr>
                <w:rFonts w:ascii="Arial" w:cs="Arial" w:eastAsia="Arial" w:hAnsi="Arial"/>
                <w:sz w:val="18"/>
                <w:szCs w:val="18"/>
                <w:color w:val="0000EE"/>
              </w:rPr>
            </w:pPr>
            <w:hyperlink w:anchor="page63">
              <w:r>
                <w:rPr>
                  <w:rFonts w:ascii="Arial" w:cs="Arial" w:eastAsia="Arial" w:hAnsi="Arial"/>
                  <w:sz w:val="18"/>
                  <w:szCs w:val="18"/>
                  <w:color w:val="0000EE"/>
                </w:rPr>
                <w:t>60</w:t>
              </w:r>
            </w:hyperlink>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8500" w:type="dxa"/>
            <w:vAlign w:val="bottom"/>
            <w:gridSpan w:val="1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rFonts w:ascii="Arial" w:cs="Arial" w:eastAsia="Arial" w:hAnsi="Arial"/>
                <w:sz w:val="18"/>
                <w:szCs w:val="18"/>
                <w:color w:val="0000EE"/>
                <w:w w:val="91"/>
              </w:rPr>
            </w:pPr>
            <w:hyperlink w:anchor="page64">
              <w:r>
                <w:rPr>
                  <w:rFonts w:ascii="Arial" w:cs="Arial" w:eastAsia="Arial" w:hAnsi="Arial"/>
                  <w:sz w:val="18"/>
                  <w:szCs w:val="18"/>
                  <w:color w:val="0000EE"/>
                  <w:w w:val="91"/>
                </w:rPr>
                <w:t>Exhibits</w:t>
              </w:r>
            </w:hyperlink>
          </w:p>
        </w:tc>
        <w:tc>
          <w:tcPr>
            <w:tcW w:w="700" w:type="dxa"/>
            <w:vAlign w:val="bottom"/>
            <w:gridSpan w:val="3"/>
          </w:tcPr>
          <w:p>
            <w:pPr>
              <w:spacing w:after="0"/>
              <w:rPr>
                <w:sz w:val="18"/>
                <w:szCs w:val="18"/>
                <w:color w:val="auto"/>
              </w:rPr>
            </w:pPr>
          </w:p>
        </w:tc>
        <w:tc>
          <w:tcPr>
            <w:tcW w:w="8500" w:type="dxa"/>
            <w:vAlign w:val="bottom"/>
            <w:gridSpan w:val="12"/>
          </w:tcPr>
          <w:p>
            <w:pPr>
              <w:spacing w:after="0"/>
              <w:rPr>
                <w:sz w:val="18"/>
                <w:szCs w:val="18"/>
                <w:color w:val="auto"/>
              </w:rPr>
            </w:pPr>
          </w:p>
        </w:tc>
        <w:tc>
          <w:tcPr>
            <w:tcW w:w="500" w:type="dxa"/>
            <w:vAlign w:val="bottom"/>
            <w:gridSpan w:val="4"/>
          </w:tcPr>
          <w:p>
            <w:pPr>
              <w:jc w:val="right"/>
              <w:ind w:right="40"/>
              <w:spacing w:after="0"/>
              <w:rPr>
                <w:rFonts w:ascii="Arial" w:cs="Arial" w:eastAsia="Arial" w:hAnsi="Arial"/>
                <w:sz w:val="18"/>
                <w:szCs w:val="18"/>
                <w:color w:val="0000EE"/>
              </w:rPr>
            </w:pPr>
            <w:hyperlink w:anchor="page64">
              <w:r>
                <w:rPr>
                  <w:rFonts w:ascii="Arial" w:cs="Arial" w:eastAsia="Arial" w:hAnsi="Arial"/>
                  <w:sz w:val="18"/>
                  <w:szCs w:val="18"/>
                  <w:color w:val="0000EE"/>
                </w:rPr>
                <w:t>61</w:t>
              </w:r>
            </w:hyperlink>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920" w:type="dxa"/>
            <w:vAlign w:val="bottom"/>
            <w:gridSpan w:val="2"/>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Signatures</w:t>
              </w:r>
            </w:hyperlink>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gridSpan w:val="4"/>
          </w:tcPr>
          <w:p>
            <w:pPr>
              <w:jc w:val="right"/>
              <w:ind w:right="40"/>
              <w:spacing w:after="0"/>
              <w:rPr>
                <w:rFonts w:ascii="Arial" w:cs="Arial" w:eastAsia="Arial" w:hAnsi="Arial"/>
                <w:sz w:val="18"/>
                <w:szCs w:val="18"/>
                <w:color w:val="0000EE"/>
              </w:rPr>
            </w:pPr>
            <w:hyperlink w:anchor="page65">
              <w:r>
                <w:rPr>
                  <w:rFonts w:ascii="Arial" w:cs="Arial" w:eastAsia="Arial" w:hAnsi="Arial"/>
                  <w:sz w:val="18"/>
                  <w:szCs w:val="18"/>
                  <w:color w:val="0000EE"/>
                </w:rPr>
                <w:t>62</w:t>
              </w:r>
            </w:hyperlink>
          </w:p>
        </w:tc>
      </w:tr>
      <w:tr>
        <w:trPr>
          <w:trHeight w:val="351"/>
        </w:trPr>
        <w:tc>
          <w:tcPr>
            <w:tcW w:w="40" w:type="dxa"/>
            <w:vAlign w:val="bottom"/>
            <w:tcBorders>
              <w:bottom w:val="single" w:sz="8" w:color="9A9A9A"/>
            </w:tcBorders>
          </w:tcPr>
          <w:p>
            <w:pPr>
              <w:spacing w:after="0"/>
              <w:rPr>
                <w:sz w:val="24"/>
                <w:szCs w:val="24"/>
                <w:color w:val="auto"/>
              </w:rPr>
            </w:pPr>
          </w:p>
        </w:tc>
        <w:tc>
          <w:tcPr>
            <w:tcW w:w="760" w:type="dxa"/>
            <w:vAlign w:val="bottom"/>
            <w:tcBorders>
              <w:top w:val="single" w:sz="8" w:color="0000EE"/>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4" w:name="page5"/>
    <w:bookmarkEnd w:id="4"/>
    <w:p>
      <w:pPr>
        <w:ind w:left="4040"/>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AERPIO PHARMACEUTICALS, INC.</w:t>
      </w:r>
    </w:p>
    <w:p>
      <w:pPr>
        <w:spacing w:after="0" w:line="225"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9"/>
              </w:rPr>
              <w:t>March 31,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6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center"/>
              <w:ind w:right="173"/>
              <w:spacing w:after="0" w:line="155" w:lineRule="exact"/>
              <w:rPr>
                <w:sz w:val="20"/>
                <w:szCs w:val="20"/>
                <w:color w:val="auto"/>
              </w:rPr>
            </w:pPr>
            <w:r>
              <w:rPr>
                <w:rFonts w:ascii="Arial" w:cs="Arial" w:eastAsia="Arial" w:hAnsi="Arial"/>
                <w:sz w:val="14"/>
                <w:szCs w:val="14"/>
                <w:b w:val="1"/>
                <w:bCs w:val="1"/>
                <w:i w:val="1"/>
                <w:iCs w:val="1"/>
                <w:color w:val="auto"/>
                <w:w w:val="89"/>
              </w:rPr>
              <w:t>(unaudited)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39,008,517</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42,604,935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40"/>
              <w:spacing w:after="0"/>
              <w:rPr>
                <w:sz w:val="20"/>
                <w:szCs w:val="20"/>
                <w:color w:val="auto"/>
              </w:rPr>
            </w:pPr>
            <w:r>
              <w:rPr>
                <w:rFonts w:ascii="Arial" w:cs="Arial" w:eastAsia="Arial" w:hAnsi="Arial"/>
                <w:sz w:val="18"/>
                <w:szCs w:val="18"/>
                <w:color w:val="auto"/>
              </w:rPr>
              <w:t>Prepaid research and development contracts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257,081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510,177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1,733,655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1,603,913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40,999,253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44,719,025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Furniture and equipment, net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104,950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121,730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 net</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37,160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Deposits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20,000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41,161,363</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44,924,674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2,090,031</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1,799,371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Current portion of operating lease liability</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39,171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67,438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2,129,202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1,866,809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2,129,202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1,866,809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stock, $0.0001 par value per share; 300,000,000 shares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authorized and 47,371,482 and 47,251,319 shares issued and</w:t>
            </w:r>
          </w:p>
        </w:tc>
        <w:tc>
          <w:tcPr>
            <w:tcW w:w="260" w:type="dxa"/>
            <w:vAlign w:val="bottom"/>
            <w:shd w:val="clear" w:color="auto" w:fill="CFF0FC"/>
          </w:tcPr>
          <w:p>
            <w:pPr>
              <w:spacing w:after="0"/>
              <w:rPr>
                <w:sz w:val="18"/>
                <w:szCs w:val="18"/>
                <w:color w:val="auto"/>
              </w:rPr>
            </w:pPr>
          </w:p>
        </w:tc>
        <w:tc>
          <w:tcPr>
            <w:tcW w:w="130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4,737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outstanding at March 31, 2021 and December 31, 2020, respectively.</w:t>
            </w:r>
          </w:p>
        </w:tc>
        <w:tc>
          <w:tcPr>
            <w:tcW w:w="260" w:type="dxa"/>
            <w:vAlign w:val="bottom"/>
            <w:shd w:val="clear" w:color="auto" w:fill="CFF0FC"/>
          </w:tcPr>
          <w:p>
            <w:pPr>
              <w:spacing w:after="0"/>
              <w:rPr>
                <w:sz w:val="20"/>
                <w:szCs w:val="20"/>
                <w:color w:val="auto"/>
              </w:rPr>
            </w:pPr>
          </w:p>
        </w:tc>
        <w:tc>
          <w:tcPr>
            <w:tcW w:w="1300" w:type="dxa"/>
            <w:vAlign w:val="bottom"/>
            <w:vMerge w:val="continue"/>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190,020,008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189,603,985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(150,992,584)</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(146,550,845)</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39,032,161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43,057,865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41,161,363</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44,924,674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80"/>
          </w:cols>
          <w:pgMar w:left="320" w:top="337" w:right="89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AERPIO PHARMACEUTICALS, INC.</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2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71"/>
        </w:trPr>
        <w:tc>
          <w:tcPr>
            <w:tcW w:w="65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40" w:type="dxa"/>
            <w:vAlign w:val="bottom"/>
            <w:gridSpan w:val="3"/>
          </w:tcPr>
          <w:p>
            <w:pPr>
              <w:jc w:val="right"/>
              <w:ind w:right="167"/>
              <w:spacing w:after="0" w:line="155" w:lineRule="exact"/>
              <w:rPr>
                <w:sz w:val="20"/>
                <w:szCs w:val="20"/>
                <w:color w:val="auto"/>
              </w:rPr>
            </w:pPr>
            <w:r>
              <w:rPr>
                <w:rFonts w:ascii="Arial" w:cs="Arial" w:eastAsia="Arial" w:hAnsi="Arial"/>
                <w:sz w:val="14"/>
                <w:szCs w:val="14"/>
                <w:i w:val="1"/>
                <w:iCs w:val="1"/>
                <w:color w:val="auto"/>
              </w:rPr>
              <w:t>(unaudited)</w:t>
            </w: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2,228,002</w:t>
            </w:r>
          </w:p>
        </w:tc>
        <w:tc>
          <w:tcPr>
            <w:tcW w:w="300" w:type="dxa"/>
            <w:vAlign w:val="bottom"/>
          </w:tcPr>
          <w:p>
            <w:pPr>
              <w:spacing w:after="0"/>
              <w:rPr>
                <w:sz w:val="19"/>
                <w:szCs w:val="19"/>
                <w:color w:val="auto"/>
              </w:rPr>
            </w:pP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1,829,042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2,136,591</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2,285,891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Pr>
          <w:p>
            <w:pPr>
              <w:ind w:left="240"/>
              <w:spacing w:after="0"/>
              <w:rPr>
                <w:sz w:val="20"/>
                <w:szCs w:val="20"/>
                <w:color w:val="auto"/>
              </w:rPr>
            </w:pPr>
            <w:r>
              <w:rPr>
                <w:rFonts w:ascii="Arial" w:cs="Arial" w:eastAsia="Arial" w:hAnsi="Arial"/>
                <w:sz w:val="18"/>
                <w:szCs w:val="18"/>
                <w:color w:val="auto"/>
              </w:rPr>
              <w:t>Restructuring expense</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1,238,270</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5,602,863</w:t>
            </w:r>
          </w:p>
        </w:tc>
        <w:tc>
          <w:tcPr>
            <w:tcW w:w="3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4,114,933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Loss from operations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(5,602,863)</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(4,114,933)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w:t>
            </w: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1,158,088</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00" w:type="dxa"/>
            <w:vAlign w:val="bottom"/>
          </w:tcPr>
          <w:p>
            <w:pPr>
              <w:ind w:left="240"/>
              <w:spacing w:after="0"/>
              <w:rPr>
                <w:sz w:val="20"/>
                <w:szCs w:val="20"/>
                <w:color w:val="auto"/>
              </w:rPr>
            </w:pPr>
            <w:r>
              <w:rPr>
                <w:rFonts w:ascii="Arial" w:cs="Arial" w:eastAsia="Arial" w:hAnsi="Arial"/>
                <w:sz w:val="18"/>
                <w:szCs w:val="18"/>
                <w:color w:val="auto"/>
              </w:rPr>
              <w:t>Grant income</w:t>
            </w:r>
          </w:p>
        </w:tc>
        <w:tc>
          <w:tcPr>
            <w:tcW w:w="38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79,900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3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3,036</w:t>
            </w:r>
          </w:p>
        </w:tc>
        <w:tc>
          <w:tcPr>
            <w:tcW w:w="3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116,370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income</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1,161,124</w:t>
            </w:r>
          </w:p>
        </w:tc>
        <w:tc>
          <w:tcPr>
            <w:tcW w:w="3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196,270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and comprehensive loss</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(4,441,739)</w:t>
            </w:r>
          </w:p>
        </w:tc>
        <w:tc>
          <w:tcPr>
            <w:tcW w:w="30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(3,918,663)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Net and comprehensive loss per share</w:t>
            </w: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6500" w:type="dxa"/>
            <w:vAlign w:val="bottom"/>
          </w:tcPr>
          <w:p>
            <w:pPr>
              <w:ind w:left="240"/>
              <w:spacing w:after="0"/>
              <w:rPr>
                <w:sz w:val="20"/>
                <w:szCs w:val="20"/>
                <w:color w:val="auto"/>
              </w:rPr>
            </w:pPr>
            <w:r>
              <w:rPr>
                <w:rFonts w:ascii="Arial" w:cs="Arial" w:eastAsia="Arial" w:hAnsi="Arial"/>
                <w:sz w:val="18"/>
                <w:szCs w:val="18"/>
                <w:color w:val="auto"/>
              </w:rPr>
              <w:t>Basic and diluted</w:t>
            </w: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(0.09)</w:t>
            </w: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196"/>
        </w:trPr>
        <w:tc>
          <w:tcPr>
            <w:tcW w:w="6500" w:type="dxa"/>
            <w:vAlign w:val="bottom"/>
            <w:tcBorders>
              <w:top w:val="single" w:sz="8" w:color="CFF0FC"/>
            </w:tcBorders>
            <w:shd w:val="clear" w:color="auto" w:fill="CFF0FC"/>
          </w:tcPr>
          <w:p>
            <w:pPr>
              <w:ind w:left="240"/>
              <w:spacing w:after="0" w:line="195" w:lineRule="exact"/>
              <w:rPr>
                <w:sz w:val="20"/>
                <w:szCs w:val="20"/>
                <w:color w:val="auto"/>
              </w:rPr>
            </w:pPr>
            <w:r>
              <w:rPr>
                <w:rFonts w:ascii="Arial" w:cs="Arial" w:eastAsia="Arial" w:hAnsi="Arial"/>
                <w:sz w:val="18"/>
                <w:szCs w:val="18"/>
                <w:color w:val="auto"/>
              </w:rPr>
              <w:t>Weighted average number of common shares used in</w:t>
            </w:r>
          </w:p>
        </w:tc>
        <w:tc>
          <w:tcPr>
            <w:tcW w:w="38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computing net loss per share attributable to common</w:t>
            </w:r>
          </w:p>
        </w:tc>
        <w:tc>
          <w:tcPr>
            <w:tcW w:w="380" w:type="dxa"/>
            <w:vAlign w:val="bottom"/>
            <w:shd w:val="clear" w:color="auto" w:fill="CFF0FC"/>
          </w:tcPr>
          <w:p>
            <w:pPr>
              <w:spacing w:after="0"/>
              <w:rPr>
                <w:sz w:val="18"/>
                <w:szCs w:val="18"/>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47,282,322</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stockholders, basic and diluted</w:t>
            </w:r>
          </w:p>
        </w:tc>
        <w:tc>
          <w:tcPr>
            <w:tcW w:w="38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vMerge w:val="continue"/>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40,588,004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00"/>
          </w:cols>
          <w:pgMar w:left="900" w:top="337" w:right="89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AERPIO PHARMACEUTICALS,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0" w:type="dxa"/>
            <w:vAlign w:val="bottom"/>
            <w:gridSpan w:val="9"/>
          </w:tcPr>
          <w:p>
            <w:pPr>
              <w:jc w:val="center"/>
              <w:ind w:right="20"/>
              <w:spacing w:after="0"/>
              <w:rPr>
                <w:sz w:val="20"/>
                <w:szCs w:val="20"/>
                <w:color w:val="auto"/>
              </w:rPr>
            </w:pPr>
            <w:r>
              <w:rPr>
                <w:rFonts w:ascii="Arial" w:cs="Arial" w:eastAsia="Arial" w:hAnsi="Arial"/>
                <w:sz w:val="14"/>
                <w:szCs w:val="14"/>
                <w:b w:val="1"/>
                <w:bCs w:val="1"/>
                <w:color w:val="auto"/>
                <w:w w:val="94"/>
              </w:rPr>
              <w:t>For the Three Months Ended March 31, 2021 (unaudited)</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ind w:left="48"/>
              <w:spacing w:after="0"/>
              <w:rPr>
                <w:sz w:val="20"/>
                <w:szCs w:val="20"/>
                <w:color w:val="auto"/>
              </w:rPr>
            </w:pPr>
            <w:r>
              <w:rPr>
                <w:rFonts w:ascii="Arial" w:cs="Arial" w:eastAsia="Arial" w:hAnsi="Arial"/>
                <w:sz w:val="14"/>
                <w:szCs w:val="14"/>
                <w:b w:val="1"/>
                <w:bCs w:val="1"/>
                <w:color w:val="auto"/>
                <w:w w:val="92"/>
              </w:rPr>
              <w:t>Stockholders' Equity</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80" w:type="dxa"/>
            <w:vAlign w:val="bottom"/>
          </w:tcPr>
          <w:p>
            <w:pPr>
              <w:spacing w:after="0"/>
              <w:rPr>
                <w:sz w:val="13"/>
                <w:szCs w:val="13"/>
                <w:color w:val="auto"/>
              </w:rPr>
            </w:pPr>
          </w:p>
        </w:tc>
        <w:tc>
          <w:tcPr>
            <w:tcW w:w="2380" w:type="dxa"/>
            <w:vAlign w:val="bottom"/>
            <w:tcBorders>
              <w:bottom w:val="single" w:sz="8" w:color="auto"/>
            </w:tcBorders>
            <w:gridSpan w:val="4"/>
          </w:tcPr>
          <w:p>
            <w:pPr>
              <w:jc w:val="right"/>
              <w:ind w:right="648"/>
              <w:spacing w:after="0" w:line="155" w:lineRule="exact"/>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5"/>
              </w:rPr>
              <w:t>Additional Paid-In</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80" w:type="dxa"/>
            <w:vAlign w:val="bottom"/>
          </w:tcPr>
          <w:p>
            <w:pPr>
              <w:spacing w:after="0"/>
              <w:rPr>
                <w:sz w:val="13"/>
                <w:szCs w:val="13"/>
                <w:color w:val="auto"/>
              </w:rPr>
            </w:pPr>
          </w:p>
        </w:tc>
        <w:tc>
          <w:tcPr>
            <w:tcW w:w="1020" w:type="dxa"/>
            <w:vAlign w:val="bottom"/>
          </w:tcPr>
          <w:p>
            <w:pPr>
              <w:jc w:val="right"/>
              <w:ind w:right="228"/>
              <w:spacing w:after="0" w:line="155" w:lineRule="exact"/>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168"/>
              <w:spacing w:after="0" w:line="155" w:lineRule="exact"/>
              <w:rPr>
                <w:sz w:val="20"/>
                <w:szCs w:val="20"/>
                <w:color w:val="auto"/>
              </w:rPr>
            </w:pPr>
            <w:r>
              <w:rPr>
                <w:rFonts w:ascii="Arial" w:cs="Arial" w:eastAsia="Arial" w:hAnsi="Arial"/>
                <w:sz w:val="14"/>
                <w:szCs w:val="14"/>
                <w:b w:val="1"/>
                <w:bCs w:val="1"/>
                <w:color w:val="auto"/>
              </w:rPr>
              <w:t>Par Value</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8"/>
              </w:rPr>
              <w:t>Capital</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gridSpan w:val="2"/>
          </w:tcPr>
          <w:p>
            <w:pPr>
              <w:jc w:val="right"/>
              <w:ind w:right="64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28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January 1, 2021</w:t>
            </w: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47,251,319</w:t>
            </w:r>
          </w:p>
        </w:tc>
        <w:tc>
          <w:tcPr>
            <w:tcW w:w="3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4,725</w:t>
            </w:r>
          </w:p>
        </w:tc>
        <w:tc>
          <w:tcPr>
            <w:tcW w:w="2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189,603,985</w:t>
            </w:r>
          </w:p>
        </w:tc>
        <w:tc>
          <w:tcPr>
            <w:tcW w:w="24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(146,550,845)</w:t>
            </w:r>
          </w:p>
        </w:tc>
        <w:tc>
          <w:tcPr>
            <w:tcW w:w="1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jc w:val="right"/>
              <w:ind w:right="148"/>
              <w:spacing w:after="0" w:line="155" w:lineRule="exact"/>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43,057,865</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880" w:type="dxa"/>
            <w:vAlign w:val="bottom"/>
          </w:tcPr>
          <w:p>
            <w:pPr>
              <w:ind w:left="240"/>
              <w:spacing w:after="0" w:line="143" w:lineRule="exact"/>
              <w:rPr>
                <w:sz w:val="20"/>
                <w:szCs w:val="20"/>
                <w:color w:val="auto"/>
              </w:rPr>
            </w:pPr>
            <w:r>
              <w:rPr>
                <w:rFonts w:ascii="Arial" w:cs="Arial" w:eastAsia="Arial" w:hAnsi="Arial"/>
                <w:sz w:val="14"/>
                <w:szCs w:val="14"/>
                <w:color w:val="auto"/>
              </w:rPr>
              <w:t>Issuance of common stock upon</w:t>
            </w: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70,275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80" w:type="dxa"/>
            <w:vAlign w:val="bottom"/>
          </w:tcPr>
          <w:p>
            <w:pPr>
              <w:ind w:left="340"/>
              <w:spacing w:after="0"/>
              <w:rPr>
                <w:sz w:val="20"/>
                <w:szCs w:val="20"/>
                <w:color w:val="auto"/>
              </w:rPr>
            </w:pPr>
            <w:r>
              <w:rPr>
                <w:rFonts w:ascii="Arial" w:cs="Arial" w:eastAsia="Arial" w:hAnsi="Arial"/>
                <w:sz w:val="14"/>
                <w:szCs w:val="14"/>
                <w:color w:val="auto"/>
              </w:rPr>
              <w:t>exercise of stock options</w:t>
            </w:r>
          </w:p>
        </w:tc>
        <w:tc>
          <w:tcPr>
            <w:tcW w:w="1020" w:type="dxa"/>
            <w:vAlign w:val="bottom"/>
          </w:tcPr>
          <w:p>
            <w:pPr>
              <w:jc w:val="right"/>
              <w:spacing w:after="0"/>
              <w:rPr>
                <w:sz w:val="20"/>
                <w:szCs w:val="20"/>
                <w:color w:val="auto"/>
              </w:rPr>
            </w:pPr>
            <w:r>
              <w:rPr>
                <w:rFonts w:ascii="Arial" w:cs="Arial" w:eastAsia="Arial" w:hAnsi="Arial"/>
                <w:sz w:val="14"/>
                <w:szCs w:val="14"/>
                <w:color w:val="auto"/>
              </w:rPr>
              <w:t>78,769</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70,267</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Issuance of common stock</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41,394</w:t>
            </w: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880" w:type="dxa"/>
            <w:vAlign w:val="bottom"/>
          </w:tcPr>
          <w:p>
            <w:pPr>
              <w:ind w:left="240"/>
              <w:spacing w:after="0" w:line="143" w:lineRule="exact"/>
              <w:rPr>
                <w:sz w:val="20"/>
                <w:szCs w:val="20"/>
                <w:color w:val="auto"/>
              </w:rPr>
            </w:pPr>
            <w:r>
              <w:rPr>
                <w:rFonts w:ascii="Arial" w:cs="Arial" w:eastAsia="Arial" w:hAnsi="Arial"/>
                <w:sz w:val="14"/>
                <w:szCs w:val="14"/>
                <w:color w:val="auto"/>
              </w:rPr>
              <w:t>Stock-based compensation</w:t>
            </w: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345,756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80" w:type="dxa"/>
            <w:vAlign w:val="bottom"/>
          </w:tcPr>
          <w:p>
            <w:pPr>
              <w:ind w:left="340"/>
              <w:spacing w:after="0"/>
              <w:rPr>
                <w:sz w:val="20"/>
                <w:szCs w:val="20"/>
                <w:color w:val="auto"/>
              </w:rPr>
            </w:pPr>
            <w:r>
              <w:rPr>
                <w:rFonts w:ascii="Arial" w:cs="Arial" w:eastAsia="Arial" w:hAnsi="Arial"/>
                <w:sz w:val="14"/>
                <w:szCs w:val="14"/>
                <w:color w:val="auto"/>
              </w:rPr>
              <w:t>expense</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345,756</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Net and comprehensive loss</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(4,441,739)</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b w:val="1"/>
                <w:bCs w:val="1"/>
                <w:color w:val="auto"/>
              </w:rPr>
              <w:t>(4,441,739)</w:t>
            </w:r>
          </w:p>
        </w:tc>
        <w:tc>
          <w:tcPr>
            <w:tcW w:w="0" w:type="dxa"/>
            <w:vAlign w:val="bottom"/>
          </w:tcPr>
          <w:p>
            <w:pPr>
              <w:spacing w:after="0"/>
              <w:rPr>
                <w:sz w:val="1"/>
                <w:szCs w:val="1"/>
                <w:color w:val="auto"/>
              </w:rPr>
            </w:pPr>
          </w:p>
        </w:tc>
      </w:tr>
      <w:tr>
        <w:trPr>
          <w:trHeight w:val="155"/>
        </w:trPr>
        <w:tc>
          <w:tcPr>
            <w:tcW w:w="2880" w:type="dxa"/>
            <w:vAlign w:val="bottom"/>
          </w:tcPr>
          <w:p>
            <w:pPr>
              <w:spacing w:after="0" w:line="155" w:lineRule="exact"/>
              <w:rPr>
                <w:sz w:val="20"/>
                <w:szCs w:val="20"/>
                <w:color w:val="auto"/>
              </w:rPr>
            </w:pPr>
            <w:r>
              <w:rPr>
                <w:rFonts w:ascii="Arial" w:cs="Arial" w:eastAsia="Arial" w:hAnsi="Arial"/>
                <w:sz w:val="14"/>
                <w:szCs w:val="14"/>
                <w:color w:val="auto"/>
              </w:rPr>
              <w:t>Balance at March 31, 2021</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47,371,482</w:t>
            </w:r>
          </w:p>
        </w:tc>
        <w:tc>
          <w:tcPr>
            <w:tcW w:w="3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4,737</w:t>
            </w: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190,020,008</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(150,992,584)</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39,032,161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2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0" w:type="dxa"/>
            <w:vAlign w:val="bottom"/>
            <w:gridSpan w:val="9"/>
          </w:tcPr>
          <w:p>
            <w:pPr>
              <w:jc w:val="center"/>
              <w:ind w:right="20"/>
              <w:spacing w:after="0"/>
              <w:rPr>
                <w:sz w:val="20"/>
                <w:szCs w:val="20"/>
                <w:color w:val="auto"/>
              </w:rPr>
            </w:pPr>
            <w:r>
              <w:rPr>
                <w:rFonts w:ascii="Arial" w:cs="Arial" w:eastAsia="Arial" w:hAnsi="Arial"/>
                <w:sz w:val="14"/>
                <w:szCs w:val="14"/>
                <w:b w:val="1"/>
                <w:bCs w:val="1"/>
                <w:color w:val="auto"/>
                <w:w w:val="94"/>
              </w:rPr>
              <w:t>For the Three Months Ended March 31, 2020 (unaudited)</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ind w:left="48"/>
              <w:spacing w:after="0"/>
              <w:rPr>
                <w:sz w:val="20"/>
                <w:szCs w:val="20"/>
                <w:color w:val="auto"/>
              </w:rPr>
            </w:pPr>
            <w:r>
              <w:rPr>
                <w:rFonts w:ascii="Arial" w:cs="Arial" w:eastAsia="Arial" w:hAnsi="Arial"/>
                <w:sz w:val="14"/>
                <w:szCs w:val="14"/>
                <w:b w:val="1"/>
                <w:bCs w:val="1"/>
                <w:color w:val="auto"/>
                <w:w w:val="92"/>
              </w:rPr>
              <w:t>Stockholders' Equity</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80" w:type="dxa"/>
            <w:vAlign w:val="bottom"/>
          </w:tcPr>
          <w:p>
            <w:pPr>
              <w:spacing w:after="0"/>
              <w:rPr>
                <w:sz w:val="13"/>
                <w:szCs w:val="13"/>
                <w:color w:val="auto"/>
              </w:rPr>
            </w:pPr>
          </w:p>
        </w:tc>
        <w:tc>
          <w:tcPr>
            <w:tcW w:w="2380" w:type="dxa"/>
            <w:vAlign w:val="bottom"/>
            <w:tcBorders>
              <w:bottom w:val="single" w:sz="8" w:color="auto"/>
            </w:tcBorders>
            <w:gridSpan w:val="4"/>
          </w:tcPr>
          <w:p>
            <w:pPr>
              <w:jc w:val="right"/>
              <w:ind w:right="648"/>
              <w:spacing w:after="0" w:line="155" w:lineRule="exact"/>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5"/>
              </w:rPr>
              <w:t>Additional Paid-In</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80" w:type="dxa"/>
            <w:vAlign w:val="bottom"/>
          </w:tcPr>
          <w:p>
            <w:pPr>
              <w:spacing w:after="0"/>
              <w:rPr>
                <w:sz w:val="13"/>
                <w:szCs w:val="13"/>
                <w:color w:val="auto"/>
              </w:rPr>
            </w:pPr>
          </w:p>
        </w:tc>
        <w:tc>
          <w:tcPr>
            <w:tcW w:w="1020" w:type="dxa"/>
            <w:vAlign w:val="bottom"/>
          </w:tcPr>
          <w:p>
            <w:pPr>
              <w:jc w:val="right"/>
              <w:ind w:right="228"/>
              <w:spacing w:after="0" w:line="155" w:lineRule="exact"/>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168"/>
              <w:spacing w:after="0" w:line="155" w:lineRule="exact"/>
              <w:rPr>
                <w:sz w:val="20"/>
                <w:szCs w:val="20"/>
                <w:color w:val="auto"/>
              </w:rPr>
            </w:pPr>
            <w:r>
              <w:rPr>
                <w:rFonts w:ascii="Arial" w:cs="Arial" w:eastAsia="Arial" w:hAnsi="Arial"/>
                <w:sz w:val="14"/>
                <w:szCs w:val="14"/>
                <w:b w:val="1"/>
                <w:bCs w:val="1"/>
                <w:color w:val="auto"/>
              </w:rPr>
              <w:t>Par Value</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8"/>
              </w:rPr>
              <w:t>Capital</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gridSpan w:val="2"/>
          </w:tcPr>
          <w:p>
            <w:pPr>
              <w:jc w:val="right"/>
              <w:ind w:right="64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28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January 1, 2020</w:t>
            </w: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40,588,004</w:t>
            </w:r>
          </w:p>
        </w:tc>
        <w:tc>
          <w:tcPr>
            <w:tcW w:w="3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4,059</w:t>
            </w:r>
          </w:p>
        </w:tc>
        <w:tc>
          <w:tcPr>
            <w:tcW w:w="2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178,766,806</w:t>
            </w:r>
          </w:p>
        </w:tc>
        <w:tc>
          <w:tcPr>
            <w:tcW w:w="24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(142,235,522)</w:t>
            </w:r>
          </w:p>
        </w:tc>
        <w:tc>
          <w:tcPr>
            <w:tcW w:w="1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36,535,343</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80" w:type="dxa"/>
            <w:vAlign w:val="bottom"/>
          </w:tcPr>
          <w:p>
            <w:pPr>
              <w:ind w:left="240"/>
              <w:spacing w:after="0"/>
              <w:rPr>
                <w:sz w:val="20"/>
                <w:szCs w:val="20"/>
                <w:color w:val="auto"/>
              </w:rPr>
            </w:pPr>
            <w:r>
              <w:rPr>
                <w:rFonts w:ascii="Arial" w:cs="Arial" w:eastAsia="Arial" w:hAnsi="Arial"/>
                <w:sz w:val="14"/>
                <w:szCs w:val="14"/>
                <w:color w:val="auto"/>
              </w:rPr>
              <w:t>Issuance of warrants</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62,347</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62,347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880" w:type="dxa"/>
            <w:vAlign w:val="bottom"/>
            <w:shd w:val="clear" w:color="auto" w:fill="CFF0FC"/>
          </w:tcPr>
          <w:p>
            <w:pPr>
              <w:ind w:left="240"/>
              <w:spacing w:after="0" w:line="143" w:lineRule="exact"/>
              <w:rPr>
                <w:sz w:val="20"/>
                <w:szCs w:val="20"/>
                <w:color w:val="auto"/>
              </w:rPr>
            </w:pPr>
            <w:r>
              <w:rPr>
                <w:rFonts w:ascii="Arial" w:cs="Arial" w:eastAsia="Arial" w:hAnsi="Arial"/>
                <w:sz w:val="14"/>
                <w:szCs w:val="14"/>
                <w:color w:val="auto"/>
              </w:rPr>
              <w:t>Stock-based compensation</w:t>
            </w:r>
          </w:p>
        </w:tc>
        <w:tc>
          <w:tcPr>
            <w:tcW w:w="10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80" w:type="dxa"/>
            <w:vAlign w:val="bottom"/>
            <w:shd w:val="clear" w:color="auto" w:fill="CFF0FC"/>
          </w:tcPr>
          <w:p>
            <w:pPr>
              <w:ind w:left="340"/>
              <w:spacing w:after="0"/>
              <w:rPr>
                <w:sz w:val="20"/>
                <w:szCs w:val="20"/>
                <w:color w:val="auto"/>
              </w:rPr>
            </w:pPr>
            <w:r>
              <w:rPr>
                <w:rFonts w:ascii="Arial" w:cs="Arial" w:eastAsia="Arial" w:hAnsi="Arial"/>
                <w:sz w:val="14"/>
                <w:szCs w:val="14"/>
                <w:color w:val="auto"/>
              </w:rPr>
              <w:t>expense</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327,467</w:t>
            </w:r>
          </w:p>
        </w:tc>
        <w:tc>
          <w:tcPr>
            <w:tcW w:w="2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327,467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80" w:type="dxa"/>
            <w:vAlign w:val="bottom"/>
          </w:tcPr>
          <w:p>
            <w:pPr>
              <w:ind w:left="240"/>
              <w:spacing w:after="0"/>
              <w:rPr>
                <w:sz w:val="20"/>
                <w:szCs w:val="20"/>
                <w:color w:val="auto"/>
              </w:rPr>
            </w:pPr>
            <w:r>
              <w:rPr>
                <w:rFonts w:ascii="Arial" w:cs="Arial" w:eastAsia="Arial" w:hAnsi="Arial"/>
                <w:sz w:val="14"/>
                <w:szCs w:val="14"/>
                <w:color w:val="auto"/>
              </w:rPr>
              <w:t>Net and comprehensive loss</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(3,918,663)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(3,918,663)</w:t>
            </w:r>
          </w:p>
        </w:tc>
        <w:tc>
          <w:tcPr>
            <w:tcW w:w="0" w:type="dxa"/>
            <w:vAlign w:val="bottom"/>
          </w:tcPr>
          <w:p>
            <w:pPr>
              <w:spacing w:after="0"/>
              <w:rPr>
                <w:sz w:val="1"/>
                <w:szCs w:val="1"/>
                <w:color w:val="auto"/>
              </w:rPr>
            </w:pPr>
          </w:p>
        </w:tc>
      </w:tr>
      <w:tr>
        <w:trPr>
          <w:trHeight w:val="156"/>
        </w:trPr>
        <w:tc>
          <w:tcPr>
            <w:tcW w:w="288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March 31, 2020</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40,588,004</w:t>
            </w:r>
          </w:p>
        </w:tc>
        <w:tc>
          <w:tcPr>
            <w:tcW w:w="30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4,059</w:t>
            </w:r>
          </w:p>
        </w:tc>
        <w:tc>
          <w:tcPr>
            <w:tcW w:w="2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179,156,620</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4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(146,154,185)</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300" w:type="dxa"/>
            <w:vAlign w:val="bottom"/>
            <w:tcBorders>
              <w:top w:val="single" w:sz="8" w:color="auto"/>
              <w:bottom w:val="single" w:sz="8" w:color="auto"/>
            </w:tcBorders>
            <w:shd w:val="clear" w:color="auto" w:fill="CFF0FC"/>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33,006,494</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00"/>
          </w:cols>
          <w:pgMar w:left="900" w:top="337" w:right="89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AERPIO PHARMACEUTICALS,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71"/>
        </w:trPr>
        <w:tc>
          <w:tcPr>
            <w:tcW w:w="6160" w:type="dxa"/>
            <w:vAlign w:val="bottom"/>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4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16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20" w:type="dxa"/>
            <w:vAlign w:val="bottom"/>
            <w:gridSpan w:val="3"/>
          </w:tcPr>
          <w:p>
            <w:pPr>
              <w:jc w:val="right"/>
              <w:ind w:right="90"/>
              <w:spacing w:after="0"/>
              <w:rPr>
                <w:sz w:val="20"/>
                <w:szCs w:val="20"/>
                <w:color w:val="auto"/>
              </w:rPr>
            </w:pPr>
            <w:r>
              <w:rPr>
                <w:rFonts w:ascii="Arial" w:cs="Arial" w:eastAsia="Arial" w:hAnsi="Arial"/>
                <w:sz w:val="18"/>
                <w:szCs w:val="18"/>
                <w:i w:val="1"/>
                <w:iCs w:val="1"/>
                <w:color w:val="auto"/>
              </w:rPr>
              <w:t>(unaudited)</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and comprehensive loss</w:t>
            </w:r>
          </w:p>
        </w:tc>
        <w:tc>
          <w:tcPr>
            <w:tcW w:w="8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(4,441,739)</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(3,918,663)</w:t>
            </w:r>
          </w:p>
        </w:tc>
        <w:tc>
          <w:tcPr>
            <w:tcW w:w="0" w:type="dxa"/>
            <w:vAlign w:val="bottom"/>
          </w:tcPr>
          <w:p>
            <w:pPr>
              <w:spacing w:after="0"/>
              <w:rPr>
                <w:sz w:val="1"/>
                <w:szCs w:val="1"/>
                <w:color w:val="auto"/>
              </w:rPr>
            </w:pPr>
          </w:p>
        </w:tc>
      </w:tr>
      <w:tr>
        <w:trPr>
          <w:trHeight w:val="215"/>
        </w:trPr>
        <w:tc>
          <w:tcPr>
            <w:tcW w:w="6160" w:type="dxa"/>
            <w:vAlign w:val="bottom"/>
          </w:tcPr>
          <w:p>
            <w:pPr>
              <w:ind w:left="240"/>
              <w:spacing w:after="0"/>
              <w:rPr>
                <w:sz w:val="20"/>
                <w:szCs w:val="20"/>
                <w:color w:val="auto"/>
              </w:rPr>
            </w:pPr>
            <w:r>
              <w:rPr>
                <w:rFonts w:ascii="Arial" w:cs="Arial" w:eastAsia="Arial" w:hAnsi="Arial"/>
                <w:sz w:val="18"/>
                <w:szCs w:val="18"/>
                <w:color w:val="auto"/>
              </w:rPr>
              <w:t>Adjustments to reconcile net and comprehensive loss to net</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380"/>
              <w:spacing w:after="0"/>
              <w:rPr>
                <w:sz w:val="20"/>
                <w:szCs w:val="20"/>
                <w:color w:val="auto"/>
              </w:rPr>
            </w:pPr>
            <w:r>
              <w:rPr>
                <w:rFonts w:ascii="Arial" w:cs="Arial" w:eastAsia="Arial" w:hAnsi="Arial"/>
                <w:sz w:val="18"/>
                <w:szCs w:val="18"/>
                <w:color w:val="auto"/>
              </w:rPr>
              <w:t>cash used in operating activities:</w:t>
            </w: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Depreciation</w:t>
            </w:r>
          </w:p>
        </w:tc>
        <w:tc>
          <w:tcPr>
            <w:tcW w:w="4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16,780</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tcPr>
          <w:p>
            <w:pPr>
              <w:ind w:left="480"/>
              <w:spacing w:after="0"/>
              <w:rPr>
                <w:sz w:val="20"/>
                <w:szCs w:val="20"/>
                <w:color w:val="auto"/>
              </w:rPr>
            </w:pPr>
            <w:r>
              <w:rPr>
                <w:rFonts w:ascii="Arial" w:cs="Arial" w:eastAsia="Arial" w:hAnsi="Arial"/>
                <w:sz w:val="18"/>
                <w:szCs w:val="18"/>
                <w:color w:val="auto"/>
              </w:rPr>
              <w:t>Stock-based compensation</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345,756</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327,467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Consulting expenses related to warrants</w:t>
            </w:r>
          </w:p>
        </w:tc>
        <w:tc>
          <w:tcPr>
            <w:tcW w:w="4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Prepaid research and development contracts</w:t>
            </w:r>
          </w:p>
        </w:tc>
        <w:tc>
          <w:tcPr>
            <w:tcW w:w="4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253,096</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480"/>
              <w:spacing w:after="0"/>
              <w:rPr>
                <w:sz w:val="20"/>
                <w:szCs w:val="20"/>
                <w:color w:val="auto"/>
              </w:rPr>
            </w:pPr>
            <w:r>
              <w:rPr>
                <w:rFonts w:ascii="Arial" w:cs="Arial" w:eastAsia="Arial" w:hAnsi="Arial"/>
                <w:sz w:val="18"/>
                <w:szCs w:val="18"/>
                <w:color w:val="auto"/>
              </w:rPr>
              <w:t>Other current assets</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(129,742)</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167,287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payable and accrued expenses</w:t>
            </w:r>
          </w:p>
        </w:tc>
        <w:tc>
          <w:tcPr>
            <w:tcW w:w="4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289,152</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(675,858)</w:t>
            </w: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4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(3,666,697)</w:t>
            </w:r>
          </w:p>
        </w:tc>
        <w:tc>
          <w:tcPr>
            <w:tcW w:w="2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(3,939,826)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4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480"/>
              <w:spacing w:after="0"/>
              <w:rPr>
                <w:sz w:val="20"/>
                <w:szCs w:val="20"/>
                <w:color w:val="auto"/>
              </w:rPr>
            </w:pPr>
            <w:r>
              <w:rPr>
                <w:rFonts w:ascii="Arial" w:cs="Arial" w:eastAsia="Arial" w:hAnsi="Arial"/>
                <w:sz w:val="18"/>
                <w:szCs w:val="18"/>
                <w:color w:val="auto"/>
                <w:w w:val="97"/>
              </w:rPr>
              <w:t>Proceeds from issuance of common stock upon exercise of stock options</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70,279</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4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70,279</w:t>
            </w:r>
          </w:p>
        </w:tc>
        <w:tc>
          <w:tcPr>
            <w:tcW w:w="26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(3,596,418)</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(3,939,826)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year</w:t>
            </w:r>
          </w:p>
        </w:tc>
        <w:tc>
          <w:tcPr>
            <w:tcW w:w="4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42,604,935</w:t>
            </w:r>
          </w:p>
        </w:tc>
        <w:tc>
          <w:tcPr>
            <w:tcW w:w="26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38,524,536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Cash and cash equivalents, three months ended</w:t>
            </w:r>
          </w:p>
        </w:tc>
        <w:tc>
          <w:tcPr>
            <w:tcW w:w="4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39,008,517</w:t>
            </w:r>
          </w:p>
        </w:tc>
        <w:tc>
          <w:tcPr>
            <w:tcW w:w="26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34,584,710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00"/>
          </w:cols>
          <w:pgMar w:left="900" w:top="337" w:right="89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Organization and Operations</w:t>
      </w:r>
    </w:p>
    <w:p>
      <w:pPr>
        <w:spacing w:after="0" w:line="13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Aerpio Pharmaceuticals, Inc. (the “Company”) is a biopharmaceutical company focused on developing compounds that activate Tie2 as well as other indications in which the Company believes that activation of Tie2 may have therapeutic potential. The Company was incorporated as Zeta Acquisition Corp. II (“Zeta”) in the State of Delaware on November 16, 2007. Zeta was a “shell company” (as defined in Rule 12b-2 of the Securities Exchange Act of 1934, as amended).</w:t>
      </w:r>
    </w:p>
    <w:p>
      <w:pPr>
        <w:spacing w:after="0" w:line="7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December 2020, the Company announced the topline results from the Phase 2 clinical trial of razuprotafib (formerly known as AKB-9778), a small molecule vascular endothelial protein tyrosine phosphatase (“VE-PTP”) inhibitor. The double-blind, placebo controlled Phase 2 study, in patients with elevated intraocular pressure (“IOP”) associated with open angle glaucoma or ocular hypertension, met its primary efficacy endpoint with its twice-daily dosing group; however, the IOP decrease was not at a level deemed sufficient to move to Phase 3 development. As a result, the Company initiated a process to explore a range of strategic alternatives focused on maximizing stockholder value from our clinical assets and cash resources. As part of this process, the Company is exploring strategic options for partnering our programs, as well as the potential for an acquisition, company sale, merger, business combination, asset sale, in-license, out-license or other strategic transaction. Ladenburg Thalmann &amp; Co. Inc. and Duane Nash, M.D., J.D., M.B.A, have been retained with respect to the strategic review process. There can be no assurance that this exploration of strategic alternatives will result in the Company entering or completing any transaction.</w:t>
      </w:r>
    </w:p>
    <w:p>
      <w:pPr>
        <w:spacing w:after="0" w:line="8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January 2021, the Company executed a realignment plan to reduce operating costs and better align our workforce with the needs of its ongoing business. The realignment plan reduced the Company’s workforce by seven employees, representing approximately 58% of its workforce. As a result of this realignment plan, the Company incurred a one-time employee related severance expenses of approximately $1.2 million in the first quarter of 2021 and anticipates the majority of the one-time employee severance liability to be paid during 2021. The final payment of the severance liability in connection with the realignment plan is subject to a number of assumptions, actual results may differ from the original estimate. Additionally, the Company may also incur additional costs not currently contemplated due to events that may occur as a result of, or that are associated with, the realignment plan.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glaucoma, the Company has the following clinical programs:</w:t>
      </w:r>
    </w:p>
    <w:p>
      <w:pPr>
        <w:spacing w:after="0" w:line="11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i w:val="1"/>
          <w:iCs w:val="1"/>
          <w:color w:val="auto"/>
        </w:rPr>
        <w:t xml:space="preserve">Acute Respiratory Distress Syndrome: </w:t>
      </w:r>
      <w:r>
        <w:rPr>
          <w:rFonts w:ascii="Arial" w:cs="Arial" w:eastAsia="Arial" w:hAnsi="Arial"/>
          <w:sz w:val="16"/>
          <w:szCs w:val="16"/>
          <w:color w:val="auto"/>
        </w:rPr>
        <w:t>Based on results in preclinical studies and observations in patients in TIME-2 and TIME-2b trials,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believed that a vascular endothelial receptor, Tie2, may play a pivotal role in the defense against microvascular breach in Acute Respiratory Distress Syndrome (“ARDS”) and have therapeutic potential for the treatment of COVID-19 associated ARDS. During 2020, the Company initiated two Phase 2 trials to evaluate subcutaneous razuprotafib for the prevention and treatment of ARDS in adult patients with moderate to severe COVID-19 (“RESCUE”) and critical COVID-19 (“I-SPY”). In January 2021, the Data Monitoring Committee recommended discontinuation of razuprotafib in the I-SPY trial after 21 patients due to the complexity of monitoring patients in the setting of a surge in ICU patients. For the RESCUE trial, the Company decided to stop recruiting in February 2021 after the first 31 patients were enrolled based on challenges recruiting and monitoring patients in the current pandemic environment. There were no apparent safety signals associated with dosing COVID-19 patients in either trial and the Company plans to further analyze the data to assess trends in efficacy and biomarkers. The Company expects to report topline data from the RESCUE trial during the second quarter of 2021. All clinical activity related to the RESCUE trial will be completed during the second quarter of 2021.</w:t>
      </w:r>
    </w:p>
    <w:p>
      <w:pPr>
        <w:spacing w:after="0" w:line="60"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i w:val="1"/>
          <w:iCs w:val="1"/>
          <w:color w:val="auto"/>
        </w:rPr>
        <w:t xml:space="preserve">Diabetic Kidney Disease: </w:t>
      </w:r>
      <w:r>
        <w:rPr>
          <w:rFonts w:ascii="Arial" w:cs="Arial" w:eastAsia="Arial" w:hAnsi="Arial"/>
          <w:sz w:val="18"/>
          <w:szCs w:val="18"/>
          <w:color w:val="auto"/>
        </w:rPr>
        <w:t>In two consecutive trials, TIME-2 and TIME-2b, subcutaneous razuprotafib showed reduction in Urine Albumin-Creatinine</w:t>
      </w:r>
      <w:r>
        <w:rPr>
          <w:rFonts w:ascii="Arial" w:cs="Arial" w:eastAsia="Arial" w:hAnsi="Arial"/>
          <w:sz w:val="18"/>
          <w:szCs w:val="18"/>
          <w:i w:val="1"/>
          <w:iCs w:val="1"/>
          <w:color w:val="auto"/>
        </w:rPr>
        <w:t xml:space="preserve"> </w:t>
      </w:r>
      <w:r>
        <w:rPr>
          <w:rFonts w:ascii="Arial" w:cs="Arial" w:eastAsia="Arial" w:hAnsi="Arial"/>
          <w:sz w:val="18"/>
          <w:szCs w:val="18"/>
          <w:color w:val="auto"/>
        </w:rPr>
        <w:t>Ratio (“UACR”), a measure of progression of diabetic kidney disease. The Company believes that systemic treatment with razuprotafib could have the potential to change the treatment paradigm for diabetics in the future and potentially address a major societal problem by lowering the cost of care associated generally with diabetes.</w:t>
      </w:r>
    </w:p>
    <w:p>
      <w:pPr>
        <w:spacing w:after="0" w:line="7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i w:val="1"/>
          <w:iCs w:val="1"/>
          <w:color w:val="auto"/>
        </w:rPr>
        <w:t xml:space="preserve">ARP-1536 and Bi-Specific Antibody: </w:t>
      </w:r>
      <w:r>
        <w:rPr>
          <w:rFonts w:ascii="Arial" w:cs="Arial" w:eastAsia="Arial" w:hAnsi="Arial"/>
          <w:sz w:val="17"/>
          <w:szCs w:val="17"/>
          <w:color w:val="auto"/>
        </w:rPr>
        <w:t>ARP-1536, the humanized monoclonal antibody directed at the same target as subcutaneous razuprotafib, is in</w:t>
      </w:r>
      <w:r>
        <w:rPr>
          <w:rFonts w:ascii="Arial" w:cs="Arial" w:eastAsia="Arial" w:hAnsi="Arial"/>
          <w:sz w:val="17"/>
          <w:szCs w:val="17"/>
          <w:i w:val="1"/>
          <w:iCs w:val="1"/>
          <w:color w:val="auto"/>
        </w:rPr>
        <w:t xml:space="preserve"> </w:t>
      </w:r>
      <w:r>
        <w:rPr>
          <w:rFonts w:ascii="Arial" w:cs="Arial" w:eastAsia="Arial" w:hAnsi="Arial"/>
          <w:sz w:val="17"/>
          <w:szCs w:val="17"/>
          <w:color w:val="auto"/>
        </w:rPr>
        <w:t>preclinical development. The Company is evaluating development options for ARP-1536, including subcutaneous injection for the treatment of diabetic vascular complications, e.g., diabetic nephropathy and intravitreal injection as an adjunctive therapy for diabetic macular edema. The Company is also developing a bispecific antibody that binds both vascular endothelial growth factor (“VEGF”) and VE-PTP which is designed to inhibit VEGF activation and activate Tie2. The Company believes this bispecific antibody has the potential to be an improved treatment for wet aged-related macular degeneration (“AMD”) and diabetic macular edema via intravitreal injection.</w:t>
      </w:r>
    </w:p>
    <w:p>
      <w:pPr>
        <w:spacing w:after="0" w:line="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June 2018, the Company licensed AKB-4924 (now GB004), a selective stabilizer of hypoxia-inducible factor-1 alpha (“HIF-1 alpha”) to a wholly-owned subsidiary of Gossamer Bio, Inc., GB004, Inc. (collectively “Gossamer”), which is being developed for the treatment of inflammatory bowel disease (“IBD”). HIF-1 alpha is involved in mucosal wound healing and the reduction of inflammation in the gastrointestinal tract. Gossamer completed the Phase 1b clinical trial in ulcerative colitis (“UC”) patients and reported results during the second quarter of 2020. Gossamer has announced that, subject to developments in the ongoing COVID-19 pandemic, it initiated a 12-week Phase 2 study of GB004 in patients with mild-to-moderate UC during the second half of 2020.</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ind w:right="100"/>
        <w:spacing w:after="0" w:line="263" w:lineRule="auto"/>
        <w:rPr>
          <w:sz w:val="20"/>
          <w:szCs w:val="20"/>
          <w:color w:val="auto"/>
        </w:rPr>
      </w:pPr>
      <w:r>
        <w:rPr>
          <w:rFonts w:ascii="Arial" w:cs="Arial" w:eastAsia="Arial" w:hAnsi="Arial"/>
          <w:sz w:val="18"/>
          <w:szCs w:val="18"/>
          <w:color w:val="auto"/>
        </w:rPr>
        <w:t>In May 2020, the Company received a one-time payment of $15.0 million pursuant to an amendment to its license agreement with Gossamer resulting in a reduction in future potential milestone payments and tiered royalty rates over the life of the license agreement. Gossamer is responsible for all remaining development and commercial activities for GB004.</w:t>
      </w:r>
    </w:p>
    <w:p>
      <w:pPr>
        <w:spacing w:after="0" w:line="7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Company’s operations to date have been limited to organizing and staffing the Company, business planning, raising capital, acquiring and developing its technology, identifying potential product candidates and undertaking preclinical and clinical studies. The Company’s revenue has been primarily limited to license revenue from Gossamer. Future revenue is dependent on the terms of the license agreement with Gossamer as further described in Note 10. The Company’s product candidates are subject to long development cycles and there is no assurance the Company will be able to successfully develop, obtain regulatory approval for, or market its product candidates.</w:t>
      </w:r>
    </w:p>
    <w:p>
      <w:pPr>
        <w:spacing w:after="0" w:line="80"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The Company is subject to a number of risks similar to other life science companies in the current stage of its life cycle including, but not limited to, the need to obtain adequate additional funding, possible failure of preclinical testing or clinical trials, the need to obtain marketing approval for its product candidates, competitors developing new technological innovations, the need to successfully commercialize and gain market acceptance of any of the Company’s products that are approved, and protection of proprietary technology. If the Company does not successfully commercialize any of its products or mitigate any of these other risks, it will be unable to generate revenue or achieve profitability.</w:t>
      </w:r>
    </w:p>
    <w:p>
      <w:pPr>
        <w:spacing w:after="0" w:line="6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incurred losses from operations and had a negative cash flows from operating activities for the three months ended March 31, 2021 and 2020 (and since inception). As of March 31, 2021, the Company’s cash and cash equivalents were approximately $39.0 million. The Company expects the RESCUE trial to be completed during the second quarter of 2021. Based on its current operating plan, and absent any future financings or strategic partnerships, the Company believes its existing cash and cash equivalents will be sufficient to fund its current operating plan through the fourth quarter of 2022.</w:t>
      </w:r>
    </w:p>
    <w:p>
      <w:pPr>
        <w:spacing w:after="0" w:line="8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COVID-19 has resulted, and will likely continue to result, in significant governmental measures being implemented to control the spread of the virus through quarantines, travel restrictions, heightened border security and other measures. While the Company cannot predict the scope and severity, these developments and measures could materially and adversely affect its business and its financial condition. In addition, in response to the continuing spread of COVID-19, the Company has kept its executive offices closed with its employees continuing their work outside of the office. The Company is closely monitoring the impact of COVID-19 on all aspects of its business and is taking steps to minimize the impact on its business. However, the extent to which COVID-19 ultimately impacts the Company’s business, results of operations or financial condition will depend on future developments, which remain highly uncertain and cannot be predicted with confidence, such as the duration of the COVID-19 pandemic, new information that may emerge concerning the severity of COVID-19 and the effectiveness of actions taken to contain the COVID-19 pandemic or treat its impact, including vaccination campaigns, among others. Although states have quarantines and similar restrictions in place, the regulations vary on a state by state basis and the effectiveness of these restrictions and mass vaccination campaigns on slowing the spread of COVID-19 varies, making it difficult to predict what the lasting impact of the COVID-19 pandemic will be. If the Company or any of the third parties with whom it engages were to experience additional shutdowns or other prolonged business disruptions, the Company’s ability to conduct its business in the manner and on the timelines presently planned could have a material adverse impact on the Company’s business, results of operation and financial condition. In addition, a recurrence of COVID-19 cases could cause other widespread or more severe impacts depending on where infection rates are highest. The Company will continue to monitor developments as it deals with the disruptions and uncertainties relating to the COVID-19 pandemic.</w:t>
      </w:r>
    </w:p>
    <w:p>
      <w:pPr>
        <w:spacing w:after="0" w:line="204" w:lineRule="exact"/>
        <w:rPr>
          <w:sz w:val="20"/>
          <w:szCs w:val="20"/>
          <w:color w:val="auto"/>
        </w:rPr>
      </w:pPr>
    </w:p>
    <w:p>
      <w:pPr>
        <w:ind w:right="7680" w:firstLine="8"/>
        <w:spacing w:after="0" w:line="378"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289" w:lineRule="auto"/>
        <w:rPr>
          <w:sz w:val="20"/>
          <w:szCs w:val="20"/>
          <w:color w:val="auto"/>
        </w:rPr>
      </w:pPr>
      <w:r>
        <w:rPr>
          <w:rFonts w:ascii="Arial" w:cs="Arial" w:eastAsia="Arial" w:hAnsi="Arial"/>
          <w:sz w:val="16"/>
          <w:szCs w:val="16"/>
          <w:color w:val="auto"/>
        </w:rPr>
        <w:t>The unaudited condensed consolidated financial statements have been prepared in accordance with U.S. Securities and Exchange Commission (“SEC”) regulations and include all of the information and disclosures required by U.S. generally accepted accounting principles (“U.S. GAAP” or “GAAP”) for interim financial reporting, and, in the opinion of management include all adjustments necessary for a fair presentation of the results of operations, financial position, changes in stockholders’ equity and cash flows for each period presented. Any reference in these notes to applicable guidance is meant to refer to the authoritative U.S. GAAP as found in the Accounting Standards Codification (“ASC”) and Accounting Standards Updates (“ASU”) of the Financial Accounting Standards Board (“FASB”). All adjustments are of a normal and recurring in nature. These unaudited condensed consolidated financial statements should be read in conjunction with the consolidated financial statements of the Company as of and for the year ended December 31, 2020, included in the Company’s Annual Report on Form 10-K filed with the SEC on March 11, 2021. The results of operations for the interim periods are not necessarily indicative of results of operations for a full year. The Company’s condensed consolidated financial statements are stated in U.S. Dollars.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its operations and manages its business in one operating segment, which is the business of developing and commercializing proprietary therapeutics. All the assets and operations of the Company’s sole operating segment are located in the United States.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 and expenses during the reporting period. Actual results may differ from those estimates. Management considers many factors in selecting appropriate financial accounting policies and controls, and in developing the estimates and assumptions that are used in the preparation of these condensed consolidated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Estimates are used in the following areas, among others: prepaid and accrued research and development expense, stock-based compensation expense, revenue recognition and income taxes.</w:t>
      </w:r>
    </w:p>
    <w:p>
      <w:pPr>
        <w:spacing w:after="0" w:line="91"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The Company’s results can also be affected by economic conditions, global health concerns, such as the COVID-19, and political, legislative, regulatory and legal actions. Economic conditions, such as recessionary trends, inflation, interest and monetary exchange rates, government fiscal policies, and changes in the prices of research studies, can have a significant effect on operations. While the Company maintains reserves for anticipated liabilities and carries various levels of insurance, the Company could be affected by civil, criminal, regulatory or administrative actions, claims or proceedings.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Cash and cash equivalents consist of all cash on hand and short-term certificates of deposits with original maturities of three months or less at the time of purchase. At March 31, 2021 and December 31, 2020, the Company’s cash equivalents are primarily held in money market funds. The Company maintains balances with its banks in excess of federally insured limits.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At the inception of an arrangement, the Company evaluates if a counterparty to a contract is a customer, if the arrangement is within the scope of revenue from contracts with customers guidance and the term of the contract. The Company recognizes revenue when its customer obtains control of promised goods or services in a contract for an amount that reflects the consideration the Company expects to receive in exchange for those goods or services. For contracts with customers, the Company applies the following five-step model in order to determine this amount: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The Company only applies the five-step model to contracts when it is probable that the entity will collect the consideration it is entitled to in exchange for the goods or services it transfers to the customer. As part of the accounting for contracts with customers, the Company must develop assumptions that require judgment to determine the standalone selling price of each performance obligation identified in the contract. The Company then allocates the total transaction price to each performance obligation based on the estimated standalone selling prices of each performance obligation. The Company recognizes the amount of the transaction price as revenue that is allocated to the respective performance obligation when the performance obligation is satisfied or as it is satisfied.</w:t>
      </w:r>
    </w:p>
    <w:p>
      <w:pPr>
        <w:spacing w:after="0" w:line="6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Company enters into collaboration arrangements, under which it licenses certain rights to its intellectual property to third parties. The terms of these agreements may include payment to the Company of one or more of the following: nonrefundable upfront license fees; development, sale and commercial milestone payments and royalties on net sales of licensed products. Each of these types of payments are classified as license revenue except for revenue from royalties on net sales of licensed products, which are classified as royalty revenue, if received.</w:t>
      </w:r>
    </w:p>
    <w:p>
      <w:pPr>
        <w:spacing w:after="0" w:line="6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For each collaboration agreement that results in revenues, the Company identifies all material promised goods and services, which may include a license to intellectual property, research and development activities and/or transition activities. Promised goods or services are considered to be separate performance obligations if they are distinct. In order to determine the transaction price to be allocated to each performance obligation, in addition to any upfront payment, the Company estimates the amount of variable consideration at the outset of the contract either utilizing the expected value or most likely amount method, depending on the facts and circumstances relative to the contract. The Company constrains (reduces) the estimates of variable consideration such that it is probable that a significant reversal of previously recognized revenue will not occur throughout the life of the contract. When</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1" w:name="page12"/>
    <w:bookmarkEnd w:id="11"/>
    <w:p>
      <w:pPr>
        <w:jc w:val="both"/>
        <w:ind w:right="360"/>
        <w:spacing w:after="0" w:line="263" w:lineRule="auto"/>
        <w:rPr>
          <w:sz w:val="20"/>
          <w:szCs w:val="20"/>
          <w:color w:val="auto"/>
        </w:rPr>
      </w:pPr>
      <w:r>
        <w:rPr>
          <w:rFonts w:ascii="Arial" w:cs="Arial" w:eastAsia="Arial" w:hAnsi="Arial"/>
          <w:sz w:val="18"/>
          <w:szCs w:val="18"/>
          <w:color w:val="auto"/>
        </w:rPr>
        <w:t>determining if variable consideration should be constrained, management considers whether there are factors outside the Company’s control that could result in a significant reversal of revenue. In making these assessments, the Company considers the likelihood and magnitude of a potential reversal of revenue. These estimates are re-assessed each reporting period as required.</w:t>
      </w:r>
    </w:p>
    <w:p>
      <w:pPr>
        <w:spacing w:after="0" w:line="7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Once the estimated transaction price is established, amounts are allocated to the performance obligations that have been identified. The transaction price is generally allocated to each separate performance obligation on a relative standalone selling price basis. The Company must develop assumptions that require judgment to determine the standalone selling price (“SSP”) in order to account for these agreements. To determine the standalone selling price the Company’s assumptions may include (i) assumptions regarding the probability of obtaining marketing approval for the drug candidate; (ii) estimates regarding the timing of and the expected costs to develop and commercialize the drug candidate; (iii) estimates of future cash flows from potential product sales with respect to the drug candidate; and (iv) appropriate discount and tax rates. Standalone selling prices used to perform the initial allocation are not updated after contract inception. The Company does not include a financing component to its estimated transaction price at contract inception unless it estimates that certain performance obligations will not be satisfied within one year.</w:t>
      </w:r>
    </w:p>
    <w:p>
      <w:pPr>
        <w:spacing w:after="0" w:line="7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 xml:space="preserve">Upfront License and Amendment License Fees: </w:t>
      </w:r>
      <w:r>
        <w:rPr>
          <w:rFonts w:ascii="Arial" w:cs="Arial" w:eastAsia="Arial" w:hAnsi="Arial"/>
          <w:sz w:val="16"/>
          <w:szCs w:val="16"/>
          <w:color w:val="auto"/>
        </w:rPr>
        <w:t>If a license to the Company’s intellectual property is determined to be distinct from the other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identified in the arrangement, the Company recognizes revenues from nonrefundable, upfront (or one-time) license and amendment license fees based on the relative value prescribed to the license compared to the total value of the arrangement. The revenue is recognized when the cash is received or when the license is transferred to the collaborator and the collaborator is able to use and benefit from the license. For licenses that are not distinct from other obligations identified in the arrangement, the Company utilizes judgment to assess the nature of the combined performance obligation to determine whether the combined performance obligation is satisfied over time or at a point in time. If the combined performance obligation is satisfied over time, the Company applies an appropriate method of measuring progress for purposes of recognizing revenue from nonrefundable, license fees. The Company evaluates the measure of progress each reporting period and, if necessary, adjusts the measure of performance and related revenue recognition.</w:t>
      </w:r>
    </w:p>
    <w:p>
      <w:pPr>
        <w:spacing w:after="0" w:line="57"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Development Milestone Payments: </w:t>
      </w:r>
      <w:r>
        <w:rPr>
          <w:rFonts w:ascii="Arial" w:cs="Arial" w:eastAsia="Arial" w:hAnsi="Arial"/>
          <w:sz w:val="17"/>
          <w:szCs w:val="17"/>
          <w:color w:val="auto"/>
        </w:rPr>
        <w:t>Depending on facts and circumstances, the Company may conclude it is appropriate to include the milestone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transaction price using the most likely amount method or it is appropriate to fully constrain the milestone. A milestone payment is included in the transaction price in the reporting period the Company concludes that it is probable that recording revenue in the period will not result in a significant reversal in amounts recognized in future periods. The Company may record revenues from certain milestones in a reporting period before the milestone is achieved if the Company concludes that achievement of the milestone is probable and that recognition of revenue related to the milestone will not result in a significant reversal in amounts recognized in future periods. The Company records a corresponding contract asset when this conclusion is reached. Milestone payments that have not been included in the transaction price to date are fully constrained. These milestones remain fully constrained until the Company concludes that achievement of the milestone is probable and recognition of revenue related to the milestone will not result in a significant reversal in amounts recognized in future periods. The Company re-evaluates the probability of achievement of such development milestones and any related constraint each reporting period. The Company adjusts its estimate of the overall transaction price, including the amount of collaborative revenue that it has recorded, if necessary.</w:t>
      </w:r>
    </w:p>
    <w:p>
      <w:pPr>
        <w:spacing w:after="0" w:line="7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 xml:space="preserve">Sales-based Milestone and Royalty Payments: </w:t>
      </w:r>
      <w:r>
        <w:rPr>
          <w:rFonts w:ascii="Arial" w:cs="Arial" w:eastAsia="Arial" w:hAnsi="Arial"/>
          <w:sz w:val="18"/>
          <w:szCs w:val="18"/>
          <w:color w:val="auto"/>
        </w:rPr>
        <w:t>The Company’s collaborators may be required to pay the Company sales-based milestone payments or</w:t>
      </w:r>
      <w:r>
        <w:rPr>
          <w:rFonts w:ascii="Arial" w:cs="Arial" w:eastAsia="Arial" w:hAnsi="Arial"/>
          <w:sz w:val="18"/>
          <w:szCs w:val="18"/>
          <w:i w:val="1"/>
          <w:iCs w:val="1"/>
          <w:color w:val="auto"/>
        </w:rPr>
        <w:t xml:space="preserve"> </w:t>
      </w:r>
      <w:r>
        <w:rPr>
          <w:rFonts w:ascii="Arial" w:cs="Arial" w:eastAsia="Arial" w:hAnsi="Arial"/>
          <w:sz w:val="18"/>
          <w:szCs w:val="18"/>
          <w:color w:val="auto"/>
        </w:rPr>
        <w:t>royalties on future sales of commercial products. The Company recognizes revenues related to sales-based milestone and royalty payments upon the later to occur of (i) achievement of the collaborator’s underlying sales or (ii) satisfaction of any performance obligation(s) related to these sales, in each case assuming the license to the Company’s intellectual property is deemed to be the predominant item to which the sales-based milestones and/or royalties relate.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Other income represents reimbursed internal and external qualified expenses, per the terms of the U.S. Government operating through Medical Technology Enterprise Consortium (“MTEC”) arrangement. The reimbursable qualified expenses were incurred in conjunction with the RESCUE trial and the potential of subcutaneous razuprotafib for the prevention and treatment of ARDS in adult patients with moderate to severe COVID-19. During the first quarter of 2021, $1.2 million was recorded as other income during the three months ended March 31, 2021.</w:t>
      </w:r>
    </w:p>
    <w:p>
      <w:pPr>
        <w:spacing w:after="0" w:line="6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Other income is recorded, and costs are generally reimbursed, in the period the internal or external qualified clinical trial expenses are incurred, and paid, by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Grant income is recognized as earned based on contract work performed.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Research and development costs are expensed as incurred. Research and development expense consists of (i) employee-related expenses, including salaries, benefits, travel and stock-based compensation expense; (ii) external research and development expenses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2" w:name="page13"/>
    <w:bookmarkEnd w:id="12"/>
    <w:p>
      <w:pPr>
        <w:ind w:right="740"/>
        <w:spacing w:after="0" w:line="277" w:lineRule="auto"/>
        <w:rPr>
          <w:sz w:val="20"/>
          <w:szCs w:val="20"/>
          <w:color w:val="auto"/>
        </w:rPr>
      </w:pPr>
      <w:r>
        <w:rPr>
          <w:rFonts w:ascii="Arial" w:cs="Arial" w:eastAsia="Arial" w:hAnsi="Arial"/>
          <w:sz w:val="18"/>
          <w:szCs w:val="18"/>
          <w:color w:val="auto"/>
        </w:rPr>
        <w:t>incurred under arrangements with third parties, such as contract research organizations and consultants; (iii) the cost of acquiring, developing and manufacturing clinical study materials; and (iv) costs associated with clinical, preclinical and regulatory activities.</w:t>
      </w:r>
    </w:p>
    <w:p>
      <w:pPr>
        <w:spacing w:after="0" w:line="62"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Company enters into consulting, research, and other agreements with commercial firms, researchers, universities and others for the provision of goods and services. Under such agreements, the Company may pay for services on a monthly, quarterly, project or other basis. Such arrangements are generally cancellable upon reasonable notice and payment of costs incurred. Costs are considered incurred based on an evaluation of the progress to completion of specific tasks under each contract using information and data provided to the Company by its clinical sites and vendors. These costs consist of direct and indirect costs associated with specific projects, as well as fees paid to various entities that perform certain research on behalf of the Company.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Costs incurred in connection with the application for and issuances of patents are expensed as incurred.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Income taxes are recorded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which provides for deferred taxes using an asset and liability approach. The Company recognizes deferred tax assets and liabilities for the expected future tax consequences of events that have been included in the consolidated financial statements or tax returns. Deferred tax assets and liabilities are determined based on the difference between the consolidated financial statement and tax bases of assets and liabilities and for loss and credit carryforwards using enacted tax rates anticipated to be in effect for the year in which the differences are expected to reverse. Valuation allowances are provided, if, based upon the weight of available evidence, it is more likely than not that some or all of the deferred tax assets will not be realized.</w:t>
      </w:r>
    </w:p>
    <w:p>
      <w:pPr>
        <w:spacing w:after="0" w:line="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March 31, 2021 and December 31, 2020, the Company does not have any uncertain tax positions. The Company recognizes interest and penalties related to uncertain tax positions, if any exist, in income tax expense.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and Comprehensive Loss per Share Attributable to Common Stockholders</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Company’s basic net and comprehensive loss per share attributable to common stockholders is calculated by dividing the net and comprehensive loss by the weighted average number of shares of common stock outstanding for the period. The diluted net and comprehensive loss per share attributable to common stockholders is computed by adjusting the weighted average shares outstanding for the dilutive effect of common stock equivalents outstanding for the period, determined using the treasury stock method.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 xml:space="preserve">The Company accounts for its stock-based compensation awards in accordance with ASC Topic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(“ASC 718”). ASC 718 requires all stock-based payments to employees, including grants of employee stock options, to be recognized in the consolidated statements of operations and comprehensive loss based on their fair values. All the Company’s stock-based awards are subject only to service-based vesting conditions. The Company estimates the fair value of its stock-based awards using the Black-Scholes option pricing model, which requires the input of assumptions, including (a) the expected stock price volatility, (b) the calculation of expected term of the award, (c) the risk-free interest rate and (d) expected dividends.</w:t>
      </w:r>
    </w:p>
    <w:p>
      <w:pPr>
        <w:spacing w:after="0" w:line="5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Due to the historical lack of a public market for the trading of the Company’s common stock and a lack of company-specific historical and implied volatility data, the Company has based its estimate of expected volatility on the historical volatility of a group of similar companies that are publicly traded. The computation of expected volatility is based on the historical volatility of a representative group of companies with similar characteristics to the Company, including stage of product development and life science industry focus. The Company believes the group selected has sufficient similar economic and industry characteristics and includes companies that are most representative of the Company.</w:t>
      </w:r>
    </w:p>
    <w:p>
      <w:pPr>
        <w:spacing w:after="0" w:line="6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 xml:space="preserve">The Company uses the simplified method as prescribed by the SEC Staff Accounting Bulletin No. 107, </w:t>
      </w:r>
      <w:r>
        <w:rPr>
          <w:rFonts w:ascii="Arial" w:cs="Arial" w:eastAsia="Arial" w:hAnsi="Arial"/>
          <w:sz w:val="16"/>
          <w:szCs w:val="16"/>
          <w:i w:val="1"/>
          <w:iCs w:val="1"/>
          <w:color w:val="auto"/>
        </w:rPr>
        <w:t>Share-Based Payment</w:t>
      </w:r>
      <w:r>
        <w:rPr>
          <w:rFonts w:ascii="Arial" w:cs="Arial" w:eastAsia="Arial" w:hAnsi="Arial"/>
          <w:sz w:val="16"/>
          <w:szCs w:val="16"/>
          <w:color w:val="auto"/>
        </w:rPr>
        <w:t>, to calculate the expected term, as it does not have sufficient historical exercise data to provide a reasonable basis upon which to estimate the expected term for options granted to employees, and utilizes the contractual term for options granted to non-employees. The expected term is applied to the stock option grant group as a whole, as the Company does not expect substantially different exercise or post-vesting termination behavior among its employee population. The risk-free interest rate is based on a treasury instrument whose term is consistent with the expected life of the stock options.</w:t>
      </w:r>
    </w:p>
    <w:p>
      <w:pPr>
        <w:spacing w:after="0" w:line="5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Compensation expense related to awards to employees is calculated on a straight-line basis by recognizing the grant date fair value over the associated service period of the award, which is generally the vesting term.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Company’s financial instruments consist of cash and cash equivalents, accounts payable and accrued expenses. The Company values cash equivalents using quoted market prices. The fair value of accounts payable and accrued expenses approximates its carrying value because of its short-term nature.</w:t>
      </w:r>
    </w:p>
    <w:p>
      <w:pPr>
        <w:spacing w:after="0" w:line="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The Company is required to disclose information on all assets and liabilities reported at fair value that enables an assessment of the inputs used in determining the reported fair values.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establishes a hierarchy of inputs used in measuring fair value that maximizes the use of observable inputs and minimizes the use of unobservable inputs by requiring that the observable inputs be used when available.</w:t>
      </w:r>
    </w:p>
    <w:p>
      <w:pPr>
        <w:spacing w:after="0" w:line="7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applies only to the valuation inputs used in determining the reported fair value of the investments and is not a measure of the investment credit quality. The three levels of the fair value hierarchy are described below:</w:t>
      </w:r>
    </w:p>
    <w:p>
      <w:pPr>
        <w:spacing w:after="0" w:line="80" w:lineRule="exact"/>
        <w:rPr>
          <w:sz w:val="20"/>
          <w:szCs w:val="20"/>
          <w:color w:val="auto"/>
        </w:rPr>
      </w:pPr>
    </w:p>
    <w:p>
      <w:pPr>
        <w:ind w:left="880" w:right="220" w:hanging="373"/>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 Valuations based on unadjusted quoted prices in active markets for identical assets or liabilities that the Company has the ability to access at the measurement date</w:t>
      </w:r>
    </w:p>
    <w:p>
      <w:pPr>
        <w:spacing w:after="0" w:line="62" w:lineRule="exact"/>
        <w:rPr>
          <w:rFonts w:ascii="Arial" w:cs="Arial" w:eastAsia="Arial" w:hAnsi="Arial"/>
          <w:sz w:val="18"/>
          <w:szCs w:val="18"/>
          <w:color w:val="auto"/>
        </w:rPr>
      </w:pPr>
    </w:p>
    <w:p>
      <w:pPr>
        <w:ind w:left="880" w:right="160" w:hanging="373"/>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 Valuations based on quoted prices for similar assets or liabilities in markets that are not active or for which all significant inputs are observable, either directly or indirectly</w:t>
      </w:r>
    </w:p>
    <w:p>
      <w:pPr>
        <w:spacing w:after="0" w:line="62" w:lineRule="exact"/>
        <w:rPr>
          <w:rFonts w:ascii="Arial" w:cs="Arial" w:eastAsia="Arial" w:hAnsi="Arial"/>
          <w:sz w:val="18"/>
          <w:szCs w:val="18"/>
          <w:color w:val="auto"/>
        </w:rPr>
      </w:pPr>
    </w:p>
    <w:p>
      <w:pPr>
        <w:ind w:left="880" w:right="40" w:hanging="373"/>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 Valuations that require inputs that reflect the Company’s own assumptions that are both significant to the fair value measurement and unobservable</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To the extent that a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There were no transfers within the fair value hierarchy during the three months ended March 31, 2021 or 2020. The assets of the Company measured at fair value on a recurring basis as of March 31, 2021 and December 31, 2020, are summarized below:</w:t>
      </w:r>
    </w:p>
    <w:p>
      <w:pPr>
        <w:spacing w:after="0" w:line="3"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4"/>
                <w:szCs w:val="14"/>
                <w:b w:val="1"/>
                <w:bCs w:val="1"/>
                <w:color w:val="auto"/>
                <w:w w:val="98"/>
              </w:rPr>
              <w:t>Fair Value Measurements Using</w:t>
            </w: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120" w:type="dxa"/>
            <w:vAlign w:val="bottom"/>
            <w:tcBorders>
              <w:bottom w:val="single" w:sz="8" w:color="CFF0FC"/>
            </w:tcBorders>
          </w:tcPr>
          <w:p>
            <w:pPr>
              <w:spacing w:after="0"/>
              <w:rPr>
                <w:sz w:val="13"/>
                <w:szCs w:val="13"/>
                <w:color w:val="auto"/>
              </w:rPr>
            </w:pPr>
          </w:p>
        </w:tc>
        <w:tc>
          <w:tcPr>
            <w:tcW w:w="8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r>
      <w:tr>
        <w:trPr>
          <w:trHeight w:val="223"/>
        </w:trPr>
        <w:tc>
          <w:tcPr>
            <w:tcW w:w="3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March 31, 2021</w:t>
            </w: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12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Cash and cash equivalents</w:t>
            </w:r>
          </w:p>
        </w:tc>
        <w:tc>
          <w:tcPr>
            <w:tcW w:w="114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39,008,517</w:t>
            </w:r>
          </w:p>
        </w:tc>
        <w:tc>
          <w:tcPr>
            <w:tcW w:w="4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FF0FC"/>
          </w:tcPr>
          <w:p>
            <w:pPr>
              <w:ind w:left="860"/>
              <w:spacing w:after="0"/>
              <w:rPr>
                <w:sz w:val="20"/>
                <w:szCs w:val="20"/>
                <w:color w:val="auto"/>
              </w:rPr>
            </w:pPr>
            <w:r>
              <w:rPr>
                <w:rFonts w:ascii="Arial" w:cs="Arial" w:eastAsia="Arial" w:hAnsi="Arial"/>
                <w:sz w:val="18"/>
                <w:szCs w:val="18"/>
                <w:b w:val="1"/>
                <w:bCs w:val="1"/>
                <w:color w:val="auto"/>
                <w:w w:val="99"/>
              </w:rPr>
              <w:t>—</w:t>
            </w:r>
          </w:p>
        </w:tc>
        <w:tc>
          <w:tcPr>
            <w:tcW w:w="1220" w:type="dxa"/>
            <w:vAlign w:val="bottom"/>
            <w:gridSpan w:val="2"/>
            <w:shd w:val="clear" w:color="auto" w:fill="CFF0FC"/>
          </w:tcPr>
          <w:p>
            <w:pPr>
              <w:jc w:val="right"/>
              <w:ind w:right="796"/>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FF0FC"/>
          </w:tcPr>
          <w:p>
            <w:pPr>
              <w:ind w:left="120"/>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FF0FC"/>
          </w:tcPr>
          <w:p>
            <w:pPr>
              <w:ind w:left="200"/>
              <w:spacing w:after="0"/>
              <w:rPr>
                <w:sz w:val="20"/>
                <w:szCs w:val="20"/>
                <w:color w:val="auto"/>
              </w:rPr>
            </w:pPr>
            <w:r>
              <w:rPr>
                <w:rFonts w:ascii="Arial" w:cs="Arial" w:eastAsia="Arial" w:hAnsi="Arial"/>
                <w:sz w:val="18"/>
                <w:szCs w:val="18"/>
                <w:b w:val="1"/>
                <w:bCs w:val="1"/>
                <w:color w:val="auto"/>
                <w:w w:val="88"/>
              </w:rPr>
              <w:t>39,008,517</w:t>
            </w:r>
          </w:p>
        </w:tc>
        <w:tc>
          <w:tcPr>
            <w:tcW w:w="100" w:type="dxa"/>
            <w:vAlign w:val="bottom"/>
            <w:shd w:val="clear" w:color="auto" w:fill="CFF0FC"/>
          </w:tcPr>
          <w:p>
            <w:pPr>
              <w:spacing w:after="0"/>
              <w:rPr>
                <w:sz w:val="19"/>
                <w:szCs w:val="19"/>
                <w:color w:val="auto"/>
              </w:rPr>
            </w:pPr>
          </w:p>
        </w:tc>
      </w:tr>
      <w:tr>
        <w:trPr>
          <w:trHeight w:val="263"/>
        </w:trPr>
        <w:tc>
          <w:tcPr>
            <w:tcW w:w="31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assets</w:t>
            </w:r>
          </w:p>
        </w:tc>
        <w:tc>
          <w:tcPr>
            <w:tcW w:w="86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39,008,517</w:t>
            </w:r>
          </w:p>
        </w:tc>
        <w:tc>
          <w:tcPr>
            <w:tcW w:w="2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b w:val="1"/>
                <w:bCs w:val="1"/>
                <w:color w:val="auto"/>
                <w:w w:val="99"/>
              </w:rPr>
              <w:t>—</w:t>
            </w:r>
          </w:p>
        </w:tc>
        <w:tc>
          <w:tcPr>
            <w:tcW w:w="240" w:type="dxa"/>
            <w:vAlign w:val="bottom"/>
            <w:tcBorders>
              <w:bottom w:val="single" w:sz="8" w:color="CFF0FC"/>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2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w w:val="88"/>
              </w:rPr>
              <w:t>39,008,517</w:t>
            </w:r>
          </w:p>
        </w:tc>
        <w:tc>
          <w:tcPr>
            <w:tcW w:w="100" w:type="dxa"/>
            <w:vAlign w:val="bottom"/>
            <w:tcBorders>
              <w:bottom w:val="single" w:sz="8" w:color="CFF0FC"/>
            </w:tcBorders>
          </w:tcPr>
          <w:p>
            <w:pPr>
              <w:spacing w:after="0"/>
              <w:rPr>
                <w:sz w:val="22"/>
                <w:szCs w:val="22"/>
                <w:color w:val="auto"/>
              </w:rPr>
            </w:pPr>
          </w:p>
        </w:tc>
      </w:tr>
      <w:tr>
        <w:trPr>
          <w:trHeight w:val="210"/>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December 31, 2020</w:t>
            </w: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Assets:</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14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42,604,935</w:t>
            </w:r>
          </w:p>
        </w:tc>
        <w:tc>
          <w:tcPr>
            <w:tcW w:w="4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ind w:left="86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FF0FC"/>
          </w:tcPr>
          <w:p>
            <w:pPr>
              <w:jc w:val="right"/>
              <w:ind w:right="796"/>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ind w:left="200"/>
              <w:spacing w:after="0"/>
              <w:rPr>
                <w:sz w:val="20"/>
                <w:szCs w:val="20"/>
                <w:color w:val="auto"/>
              </w:rPr>
            </w:pPr>
            <w:r>
              <w:rPr>
                <w:rFonts w:ascii="Arial" w:cs="Arial" w:eastAsia="Arial" w:hAnsi="Arial"/>
                <w:sz w:val="18"/>
                <w:szCs w:val="18"/>
                <w:color w:val="auto"/>
                <w:w w:val="88"/>
              </w:rPr>
              <w:t>42,604,935</w:t>
            </w:r>
          </w:p>
        </w:tc>
        <w:tc>
          <w:tcPr>
            <w:tcW w:w="100" w:type="dxa"/>
            <w:vAlign w:val="bottom"/>
            <w:shd w:val="clear" w:color="auto" w:fill="CFF0FC"/>
          </w:tcPr>
          <w:p>
            <w:pPr>
              <w:spacing w:after="0"/>
              <w:rPr>
                <w:sz w:val="19"/>
                <w:szCs w:val="19"/>
                <w:color w:val="auto"/>
              </w:rPr>
            </w:pPr>
          </w:p>
        </w:tc>
      </w:tr>
      <w:tr>
        <w:trPr>
          <w:trHeight w:val="223"/>
        </w:trPr>
        <w:tc>
          <w:tcPr>
            <w:tcW w:w="3120" w:type="dxa"/>
            <w:vAlign w:val="bottom"/>
          </w:tcPr>
          <w:p>
            <w:pPr>
              <w:spacing w:after="0"/>
              <w:rPr>
                <w:sz w:val="20"/>
                <w:szCs w:val="20"/>
                <w:color w:val="auto"/>
              </w:rPr>
            </w:pPr>
            <w:r>
              <w:rPr>
                <w:rFonts w:ascii="Arial" w:cs="Arial" w:eastAsia="Arial" w:hAnsi="Arial"/>
                <w:sz w:val="18"/>
                <w:szCs w:val="18"/>
                <w:color w:val="auto"/>
              </w:rPr>
              <w:t>Total assets</w:t>
            </w:r>
          </w:p>
        </w:tc>
        <w:tc>
          <w:tcPr>
            <w:tcW w:w="8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42,604,935</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88"/>
              </w:rPr>
              <w:t>42,604,935</w:t>
            </w:r>
          </w:p>
        </w:tc>
        <w:tc>
          <w:tcPr>
            <w:tcW w:w="100" w:type="dxa"/>
            <w:vAlign w:val="bottom"/>
          </w:tcPr>
          <w:p>
            <w:pPr>
              <w:spacing w:after="0"/>
              <w:rPr>
                <w:sz w:val="19"/>
                <w:szCs w:val="19"/>
                <w:color w:val="auto"/>
              </w:rPr>
            </w:pPr>
          </w:p>
        </w:tc>
      </w:tr>
      <w:tr>
        <w:trPr>
          <w:trHeight w:val="20"/>
        </w:trPr>
        <w:tc>
          <w:tcPr>
            <w:tcW w:w="3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 and Off-Balance Sheet Risk</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Cash and cash equivalents are the only financial instruments that potentially subject the Company to concentrations of credit risk. At March 31, 2021 and December 31, 2020, the Company maintains its cash and cash equivalents with high-quality, accredited financial institutions and, accordingly, such funds are subject to minimal credit risk. The Company has no significant off-balance sheet concentrations of credit risk, such as foreign currency exchange contracts, option contracts or other hedging arrangements.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Comprehensive loss is defined as the change in equity of a business enterprise during a period from transactions and other events and circumstances from non-owner sources, if any. Comprehensive loss equaled net loss for all periods presented.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Furniture and Equipment</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Furniture and equipment is stated at cost, less accumulated depreciation. Furniture and equipment is depreciated using the straight-line method over the estimated useful lives of the assets, generally three to seven years. Such costs are periodically reviewed for recoverability when impairment indicators are present. Such indicators include, among other factors: operating losses, unused capacity, market value declines, and technological obsolescence. Recorded values of asset groups of furniture and equipment that are not expected to be recovered through undiscounted future net cash flows are written down to current fair value, which generally is determined from estimated discounted future net cash flows (assets held for use) or net realizable value (assets held for sale).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At the inception of an arrangement the Company determines whether the arrangement is or contains a lease based on the circumstances present. All leases with a term greater than one year are recognized on the condensed consolidated balance sheet as right-of-use assets, lease liabilities and, if applicable, long-term lease liabilities. The Company has elected not to recognize on the condensed consolidated balance sheet leases with terms of one-year or less if entered into. Lease liabilities and their corresponding right-of-use assets are recorded based on the present value of lease payments over the expected lease term. The interest rate implicit in lease contracts is typically not readily determinable. As such, the Company utilizes the appropriate incremental borrowing rate, which is the rate incurred to borrow on a collateralized basis over a similar term an amount equal to the lease payments in a similar economic environment. Certain adjustments to the right-of-use asset may be required for items such as initial direct costs paid or incentives received.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No new accounting pronouncement have been recently issued or newly effective which would have or be expected to have a material impact on the Company’s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Accounts Payable and 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expenses are as follows: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right"/>
              <w:ind w:right="453"/>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2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Restructuring accrual (see Note 11)</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1,107,205</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458,658</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523,037</w:t>
            </w:r>
          </w:p>
        </w:tc>
        <w:tc>
          <w:tcPr>
            <w:tcW w:w="100" w:type="dxa"/>
            <w:vAlign w:val="bottom"/>
          </w:tcPr>
          <w:p>
            <w:pPr>
              <w:spacing w:after="0"/>
              <w:rPr>
                <w:sz w:val="19"/>
                <w:szCs w:val="19"/>
                <w:color w:val="auto"/>
              </w:rPr>
            </w:pP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220,352</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444,534</w:t>
            </w:r>
          </w:p>
        </w:tc>
        <w:tc>
          <w:tcPr>
            <w:tcW w:w="10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Accrued project costs</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159,312</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328,463</w:t>
            </w:r>
          </w:p>
        </w:tc>
        <w:tc>
          <w:tcPr>
            <w:tcW w:w="10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Accrued retention bonus</w:t>
            </w: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90,384</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Accrued vacation</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18,487</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48,107</w:t>
            </w:r>
          </w:p>
        </w:tc>
        <w:tc>
          <w:tcPr>
            <w:tcW w:w="10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Accrued bonus</w:t>
            </w: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428,683</w:t>
            </w:r>
          </w:p>
        </w:tc>
        <w:tc>
          <w:tcPr>
            <w:tcW w:w="100" w:type="dxa"/>
            <w:vAlign w:val="bottom"/>
            <w:shd w:val="clear" w:color="auto" w:fill="CFF0FC"/>
          </w:tcPr>
          <w:p>
            <w:pPr>
              <w:spacing w:after="0"/>
              <w:rPr>
                <w:sz w:val="19"/>
                <w:szCs w:val="19"/>
                <w:color w:val="auto"/>
              </w:rPr>
            </w:pPr>
          </w:p>
        </w:tc>
      </w:tr>
      <w:tr>
        <w:trPr>
          <w:trHeight w:val="229"/>
        </w:trPr>
        <w:tc>
          <w:tcPr>
            <w:tcW w:w="6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35,633</w:t>
            </w:r>
          </w:p>
        </w:tc>
        <w:tc>
          <w:tcPr>
            <w:tcW w:w="3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26,547</w:t>
            </w:r>
          </w:p>
        </w:tc>
        <w:tc>
          <w:tcPr>
            <w:tcW w:w="100" w:type="dxa"/>
            <w:vAlign w:val="bottom"/>
            <w:tcBorders>
              <w:bottom w:val="single" w:sz="8" w:color="CFF0FC"/>
            </w:tcBorders>
          </w:tcPr>
          <w:p>
            <w:pPr>
              <w:spacing w:after="0"/>
              <w:rPr>
                <w:sz w:val="19"/>
                <w:szCs w:val="19"/>
                <w:color w:val="auto"/>
              </w:rPr>
            </w:pPr>
          </w:p>
        </w:tc>
      </w:tr>
      <w:tr>
        <w:trPr>
          <w:trHeight w:val="223"/>
        </w:trPr>
        <w:tc>
          <w:tcPr>
            <w:tcW w:w="6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accounts payable and accrued expenses</w:t>
            </w: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2,090,031</w:t>
            </w:r>
          </w:p>
        </w:tc>
        <w:tc>
          <w:tcPr>
            <w:tcW w:w="3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1,799,371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Common Stock</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2021 and December 31, 2020, the Company had 300,000,000 shares of authorized common stock with par value of $0.0001 per share.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common stock has the following characteristics: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holders of common stock are entitled to one vote for each share of common stock held at all meetings of stockholders and written actions in lieu of meetings.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holders of common stock are entitled to receive dividends, if and when declared by the board of directors of the Company (the “Board of Directors”).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Since the Company’s inception, no dividends have been declared or paid to the holders of common stock.</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w:t>
      </w:r>
    </w:p>
    <w:p>
      <w:pPr>
        <w:spacing w:after="0" w:line="117" w:lineRule="exact"/>
        <w:rPr>
          <w:sz w:val="20"/>
          <w:szCs w:val="20"/>
          <w:color w:val="auto"/>
        </w:rPr>
      </w:pPr>
    </w:p>
    <w:p>
      <w:pPr>
        <w:ind w:right="420"/>
        <w:spacing w:after="0" w:line="308" w:lineRule="auto"/>
        <w:rPr>
          <w:sz w:val="20"/>
          <w:szCs w:val="20"/>
          <w:color w:val="auto"/>
        </w:rPr>
      </w:pPr>
      <w:r>
        <w:rPr>
          <w:rFonts w:ascii="Arial" w:cs="Arial" w:eastAsia="Arial" w:hAnsi="Arial"/>
          <w:sz w:val="18"/>
          <w:szCs w:val="18"/>
          <w:color w:val="auto"/>
        </w:rPr>
        <w:t>In the event of any voluntary or involuntary liquidation, dissolution, or winding-up of the Company, the holders of common stock are entitled to share ratably in the Company’s assets.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 to Purchase Common Stock</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had warrants outstanding for the purchase of 600,000 shares of the Company’s common stock at March 31, 2021 and December 31, 2020. In October 2019, the Company issued warrants for the purchase of 600,000 shares of the Company’s common stock at an exercise price of $0.486 per share in connection with the hiring of a strategic advisor consultant for a six-month period. These warrants vested in equal monthly installments over a six-month period beginning October 14, 2019 and expire on October 24, 2024. At the date of grant the fair value of these awards was determined using a Black-Scholes Merton pricing model.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5" w:name="page16"/>
    <w:bookmarkEnd w:id="15"/>
    <w:p>
      <w:pPr>
        <w:ind w:right="160"/>
        <w:spacing w:after="0" w:line="313" w:lineRule="auto"/>
        <w:rPr>
          <w:sz w:val="20"/>
          <w:szCs w:val="20"/>
          <w:color w:val="auto"/>
        </w:rPr>
      </w:pPr>
      <w:r>
        <w:rPr>
          <w:rFonts w:ascii="Arial" w:cs="Arial" w:eastAsia="Arial" w:hAnsi="Arial"/>
          <w:sz w:val="16"/>
          <w:szCs w:val="16"/>
          <w:color w:val="auto"/>
        </w:rPr>
        <w:t>The number of shares and the exercise price shall be adjusted for standard anti-dilution events such as stock splits, combinations, reorganizations, or issue shares as part of a stock dividend. Upon a change of control, the warrant holder will have the right to receive securities, cash or other properties it would have been entitled to receive had the warrant been exercised. The warrants are equity classified instruments and do not contain contingent exercise provisions, or other features, that would preclude the Company from concluding that the warrants are indexed solely to the Company’s common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Preferred Stock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2021 and December 31, 2020, the Company had 10,000,000 shares of preferred stock, par value $0.0001 per share, in authorized capital.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 preferred stock was issued and outstanding at March 31, 2021 and 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Stock-Based Compensation</w:t>
      </w:r>
    </w:p>
    <w:p>
      <w:pPr>
        <w:spacing w:after="0" w:line="121"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In March 2017, the Company’s Board of Directors adopted, and the stockholders approved, the 2017 Stock Option and Incentive Plan (the “2017 Plan”), that became effective in April 2017. The 2017 Plan provides for the issuance of incentive awards up to 4,600,000 shares of common stock to officers, employees, consultants and directors, less the number of shares subject to issued and outstanding awards under the 2011 Plan that were assumed in the Merger. The 2017 Plan also provides that the number of shares reserved for issuance thereunder will be increased annually on the first day of each year beginning in 2018 by four percent (4%) of the shares of our common stock outstanding on the last day of the immediately preceding year or such smaller increase as determined by our Board of Directors. In January 2021, the Company’s Board of Directors approved a 4% increase adding 1,890,052 shares to the 2017 Plan, which was effective as of January 1, 2021.</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The options granted generally vest over 48 months. Under the 2017 Plan, options vest in installments of 25% at the one-year anniversary and thereafter in 36 equal monthly installments beginning on the 1</w:t>
      </w:r>
      <w:r>
        <w:rPr>
          <w:rFonts w:ascii="Arial" w:cs="Arial" w:eastAsia="Arial" w:hAnsi="Arial"/>
          <w:sz w:val="15"/>
          <w:szCs w:val="15"/>
          <w:color w:val="auto"/>
        </w:rPr>
        <w:t>st</w:t>
      </w:r>
      <w:r>
        <w:rPr>
          <w:rFonts w:ascii="Arial" w:cs="Arial" w:eastAsia="Arial" w:hAnsi="Arial"/>
          <w:sz w:val="18"/>
          <w:szCs w:val="18"/>
          <w:color w:val="auto"/>
        </w:rPr>
        <w:t xml:space="preserve"> of the month after the one-year anniversary date, subject to the employee’s continuous service with the Company. In May 2019, the Company issued a special retention grant of options to purchase an aggregate of 2,419,050 shares of common stock which vest in installments of 50% at June 30, 2020 and 50% at June 30, 2021, subject to the employee’s continuous service with the Company. The options generally expire ten years after the date of grant. The fair value of the options at the date of grant is recognized as an expense over the requisite service period. During the three months ended March 31, 2021 and 2020, option awards to purchase an aggregate of 71,428 and 702,000 shares of common stock were granted, respectively.</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2021 and December 31, 2020, 5,530,530 and 3,634,905 shares were reserved for issuance under the 2017 Plan,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stock option activity during the three months ended March 31, 2021: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3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4"/>
                <w:szCs w:val="14"/>
                <w:color w:val="auto"/>
              </w:rPr>
            </w:pPr>
          </w:p>
        </w:tc>
        <w:tc>
          <w:tcPr>
            <w:tcW w:w="146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Aggregate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3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Option</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Exercise</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Intrinsic</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Price</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4"/>
              </w:rPr>
              <w:t>Term (in Years)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January 1, 2021</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4,642,240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24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358,209</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71,428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1.46</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(78,769)</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0.89</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00" w:type="dxa"/>
            <w:vAlign w:val="bottom"/>
          </w:tcPr>
          <w:p>
            <w:pPr>
              <w:ind w:left="240"/>
              <w:spacing w:after="0"/>
              <w:rPr>
                <w:sz w:val="20"/>
                <w:szCs w:val="20"/>
                <w:color w:val="auto"/>
              </w:rPr>
            </w:pPr>
            <w:r>
              <w:rPr>
                <w:rFonts w:ascii="Arial" w:cs="Arial" w:eastAsia="Arial" w:hAnsi="Arial"/>
                <w:sz w:val="18"/>
                <w:szCs w:val="18"/>
                <w:color w:val="auto"/>
              </w:rPr>
              <w:t>Expired/cancelled</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(149,573)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March 31, 2021</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4,485,326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1,016,074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00" w:type="dxa"/>
            <w:vAlign w:val="bottom"/>
            <w:vMerge w:val="restart"/>
          </w:tcPr>
          <w:p>
            <w:pPr>
              <w:spacing w:after="0"/>
              <w:rPr>
                <w:sz w:val="20"/>
                <w:szCs w:val="20"/>
                <w:color w:val="auto"/>
              </w:rPr>
            </w:pPr>
            <w:r>
              <w:rPr>
                <w:rFonts w:ascii="Arial" w:cs="Arial" w:eastAsia="Arial" w:hAnsi="Arial"/>
                <w:sz w:val="18"/>
                <w:szCs w:val="18"/>
                <w:color w:val="auto"/>
              </w:rPr>
              <w:t>Expected to vest, March 31, 2021</w:t>
            </w: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400" w:type="dxa"/>
            <w:vAlign w:val="bottom"/>
            <w:vMerge w:val="continue"/>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1,859,530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24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240" w:type="dxa"/>
            <w:vAlign w:val="bottom"/>
          </w:tcPr>
          <w:p>
            <w:pPr>
              <w:spacing w:after="0"/>
              <w:rPr>
                <w:sz w:val="18"/>
                <w:szCs w:val="18"/>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563,260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exercisable, March 31, 2021</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2,625,796</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w:t>
            </w:r>
          </w:p>
        </w:tc>
        <w:tc>
          <w:tcPr>
            <w:tcW w:w="4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452,814</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83"/>
        </w:trPr>
        <w:tc>
          <w:tcPr>
            <w:tcW w:w="5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200" w:type="dxa"/>
            <w:vAlign w:val="bottom"/>
          </w:tcPr>
          <w:p>
            <w:pPr>
              <w:jc w:val="right"/>
              <w:ind w:right="375"/>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4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16" w:name="page17"/>
    <w:bookmarkEnd w:id="16"/>
    <w:p>
      <w:pPr>
        <w:spacing w:after="0" w:line="277" w:lineRule="auto"/>
        <w:rPr>
          <w:sz w:val="20"/>
          <w:szCs w:val="20"/>
          <w:color w:val="auto"/>
        </w:rPr>
      </w:pPr>
      <w:r>
        <w:rPr>
          <w:rFonts w:ascii="Arial" w:cs="Arial" w:eastAsia="Arial" w:hAnsi="Arial"/>
          <w:sz w:val="18"/>
          <w:szCs w:val="18"/>
          <w:color w:val="auto"/>
        </w:rPr>
        <w:t>Aggregate intrinsic value represents the estimated fair value of the Company’s common stock at in excess of the weighted average exercise price multiplied by the number of options outstanding or exercisable.</w:t>
      </w:r>
    </w:p>
    <w:p>
      <w:pPr>
        <w:spacing w:after="0" w:line="6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As of March 31, 2021, there was $1,126,603 of unrecognized compensation cost related to stock options, which is expected to be recognized over a weighted average period of 1.51 years.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Awards</w:t>
      </w:r>
    </w:p>
    <w:p>
      <w:pPr>
        <w:spacing w:after="0" w:line="117"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On March 31, 2021 the Company’s non-employee directors were awarded 41,394 shares of the Company’s common stock at the fair market value of $1.29. The awards were in the form of Unrestricted Stock Awards (as defined in the 2017 Plan) equal to the quarterly cash retainer payable to such directors under the Company’s non-employee director compensation policy currently in effect divided by the average closing price of the Company’s common stock on the Nasdaq Capital Market during the quarter ending March 31, 2021.</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Expense Summary</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 recognized the following compensation cost related to employee and non-employee stock-based compensation activity for the periods presented:</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March 31,</w:t>
            </w:r>
          </w:p>
        </w:tc>
      </w:tr>
      <w:tr>
        <w:trPr>
          <w:trHeight w:val="171"/>
        </w:trPr>
        <w:tc>
          <w:tcPr>
            <w:tcW w:w="51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108,014</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131,678</w:t>
            </w:r>
          </w:p>
        </w:tc>
        <w:tc>
          <w:tcPr>
            <w:tcW w:w="80" w:type="dxa"/>
            <w:vAlign w:val="bottom"/>
            <w:shd w:val="clear" w:color="auto" w:fill="CFF0FC"/>
          </w:tcPr>
          <w:p>
            <w:pPr>
              <w:spacing w:after="0"/>
              <w:rPr>
                <w:sz w:val="19"/>
                <w:szCs w:val="19"/>
                <w:color w:val="auto"/>
              </w:rPr>
            </w:pPr>
          </w:p>
        </w:tc>
      </w:tr>
      <w:tr>
        <w:trPr>
          <w:trHeight w:val="230"/>
        </w:trPr>
        <w:tc>
          <w:tcPr>
            <w:tcW w:w="5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237,742</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195,789</w:t>
            </w:r>
          </w:p>
        </w:tc>
        <w:tc>
          <w:tcPr>
            <w:tcW w:w="80" w:type="dxa"/>
            <w:vAlign w:val="bottom"/>
            <w:tcBorders>
              <w:bottom w:val="single" w:sz="8" w:color="CFF0FC"/>
            </w:tcBorders>
          </w:tcPr>
          <w:p>
            <w:pPr>
              <w:spacing w:after="0"/>
              <w:rPr>
                <w:sz w:val="19"/>
                <w:szCs w:val="19"/>
                <w:color w:val="auto"/>
              </w:rPr>
            </w:pPr>
          </w:p>
        </w:tc>
      </w:tr>
      <w:tr>
        <w:trPr>
          <w:trHeight w:val="223"/>
        </w:trPr>
        <w:tc>
          <w:tcPr>
            <w:tcW w:w="5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345,756</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327,467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total R&amp;D expense of $108,014 was related to stock options. The total G&amp;A expense of $237,742 consisted of $53,398 from stock awards and $184,344 from stock options.</w:t>
      </w:r>
    </w:p>
    <w:p>
      <w:pPr>
        <w:spacing w:after="0" w:line="6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uses the Black-Scholes option pricing model to determine the estimated fair value for stock-based awards. Option pricing and models require the input of various assumptions, including the option’s expected life, expected dividend yield, price volatility and risk-free interest rate of the underlying stock. Accordingly, the weighted-average fair value of the options granted during the three months ended March 31, 2021 and 2020 was $0.89 and $0.31 per share, respectively. The calculation was based on the following assumptions.</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3500" w:type="dxa"/>
            <w:vAlign w:val="bottom"/>
            <w:gridSpan w:val="4"/>
          </w:tcPr>
          <w:p>
            <w:pPr>
              <w:ind w:left="720"/>
              <w:spacing w:after="0"/>
              <w:rPr>
                <w:sz w:val="20"/>
                <w:szCs w:val="20"/>
                <w:color w:val="auto"/>
              </w:rPr>
            </w:pPr>
            <w:r>
              <w:rPr>
                <w:rFonts w:ascii="Arial" w:cs="Arial" w:eastAsia="Arial" w:hAnsi="Arial"/>
                <w:sz w:val="14"/>
                <w:szCs w:val="14"/>
                <w:b w:val="1"/>
                <w:bCs w:val="1"/>
                <w:color w:val="auto"/>
              </w:rPr>
              <w:t>Three Months Ended March 31,</w:t>
            </w:r>
          </w:p>
        </w:tc>
      </w:tr>
      <w:tr>
        <w:trPr>
          <w:trHeight w:val="171"/>
        </w:trPr>
        <w:tc>
          <w:tcPr>
            <w:tcW w:w="6600" w:type="dxa"/>
            <w:vAlign w:val="bottom"/>
            <w:tcBorders>
              <w:bottom w:val="single" w:sz="8" w:color="CFF0FC"/>
            </w:tcBorders>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280" w:type="dxa"/>
            <w:vAlign w:val="bottom"/>
            <w:tcBorders>
              <w:bottom w:val="single" w:sz="8" w:color="CFF0FC"/>
            </w:tcBorders>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1560" w:type="dxa"/>
            <w:vAlign w:val="bottom"/>
            <w:shd w:val="clear" w:color="auto" w:fill="CFF0FC"/>
          </w:tcPr>
          <w:p>
            <w:pPr>
              <w:jc w:val="right"/>
              <w:ind w:right="496"/>
              <w:spacing w:after="0"/>
              <w:rPr>
                <w:sz w:val="20"/>
                <w:szCs w:val="20"/>
                <w:color w:val="auto"/>
              </w:rPr>
            </w:pPr>
            <w:r>
              <w:rPr>
                <w:rFonts w:ascii="Arial" w:cs="Arial" w:eastAsia="Arial" w:hAnsi="Arial"/>
                <w:sz w:val="18"/>
                <w:szCs w:val="18"/>
                <w:color w:val="auto"/>
              </w:rPr>
              <w:t>5.31</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494"/>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0.50%</w:t>
            </w:r>
          </w:p>
        </w:tc>
        <w:tc>
          <w:tcPr>
            <w:tcW w:w="28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0.59%</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5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74.16%</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67.33%</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28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00" w:type="dxa"/>
            <w:vAlign w:val="bottom"/>
          </w:tcPr>
          <w:p>
            <w:pPr>
              <w:spacing w:after="0"/>
              <w:rPr>
                <w:sz w:val="20"/>
                <w:szCs w:val="20"/>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2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Company did not record a current or deferred income tax expense or benefit for the three months ended March 31, 2021 and 2020, due to the Company’s net and comprehensive losses and increases in its deferred tax asset valuation allowance.</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8. Net and Comprehensive Loss per Share Attributable to Common Stockholders</w:t>
      </w:r>
    </w:p>
    <w:p>
      <w:pPr>
        <w:spacing w:after="0" w:line="12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following table sets forth the computation of the Company’s basic and diluted net and comprehensive loss per share attributable to common stockholders for the periods presented:</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71"/>
        </w:trPr>
        <w:tc>
          <w:tcPr>
            <w:tcW w:w="5200" w:type="dxa"/>
            <w:vAlign w:val="bottom"/>
            <w:tcBorders>
              <w:bottom w:val="single" w:sz="8" w:color="CFF0FC"/>
            </w:tcBorders>
          </w:tcPr>
          <w:p>
            <w:pPr>
              <w:spacing w:after="0"/>
              <w:rPr>
                <w:sz w:val="14"/>
                <w:szCs w:val="14"/>
                <w:color w:val="auto"/>
              </w:rPr>
            </w:pPr>
          </w:p>
        </w:tc>
        <w:tc>
          <w:tcPr>
            <w:tcW w:w="110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Net and comprehensive loss attributable to common</w:t>
            </w:r>
          </w:p>
        </w:tc>
        <w:tc>
          <w:tcPr>
            <w:tcW w:w="1500" w:type="dxa"/>
            <w:vAlign w:val="bottom"/>
            <w:gridSpan w:val="2"/>
            <w:vMerge w:val="restart"/>
            <w:shd w:val="clear" w:color="auto" w:fill="CFF0FC"/>
          </w:tcPr>
          <w:p>
            <w:pPr>
              <w:jc w:val="right"/>
              <w:ind w:right="320"/>
              <w:spacing w:after="0"/>
              <w:rPr>
                <w:sz w:val="20"/>
                <w:szCs w:val="20"/>
                <w:color w:val="auto"/>
              </w:rPr>
            </w:pPr>
            <w:r>
              <w:rPr>
                <w:rFonts w:ascii="Arial" w:cs="Arial" w:eastAsia="Arial" w:hAnsi="Arial"/>
                <w:sz w:val="18"/>
                <w:szCs w:val="18"/>
                <w:b w:val="1"/>
                <w:bCs w:val="1"/>
                <w:color w:val="auto"/>
              </w:rPr>
              <w:t>$</w:t>
            </w:r>
          </w:p>
        </w:tc>
        <w:tc>
          <w:tcPr>
            <w:tcW w:w="158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(4,441,739)</w:t>
            </w: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stockholders</w:t>
            </w:r>
          </w:p>
        </w:tc>
        <w:tc>
          <w:tcPr>
            <w:tcW w:w="1500" w:type="dxa"/>
            <w:vAlign w:val="bottom"/>
            <w:gridSpan w:val="2"/>
            <w:vMerge w:val="continue"/>
            <w:shd w:val="clear" w:color="auto" w:fill="CFF0FC"/>
          </w:tcPr>
          <w:p>
            <w:pPr>
              <w:spacing w:after="0"/>
              <w:rPr>
                <w:sz w:val="20"/>
                <w:szCs w:val="20"/>
                <w:color w:val="auto"/>
              </w:rPr>
            </w:pPr>
          </w:p>
        </w:tc>
        <w:tc>
          <w:tcPr>
            <w:tcW w:w="1580" w:type="dxa"/>
            <w:vAlign w:val="bottom"/>
            <w:gridSpan w:val="2"/>
            <w:vMerge w:val="continue"/>
            <w:shd w:val="clear" w:color="auto" w:fill="CFF0FC"/>
          </w:tcPr>
          <w:p>
            <w:pPr>
              <w:spacing w:after="0"/>
              <w:rPr>
                <w:sz w:val="20"/>
                <w:szCs w:val="20"/>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(3,918,663)</w:t>
            </w:r>
          </w:p>
        </w:tc>
        <w:tc>
          <w:tcPr>
            <w:tcW w:w="0" w:type="dxa"/>
            <w:vAlign w:val="bottom"/>
          </w:tcPr>
          <w:p>
            <w:pPr>
              <w:spacing w:after="0"/>
              <w:rPr>
                <w:sz w:val="1"/>
                <w:szCs w:val="1"/>
                <w:color w:val="auto"/>
              </w:rPr>
            </w:pPr>
          </w:p>
        </w:tc>
      </w:tr>
      <w:tr>
        <w:trPr>
          <w:trHeight w:val="20"/>
        </w:trPr>
        <w:tc>
          <w:tcPr>
            <w:tcW w:w="520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used in computing</w:t>
            </w:r>
          </w:p>
        </w:tc>
        <w:tc>
          <w:tcPr>
            <w:tcW w:w="1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loss per share attributable to common stockholders,</w:t>
            </w:r>
          </w:p>
        </w:tc>
        <w:tc>
          <w:tcPr>
            <w:tcW w:w="1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47,282,322</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basic and diluted</w:t>
            </w:r>
          </w:p>
        </w:tc>
        <w:tc>
          <w:tcPr>
            <w:tcW w:w="110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vMerge w:val="continue"/>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40,588,004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Net and comprehensive loss per share attributable to</w:t>
            </w:r>
          </w:p>
        </w:tc>
        <w:tc>
          <w:tcPr>
            <w:tcW w:w="1500" w:type="dxa"/>
            <w:vAlign w:val="bottom"/>
            <w:gridSpan w:val="2"/>
            <w:vMerge w:val="restart"/>
            <w:shd w:val="clear" w:color="auto" w:fill="CFF0FC"/>
          </w:tcPr>
          <w:p>
            <w:pPr>
              <w:jc w:val="right"/>
              <w:ind w:right="320"/>
              <w:spacing w:after="0"/>
              <w:rPr>
                <w:sz w:val="20"/>
                <w:szCs w:val="20"/>
                <w:color w:val="auto"/>
              </w:rPr>
            </w:pPr>
            <w:r>
              <w:rPr>
                <w:rFonts w:ascii="Arial" w:cs="Arial" w:eastAsia="Arial" w:hAnsi="Arial"/>
                <w:sz w:val="18"/>
                <w:szCs w:val="18"/>
                <w:b w:val="1"/>
                <w:bCs w:val="1"/>
                <w:color w:val="auto"/>
              </w:rPr>
              <w:t>$</w:t>
            </w:r>
          </w:p>
        </w:tc>
        <w:tc>
          <w:tcPr>
            <w:tcW w:w="158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(0.09)</w:t>
            </w: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stockholder, basic and diluted</w:t>
            </w:r>
          </w:p>
        </w:tc>
        <w:tc>
          <w:tcPr>
            <w:tcW w:w="1500" w:type="dxa"/>
            <w:vAlign w:val="bottom"/>
            <w:gridSpan w:val="2"/>
            <w:vMerge w:val="continue"/>
            <w:shd w:val="clear" w:color="auto" w:fill="CFF0FC"/>
          </w:tcPr>
          <w:p>
            <w:pPr>
              <w:spacing w:after="0"/>
              <w:rPr>
                <w:sz w:val="20"/>
                <w:szCs w:val="20"/>
                <w:color w:val="auto"/>
              </w:rPr>
            </w:pPr>
          </w:p>
        </w:tc>
        <w:tc>
          <w:tcPr>
            <w:tcW w:w="1580" w:type="dxa"/>
            <w:vAlign w:val="bottom"/>
            <w:gridSpan w:val="2"/>
            <w:vMerge w:val="continue"/>
            <w:shd w:val="clear" w:color="auto" w:fill="CFF0FC"/>
          </w:tcPr>
          <w:p>
            <w:pPr>
              <w:spacing w:after="0"/>
              <w:rPr>
                <w:sz w:val="20"/>
                <w:szCs w:val="20"/>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520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Holders of non-vested stock-based compensation awards do not have voting rights.</w:t>
      </w:r>
    </w:p>
    <w:p>
      <w:pPr>
        <w:spacing w:after="0" w:line="11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following weighted average common stock equivalents were excluded from the calculation of basic and diluted net and comprehensive loss per share attributable to common stockholders for the periods presented because including them would have had an anti-dilutive effect:</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2780" w:type="dxa"/>
            <w:vAlign w:val="bottom"/>
            <w:gridSpan w:val="3"/>
          </w:tcPr>
          <w:p>
            <w:pPr>
              <w:jc w:val="right"/>
              <w:ind w:right="356"/>
              <w:spacing w:after="0"/>
              <w:rPr>
                <w:sz w:val="20"/>
                <w:szCs w:val="20"/>
                <w:color w:val="auto"/>
              </w:rPr>
            </w:pPr>
            <w:r>
              <w:rPr>
                <w:rFonts w:ascii="Arial" w:cs="Arial" w:eastAsia="Arial" w:hAnsi="Arial"/>
                <w:sz w:val="14"/>
                <w:szCs w:val="14"/>
                <w:b w:val="1"/>
                <w:bCs w:val="1"/>
                <w:color w:val="auto"/>
              </w:rPr>
              <w:t>Three Months Ended March 31,</w:t>
            </w:r>
          </w:p>
        </w:tc>
      </w:tr>
      <w:tr>
        <w:trPr>
          <w:trHeight w:val="171"/>
        </w:trPr>
        <w:tc>
          <w:tcPr>
            <w:tcW w:w="5080" w:type="dxa"/>
            <w:vAlign w:val="bottom"/>
            <w:tcBorders>
              <w:bottom w:val="single" w:sz="8" w:color="CFF0FC"/>
            </w:tcBorders>
          </w:tcPr>
          <w:p>
            <w:pPr>
              <w:spacing w:after="0"/>
              <w:rPr>
                <w:sz w:val="14"/>
                <w:szCs w:val="14"/>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c>
          <w:tcPr>
            <w:tcW w:w="13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4,485,326</w:t>
            </w: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4,771,960</w:t>
            </w:r>
          </w:p>
        </w:tc>
      </w:tr>
      <w:tr>
        <w:trPr>
          <w:trHeight w:val="234"/>
        </w:trPr>
        <w:tc>
          <w:tcPr>
            <w:tcW w:w="5080" w:type="dxa"/>
            <w:vAlign w:val="bottom"/>
          </w:tcPr>
          <w:p>
            <w:pPr>
              <w:spacing w:after="0"/>
              <w:rPr>
                <w:sz w:val="20"/>
                <w:szCs w:val="20"/>
                <w:color w:val="auto"/>
              </w:rPr>
            </w:pPr>
            <w:r>
              <w:rPr>
                <w:rFonts w:ascii="Arial" w:cs="Arial" w:eastAsia="Arial" w:hAnsi="Arial"/>
                <w:sz w:val="18"/>
                <w:szCs w:val="18"/>
                <w:color w:val="auto"/>
              </w:rPr>
              <w:t>Warrants to purchase common stock</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600,000</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600,000</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Stock Purchase Plan</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March 2017, the Board of Directors adopted and the stockholders approved the Employee Stock Purchase Plan that became effective in April 2017. On June 20, 2018, the Company’s stockholders approved the Amended and Restated 2017 Employee Stock Purchase Plan (the “ESPP”) at the 2018 annual meeting of stockholders. Pursuant to the terms of the ESPP, the Company will reserve for issuance 300,000 shares of the Company’s common stock in the aggregate, plus, on January 1, 2019 and each January 1 thereafter through January 1, 2028, the number of shares of the Company’s common stock reserved and available for issuance under the ESPP will be cumulatively increased by the least of (i) one percent of the number of shares of the Company’s common stock issued and outstanding on the immediately preceding December 31; (ii) 350,000 shares; or (iii) such lesser number of shares of the Company’s common stock as determined by the Board of Directors, in each case subject to adjustment in accordance with the terms of the ESPP. In January 2021, the Company’s Board of Directors approved an increase of 350,000 shares to the ESPP, which increase was effective as of January 1, 2021. No shares under the ESPP are outstanding at March 31, 2021 and December 31, 2020.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License Agreement</w:t>
      </w:r>
    </w:p>
    <w:p>
      <w:pPr>
        <w:spacing w:after="0" w:line="13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June 24, 2018, the Company entered into a license agreement (the “Gossamer License Agreement”) with Gossamer, under which the Company granted Gossamer an exclusive, sublicensable license to develop and commercialize AKB-4924 and other structurally related products worldwide, with initial development expected in the indications of induction and maintenance in ulcerative colitis and Crohn’s Disease (collectively “initial indications”). Prior to the execution of the Gossamer License Agreement, AKB-4924 was a pipeline program for the Company that completed a Phase 1a clinical trial in healthy volunteers.</w:t>
      </w:r>
    </w:p>
    <w:p>
      <w:pPr>
        <w:spacing w:after="0" w:line="8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May 12, 2020, the Company entered into Amendment No. 1 to the Gossamer License Agreement (“Amendment No. 1”). Pursuant to Amendment No. 1, Gossamer made a payment to the Company of $15.0 million on May 12, 2020. For the year ended December 31, 2020, the Company recognized revenue of $15.0 million based on the terms of Amendment No. 1.</w:t>
      </w:r>
    </w:p>
    <w:p>
      <w:pPr>
        <w:spacing w:after="0" w:line="7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Gossamer is responsible for the development and commercialization of the licensed products, and a joint development committee has been formed to oversee the development and manufacturing activities related to the licensed products. Under the terms of the Gossamer License Agreement and as amended by Amendment No. 1 (collectively, the “Amended Gossamer License Agreement”), Gossamer is obligated to use its commercially reasonable efforts to develop and commercialize licensed products in the United States, two major European countries and Japan for at least one of the initial indications. The Amended Gossamer License Agreement includes an exclusivity provision that prohibits the Company from developing, manufacturing or commercializing, and prohibits Gossamer from clinically developing or commercializing certain HIF stabilizing compounds other than as permitted in the Amended Gossamer License Agreement.</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8" w:name="page19"/>
    <w:bookmarkEnd w:id="18"/>
    <w:p>
      <w:pPr>
        <w:ind w:right="20"/>
        <w:spacing w:after="0" w:line="259" w:lineRule="auto"/>
        <w:rPr>
          <w:sz w:val="20"/>
          <w:szCs w:val="20"/>
          <w:color w:val="auto"/>
        </w:rPr>
      </w:pPr>
      <w:r>
        <w:rPr>
          <w:rFonts w:ascii="Arial" w:cs="Arial" w:eastAsia="Arial" w:hAnsi="Arial"/>
          <w:sz w:val="18"/>
          <w:szCs w:val="18"/>
          <w:color w:val="auto"/>
        </w:rPr>
        <w:t>Under the terms of the Amended Gossamer License Agreement, the Company is eligible to receive up to $40.0 million in approval milestone payments related to indications in ulcerative colitis and Crohn’s disease, and up to $50.0 million in sales milestone payments. The Company is also eligible to receive the tiered royalties on sales of licensed products from percentages ranging from a low-single-digit to mid-single-digit, subject to certain customary reductions.</w:t>
      </w:r>
    </w:p>
    <w:p>
      <w:pPr>
        <w:spacing w:after="0" w:line="7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addition, under certain circumstances, in lieu of receiving the foregoing milestone payments and royalties, the Company may elect to receive 20% of payments received by Gossamer and its stockholders (with some exclusions) in connection with Gossamer’s grant of a sublicense or other rights to the licensed products or if Gossamer undergoes a changes of control and the value of the transaction exceeds a certain value (provided that Gossamer can prevent the Company from exercising this option if the parent company of Gossamer is the entity undergoing the change of control, in which case each of the royalty rate percentages described above would automatically be increased by low single digits). Conversely, the Company could be required to accept such 20% of those payments if Gossamer agrees to pay the Company a certain minimum upon Gossamer and its stockholders being paid. Such amount may be reduced if the transaction includes pharmaceutical candidates or products or other named asset categories in addition to the licensed products. The Amended Gossamer License Agreement expires on a licensed-product-by-licensed-product and country-by-country basis on the later of fifteen years from the date of first commercial sale or when there is no longer a valid patent claim covering such licensed product in such country. Either party may terminate the Amended Gossamer License Agreement for an uncured material breach by the other party or upon the bankruptcy or insolvency of the other party. Gossamer may terminate the Amended Gossamer License Agreement in the event Gossamer determines there is a potential safety or efficacy issue with the licensed products. The Company may terminate the Amended Gossamer License Agreement if Gossamer institutes certain actions related to the licensed patents. Under certain termination circumstances, the Company would have worldwide rights to the terminated program.</w:t>
      </w:r>
    </w:p>
    <w:p>
      <w:pPr>
        <w:spacing w:after="0" w:line="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March 31, 2021, all development milestones, sales-based milestones and royalty payments within the Amended Gossamer License Agreement are constrained to the point where no transaction price has been allocated to the future milestones or royalty payments.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Restructuring</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January 2021, the Company executed a realignment plan to reduce operating costs and better align its workforce with the needs of its ongoing business. The realignment plan reduced the Company’s workforce by seven employees, representing approximately 58% of the Company’s workforce. As a result, the Company recorded employee severance expense of $1.2 million during the three months ended March 31, 2021. These amounts are included within restructuring expense in the condensed consolidated statements of operations and comprehensive loss.</w:t>
      </w:r>
    </w:p>
    <w:p>
      <w:pPr>
        <w:spacing w:after="0" w:line="63"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Total cash payments against the severance liability was approximately $0.1 million in the three months ended March 31, 2021. The remaining liability as of March 31, 2021 was approximately $1.1 million and is included in accounts payable and accrued expenses in the condensed consolidated balance sheet. These amounts are expected to be substantially paid in cash by December 31,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May 16, 2021, the Company entered into an agreement and plan of merger (“Merger Agreement” or “Merger”) with Aadi Bioscience, Inc. (“Aadi”), a Delaware corporation, and Aspen Merger Subsidiary, Inc. (“Merger Sub”), a Delaware corporation and a direct, wholly-owned subsidiary of the Company, pursuant to which, subject to the satisfaction or waiver of the conditions set forth in the Merger Agreement, Merger Sub will merge with and into Aadi, with Aadi surviving as a wholly-owned subsidiary of the Company (the “Merger”). If the Merger is completed, the business of Aadi will continue as the business of the combined company.</w:t>
      </w:r>
    </w:p>
    <w:p>
      <w:pPr>
        <w:spacing w:after="0" w:line="8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Merger Agreement was approved by the members of the board of directors of the Company (the “Board”) and the Board resolved to recommend approval of the Merger Agreement to the Company’s shareholders.</w:t>
      </w:r>
    </w:p>
    <w:p>
      <w:pPr>
        <w:spacing w:after="0" w:line="6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connection with the Merger Agreement, the Company has entered into subscription agreements to raise an aggregate amount of $155.0 million in a Private Investment in Public Equity (“PIPE”) financing in shares of common stock and pre-funded warrants to purchase Aerpio common stock. The PIPE financing is expected to be consummated concurrently with the closing of the Merger, subject to customary closing conditions, and is contingent on the closing of the Merger.</w:t>
      </w:r>
    </w:p>
    <w:p>
      <w:pPr>
        <w:spacing w:after="0" w:line="7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Merger is expected to close in the second half of 2021. The closing of the Merger is subject to approval of the Company's shareholders and the satisfaction of certain closing conditions, including, among others, obtaining the requisite approval of the stockholders of Aerpio, Aerpio’s cash and cash equivalents maintaining a balance equal to or greater than $10.0 million and the completion of the PIPE financing. The Merger is intended to qualify as a tax-free reorganization for U.S. federal income tax purposes.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9" w:name="page20"/>
    <w:bookmarkEnd w:id="19"/>
    <w:p>
      <w:pPr>
        <w:ind w:right="60"/>
        <w:spacing w:after="0" w:line="301" w:lineRule="auto"/>
        <w:rPr>
          <w:sz w:val="20"/>
          <w:szCs w:val="20"/>
          <w:color w:val="auto"/>
        </w:rPr>
      </w:pPr>
      <w:r>
        <w:rPr>
          <w:rFonts w:ascii="Arial" w:cs="Arial" w:eastAsia="Arial" w:hAnsi="Arial"/>
          <w:sz w:val="16"/>
          <w:szCs w:val="16"/>
          <w:color w:val="auto"/>
        </w:rPr>
        <w:t>If the Company is unable to satisfy the closing conditions in Aadi’s favor or if other applicable closing conditions are not satisfied, Aadi will not be obligated to complete the Merger. The Merger Agreement provides Aerpio and Aadi with specified termination rights, and further provides that, upon termination of the Merger Agreement under specified circumstances, Aerpio may be required to pay the Aadi a termination fee of $2.0 million. In addition, in connection with certain terminations of the Merger Agreement, Aerpio may be required to pay Aadi’s out-of-pocket fees and expenses up to $750,000.</w:t>
      </w:r>
    </w:p>
    <w:p>
      <w:pPr>
        <w:spacing w:after="0" w:line="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the Merger is consummated, on a pro forma basis, current shareholders of Aadi will own approximately 66.8% and current shareholders of the Company will own approximately 33.2% of the combined company upon the closing of the Merger, without giving effect to the proposed PIPE. Following the closing of the anticipated PIPE financing, the former Aadi shareholders are expected to own approximately 29.6% of the outstanding shares of Aerpio common stock, on a fully-diluted basis, the shareholders of Aerpio (as of immediately prior to the closing of the Merger) are expected to own approximately 14.7% of the outstanding shares of Aerpio common stock, on a fully-diluted basis, and the PIPE investors are expected to own approximately 55.7% of the outstanding shares of Aerpio common stock, on a fully-diluted basis.</w:t>
      </w:r>
    </w:p>
    <w:p>
      <w:pPr>
        <w:spacing w:after="0" w:line="8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Merger Agreement contemplates that, at or prior to the effective time of the Merger (the “Effective Time”), Aerpio, the Holder Representative (as defined therein) and the Rights Agent (as defined therein) will execute and deliver a contingent value rights agreement (the “CVR Agreement”), pursuant to which each holder of Aerpio common stock as of immediately prior to the Effective Time shall be entitled to one contractual contingent value right issued by Aerpio, subject to and in accordance with the terms and conditions of the CVR Agreement, for each share of Aerpio common stock held by such holder. Each contingent value right shall entitle the holder thereof to receive a defined percentage of the net proceeds, if any, received by the newly combined company, subsequent to the closing of the Merger, pursuant to the Amended Gossamer License Agreement (as defined in Note 10) and any other agreements, with respect to certain other Aerpio assets, entered into prior to the closing of the Merger. The contingent value rights are not transferable, except in certain limited circumstances as will be provided in the CVR Agreement, will not be certificated or evidenced by any instrument and will not be registered with the SEC or listed for trading on any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This Quarterly Report on Form 10-Q contains express or implied forward-looking statements which are made pursuant to the safe harbor provisions of Section 27A of the Securities Act of 1933, as amended (the “Securities Act”) and Section 21E of the Securities Exchange Act of 1934, as amended (the “Exchange Act”)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Quarterly Report on Form 10-Q include, but are not limited to, statements about:</w:t>
      </w:r>
    </w:p>
    <w:p>
      <w:pPr>
        <w:spacing w:after="0" w:line="58" w:lineRule="exact"/>
        <w:rPr>
          <w:sz w:val="20"/>
          <w:szCs w:val="20"/>
          <w:color w:val="auto"/>
        </w:rPr>
      </w:pPr>
    </w:p>
    <w:p>
      <w:pPr>
        <w:ind w:left="880" w:right="320" w:hanging="373"/>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satisfy the conditions to the merger transaction with Aadi Bioscience, Inc. (“Aadi”), including the ability to obtain shareholder approval, on the proposed terms and timeframe, and the proposed private placement transaction;</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intended benefits to our stockholders of the contingent value rights arrangements entered into in connection with the merger;</w:t>
      </w:r>
    </w:p>
    <w:p>
      <w:pPr>
        <w:spacing w:after="0" w:line="117" w:lineRule="exact"/>
        <w:rPr>
          <w:rFonts w:ascii="Arial" w:cs="Arial" w:eastAsia="Arial" w:hAnsi="Arial"/>
          <w:sz w:val="18"/>
          <w:szCs w:val="18"/>
          <w:color w:val="auto"/>
        </w:rPr>
      </w:pPr>
    </w:p>
    <w:p>
      <w:pPr>
        <w:ind w:left="880" w:right="560" w:hanging="373"/>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realize the anticipated benefits of transactions related to the merger transaction with Aadi and other restructuring activities, including in connection with the merger transaction, or other initiatives in a timely manner or at all;</w:t>
      </w:r>
    </w:p>
    <w:p>
      <w:pPr>
        <w:spacing w:after="0" w:line="62" w:lineRule="exact"/>
        <w:rPr>
          <w:rFonts w:ascii="Arial" w:cs="Arial" w:eastAsia="Arial" w:hAnsi="Arial"/>
          <w:sz w:val="18"/>
          <w:szCs w:val="18"/>
          <w:color w:val="auto"/>
        </w:rPr>
      </w:pPr>
    </w:p>
    <w:p>
      <w:pPr>
        <w:ind w:left="880" w:right="60" w:hanging="373"/>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risk of unanticipated costs, liabilities or delays relating to the merger transaction with Aadi, including the outcome of any legal proceedings relating to the merger transaction;</w:t>
      </w:r>
    </w:p>
    <w:p>
      <w:pPr>
        <w:spacing w:after="0" w:line="62" w:lineRule="exact"/>
        <w:rPr>
          <w:rFonts w:ascii="Arial" w:cs="Arial" w:eastAsia="Arial" w:hAnsi="Arial"/>
          <w:sz w:val="18"/>
          <w:szCs w:val="18"/>
          <w:color w:val="auto"/>
        </w:rPr>
      </w:pPr>
    </w:p>
    <w:p>
      <w:pPr>
        <w:ind w:left="880" w:right="400" w:hanging="373"/>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occurrence of any change, effect, event, development, matter, state of facts, series of events or circumstances that could give rise to the termination of the agreement with Aadi related to the merger transaction;</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accuracy of our estimates regarding expense, future revenues, uses of cash, capital requirements and the need for additional financing;</w:t>
      </w:r>
    </w:p>
    <w:p>
      <w:pPr>
        <w:spacing w:after="0" w:line="140" w:lineRule="exact"/>
        <w:rPr>
          <w:rFonts w:ascii="Arial" w:cs="Arial" w:eastAsia="Arial" w:hAnsi="Arial"/>
          <w:sz w:val="16"/>
          <w:szCs w:val="16"/>
          <w:color w:val="auto"/>
        </w:rPr>
      </w:pPr>
    </w:p>
    <w:p>
      <w:pPr>
        <w:ind w:left="880" w:right="160" w:hanging="373"/>
        <w:spacing w:after="0" w:line="308" w:lineRule="auto"/>
        <w:tabs>
          <w:tab w:leader="none" w:pos="8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continued development of GB004 and maintaining and deriving the intended benefits of the Company’s collaboration with Gossamer Bio; ability to continue to develop razuprotafib or other product candidates, including in indications related to COVID-19;</w:t>
      </w:r>
    </w:p>
    <w:p>
      <w:pPr>
        <w:spacing w:after="0" w:line="38" w:lineRule="exact"/>
        <w:rPr>
          <w:rFonts w:ascii="Arial" w:cs="Arial" w:eastAsia="Arial" w:hAnsi="Arial"/>
          <w:sz w:val="17"/>
          <w:szCs w:val="17"/>
          <w:color w:val="auto"/>
        </w:rPr>
      </w:pPr>
    </w:p>
    <w:p>
      <w:pPr>
        <w:ind w:left="880" w:hanging="373"/>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continued review and evaluation of strategic plans for legacy assets;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protections for our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attract and retain key personnel;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material risks and uncertainties, including those listed under the caption “Risk Factors.”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some cases, forward-looking statements can be identified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entitled “Risk Factors” and elsewhere in this Quarterly Report on Form 10-Q.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Quarterly Report on Form 10-Q and the documents that we reference in Quarterly Report on Form 10-Q and have filed with or furnished to the U.S. Securities and Exchange Commission (the “SEC”) completely and with the understanding that our actual future results may be materially different from any future results expressed or implied by these forward-looking statements.</w:t>
      </w:r>
    </w:p>
    <w:p>
      <w:pPr>
        <w:spacing w:after="0" w:line="77" w:lineRule="exact"/>
        <w:rPr>
          <w:sz w:val="20"/>
          <w:szCs w:val="20"/>
          <w:color w:val="auto"/>
        </w:rPr>
      </w:pPr>
    </w:p>
    <w:p>
      <w:pPr>
        <w:jc w:val="both"/>
        <w:ind w:right="320"/>
        <w:spacing w:after="0" w:line="279" w:lineRule="auto"/>
        <w:rPr>
          <w:sz w:val="20"/>
          <w:szCs w:val="20"/>
          <w:color w:val="auto"/>
        </w:rPr>
      </w:pPr>
      <w:r>
        <w:rPr>
          <w:rFonts w:ascii="Arial" w:cs="Arial" w:eastAsia="Arial" w:hAnsi="Arial"/>
          <w:sz w:val="17"/>
          <w:szCs w:val="17"/>
          <w:color w:val="auto"/>
        </w:rPr>
        <w:t>The forward-looking statements in this Quarterly Report on Form 10-Q represent our views as of the date of this Report.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Report.</w:t>
      </w:r>
    </w:p>
    <w:p>
      <w:pPr>
        <w:spacing w:after="0" w:line="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Unless the context requires otherwise, references to this Quarterly Report on Form 10-Q to “Aerpio,” the “Company,” “we,” “us,” and “our” refer to Aerpio Pharmaceuticals, Inc. and its subsidiaries, on a consolidated basis.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i w:val="1"/>
          <w:iCs w:val="1"/>
          <w:color w:val="auto"/>
        </w:rPr>
        <w:t>The following discussion of the financial condition and results of operations of Aerpio Pharmaceuticals, Inc. should be read in conjunction with the unaudited condensed consolidated financial statements and the notes to those statements included in this Quarterly Report on Form 10-Q as of and for the period ended March 31, 2021 and our audited consolidated financial statements and related notes thereto for the year ended December 31, 2020 included in our Annual Report on Form 10-K for the year ended December 31, 2020, which was filed with the SEC on March 11, 2021. Some of the information contained in this discussion and analysis including information with respect to our plans and strategy for our business, includes forward-looking statements that involve risk, uncertainties and assumptions. You should read the “Risk Factors” section of our Annual Report on Form 10-K for the fiscal year ended December 31, 2020, as updated by the risk factors contained this Quarterly Report on Form 10-Q and our other filings with the Securities and Exchange Commission (the “SEC”), for a discussion of important factors that could cause actual results to differ materially from the results described in or implied by the forward-looking statements contained in the following discussion and analysis.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Overview</w:t>
      </w:r>
    </w:p>
    <w:p>
      <w:pPr>
        <w:spacing w:after="0" w:line="27" w:lineRule="exact"/>
        <w:rPr>
          <w:sz w:val="20"/>
          <w:szCs w:val="20"/>
          <w:color w:val="auto"/>
        </w:rPr>
      </w:pPr>
    </w:p>
    <w:p>
      <w:pPr>
        <w:ind w:right="240"/>
        <w:spacing w:after="0" w:line="277" w:lineRule="auto"/>
        <w:rPr>
          <w:sz w:val="20"/>
          <w:szCs w:val="20"/>
          <w:color w:val="auto"/>
        </w:rPr>
      </w:pPr>
      <w:r>
        <w:rPr>
          <w:rFonts w:ascii="Arial" w:cs="Arial" w:eastAsia="Arial" w:hAnsi="Arial"/>
          <w:sz w:val="17"/>
          <w:szCs w:val="17"/>
          <w:color w:val="auto"/>
        </w:rPr>
        <w:t>Aerpio Pharmaceuticals, Inc. (the “Company”) is a biopharmaceutical company focused on developing compounds that activate Tie2 as well as other indications in which we believe that activation of Tie2 may have therapeutic potential. We were incorporated as Zeta Acquisition Corp. II (“Zeta”) in the State of Delaware on November 16, 2007. Zeta was a “shell company” (as defined in Rule 12b-2 of the Exchange Act).</w:t>
      </w:r>
    </w:p>
    <w:p>
      <w:pPr>
        <w:spacing w:after="0" w:line="6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December 2020, we announced the topline results from our Phase 2 clinical trial of razuprotafib (formerly known as AKB-9778), a small molecule vascular endothelial protein tyrosine phosphatase (“VE-PTP”) inhibitor. The double-blind, placebo controlled Phase 2 study, in patients with elevated intraocular pressure (“IOP”) associated with open angle glaucoma or ocular hypertension, met its primary efficacy endpoint with its twice-daily dosing group; however, the IOP decrease was not at a level deemed sufficient to move to Phase 3 development. As a result, we initiated a process to explore a range of strategic alternatives focused on maximizing stockholder value from our clinical assets and cash resources. As part of this process, we are exploring strategic options for partnering our programs, as well as the potential for an acquisition, company sale, merger, business combination, asset sale, in-license, out-license or other strategic transaction. Ladenburg Thalmann &amp; Co. Inc. and Duane Nash, M.D., J.D., M.B.A, have been retained with respect to the strategic review process.</w:t>
      </w:r>
    </w:p>
    <w:p>
      <w:pPr>
        <w:spacing w:after="0" w:line="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May 16, 2021, the Company entered into an agreement and plan of merger (“Merger Agreement” or “Merger”) with Aadi Bioscience, Inc. (“Aadi”), a Delaware corporation, and Aspen Merger Subsidiary, Inc. (“Merger Sub”), a Delaware corporation and a direct, wholly-owned subsidiary of the Company, pursuant to which, subject to the satisfaction or waiver of the conditions set forth in the Merger Agreement, Merger Sub will merge with and into Aadi, with Aadi surviving as a wholly-owned subsidiary of the Company (the “Merger”). If the Merger is completed, the business of Aadi will continue as the business of the combined company.</w:t>
      </w:r>
    </w:p>
    <w:p>
      <w:pPr>
        <w:spacing w:after="0" w:line="8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Merger Agreement was approved by the members of the board of directors of the Company (the “Board”) and the Board resolved to recommend approval of the Merger Agreement to the Company’s shareholders.</w:t>
      </w:r>
    </w:p>
    <w:p>
      <w:pPr>
        <w:spacing w:after="0" w:line="6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Merger Agreement, the Company has entered into subscription agreements to raise an aggregate amount of $155.0 million in a Private Investment in Public Equity (“PIPE”) financing in shares of common stock and pre-funded warrants to purchase Aerpio common stock. The PIPE financing is expected to be consummated concurrently with the closing of the Merger, subject to customary closing conditions, and is contingent on the closing of the Merger.</w:t>
      </w:r>
    </w:p>
    <w:p>
      <w:pPr>
        <w:spacing w:after="0" w:line="7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Merger is expected to close in the second half of 2021. The closing of the Merger is subject to approval of the Company's shareholders and the satisfaction of certain closing conditions, including, among others, obtaining the requisite approval of the stockholders of Aerpio, Aerpio’s cash and cash equivalents maintaining a balance equal to or greater than $10.0 million and the completion of the PIPE financing. The Merger is intended to qualify as a tax-free reorganization for U.S. federal income tax purposes.</w:t>
      </w:r>
    </w:p>
    <w:p>
      <w:pPr>
        <w:spacing w:after="0" w:line="79"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If the Company is unable to satisfy the closing conditions in Aadi’s favor or if other applicable closing conditions are not satisfied, Aadi will not be obligated to complete the Merger. The Merger Agreement provides Aerpio and Aadi with specified termination rights, and further provides that, upon termination of the Merger Agreement under specified circumstances, Aerpio may be required to pay the Aadi a termination fee of $2.0 million. In addition, in connection with certain terminations of the Merger Agreement, Aerpio may be required to pay Aadi’s out-of-pocket fees and expenses up to $750,000.</w:t>
      </w:r>
    </w:p>
    <w:p>
      <w:pPr>
        <w:spacing w:after="0" w:line="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the Merger is consummated, on a pro forma basis, current shareholders of Aadi will own approximately 66.8% and current shareholders of the Company will own approximately 33.2% of the combined company upon the closing of the Merger, without giving effect to the proposed PIPE. Following the closing of the anticipated PIPE financing, the former Aadi shareholders are expected to own approximately 29.6% of the outstanding shares of Aerpio common stock, on a fully-diluted basis, the shareholders of Aerpio (as of immediately prior to the closing of the Merger) are expected to own approximately 14.7% of the outstanding shares of Aerpio common stock, on a fully-diluted basis, and the PIPE investors are expected to own approximately 55.7% of the outstanding shares of Aerpio common stock, on a fully-diluted basis.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ind w:right="40"/>
        <w:spacing w:after="0" w:line="270" w:lineRule="auto"/>
        <w:rPr>
          <w:sz w:val="20"/>
          <w:szCs w:val="20"/>
          <w:color w:val="auto"/>
        </w:rPr>
      </w:pPr>
      <w:r>
        <w:rPr>
          <w:rFonts w:ascii="Arial" w:cs="Arial" w:eastAsia="Arial" w:hAnsi="Arial"/>
          <w:sz w:val="17"/>
          <w:szCs w:val="17"/>
          <w:color w:val="auto"/>
        </w:rPr>
        <w:t>The Merger Agreement contemplates that, at or prior to the effective time of the Merger (the “Effective Time”), Aerpio, the Holder Representative (as defined therein) and the Rights Agent (as defined therein) will execute and deliver a contingent value rights agreement (the “CVR Agreement”), pursuant to which each holder of Aerpio common stock as of immediately prior to the Effective Time shall be entitled to one contractual contingent value right issued by Aerpio, subject to and in accordance with the terms and conditions of the CVR Agreement, for each share of Aerpio common stock held by such holder. Each contingent value right shall entitle the holder thereof to receive a defined percentage of the net proceeds, if any, received by the newly combined company, subsequent to the closing of the Merger, pursuant to the Amended Gossamer License Agreement (as defined in Note 10) and any other agreements, with respect to certain other Aerpio assets, entered into prior to the closing of the Merger. The contingent value rights are not transferable, except in certain limited circumstances as will be provided in the CVR Agreement, will not be certificated or evidenced by any instrument and will not be registered with the SEC or listed for trading on any exchange.</w:t>
      </w:r>
    </w:p>
    <w:p>
      <w:pPr>
        <w:spacing w:after="0" w:line="7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January 2021, we executed a realignment plan to reduce operating costs and better align our workforce with the needs of its ongoing business. The realignment plan reduced our workforce by seven employees, representing approximately 58% of our workforce. As a result of this realignment plan, we incurred one-time employee related severance expenses of approximately $1.2 million in the first quarter of 2021 and anticipate the majority of the one-time employee severance liability to be paid during 2021. The final payment of the severance liability in connection with the realignment plan is subject to a number of assumptions, actual results may differ from the original estimate. Additionally, we may also incur additional costs not currently contemplated due to events that may occur as a result of, or that are associated with, the realignment plan.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Our other clinical programs include the following:</w:t>
      </w:r>
    </w:p>
    <w:p>
      <w:pPr>
        <w:spacing w:after="0" w:line="117"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 xml:space="preserve">Acute Respiratory Distress Syndrome: </w:t>
      </w:r>
      <w:r>
        <w:rPr>
          <w:rFonts w:ascii="Arial" w:cs="Arial" w:eastAsia="Arial" w:hAnsi="Arial"/>
          <w:sz w:val="16"/>
          <w:szCs w:val="16"/>
          <w:color w:val="auto"/>
        </w:rPr>
        <w:t>Based on results in preclinical studies and observations in patients in TIME-2 and TIME-2b trials, we believed that a</w:t>
      </w:r>
      <w:r>
        <w:rPr>
          <w:rFonts w:ascii="Arial" w:cs="Arial" w:eastAsia="Arial" w:hAnsi="Arial"/>
          <w:sz w:val="16"/>
          <w:szCs w:val="16"/>
          <w:i w:val="1"/>
          <w:iCs w:val="1"/>
          <w:color w:val="auto"/>
        </w:rPr>
        <w:t xml:space="preserve"> </w:t>
      </w:r>
      <w:r>
        <w:rPr>
          <w:rFonts w:ascii="Arial" w:cs="Arial" w:eastAsia="Arial" w:hAnsi="Arial"/>
          <w:sz w:val="16"/>
          <w:szCs w:val="16"/>
          <w:color w:val="auto"/>
        </w:rPr>
        <w:t>vascular endothelial receptor, Tie2, may play a pivotal role in the defense against microvascular breach in Acute Respiratory Distress Syndrome (“ARDS”) and have therapeutic potential for the treatment of COVID-19 associated ARDS. During 2020, we initiated two Phase 2 trials to evaluate subcutaneous razuprotafib for the prevention and treatment of ARDS in adult patients with moderate to severe COVID-19 (“RESCUE”) and critical COVID-19 (“I-SPY”). In January 2021, the Data Monitoring Committee recommended discontinuation of razuprotafib in the I-SPY trial after 21 patients due to the complexity of monitoring patients in the setting of a surge in ICU patients. For the RESCUE trial, the Company decided to stop recruiting in February 2021 after the first 31 patients were enrolled based on challenges recruiting and monitoring patients in the current pandemic environment. Based on topline data for the RESCUE trial, there was a mechanism-based, dose-dependent reduction of blood pressure which was not associated with other adverse</w:t>
      </w:r>
    </w:p>
    <w:p>
      <w:pPr>
        <w:spacing w:after="0" w:line="1"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events. There was an apparent dose-dependent decrease in Angiopoietin 2 (“Ang2”) that would be consistent with the Tie2 activation mechanism. The efficacy of razuprotafib could not be fully assessed due to the limited number of patients treated in the drug and standard of care arms. At the 28 day study endpoint, there were an equal number of deaths in each group (one per group). Further analysis of the full data set is ongoing. There were no apparent safety signals associated with dosing COVID-19 patients in either trial and we plan to further analyze the data to assess trends in efficacy and biomarkers.</w:t>
      </w:r>
    </w:p>
    <w:p>
      <w:pPr>
        <w:spacing w:after="0" w:line="5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Diabetic Kidney Disease: </w:t>
      </w:r>
      <w:r>
        <w:rPr>
          <w:rFonts w:ascii="Arial" w:cs="Arial" w:eastAsia="Arial" w:hAnsi="Arial"/>
          <w:sz w:val="18"/>
          <w:szCs w:val="18"/>
          <w:color w:val="auto"/>
        </w:rPr>
        <w:t>In two consecutive trials, TIME-2 and TIME-2b, subcutaneous razuprotafib showed reduction in Urine Albumin-Creatinine</w:t>
      </w:r>
      <w:r>
        <w:rPr>
          <w:rFonts w:ascii="Arial" w:cs="Arial" w:eastAsia="Arial" w:hAnsi="Arial"/>
          <w:sz w:val="18"/>
          <w:szCs w:val="18"/>
          <w:i w:val="1"/>
          <w:iCs w:val="1"/>
          <w:color w:val="auto"/>
        </w:rPr>
        <w:t xml:space="preserve"> </w:t>
      </w:r>
      <w:r>
        <w:rPr>
          <w:rFonts w:ascii="Arial" w:cs="Arial" w:eastAsia="Arial" w:hAnsi="Arial"/>
          <w:sz w:val="18"/>
          <w:szCs w:val="18"/>
          <w:color w:val="auto"/>
        </w:rPr>
        <w:t>Ratio (“UACR”), a measure of progression of diabetic kidney disease. We believe that systemic treatment with razuprotafib could have the potential to change the treatment paradigm for diabetics in the future and potentially address a major societal problem by lowering the cost of care associated generally with diabetes.</w:t>
      </w:r>
    </w:p>
    <w:p>
      <w:pPr>
        <w:spacing w:after="0" w:line="79"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i w:val="1"/>
          <w:iCs w:val="1"/>
          <w:color w:val="auto"/>
        </w:rPr>
        <w:t xml:space="preserve">ARP-1536 and Bi-Specific Antibody: </w:t>
      </w:r>
      <w:r>
        <w:rPr>
          <w:rFonts w:ascii="Arial" w:cs="Arial" w:eastAsia="Arial" w:hAnsi="Arial"/>
          <w:sz w:val="18"/>
          <w:szCs w:val="18"/>
          <w:color w:val="auto"/>
        </w:rPr>
        <w:t>ARP-1536, the humanized monoclonal antibody directed at the same target as subcutaneous razuprotafib, is in</w:t>
      </w:r>
      <w:r>
        <w:rPr>
          <w:rFonts w:ascii="Arial" w:cs="Arial" w:eastAsia="Arial" w:hAnsi="Arial"/>
          <w:sz w:val="18"/>
          <w:szCs w:val="18"/>
          <w:i w:val="1"/>
          <w:iCs w:val="1"/>
          <w:color w:val="auto"/>
        </w:rPr>
        <w:t xml:space="preserve"> </w:t>
      </w:r>
      <w:r>
        <w:rPr>
          <w:rFonts w:ascii="Arial" w:cs="Arial" w:eastAsia="Arial" w:hAnsi="Arial"/>
          <w:sz w:val="18"/>
          <w:szCs w:val="18"/>
          <w:color w:val="auto"/>
        </w:rPr>
        <w:t>preclinical development. We are evaluating development options for ARP-1536, including subcutaneous injection for the treatment of diabetic vascular complications, e.g., diabetic nephropathy and intravitreal injection as an adjunctive therapy for diabetic macular edema. We are also developing a bispecific antibody that binds both vascular endothelial growth factor (“VEGF”) and VE-PTP which is designed to inhibit VEGF activation and activate Tie2. We believe this bispecific antibody has the potential to be an improved treatment for wet aged-related macular degeneration (“AMD”) and diabetic macular edema via intravitreal injection.</w:t>
      </w:r>
    </w:p>
    <w:p>
      <w:pPr>
        <w:spacing w:after="0" w:line="84"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i w:val="1"/>
          <w:iCs w:val="1"/>
          <w:color w:val="auto"/>
        </w:rPr>
        <w:t xml:space="preserve">Gossamer License Agreement: </w:t>
      </w:r>
      <w:r>
        <w:rPr>
          <w:rFonts w:ascii="Arial" w:cs="Arial" w:eastAsia="Arial" w:hAnsi="Arial"/>
          <w:sz w:val="16"/>
          <w:szCs w:val="16"/>
          <w:color w:val="auto"/>
        </w:rPr>
        <w:t>In June 2018, we licensed AKB-4924, a selective stabilizer of hypoxia-inducible factor-1 alpha (“HIF-1 alpha”) to</w:t>
      </w:r>
      <w:r>
        <w:rPr>
          <w:rFonts w:ascii="Arial" w:cs="Arial" w:eastAsia="Arial" w:hAnsi="Arial"/>
          <w:sz w:val="16"/>
          <w:szCs w:val="16"/>
          <w:i w:val="1"/>
          <w:iCs w:val="1"/>
          <w:color w:val="auto"/>
        </w:rPr>
        <w:t xml:space="preserve"> </w:t>
      </w:r>
      <w:r>
        <w:rPr>
          <w:rFonts w:ascii="Arial" w:cs="Arial" w:eastAsia="Arial" w:hAnsi="Arial"/>
          <w:sz w:val="16"/>
          <w:szCs w:val="16"/>
          <w:color w:val="auto"/>
        </w:rPr>
        <w:t>Gossamer Bio, Inc. (“Gossamer”) AKB-4924, (now called GB004), is being developed for the treatment of inflammatory bowel disease (“IBD”). HIF-1 alpha is involved in mucosal wound healing and the reduction of inflammation in the gastrointestinal tract. Gossamer completed the Phase 1b clinical trial in ulcerative colitis (“UC”) patients and reported results during the second quarter of 2020. Gossamer has announced that, subject to developments in the ongoing COVID-19 pandemic, it initiated a 12-week Phase 2 study of GB004 in patients with mild-to-moderate UC during the second half of 2020.</w:t>
      </w:r>
    </w:p>
    <w:p>
      <w:pPr>
        <w:spacing w:after="0" w:line="5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May 2020, the Company received a one-time payment of $15.0 million pursuant to an amendment to its license agreement with Gossamer resulting in a reduction in future potential milestone payments and tiered royalty rates over the life of the license agreement. Gossamer is responsible for all remaining development and commercial activities for GB004.</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3" w:name="page24"/>
    <w:bookmarkEnd w:id="23"/>
    <w:p>
      <w:pPr>
        <w:ind w:right="40"/>
        <w:spacing w:after="0" w:line="271" w:lineRule="auto"/>
        <w:rPr>
          <w:sz w:val="20"/>
          <w:szCs w:val="20"/>
          <w:color w:val="auto"/>
        </w:rPr>
      </w:pPr>
      <w:r>
        <w:rPr>
          <w:rFonts w:ascii="Arial" w:cs="Arial" w:eastAsia="Arial" w:hAnsi="Arial"/>
          <w:sz w:val="17"/>
          <w:szCs w:val="17"/>
          <w:color w:val="auto"/>
        </w:rPr>
        <w:t>Our primary source of liquidity to date has been through public and private sales of our common stock, redeemable convertible preferred stock, convertible debt and the proceeds from the License Agreement entered into with Gossamer (the “Gossamer License Agreement”), as amended by that certain Amendment No. 1 to the Gossamer License Agreement (“Amendment No. 1” and together with the Gossamer License Agreement, as amended by Amendment No. 1, the “Amended Gossamer License Agreement”). We generated $15.0 million of revenue during 2020; however, no revenue was generated during the quarter ended March 31, 2021 pursuant to Amendment No. 1. We are subject to a number of risks similar to other life science companies in the current stage of our life cycle, including, but not limited to, the need to obtain adequate additional funding, possible failure of preclinical testing or clinical trials, competitors developing new technological innovations, and protection of proprietary technology. If we do not successfully mitigate any of these risks, we will be unable to generate revenue or achieve profitability.</w:t>
      </w:r>
    </w:p>
    <w:p>
      <w:pPr>
        <w:spacing w:after="0" w:line="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Except for the Gossamer License Agreement that we entered into with Gossamer in June 2018, our operations to date have been limited to organizing and staffing our Company, business planning, raising capital, acquiring and developing our technology, identifying potential product candidates and undertaking preclinical and clinical studies. There can be no assurance of future revenues either from future payments related to the Gossamer License Agreement, transition services or from our product candidates. Our product candidates are subject to long development cycles, and there is no assurance we will be able to successfully develop, obtain regulatory approval for, or market our product candidates. As of March 31, 2021, we had an accumulated deficit of $151.0 million and anticipate incurring additional losses for the next several years.</w:t>
      </w:r>
    </w:p>
    <w:p>
      <w:pPr>
        <w:spacing w:after="0" w:line="7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Based on the Company’s current cash reserves of $39.0 million at March 31, 2021 and financial condition as of this Quarterly Report on Form 10-Q, we believe our existing cash and cash equivalent will be sufficient to fund currently planned operations through at least the fourth quarter of 2022.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Considerations: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On March 11, 2020, the World Health Organization declared the outbreak of COVID-19 as a global pandemic, which continues to spread throughout the United States and around the world. The COVID-19 pandemic is evolving, and to date has led to the implementation of various responses, including government-imposed quarantines, stay-at-home orders, travel restrictions, mandated business closures and other public health safety measures. In addition, in response to the spread of COVID-19, we have continued to keep our executive offices closed with our employees continue to work outside of our offices. We are closely monitoring the impact of COVID-19 on all aspects of our business, including how it may impact our planned Phase 2 clinical trial for our glaucoma program, expected timelines and costs on an ongoing basis. We do not yet know the full extent of potential delays or the impact on our business, our planned clinical trial, our research programs, healthcare systems or the global economy and we cannot presently predict the scope and severity of any potential business shutdowns or disruptions. The extent to which COVID-19 ultimately impacts our business, results of operations and financial condition will depend on future developments, which remain highly uncertain and cannot be predicted with confidence, such as the duration of the outbreak, new information that may emerge concerning the severity of COVID-19 or the effectiveness of actions to contain COVID-19 or treat its impact, including vaccination campaigns, among others. Although states have quarantines and similar restrictions in place, the regulations vary on a state by state basis and the effectiveness of these restrictions and mass vaccination campaigns on slowing the spread of COVID-19 varies. If we or any of the third parties with whom we engage were to experience additional shutdowns or other prolonged business disruptions, our ability to conduct our business in the manner and on the timelines presently planned could have a material adverse impact on our business, results of operation and financial condition. In addition, a recurrence or “additional waves” of COVID-19 cases could cause other widespread or more severe impacts depending on where infection rates are highest. We continue to monitor developments as we deal with the disruptions and uncertainties relating to the COVID-19 pandemic.</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following discussion highlights the Company’s results of operations and the principal factors that have affected our financial condition as well as our liquidity and capital resources for the periods described and provides information that management believes is relevant for an assessment and understanding of the condensed consolidated balance sheets and the condensed consolidated statements of operation and comprehensive loss presented herein. The following discussion and analysis are based on the Company’s condensed consolidated financial statements contained in this Quarterly Report on Form 10-Q, which we have prepared in accordance with U.S. generally accepted accounting principles (“U.S. GAAP” or “GAAP”). You should read the discussion and analysis together with such condensed consolidated financial statements and the related notes thereto.</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Components of Statements of Operations and Comprehensive Loss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Research and development expenses are expensed as incurred. Research and development expenses consist primarily of (i) employee-related expenses, including salaries, benefits, travel, and stock-based compensation expense, (ii) external research and development expenses incurred under arrangements with third parties, such as contract research organizations (“CRO’s”) and consultants, (iii) the cost of acquiring, developing, and manufacturing clinical study materials, and (iv) costs associated with preclinical, clinical and regulatory activities.</w:t>
      </w:r>
    </w:p>
    <w:p>
      <w:pPr>
        <w:spacing w:after="0" w:line="6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Costs for certain development activities are recognized based on an evaluation of the progress to completion of specific tasks using information and data provided to us by our vendors and clinical sites.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21" w:lineRule="exact"/>
        <w:rPr>
          <w:sz w:val="20"/>
          <w:szCs w:val="20"/>
          <w:color w:val="auto"/>
        </w:rPr>
      </w:pPr>
    </w:p>
    <w:p>
      <w:pPr>
        <w:ind w:right="380"/>
        <w:spacing w:after="0" w:line="296" w:lineRule="auto"/>
        <w:rPr>
          <w:sz w:val="20"/>
          <w:szCs w:val="20"/>
          <w:color w:val="auto"/>
        </w:rPr>
      </w:pPr>
      <w:r>
        <w:rPr>
          <w:rFonts w:ascii="Arial" w:cs="Arial" w:eastAsia="Arial" w:hAnsi="Arial"/>
          <w:sz w:val="16"/>
          <w:szCs w:val="16"/>
          <w:color w:val="auto"/>
        </w:rPr>
        <w:t>General and administrative expenses consist primarily of compensation and related costs for our finance, human resources and other administrative personnel, including stock-based compensation and employee benefits. In addition, general and administrative expenses include third-party consulting, legal, patent, audit, accounting services and facilities costs. We expect to continue to incur general and administrative expenses due to additional legal, accounting, insurance, investor relations and other costs associated with being a public company. In addition, we expect our general and administrative expenses to increase for the foreseeable future due to transaction costs and expenses related to our potential merger with Aadi.</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w:t>
      </w:r>
    </w:p>
    <w:p>
      <w:pPr>
        <w:spacing w:after="0" w:line="121" w:lineRule="exact"/>
        <w:rPr>
          <w:sz w:val="20"/>
          <w:szCs w:val="20"/>
          <w:color w:val="auto"/>
        </w:rPr>
      </w:pPr>
    </w:p>
    <w:p>
      <w:pPr>
        <w:ind w:right="700"/>
        <w:spacing w:after="0" w:line="279" w:lineRule="auto"/>
        <w:rPr>
          <w:sz w:val="20"/>
          <w:szCs w:val="20"/>
          <w:color w:val="auto"/>
        </w:rPr>
      </w:pPr>
      <w:r>
        <w:rPr>
          <w:rFonts w:ascii="Arial" w:cs="Arial" w:eastAsia="Arial" w:hAnsi="Arial"/>
          <w:sz w:val="17"/>
          <w:szCs w:val="17"/>
          <w:color w:val="auto"/>
        </w:rPr>
        <w:t>Restructuring expense consists primarily of severance related expenses of employees terminated as a result of the Company’s restructuring efforts. Expenses include continued payroll, benefits and outplacement services (collectively “severance”) as defined and agreed upon by the respective employees’ severance agreement. Severance is recognized as restructuring expense when employees are notified of the restructuring event with a corresponding restructuring accrual which is reduced as payments are made to the employees.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2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Other income represents reimbursed internal and external qualified expense, per the terms of the U.S. Government operating through Medical Technology Enterprise Consortium (“MTEC”) arrangement. The reimbursable qualified expenses were incurred in conjunction with the RESCUE trial and the potential of subcutaneous razuprotafib for the prevention and treatment of ARDS in adult patients with moderate to severe COVID-19. During the first quarter of 2021, $1.2 million was recorded as other income during the three months ended March 31, 2021. Other income is recorded, and costs are generally reimbursed, in the period the internal or external qualified clinical trial as we incur and pay expenses.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Grant income is recognized as earned based on contract work performed.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consists primarily of interest income received on cash and cash equivalents.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results of operations for the periods presented: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0" w:type="dxa"/>
            <w:vAlign w:val="bottom"/>
            <w:gridSpan w:val="6"/>
          </w:tcPr>
          <w:p>
            <w:pPr>
              <w:ind w:left="460"/>
              <w:spacing w:after="0"/>
              <w:rPr>
                <w:sz w:val="20"/>
                <w:szCs w:val="20"/>
                <w:color w:val="auto"/>
              </w:rPr>
            </w:pPr>
            <w:r>
              <w:rPr>
                <w:rFonts w:ascii="Arial" w:cs="Arial" w:eastAsia="Arial" w:hAnsi="Arial"/>
                <w:sz w:val="14"/>
                <w:szCs w:val="14"/>
                <w:b w:val="1"/>
                <w:bCs w:val="1"/>
                <w:color w:val="auto"/>
              </w:rPr>
              <w:t>Three Months Ended March 31,</w:t>
            </w:r>
          </w:p>
        </w:tc>
        <w:tc>
          <w:tcPr>
            <w:tcW w:w="1840" w:type="dxa"/>
            <w:vAlign w:val="bottom"/>
          </w:tcPr>
          <w:p>
            <w:pPr>
              <w:spacing w:after="0"/>
              <w:rPr>
                <w:sz w:val="14"/>
                <w:szCs w:val="14"/>
                <w:color w:val="auto"/>
              </w:rPr>
            </w:pPr>
          </w:p>
        </w:tc>
      </w:tr>
      <w:tr>
        <w:trPr>
          <w:trHeight w:val="171"/>
        </w:trPr>
        <w:tc>
          <w:tcPr>
            <w:tcW w:w="1840" w:type="dxa"/>
            <w:vAlign w:val="bottom"/>
          </w:tcPr>
          <w:p>
            <w:pPr>
              <w:spacing w:after="0"/>
              <w:rPr>
                <w:sz w:val="14"/>
                <w:szCs w:val="14"/>
                <w:color w:val="auto"/>
              </w:rPr>
            </w:pPr>
          </w:p>
        </w:tc>
        <w:tc>
          <w:tcPr>
            <w:tcW w:w="2860" w:type="dxa"/>
            <w:vAlign w:val="bottom"/>
            <w:tcBorders>
              <w:bottom w:val="single" w:sz="8" w:color="CFF0FC"/>
            </w:tcBorders>
          </w:tcPr>
          <w:p>
            <w:pPr>
              <w:spacing w:after="0"/>
              <w:rPr>
                <w:sz w:val="14"/>
                <w:szCs w:val="14"/>
                <w:color w:val="auto"/>
              </w:rPr>
            </w:pPr>
          </w:p>
        </w:tc>
        <w:tc>
          <w:tcPr>
            <w:tcW w:w="92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c>
          <w:tcPr>
            <w:tcW w:w="1840" w:type="dxa"/>
            <w:vAlign w:val="bottom"/>
          </w:tcPr>
          <w:p>
            <w:pPr>
              <w:spacing w:after="0"/>
              <w:rPr>
                <w:sz w:val="14"/>
                <w:szCs w:val="14"/>
                <w:color w:val="auto"/>
              </w:rPr>
            </w:pPr>
          </w:p>
        </w:tc>
      </w:tr>
      <w:tr>
        <w:trPr>
          <w:trHeight w:val="223"/>
        </w:trPr>
        <w:tc>
          <w:tcPr>
            <w:tcW w:w="1840" w:type="dxa"/>
            <w:vAlign w:val="bottom"/>
          </w:tcPr>
          <w:p>
            <w:pPr>
              <w:spacing w:after="0"/>
              <w:rPr>
                <w:sz w:val="19"/>
                <w:szCs w:val="19"/>
                <w:color w:val="auto"/>
              </w:rPr>
            </w:pPr>
          </w:p>
        </w:tc>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9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184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320" w:type="dxa"/>
            <w:vAlign w:val="bottom"/>
            <w:gridSpan w:val="2"/>
          </w:tcPr>
          <w:p>
            <w:pPr>
              <w:jc w:val="right"/>
              <w:ind w:right="247"/>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2,228,002</w:t>
            </w:r>
          </w:p>
        </w:tc>
        <w:tc>
          <w:tcPr>
            <w:tcW w:w="160" w:type="dxa"/>
            <w:vAlign w:val="bottom"/>
          </w:tcPr>
          <w:p>
            <w:pPr>
              <w:spacing w:after="0"/>
              <w:rPr>
                <w:sz w:val="19"/>
                <w:szCs w:val="19"/>
                <w:color w:val="auto"/>
              </w:rPr>
            </w:pPr>
          </w:p>
        </w:tc>
        <w:tc>
          <w:tcPr>
            <w:tcW w:w="5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1,829,042</w:t>
            </w: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9"/>
        </w:trPr>
        <w:tc>
          <w:tcPr>
            <w:tcW w:w="1840" w:type="dxa"/>
            <w:vAlign w:val="bottom"/>
          </w:tcPr>
          <w:p>
            <w:pPr>
              <w:spacing w:after="0"/>
              <w:rPr>
                <w:sz w:val="19"/>
                <w:szCs w:val="19"/>
                <w:color w:val="auto"/>
              </w:rPr>
            </w:pPr>
          </w:p>
        </w:tc>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9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2,136,591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2,285,891</w:t>
            </w:r>
          </w:p>
        </w:tc>
        <w:tc>
          <w:tcPr>
            <w:tcW w:w="80" w:type="dxa"/>
            <w:vAlign w:val="bottom"/>
            <w:shd w:val="clear" w:color="auto" w:fill="CFF0FC"/>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184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Restructuring expense</w:t>
            </w: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1,238,270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19"/>
                <w:szCs w:val="19"/>
                <w:color w:val="auto"/>
              </w:rPr>
            </w:pPr>
          </w:p>
        </w:tc>
      </w:tr>
      <w:tr>
        <w:trPr>
          <w:trHeight w:val="223"/>
        </w:trPr>
        <w:tc>
          <w:tcPr>
            <w:tcW w:w="1840" w:type="dxa"/>
            <w:vAlign w:val="bottom"/>
          </w:tcPr>
          <w:p>
            <w:pPr>
              <w:spacing w:after="0"/>
              <w:rPr>
                <w:sz w:val="19"/>
                <w:szCs w:val="19"/>
                <w:color w:val="auto"/>
              </w:rPr>
            </w:pPr>
          </w:p>
        </w:tc>
        <w:tc>
          <w:tcPr>
            <w:tcW w:w="2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9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5,602,863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4,114,933</w:t>
            </w:r>
          </w:p>
        </w:tc>
        <w:tc>
          <w:tcPr>
            <w:tcW w:w="80" w:type="dxa"/>
            <w:vAlign w:val="bottom"/>
            <w:tcBorders>
              <w:top w:val="single" w:sz="8" w:color="CFF0FC"/>
            </w:tcBorders>
            <w:shd w:val="clear" w:color="auto" w:fill="CFF0FC"/>
          </w:tcPr>
          <w:p>
            <w:pPr>
              <w:spacing w:after="0"/>
              <w:rPr>
                <w:sz w:val="19"/>
                <w:szCs w:val="19"/>
                <w:color w:val="auto"/>
              </w:rPr>
            </w:pPr>
          </w:p>
        </w:tc>
        <w:tc>
          <w:tcPr>
            <w:tcW w:w="1840" w:type="dxa"/>
            <w:vAlign w:val="bottom"/>
          </w:tcPr>
          <w:p>
            <w:pPr>
              <w:spacing w:after="0"/>
              <w:rPr>
                <w:sz w:val="19"/>
                <w:szCs w:val="19"/>
                <w:color w:val="auto"/>
              </w:rPr>
            </w:pPr>
          </w:p>
        </w:tc>
      </w:tr>
      <w:tr>
        <w:trPr>
          <w:trHeight w:val="223"/>
        </w:trPr>
        <w:tc>
          <w:tcPr>
            <w:tcW w:w="4700" w:type="dxa"/>
            <w:vAlign w:val="bottom"/>
            <w:gridSpan w:val="2"/>
          </w:tcPr>
          <w:p>
            <w:pPr>
              <w:ind w:left="1840"/>
              <w:spacing w:after="0"/>
              <w:rPr>
                <w:sz w:val="20"/>
                <w:szCs w:val="20"/>
                <w:color w:val="auto"/>
              </w:rPr>
            </w:pPr>
            <w:r>
              <w:rPr>
                <w:rFonts w:ascii="Arial" w:cs="Arial" w:eastAsia="Arial" w:hAnsi="Arial"/>
                <w:sz w:val="18"/>
                <w:szCs w:val="18"/>
                <w:color w:val="auto"/>
              </w:rPr>
              <w:t>Loss from operations</w:t>
            </w: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(5,602,863)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(4,114,933)</w:t>
            </w: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1840" w:type="dxa"/>
            <w:vAlign w:val="bottom"/>
          </w:tcPr>
          <w:p>
            <w:pPr>
              <w:spacing w:after="0"/>
              <w:rPr>
                <w:sz w:val="19"/>
                <w:szCs w:val="19"/>
                <w:color w:val="auto"/>
              </w:rPr>
            </w:pPr>
          </w:p>
        </w:tc>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9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1,158,088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19"/>
                <w:szCs w:val="19"/>
                <w:color w:val="auto"/>
              </w:rPr>
            </w:pPr>
          </w:p>
        </w:tc>
      </w:tr>
      <w:tr>
        <w:trPr>
          <w:trHeight w:val="230"/>
        </w:trPr>
        <w:tc>
          <w:tcPr>
            <w:tcW w:w="184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Grant income</w:t>
            </w: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79,900</w:t>
            </w: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9"/>
        </w:trPr>
        <w:tc>
          <w:tcPr>
            <w:tcW w:w="1840" w:type="dxa"/>
            <w:vAlign w:val="bottom"/>
          </w:tcPr>
          <w:p>
            <w:pPr>
              <w:spacing w:after="0"/>
              <w:rPr>
                <w:sz w:val="19"/>
                <w:szCs w:val="19"/>
                <w:color w:val="auto"/>
              </w:rPr>
            </w:pPr>
          </w:p>
        </w:tc>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9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3,036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116,370</w:t>
            </w:r>
          </w:p>
        </w:tc>
        <w:tc>
          <w:tcPr>
            <w:tcW w:w="80" w:type="dxa"/>
            <w:vAlign w:val="bottom"/>
            <w:shd w:val="clear" w:color="auto" w:fill="CFF0FC"/>
          </w:tcPr>
          <w:p>
            <w:pPr>
              <w:spacing w:after="0"/>
              <w:rPr>
                <w:sz w:val="19"/>
                <w:szCs w:val="19"/>
                <w:color w:val="auto"/>
              </w:rPr>
            </w:pPr>
          </w:p>
        </w:tc>
        <w:tc>
          <w:tcPr>
            <w:tcW w:w="1840" w:type="dxa"/>
            <w:vAlign w:val="bottom"/>
          </w:tcPr>
          <w:p>
            <w:pPr>
              <w:spacing w:after="0"/>
              <w:rPr>
                <w:sz w:val="19"/>
                <w:szCs w:val="19"/>
                <w:color w:val="auto"/>
              </w:rPr>
            </w:pPr>
          </w:p>
        </w:tc>
      </w:tr>
      <w:tr>
        <w:trPr>
          <w:trHeight w:val="223"/>
        </w:trPr>
        <w:tc>
          <w:tcPr>
            <w:tcW w:w="4700" w:type="dxa"/>
            <w:vAlign w:val="bottom"/>
            <w:gridSpan w:val="2"/>
          </w:tcPr>
          <w:p>
            <w:pPr>
              <w:ind w:left="1840"/>
              <w:spacing w:after="0"/>
              <w:rPr>
                <w:sz w:val="20"/>
                <w:szCs w:val="20"/>
                <w:color w:val="auto"/>
              </w:rPr>
            </w:pPr>
            <w:r>
              <w:rPr>
                <w:rFonts w:ascii="Arial" w:cs="Arial" w:eastAsia="Arial" w:hAnsi="Arial"/>
                <w:sz w:val="18"/>
                <w:szCs w:val="18"/>
                <w:color w:val="auto"/>
              </w:rPr>
              <w:t>Total other income</w:t>
            </w: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1,161,124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196,270</w:t>
            </w: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3"/>
        </w:trPr>
        <w:tc>
          <w:tcPr>
            <w:tcW w:w="1840" w:type="dxa"/>
            <w:vAlign w:val="bottom"/>
          </w:tcPr>
          <w:p>
            <w:pPr>
              <w:spacing w:after="0"/>
              <w:rPr>
                <w:sz w:val="19"/>
                <w:szCs w:val="19"/>
                <w:color w:val="auto"/>
              </w:rPr>
            </w:pPr>
          </w:p>
        </w:tc>
        <w:tc>
          <w:tcPr>
            <w:tcW w:w="2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and comprehensive loss</w:t>
            </w:r>
          </w:p>
        </w:tc>
        <w:tc>
          <w:tcPr>
            <w:tcW w:w="92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(4,441,739)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(3,918,663)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40" w:type="dxa"/>
            <w:vAlign w:val="bottom"/>
          </w:tcPr>
          <w:p>
            <w:pPr>
              <w:spacing w:after="0"/>
              <w:rPr>
                <w:sz w:val="19"/>
                <w:szCs w:val="19"/>
                <w:color w:val="auto"/>
              </w:rPr>
            </w:pPr>
          </w:p>
        </w:tc>
      </w:tr>
      <w:tr>
        <w:trPr>
          <w:trHeight w:val="20"/>
        </w:trPr>
        <w:tc>
          <w:tcPr>
            <w:tcW w:w="18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13"/>
        </w:trPr>
        <w:tc>
          <w:tcPr>
            <w:tcW w:w="18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320" w:type="dxa"/>
            <w:vAlign w:val="bottom"/>
            <w:gridSpan w:val="2"/>
          </w:tcPr>
          <w:p>
            <w:pPr>
              <w:jc w:val="right"/>
              <w:ind w:right="227"/>
              <w:spacing w:after="0"/>
              <w:rPr>
                <w:sz w:val="20"/>
                <w:szCs w:val="20"/>
                <w:color w:val="auto"/>
              </w:rPr>
            </w:pPr>
            <w:r>
              <w:rPr>
                <w:rFonts w:ascii="Arial" w:cs="Arial" w:eastAsia="Arial" w:hAnsi="Arial"/>
                <w:sz w:val="18"/>
                <w:szCs w:val="18"/>
                <w:color w:val="auto"/>
              </w:rPr>
              <w:t>22</w:t>
            </w: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15"/>
        </w:trPr>
        <w:tc>
          <w:tcPr>
            <w:tcW w:w="1840" w:type="dxa"/>
            <w:vAlign w:val="bottom"/>
            <w:tcBorders>
              <w:bottom w:val="single" w:sz="8" w:color="9A9A9A"/>
            </w:tcBorders>
          </w:tcPr>
          <w:p>
            <w:pPr>
              <w:spacing w:after="0"/>
              <w:rPr>
                <w:sz w:val="10"/>
                <w:szCs w:val="10"/>
                <w:color w:val="auto"/>
              </w:rPr>
            </w:pPr>
          </w:p>
        </w:tc>
        <w:tc>
          <w:tcPr>
            <w:tcW w:w="28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Comparison of the Three Months Ended March 31, 2021 and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86" w:lineRule="exact"/>
        <w:rPr>
          <w:sz w:val="20"/>
          <w:szCs w:val="20"/>
          <w:color w:val="auto"/>
        </w:rPr>
      </w:pPr>
    </w:p>
    <w:tbl>
      <w:tblPr>
        <w:tblLayout w:type="fixed"/>
        <w:tblInd w:w="1880" w:type="dxa"/>
        <w:tblCellMar>
          <w:top w:w="0" w:type="dxa"/>
          <w:left w:w="0" w:type="dxa"/>
          <w:bottom w:w="0" w:type="dxa"/>
          <w:right w:w="0" w:type="dxa"/>
        </w:tblCellMar>
      </w:tblPr>
      <w:tr>
        <w:trPr>
          <w:trHeight w:val="162"/>
        </w:trPr>
        <w:tc>
          <w:tcPr>
            <w:tcW w:w="4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80" w:type="dxa"/>
            <w:vAlign w:val="bottom"/>
            <w:gridSpan w:val="6"/>
          </w:tcPr>
          <w:p>
            <w:pPr>
              <w:ind w:left="280"/>
              <w:spacing w:after="0"/>
              <w:rPr>
                <w:sz w:val="20"/>
                <w:szCs w:val="20"/>
                <w:color w:val="auto"/>
              </w:rPr>
            </w:pPr>
            <w:r>
              <w:rPr>
                <w:rFonts w:ascii="Arial" w:cs="Arial" w:eastAsia="Arial" w:hAnsi="Arial"/>
                <w:sz w:val="14"/>
                <w:szCs w:val="14"/>
                <w:b w:val="1"/>
                <w:bCs w:val="1"/>
                <w:color w:val="auto"/>
              </w:rPr>
              <w:t>Three Months Ended March 31,</w:t>
            </w:r>
          </w:p>
        </w:tc>
      </w:tr>
      <w:tr>
        <w:trPr>
          <w:trHeight w:val="171"/>
        </w:trPr>
        <w:tc>
          <w:tcPr>
            <w:tcW w:w="418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r>
      <w:tr>
        <w:trPr>
          <w:trHeight w:val="223"/>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2,228,002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209"/>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1,829,042</w:t>
            </w:r>
          </w:p>
        </w:tc>
        <w:tc>
          <w:tcPr>
            <w:tcW w:w="80" w:type="dxa"/>
            <w:vAlign w:val="bottom"/>
            <w:shd w:val="clear" w:color="auto" w:fill="CFF0FC"/>
          </w:tcPr>
          <w:p>
            <w:pPr>
              <w:spacing w:after="0"/>
              <w:rPr>
                <w:sz w:val="19"/>
                <w:szCs w:val="19"/>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2,136,591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2,285,891</w:t>
            </w:r>
          </w:p>
        </w:tc>
        <w:tc>
          <w:tcPr>
            <w:tcW w:w="80" w:type="dxa"/>
            <w:vAlign w:val="bottom"/>
          </w:tcPr>
          <w:p>
            <w:pPr>
              <w:spacing w:after="0"/>
              <w:rPr>
                <w:sz w:val="19"/>
                <w:szCs w:val="19"/>
                <w:color w:val="auto"/>
              </w:rPr>
            </w:pPr>
          </w:p>
        </w:tc>
      </w:tr>
      <w:tr>
        <w:trPr>
          <w:trHeight w:val="229"/>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Restructuring expense</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1,238,270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5,602,863</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4,114,933</w:t>
            </w:r>
          </w:p>
        </w:tc>
        <w:tc>
          <w:tcPr>
            <w:tcW w:w="80" w:type="dxa"/>
            <w:vAlign w:val="bottom"/>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Research and development expenses for the three months ended March 31, 2021 increased approximately $0.4 million or 21.8%, compared to the three months ended March 31, 2020. This was the result of increased spending on the Phase 2 Glaucoma trial and two COVID-19 trials compared to spending related to the Glaucoma Phase 1b clinical trial, which was completed during the first quarter of 2020.</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General and administrative expenses for the three months ended March 31, 2021, decreased approximately $0.1 million, or 6.5%, compared to the three months ended March 31,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Expense</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Restructuring expense for the three months ended March 31, 2021 increased by $1.2 million as a result of the reduction of headcount during the first quarter of 2021. No such actions were taken in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26"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300" w:type="dxa"/>
            <w:vAlign w:val="bottom"/>
            <w:gridSpan w:val="4"/>
          </w:tcPr>
          <w:p>
            <w:pPr>
              <w:jc w:val="right"/>
              <w:ind w:right="236"/>
              <w:spacing w:after="0"/>
              <w:rPr>
                <w:sz w:val="20"/>
                <w:szCs w:val="20"/>
                <w:color w:val="auto"/>
              </w:rPr>
            </w:pPr>
            <w:r>
              <w:rPr>
                <w:rFonts w:ascii="Arial" w:cs="Arial" w:eastAsia="Arial" w:hAnsi="Arial"/>
                <w:sz w:val="14"/>
                <w:szCs w:val="14"/>
                <w:b w:val="1"/>
                <w:bCs w:val="1"/>
                <w:color w:val="auto"/>
              </w:rPr>
              <w:t>Three Months Ended March 31,</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3660" w:type="dxa"/>
            <w:vAlign w:val="bottom"/>
          </w:tcPr>
          <w:p>
            <w:pPr>
              <w:spacing w:after="0"/>
              <w:rPr>
                <w:sz w:val="14"/>
                <w:szCs w:val="14"/>
                <w:color w:val="auto"/>
              </w:rPr>
            </w:pPr>
          </w:p>
        </w:tc>
        <w:tc>
          <w:tcPr>
            <w:tcW w:w="3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w:t>
            </w:r>
          </w:p>
        </w:tc>
        <w:tc>
          <w:tcPr>
            <w:tcW w:w="23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927"/>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2"/>
              </w:rPr>
              <w:t>1,158,088</w:t>
            </w:r>
          </w:p>
        </w:tc>
        <w:tc>
          <w:tcPr>
            <w:tcW w:w="30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ind w:right="97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3660" w:type="dxa"/>
            <w:vAlign w:val="bottom"/>
          </w:tcPr>
          <w:p>
            <w:pPr>
              <w:spacing w:after="0"/>
              <w:rPr>
                <w:sz w:val="20"/>
                <w:szCs w:val="20"/>
                <w:color w:val="auto"/>
              </w:rPr>
            </w:pPr>
            <w:r>
              <w:rPr>
                <w:rFonts w:ascii="Arial" w:cs="Arial" w:eastAsia="Arial" w:hAnsi="Arial"/>
                <w:sz w:val="18"/>
                <w:szCs w:val="18"/>
                <w:color w:val="auto"/>
              </w:rPr>
              <w:t>Grant income</w:t>
            </w:r>
          </w:p>
        </w:tc>
        <w:tc>
          <w:tcPr>
            <w:tcW w:w="2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79,900</w:t>
            </w:r>
          </w:p>
        </w:tc>
        <w:tc>
          <w:tcPr>
            <w:tcW w:w="120" w:type="dxa"/>
            <w:vAlign w:val="bottom"/>
          </w:tcPr>
          <w:p>
            <w:pPr>
              <w:spacing w:after="0"/>
              <w:rPr>
                <w:sz w:val="19"/>
                <w:szCs w:val="19"/>
                <w:color w:val="auto"/>
              </w:rPr>
            </w:pP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32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3,036</w:t>
            </w:r>
          </w:p>
        </w:tc>
        <w:tc>
          <w:tcPr>
            <w:tcW w:w="300" w:type="dxa"/>
            <w:vAlign w:val="bottom"/>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116,370</w:t>
            </w:r>
          </w:p>
        </w:tc>
        <w:tc>
          <w:tcPr>
            <w:tcW w:w="120" w:type="dxa"/>
            <w:vAlign w:val="bottom"/>
            <w:shd w:val="clear" w:color="auto" w:fill="CFF0FC"/>
          </w:tcPr>
          <w:p>
            <w:pPr>
              <w:spacing w:after="0"/>
              <w:rPr>
                <w:sz w:val="19"/>
                <w:szCs w:val="19"/>
                <w:color w:val="auto"/>
              </w:rPr>
            </w:pPr>
          </w:p>
        </w:tc>
      </w:tr>
      <w:tr>
        <w:trPr>
          <w:trHeight w:val="223"/>
        </w:trPr>
        <w:tc>
          <w:tcPr>
            <w:tcW w:w="3660" w:type="dxa"/>
            <w:vAlign w:val="bottom"/>
          </w:tcPr>
          <w:p>
            <w:pPr>
              <w:spacing w:after="0"/>
              <w:rPr>
                <w:sz w:val="20"/>
                <w:szCs w:val="20"/>
                <w:color w:val="auto"/>
              </w:rPr>
            </w:pPr>
            <w:r>
              <w:rPr>
                <w:rFonts w:ascii="Arial" w:cs="Arial" w:eastAsia="Arial" w:hAnsi="Arial"/>
                <w:sz w:val="18"/>
                <w:szCs w:val="18"/>
                <w:color w:val="auto"/>
              </w:rPr>
              <w:t>Total other income</w:t>
            </w:r>
          </w:p>
        </w:tc>
        <w:tc>
          <w:tcPr>
            <w:tcW w:w="2320" w:type="dxa"/>
            <w:vAlign w:val="bottom"/>
          </w:tcPr>
          <w:p>
            <w:pPr>
              <w:spacing w:after="0"/>
              <w:rPr>
                <w:sz w:val="19"/>
                <w:szCs w:val="19"/>
                <w:color w:val="auto"/>
              </w:rPr>
            </w:pPr>
          </w:p>
        </w:tc>
        <w:tc>
          <w:tcPr>
            <w:tcW w:w="1080" w:type="dxa"/>
            <w:vAlign w:val="bottom"/>
            <w:tcBorders>
              <w:bottom w:val="single" w:sz="8" w:color="auto"/>
            </w:tcBorders>
          </w:tcPr>
          <w:p>
            <w:pPr>
              <w:jc w:val="right"/>
              <w:ind w:right="927"/>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1,161,124</w:t>
            </w:r>
          </w:p>
        </w:tc>
        <w:tc>
          <w:tcPr>
            <w:tcW w:w="300" w:type="dxa"/>
            <w:vAlign w:val="bottom"/>
          </w:tcPr>
          <w:p>
            <w:pPr>
              <w:spacing w:after="0"/>
              <w:rPr>
                <w:sz w:val="19"/>
                <w:szCs w:val="19"/>
                <w:color w:val="auto"/>
              </w:rPr>
            </w:pPr>
          </w:p>
        </w:tc>
        <w:tc>
          <w:tcPr>
            <w:tcW w:w="1160" w:type="dxa"/>
            <w:vAlign w:val="bottom"/>
            <w:tcBorders>
              <w:bottom w:val="single" w:sz="8" w:color="auto"/>
            </w:tcBorders>
          </w:tcPr>
          <w:p>
            <w:pPr>
              <w:jc w:val="right"/>
              <w:ind w:right="97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196,270</w:t>
            </w:r>
          </w:p>
        </w:tc>
        <w:tc>
          <w:tcPr>
            <w:tcW w:w="120" w:type="dxa"/>
            <w:vAlign w:val="bottom"/>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Other income for the three months ended March 31, 2021 of $1.2 million represents reimbursed internal and external qualified expenses related to the ARDS RESCUE clinical trial, per the terms of the MTEC arrangement. The arrangement with the Company started in the third quarter of 2020.</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11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Grant income is recognized as earned based on contract work performed. Grant income amounts can vary greatly from period to period depending on the funding and needs of the party for whom we perform the requested services. No grants were received during the three months ended March 31, 2021.</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Interest income in the three months ended March 31, 2021 and 2020, reflects interest earned on short term money market instruments. The net proceeds from our underwritten public offering in June 2018, sale of Company stock and payments received in conjunction with the execution of the Gossamer License Agreement in June 2018 and Amendment No. 1 in May 2020, less cash used in operations, were available for investment. The decrease in interest income is due to lower interest rates during the three months ended March 31, 2021, compared to the prior year.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Since inception, we have incurred significant net losses and negative cash flows from operations. For the three months ended March 31, 2021 and 2020, we had net losses of $4.4 million and $3.9 million, respectively. At March 31, 2021 and December 31, 2020, we had an accumulated deficit of $151.0 million and $146.6 million, respectively.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810" w:right="359" w:bottom="1440" w:gutter="0" w:footer="0" w:header="0"/>
        </w:sectPr>
      </w:pPr>
    </w:p>
    <w:bookmarkStart w:id="26" w:name="page27"/>
    <w:bookmarkEnd w:id="26"/>
    <w:p>
      <w:pPr>
        <w:ind w:right="280"/>
        <w:spacing w:after="0" w:line="301" w:lineRule="auto"/>
        <w:rPr>
          <w:sz w:val="20"/>
          <w:szCs w:val="20"/>
          <w:color w:val="auto"/>
        </w:rPr>
      </w:pPr>
      <w:r>
        <w:rPr>
          <w:rFonts w:ascii="Arial" w:cs="Arial" w:eastAsia="Arial" w:hAnsi="Arial"/>
          <w:sz w:val="16"/>
          <w:szCs w:val="16"/>
          <w:color w:val="auto"/>
        </w:rPr>
        <w:t>At March 31, 2021, we had cash and cash equivalents of $39.0 million. To date, we have financed our operations principally through private and public offerings of our equity securities, private placements of our redeemable convertible preferred stock, common stock, issuances of secured convertible promissory notes and proceeds from the Amended Gossamer License Agreement and Amendment No. 1. Based on our current plans</w:t>
      </w:r>
      <w:r>
        <w:rPr>
          <w:rFonts w:ascii="Arial" w:cs="Arial" w:eastAsia="Arial" w:hAnsi="Arial"/>
          <w:sz w:val="16"/>
          <w:szCs w:val="16"/>
          <w:b w:val="1"/>
          <w:bCs w:val="1"/>
          <w:color w:val="auto"/>
        </w:rPr>
        <w:t>,</w:t>
      </w:r>
      <w:r>
        <w:rPr>
          <w:rFonts w:ascii="Arial" w:cs="Arial" w:eastAsia="Arial" w:hAnsi="Arial"/>
          <w:sz w:val="16"/>
          <w:szCs w:val="16"/>
          <w:color w:val="auto"/>
        </w:rPr>
        <w:t xml:space="preserve"> we expect that our existing cash and cash equivalents will enable us to conduct our planned operations through at least the fourth quarter of 2022.</w:t>
      </w:r>
    </w:p>
    <w:p>
      <w:pPr>
        <w:spacing w:after="0" w:line="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April 2021, we filed a shelf registration statement on Form S-3 with the SEC which was declared effective by the SEC on April 15, 2021 (the “Form S-3”). The shelf registration statement allows us to sell from time-to-time up to $150.0 million of common stock, preferred stock, debt securities, warrants, or units comprised of any combination of these securities, for our own account in one or more offerings. The shelf registration statement is intended to provide us flexibility to conduct registered sales of our securities, subject to market conditions and our future capital needs. The terms of any offering under the shelf registration statement will be established at the time of such offering and will be described in a prospectus supplement filed with the SEC prior to the completion of any such offering.</w:t>
      </w:r>
    </w:p>
    <w:p>
      <w:pPr>
        <w:spacing w:after="0" w:line="8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February 2018, we entered into a Controlled Equity Offering Sales Agreement (the “Sales Agreement”) with Cantor Fitzgerald &amp; Co. (“Cantor”), pursuant to which we were able to issue and sell, from time to time, shares of our common stock having an aggregate offering price of up to $75.0 million through Cantor as our sales agent. Cantor may sell our common stock by any method permitted by law deemed to be an “at the market offering” as defined in Rule 415(a)(4) of the Securities Act, including sales made directly on or through the Nasdaq Capital Market or any other existing trade market for our common stock, in negotiated transactions at market prices prevailing at the time of sale or at prices related to prevailing market prices, or any other method permitted by law. The shares of our common stock that we sold under the Sales Agreement were conducted pursuant to an earlier registration statement on Form S-3 that we filed with the SEC in February 2018.</w:t>
      </w:r>
    </w:p>
    <w:p>
      <w:pPr>
        <w:spacing w:after="0" w:line="6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the year ended December 31, 2020, 6,523,655 shares of common stock had been sold under this Sales Agreement and received net proceeds of $9.3 million, after deducting expenses of approximately $403,000 (including sales agent compensation of approximately $292,000) that were direct and incremental to the sale of our common stock. During the three months ended March 31, 2021, no shares of common stock were sold under this Sales Agreement. Because the earlier registration statement on Form S-3 expired on its three-year anniversary of its effectiveness, we may not make future sales under the Sales Agreement.</w:t>
      </w:r>
    </w:p>
    <w:p>
      <w:pPr>
        <w:spacing w:after="0" w:line="80"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On May 16, 2021, we entered into a Merger Agreement with Aadi and Merger Sub pursuant to which, subject to the satisfaction or waiver of the conditions therein, Aadi will merge with and into Merger Sub, with Aadi continuing as the surviving company and a wholly-owned subsidiary of our company. The Merger Agreement was unanimously approved by the members of the Company's Board, and the Board resolved to recommend approval of the Merger Agreement to the Company's shareholders. Our future operations are highly dependent on the success of the merger with Aadi.</w:t>
      </w:r>
    </w:p>
    <w:p>
      <w:pPr>
        <w:spacing w:after="0" w:line="4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could potentially use our available financial resources sooner than we currently expect, and we may incur additional indebtedness to meet future operation liquidity. We continuously evaluate our needs for additional capital and consider opportunities on an ongoing basis, including capital from many different sources including equity capital, strategic alliances, business development debt, collaborations and business combinations. Adequate additional funding may not be available to us on acceptable terms or at all. Market volatility resulting from COVID-19 pandemic or other factors could also adversely impact our ability to access capital as and when needed. In addition, although we anticipate being able to obtain additional financing through non-dilutive means, we may be unable to do so. Our failure to raise capital as and when needed could have significant negative consequences for our business, financial condition and results of operations.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57" w:lineRule="exact"/>
        <w:rPr>
          <w:sz w:val="20"/>
          <w:szCs w:val="20"/>
          <w:color w:val="auto"/>
        </w:rPr>
      </w:pPr>
    </w:p>
    <w:tbl>
      <w:tblPr>
        <w:tblLayout w:type="fixed"/>
        <w:tblInd w:w="2060" w:type="dxa"/>
        <w:tblCellMar>
          <w:top w:w="0" w:type="dxa"/>
          <w:left w:w="0" w:type="dxa"/>
          <w:bottom w:w="0" w:type="dxa"/>
          <w:right w:w="0" w:type="dxa"/>
        </w:tblCellMar>
      </w:tblPr>
      <w:tr>
        <w:trPr>
          <w:trHeight w:val="175"/>
        </w:trPr>
        <w:tc>
          <w:tcPr>
            <w:tcW w:w="4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March 31,</w:t>
            </w:r>
          </w:p>
        </w:tc>
      </w:tr>
      <w:tr>
        <w:trPr>
          <w:trHeight w:val="171"/>
        </w:trPr>
        <w:tc>
          <w:tcPr>
            <w:tcW w:w="43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r>
      <w:tr>
        <w:trPr>
          <w:trHeight w:val="223"/>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(3,666,697)</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(3,939,826)</w:t>
            </w:r>
          </w:p>
        </w:tc>
        <w:tc>
          <w:tcPr>
            <w:tcW w:w="80" w:type="dxa"/>
            <w:vAlign w:val="bottom"/>
            <w:shd w:val="clear" w:color="auto" w:fill="CFF0FC"/>
          </w:tcPr>
          <w:p>
            <w:pPr>
              <w:spacing w:after="0"/>
              <w:rPr>
                <w:sz w:val="19"/>
                <w:szCs w:val="19"/>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70,279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decrease in cash and cash equivalents</w:t>
            </w: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(3,596,418)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(3,939,826)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We have historically experienced negative cash outflows. Our net cash used in operating activities primarily results from our net loss adjusted for non-cash expenses, changes in working capital components, amounts due to contract research organizations to conduct our clinical programs and employee-related expenditures for research and development and general and administrative activities. Our cash flows from operating activities will continue to be affected by spending to advance and support our product candidates in the clinic and other operating and general administrative activities.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7" w:name="page28"/>
    <w:bookmarkEnd w:id="27"/>
    <w:p>
      <w:pPr>
        <w:spacing w:after="0" w:line="257" w:lineRule="auto"/>
        <w:rPr>
          <w:sz w:val="20"/>
          <w:szCs w:val="20"/>
          <w:color w:val="auto"/>
        </w:rPr>
      </w:pPr>
      <w:r>
        <w:rPr>
          <w:rFonts w:ascii="Arial" w:cs="Arial" w:eastAsia="Arial" w:hAnsi="Arial"/>
          <w:sz w:val="18"/>
          <w:szCs w:val="18"/>
          <w:color w:val="auto"/>
        </w:rPr>
        <w:t>For the three months ended March 31, 2021, operating activities used $3.7 million in cash as result a net loss of approximately $4.4 million offset by $0.4 million of decrease in working capital and $0.4 million in non-cash expenses related to stock-based compensation and depreciation expense. For the three months ended March 31, 2020, operating activities used $3.9 million in cash as a result of $0.4 million of decrease in working capital and a net loss of $3.9 million, offset by $0.4 million in non-cash expenses that consisted of consulting expense related to warrants, stock-based compensation expense and depreciation expense.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Net cash provided by financing activities for the three months ended March 31, 2021 includes $70,279 net proceeds from issuance of common stock upon exercise of stock options. There were no financing activities during the three months ended March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Other than as described herein with respect to the Merger Agreement with Aadi and the related transactions, there have been no material changes outside the ordinary course of business during the period covered by this Quarterly Report on Form 10-Q from the contractual obligations and commitments as of December 31, 2020 as described in our Annual Report on Form 10-K filed with the SEC on March 11,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2021 and December 31, 2020, we did not have any off-balance sheet arrangements as defined by applicable SEC regulations.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Our condensed consolidated financial statements are prepared in accordance with GAAP.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6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believe that the assumptions and estimates have the greatest potential impact on our condensed consolidated financial statements. Therefore, we consider these to be our critical accounting policies and estimates.</w:t>
      </w:r>
    </w:p>
    <w:p>
      <w:pPr>
        <w:spacing w:after="0" w:line="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further information on all our significant accounting policies, see the notes to our condensed consolidated financial statements appearing elsewhere in this Quarterly Report on Form 10-Q and our Annual Report on Form 10-K filed with the SEC on March 11,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We are an “emerging growth company” within the meaning of the Jumpstart Our Business Startups Act of 2012 (“JOBS Act”).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 that are not emerging growth companies.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required by this Item.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2222"/>
        </w:rPr>
        <w:t>Management’s Evaluation of our Disclosure Controls and Procedures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Under the supervision of and with the participation of our management, including our principal executive officer and our principal financial officer, we conducted an evaluation of the effectiveness of our disclosure controls and procedures as of March 31, 2021, the end of the period covered by this Quarterly Report on Form 10-Q. The term “disclosure controls and procedures,” as set forth in Rules 13a-15(e) and 15d-15(e) under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rules and forms promulgated by the</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28" w:name="page29"/>
    <w:bookmarkEnd w:id="28"/>
    <w:p>
      <w:pPr>
        <w:jc w:val="both"/>
        <w:ind w:right="80"/>
        <w:spacing w:after="0" w:line="286" w:lineRule="auto"/>
        <w:rPr>
          <w:sz w:val="20"/>
          <w:szCs w:val="20"/>
          <w:color w:val="auto"/>
        </w:rPr>
      </w:pPr>
      <w:r>
        <w:rPr>
          <w:rFonts w:ascii="Arial" w:cs="Arial" w:eastAsia="Arial" w:hAnsi="Arial"/>
          <w:sz w:val="17"/>
          <w:szCs w:val="17"/>
          <w:color w:val="auto"/>
        </w:rPr>
        <w:t>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5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Based on this evaluation, management concluded that our internal control over financial reporting was effective as of March 31,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During the quarter ended March 31, 2021, there have been no changes in our internal control over financial reporting, as such term is defined in Rules 13a-15(f) and 15(d)-15(f) promulgated under the Exchange Act, that have materially affected, or are reasonably likely to materially affect, our internal control over financial reporting.</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As of the date of this Quarterly Report on Form 10-Q, we are not currently involved in any material legal proceedings. However, from time to time, we could be subject to various legal proceedings and claims that arise in the ordinary course of our business activities. Regardless of the outcome, legal proceedings can have an adverse impact on us because of defense and settlement costs, diversion of management resources and other factors.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The following risk factors and other information included in this Quarterly Report on Form 10-Q and in other documents that we file with the SEC should be carefully considered. The risks and uncertainties summarized above and described below are not intended to be exhaustive and are not the only ones we face. Additional risks and uncertainties not presently known to us or that we presently deem immaterial may also impair our business operations. Please see page 17 of this Quarterly Report on Form 10-Q for a discussion of some of the forward-looking statements that are qualified by these risk factors. If any of the following risks actually occur, our business, financial condition, results of operations and future growth prospects could be materially and adversely affected.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the Clinical Development, Regulatory Review and Approval of Product Candidates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our Merger with Aadi Bioscience, Inc. (“Aadi”).</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Failure to complete, or delays in completing, the potential merger with Aadi announced on May 17, 2021 could materially and adversely affect our results of operations, business, financial results and/or stock price.</w:t>
      </w:r>
    </w:p>
    <w:p>
      <w:pPr>
        <w:spacing w:after="0" w:line="6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On May 16, 2021, we entered into an agreement with Aadi and our wholly-owned merger subsidiary (“Merger Sub”) pursuant to which, if all of the conditions to closing are satisfied or waived, Aadi will merge with and into Merger Sub, with Aadi continuing as the surviving company and a wholly-owned subsidiary of our company (the “Merger”). Consummation of the Merger is subject to certain closing conditions, a number of which are not within our control. Any failure to satisfy these required conditions to closing may prevent, delay or otherwise materially adversely affect the completion of the transaction. We cannot predict with certainty whether or when any of the required closing conditions will be satisfied or if another uncertainty may arise and cannot assure you that we will be able to successfully consummate the proposed merger as currently contemplated under the Merger Agreement or at all.</w:t>
      </w:r>
    </w:p>
    <w:p>
      <w:pPr>
        <w:spacing w:after="0" w:line="8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efforts to complete the Merger could cause substantial disruptions in, and create uncertainty surrounding, our business, which may materially adversely affect our results of operation and our business. Uncertainty as to whether the Merger will be completed may affect our ability to recruit prospective employees or to retain and motivate existing employees. Employee retention may be particularly challenging while the transaction is pending because employees may experience uncertainty about their roles following the transaction. Uncertainty as to our future could adversely affect our business and our relationship with collaborators, suppliers, vendors, regulators and other business partners. For example, vendors, collaborators and other counterparties may defer decisions about working with us or seek to change existing business relationships with us. Changes to, or termination of, existing business relationships could adversely affect our results of operations and financial condition, as well as the market price of our common stock. The adverse effects of the pendency of the transaction could be exacerbated by any delays in completion of the transaction or termination of the Merger Agreement.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Risks related to the failure of the proposed merger to be consummated include, but are not limited to, the following:</w:t>
      </w:r>
    </w:p>
    <w:p>
      <w:pPr>
        <w:spacing w:after="0" w:line="117" w:lineRule="exact"/>
        <w:rPr>
          <w:sz w:val="20"/>
          <w:szCs w:val="20"/>
          <w:color w:val="auto"/>
        </w:rPr>
      </w:pPr>
    </w:p>
    <w:p>
      <w:pPr>
        <w:ind w:left="740" w:right="20" w:hanging="368"/>
        <w:spacing w:after="0" w:line="277"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would not realize any or all of the potential benefits of the Merger, including any synergies that could result from combining our financial and proprietary resources with those of Aadi, which could have a negative effect on our stock price;</w:t>
      </w:r>
    </w:p>
    <w:p>
      <w:pPr>
        <w:spacing w:after="0" w:line="62" w:lineRule="exact"/>
        <w:rPr>
          <w:rFonts w:ascii="Arial" w:cs="Arial" w:eastAsia="Arial" w:hAnsi="Arial"/>
          <w:sz w:val="18"/>
          <w:szCs w:val="18"/>
          <w:color w:val="auto"/>
        </w:rPr>
      </w:pPr>
    </w:p>
    <w:p>
      <w:pPr>
        <w:ind w:left="740" w:right="160" w:hanging="368"/>
        <w:spacing w:after="0" w:line="277"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under some circumstances, we may be required to pay a termination fee to Aadi of $2 million and/or pay Aadi’s out-of-pocket fees and expense of up to $750,000;</w:t>
      </w:r>
    </w:p>
    <w:p>
      <w:pPr>
        <w:spacing w:after="0" w:line="62" w:lineRule="exact"/>
        <w:rPr>
          <w:rFonts w:ascii="Arial" w:cs="Arial" w:eastAsia="Arial" w:hAnsi="Arial"/>
          <w:sz w:val="18"/>
          <w:szCs w:val="18"/>
          <w:color w:val="auto"/>
        </w:rPr>
      </w:pPr>
    </w:p>
    <w:p>
      <w:pPr>
        <w:ind w:left="740" w:right="520" w:hanging="368"/>
        <w:spacing w:after="0" w:line="277"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remain liable for significant transaction costs, including legal, accounting, financial advisory and other costs relating to the Merger regardless of whether the Merger is consummated;</w:t>
      </w:r>
    </w:p>
    <w:p>
      <w:pPr>
        <w:spacing w:after="0" w:line="62" w:lineRule="exact"/>
        <w:rPr>
          <w:rFonts w:ascii="Arial" w:cs="Arial" w:eastAsia="Arial" w:hAnsi="Arial"/>
          <w:sz w:val="18"/>
          <w:szCs w:val="18"/>
          <w:color w:val="auto"/>
        </w:rPr>
      </w:pPr>
    </w:p>
    <w:p>
      <w:pPr>
        <w:ind w:left="740" w:right="160" w:hanging="368"/>
        <w:spacing w:after="0" w:line="277"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trading price of our common stock may decline to the extent that the current market price for our stock reflects a market assumption that the Merger will be completed;</w:t>
      </w:r>
    </w:p>
    <w:p>
      <w:pPr>
        <w:spacing w:after="0" w:line="62" w:lineRule="exact"/>
        <w:rPr>
          <w:rFonts w:ascii="Arial" w:cs="Arial" w:eastAsia="Arial" w:hAnsi="Arial"/>
          <w:sz w:val="18"/>
          <w:szCs w:val="18"/>
          <w:color w:val="auto"/>
        </w:rPr>
      </w:pPr>
    </w:p>
    <w:p>
      <w:pPr>
        <w:ind w:left="740" w:right="100" w:hanging="368"/>
        <w:spacing w:after="0" w:line="277"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attention of our management and employees may have been diverted to the Merger rather than to our own operations and the pursuit of other opportunities that could have been beneficial to us;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could be subject to litigation related to any failure to complete the Merger;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0" w:name="page31"/>
    <w:bookmarkEnd w:id="30"/>
    <w:p>
      <w:pPr>
        <w:ind w:left="740" w:hanging="368"/>
        <w:spacing w:after="0" w:line="277"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loss of key personnel during the pendency of the Merger as employees and other service providers may experience uncertainty about their future roles with us following completion of the Merger; and</w:t>
      </w:r>
    </w:p>
    <w:p>
      <w:pPr>
        <w:spacing w:after="0" w:line="62" w:lineRule="exact"/>
        <w:rPr>
          <w:rFonts w:ascii="Arial" w:cs="Arial" w:eastAsia="Arial" w:hAnsi="Arial"/>
          <w:sz w:val="18"/>
          <w:szCs w:val="18"/>
          <w:color w:val="auto"/>
        </w:rPr>
      </w:pPr>
    </w:p>
    <w:p>
      <w:pPr>
        <w:ind w:left="740" w:right="700" w:hanging="368"/>
        <w:spacing w:after="0" w:line="263"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under the Merger Agreement, we are subject to certain restrictions on the conduct of our business prior to completing the Merger, which restrictions could adversely affect our ability to conduct our business as we otherwise would have done if we were not subject to these restrictions.</w:t>
      </w:r>
    </w:p>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occurrence of any of these events individually or in combination could materially and adversely affect our results of operations, business, and our stock price.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be sure if or when the Merger will be completed.</w:t>
      </w:r>
    </w:p>
    <w:p>
      <w:pPr>
        <w:spacing w:after="0" w:line="11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consummation of the Merger is subject to the satisfaction or waiver of various conditions, including the authorization of the Merger and/or related transactions by our shareholders and Aadi’s shareholders. In addition, in connection with the Merger Agreement, we have entered into subscription agreements to raise $155.0 million in a Private Investment in Public Equity (“PIPE”) financing in shares of common stock and/or pre-funded warrants to purchase common stock. The financing is expected to be consummated concurrently with the closing of the merger, subject to customary closing conditions, and is contingent on the merger, and vice versa. We cannot guarantee that the closing conditions set forth in the Merger Agreement will be satisfied. If we are unable to satisfy the closing conditions in Aadi’s favor or if other mutual closing conditions are not satisfied, Aadi will not be obligated to complete the Merger. Under certain circumstances, we would be required to pay Aadi a termination fee of $2.0 million. In addition, in connection with certain terminations of the Merger Agreement, Aerpio may be required to pay Aadi’s out-of-pocket fees and expenses up to $750,000, which shall be credited against any termination fee which becomes payable thereafter.</w:t>
      </w:r>
    </w:p>
    <w:p>
      <w:pPr>
        <w:spacing w:after="0" w:line="7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If the Merger is not completed, our board of directors, in discharging its fiduciary obligations to our shareholders, will evaluate other strategic alternatives or financing options that may be available, which alternatives may not be as favorable to our shareholders as the Merger. Any future sale or merger, financing or other transaction may be subject to further shareholder approval. We may also be unable to find, evaluate or complete other strategic alternatives, which may have a materially adverse effect our business.</w:t>
      </w:r>
    </w:p>
    <w:p>
      <w:pPr>
        <w:spacing w:after="0" w:line="7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efforts to complete the Merger could cause substantial disruptions in, and create uncertainty surrounding, our business, which may materially adversely affect our results of operation and our business. Uncertainty as to whether the Merger will be completed may affect our ability to recruit prospective employees or to retain and motivate existing employees. Employee retention may be particularly challenging while the transaction is pending because employees may experience uncertainty about their roles following the transaction. A substantial amount of our management’s and employees’ attention is being directed toward the completion of the transaction and thus is being diverted from our day-to-day operations. Uncertainty as to our future could adversely affect our business and our relationship with collaborators, suppliers, vendors, regulators and other business partners. For example, vendors, collaborators and other counterparties may defer decisions concerning working with us, or seek to change existing business relationships with us. Changes to, or termination of, existing business relationships could adversely affect our results of operations and financial condition, as well as the market price of our common stock. The adverse effects of the pendency of the transaction could be exacerbated by any delays in completion of the transaction or termination of the Merger Agreement.</w:t>
      </w:r>
    </w:p>
    <w:p>
      <w:pPr>
        <w:spacing w:after="0" w:line="77"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Until the Merger is completed, the Merger Agreement restricts Aadi and us from taking specified actions without the consent of the other party, and, in regards to us, requires us to operate in the ordinary course of business consistent with past practice. These restrictions may prevent Aadi and us from making appropriate changes to our respective businesses or pursuing attractive business opportunities that may arise prior to the completion of the Merger.</w:t>
      </w:r>
    </w:p>
    <w:p>
      <w:pPr>
        <w:spacing w:after="0" w:line="41" w:lineRule="exact"/>
        <w:rPr>
          <w:sz w:val="20"/>
          <w:szCs w:val="20"/>
          <w:color w:val="auto"/>
        </w:rPr>
      </w:pPr>
    </w:p>
    <w:p>
      <w:pPr>
        <w:ind w:right="740"/>
        <w:spacing w:after="0" w:line="375" w:lineRule="auto"/>
        <w:rPr>
          <w:sz w:val="20"/>
          <w:szCs w:val="20"/>
          <w:color w:val="auto"/>
        </w:rPr>
      </w:pPr>
      <w:r>
        <w:rPr>
          <w:rFonts w:ascii="Arial" w:cs="Arial" w:eastAsia="Arial" w:hAnsi="Arial"/>
          <w:sz w:val="15"/>
          <w:szCs w:val="15"/>
          <w:b w:val="1"/>
          <w:bCs w:val="1"/>
          <w:i w:val="1"/>
          <w:iCs w:val="1"/>
          <w:color w:val="auto"/>
        </w:rPr>
        <w:t>Because the Merger Agreement provides for a fixed exchange ratio for the number of shares of our common stock that will be issued for each outstanding share of Aadi’s share capital, we may face risks as a result of changes in our stock price during the pendency of the merger.</w:t>
      </w:r>
    </w:p>
    <w:p>
      <w:pPr>
        <w:spacing w:after="0" w:line="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Merger Agreement provides for a fixed exchange ratio for the number of shares of our common stock that will be issued for each outstanding share of Aadi’s share capital in the Merger. If the public trading value of shares of our common stock changes over the period of time required to satisfy the Merger’s closing conditions, the consideration to be issued to Aadi’s shareholders at the time of the Merger may be different from the public trading value of shares of our common stock when we entered into the Merger Agreement.</w:t>
      </w:r>
    </w:p>
    <w:p>
      <w:pPr>
        <w:spacing w:after="0" w:line="7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The Merger Agreement contains provisions that limits our ability to pursue alternatives to the Merger, could discourage a potential competing acquiror of us from making an alternative transaction proposal and, in specified circumstances, could require us to pay a termination fee to Aadi.</w:t>
      </w:r>
    </w:p>
    <w:p>
      <w:pPr>
        <w:spacing w:after="0" w:line="1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Merger Agreement provides that we shall not, and requires us to refrain from permitting our representatives to, among other things, solicit, participate in negotiations with respect to or approve or recommend any third party proposal for an alternative transaction, subject to exceptions set forth in the Merger Agreement relating to the receipt of certain unsolicited proposals. Further, while our board of directors is permitted to make a recommendation change to our stockholders with respect to the Merger under certain circumstances, unless Aadi terminates the Merger Agreement, we nonetheless will be required to submit the proposals to a</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1" w:name="page32"/>
    <w:bookmarkEnd w:id="31"/>
    <w:p>
      <w:pPr>
        <w:ind w:right="200"/>
        <w:spacing w:after="0" w:line="263" w:lineRule="auto"/>
        <w:rPr>
          <w:sz w:val="20"/>
          <w:szCs w:val="20"/>
          <w:color w:val="auto"/>
        </w:rPr>
      </w:pPr>
      <w:r>
        <w:rPr>
          <w:rFonts w:ascii="Arial" w:cs="Arial" w:eastAsia="Arial" w:hAnsi="Arial"/>
          <w:sz w:val="18"/>
          <w:szCs w:val="18"/>
          <w:color w:val="auto"/>
        </w:rPr>
        <w:t>stockholder vote at a special meeting. This requirement, which is often called a “force the vote” provision, means that we do not have the right before the stockholder vote to terminate the Merger Agreement to accept a superior proposal. If the Merger Agreement is terminated, in certain circumstances, we may be required to pay Aadi a termination fee of $2.0 million.</w:t>
      </w:r>
    </w:p>
    <w:p>
      <w:pPr>
        <w:spacing w:after="0" w:line="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These provisions could discourage a potential third-party acquiror or merger partner that might have an interest in acquiring all or a significant portion of us or pursuing an alternative transaction from considering or proposing such a transaction, even if it were prepared to pay consideration with a higher per share cash or market value than the consideration in the Merger, or might result in a potential third-party acquiror or merger partner proposing to pay a lower price to our stockholders than it might otherwise have proposed to pay because of the added expense of the termination fee that may become payable in certain circumstances.</w:t>
      </w:r>
    </w:p>
    <w:p>
      <w:pPr>
        <w:spacing w:after="0" w:line="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the Merger Agreement is terminated and we determine to seek another business combination, we may not be able to negotiate a transaction with another party on terms comparable to, or better than, the terms of the Merger.</w:t>
      </w:r>
    </w:p>
    <w:p>
      <w:pPr>
        <w:spacing w:after="0" w:line="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Lawsuits may be filed against us and the members of our board of directors arising out of the proposed merger, which may delay or prevent the proposed merger.</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Putative stockholder complaints, including stockholder class action complaints, and other complaints may be filed against us, our board of directors, Aadi, Aadi’s board of directors and others in connection with the transactions contemplated by the Merger Agreement. The outcome of litigation is uncertain, and we may not be successful in defending against any such future claims. Lawsuits that may be filed against us, our board of directors, Aadi, or Aadi’s board of directors could delay or prevent the Merger, divert the attention of our management and employees from our day-to-day business and otherwise adversely affect us financially.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stockholders may not receive any payment on the CVRs and the CVRs may otherwise expire valueless.</w:t>
      </w:r>
    </w:p>
    <w:p>
      <w:pPr>
        <w:spacing w:after="0" w:line="11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Merger Agreement contemplates that, at or prior to the Effective Time, we will execute and deliver a contingent value rights agreement (the “CVR Agreement”), pursuant to which each holder of our common stock as of immediately prior to the Effective Time shall be entitled to one contractual contingent value right (“CVR”) issued by our company, subject to and in accordance with the terms and conditions of the CVR Agreement, for each share of our common stock held by such holder. Each CVR will entitle the holder of the CVR to receive payments upon certain sale or disposition transactions with respect to our legacy assets. The right of our stockholders to derive any value from the CVRs will be contingent upon the completion of one or more of such transactions as contemplated by the CVR Agreement. As a result, there can be no assurance that holders of CVRs will derive any value from such rights.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substantially dependent on our remaining employees to facilitate the consummation of the merger.</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May 16, 2021, we had only five full-time employees. Our ability to successfully complete the Merger depends in large part on our ability to retain certain remaining personnel. Despite our efforts to retain these employees, one or more may terminate their employment with us on short notice. The loss of the services of certain employees could potentially harm our ability to consummate the Merger, to run our day-to-day business operations, as well as to fulfill our reporting obligations as a public company.</w:t>
      </w:r>
    </w:p>
    <w:p>
      <w:pPr>
        <w:spacing w:after="0" w:line="79" w:lineRule="exact"/>
        <w:rPr>
          <w:sz w:val="20"/>
          <w:szCs w:val="20"/>
          <w:color w:val="auto"/>
        </w:rPr>
      </w:pPr>
    </w:p>
    <w:p>
      <w:pPr>
        <w:jc w:val="both"/>
        <w:ind w:right="300"/>
        <w:spacing w:after="0" w:line="311" w:lineRule="auto"/>
        <w:rPr>
          <w:sz w:val="20"/>
          <w:szCs w:val="20"/>
          <w:color w:val="auto"/>
        </w:rPr>
      </w:pPr>
      <w:r>
        <w:rPr>
          <w:rFonts w:ascii="Arial" w:cs="Arial" w:eastAsia="Arial" w:hAnsi="Arial"/>
          <w:sz w:val="16"/>
          <w:szCs w:val="16"/>
          <w:b w:val="1"/>
          <w:bCs w:val="1"/>
          <w:i w:val="1"/>
          <w:iCs w:val="1"/>
          <w:color w:val="auto"/>
        </w:rPr>
        <w:t>If we do not successfully consummate a strategic transaction with Aadi or otherwise, our Board of Directors may decide to pursue a dissolution and liquidation of our company. In such an event, the amount of cash available for distribution to our stockholders will depend heavily on the timing of such liquidation as well as the amount of cash that will need to be reserved for commitments and contingent liabilities.</w:t>
      </w:r>
    </w:p>
    <w:p>
      <w:pPr>
        <w:spacing w:after="0" w:line="4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There can be no assurance that our agreement with Aadi will result in a successfully consummated transaction. If the Merger is not completed, our board of directors, in discharging its fiduciary obligations to our shareholders, will evaluate other strategic alternatives or financing options that may be available. There is no guarantee that we will achieve any such alternatives. If no transaction is completed, our Board of Directors may decide to pursue a dissolution and liquidation of our Company. In such an event, the amount of cash available for distribution to our shareholders will depend heavily on the timing of such decision and, ultimately, such liquidation, since the amount of cash available for distribution continues to decrease as we fund our operations while we evaluate our strategic alternatives. In addition, if our Board of Directors were to approve and recommend, and our shareholders were to approve, a dissolution and liquidation of our Company, we would be required under Delaware corporate law to pay our outstanding obligations, as well as to make reasonable provision for contingent and unknown obligations, prior to making any distributions in liquidation to our shareholders. Our commitments and contingent liabilities may include (i) obligations under our employment and related agreements with certain employees that provide for severance and other payments following a termination of employment occurring for various reasons, including a change in control of our Company; (ii) potential litigation against us, and other various claims and legal actions arising in the ordinary course of business; and (iii) non-cancelable facility lease obligations. As a result of this requirement, a portion of our assets may need to be reserved pending the resolution of such obligations. In addition, we may be subject to litigation or other claims related to a dissolution and liquidation of our Company. If a dissolution and liquidation were pursued, our Board of Directors, in consultation with its advisors, would need to evaluate these matters and make a determination about a reasonable amount to reserve. Accordingly, holders of our common stock could lose all or a significant portion of their investment in the event of a liquidation, dissolution or winding up of our company.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auto"/>
        </w:rPr>
        <w:t>Risks Related to Our Evaluation of Strategic Alternatives for our Legacy Assets</w:t>
      </w:r>
    </w:p>
    <w:p>
      <w:pPr>
        <w:spacing w:after="0" w:line="117" w:lineRule="exact"/>
        <w:rPr>
          <w:sz w:val="20"/>
          <w:szCs w:val="20"/>
          <w:color w:val="auto"/>
        </w:rPr>
      </w:pPr>
    </w:p>
    <w:p>
      <w:pPr>
        <w:ind w:right="120"/>
        <w:spacing w:after="0" w:line="375" w:lineRule="auto"/>
        <w:rPr>
          <w:sz w:val="20"/>
          <w:szCs w:val="20"/>
          <w:color w:val="auto"/>
        </w:rPr>
      </w:pPr>
      <w:r>
        <w:rPr>
          <w:rFonts w:ascii="Arial" w:cs="Arial" w:eastAsia="Arial" w:hAnsi="Arial"/>
          <w:sz w:val="15"/>
          <w:szCs w:val="15"/>
          <w:b w:val="1"/>
          <w:bCs w:val="1"/>
          <w:i w:val="1"/>
          <w:iCs w:val="1"/>
          <w:color w:val="auto"/>
        </w:rPr>
        <w:t>We cannot assure you that our exploration of strategic alternatives for our legacy assets will result in a transaction or that any such transaction would be successful, and the process of exploring strategic alternatives or its conclusion could adversely impact our business and our stock price.</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October 2019, we announced the engagement of Evercore, Ladenburg Thalmann &amp; Co. Inc. and Duane Nash, M.D., J.D., M.B.A. to assist us in identifying and evaluating a range of potential strategic alternatives, including an acquisition, company sale, merger, business combination, asset sale, in-license, out-license or other strategic transaction. On May 16, 2021, we entered into a definitive agreement for a merger transaction with Aadi Bioscience, Inc. as described below. However, we are continuing to explore strategic options for our legacy assets. There can be no assurance that this exploration of strategic alternatives will result in us entering or completing any transaction with respect to those assets or that any resulting plans or transactions will yield additional value for shareholders. Any potential transaction would be dependent on a number of factors that may be beyond our control, including, among other things, market conditions, industry trends, the interest of third parties in a potential transaction with us and the availability of financing to potential buyers on reasonable terms.</w:t>
      </w:r>
    </w:p>
    <w:p>
      <w:pPr>
        <w:spacing w:after="0" w:line="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process of exploring strategic alternatives could adversely impact our business, financial condition and results of operations. We could incur substantial expenses associated with identifying and evaluating potential strategic alternatives, including those related to equity compensation, severance pay and legal, accounting and financial advisory fees. In addition, the process may be time consuming and disruptive to our business operations, could divert the attention of management and the Board of Directors from our business, could negatively impact our ability to attract, retain and motivate key employees, and could expose us to potential litigation in connection with this process or any resulting transaction. Further, speculation regarding any developments related to the review of strategic alternatives and perceived uncertainties related to the future of the Company could cause our stock price to fluctuate significantly.</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If we do not complete the merger transaction with Aadi Bioscience, Inc., we will continue to face risks related to our legacy business as described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can be no assurance that we will succeed in such activities.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the COVID-19 Pandemic</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current pandemic of COVID-19 and the future outbreak of other highly infectious or contagious diseases could seriously harm our research, development and potential future commercialization efforts, increase our costs and expenses and have a material adverse effect on our business, financial condition and results of operations.</w:t>
      </w:r>
    </w:p>
    <w:p>
      <w:pPr>
        <w:spacing w:after="0" w:line="7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Broad-based business or economic disruptions could adversely affect our ongoing or planned research and development activities. For example, in December 2019, an outbreak of a novel strain of coronavirus originated in Wuhan, China, and has since spread to other regions and countries worldwide. In March 2020, the World Health Organization declared the COVID-19 outbreak a pandemic, and the U.S. government-imposed travel restrictions on travel between the United States, Europe and certain other countries. To date, the COVID-19 pandemic has caused significant disruptions to the U.S. and global economy and has contributed to significant volatility and negative pressure in financial markets. The global impact of the outbreak is continually evolving and, as additional cases of the virus are identified, many countries, including the U.S., have reacted by instituting quarantines, restrictions on travel and other public health safety measures. Such orders, restrictions and recommendations, and the perception that additional orders, restrictions or recommendations could occur, have resulted in widespread closures of businesses not deemed “essential,” work stoppages, slowdowns and delays, work-from-home policies, travel restrictions and cancellation of events, as well as record declines in stock prices, among other effects. Although some states are starting to relax quarantines and similar restrictions, the regulations vary on a state by state basis and the impact of loosening of those restrictions and mass vaccination campaigns is not yet known.</w:t>
      </w:r>
    </w:p>
    <w:p>
      <w:pPr>
        <w:spacing w:after="0" w:line="7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extent to which COVID-19 may impact our preclinical studies or clinical trial operations will depend on future developments, which are highly uncertain and cannot be predicted with confidence, such as the duration of the outbreak, the severity of COVID-19, or the effectiveness of actions to contain and treat COVID-19. The continued spread of COVID-19 globally could adversely impact our preclinical studies or clinical trial operations in the United States, including our ability to recruit and retain patients and principal investigators and site staff who, as healthcare providers, may have heightened exposure to COVID-19 if an outbreak occurs in their geography. COVID-19 may also affect employees of third-party CROs located in affected geographies that we rely upon to carry out our clinical trials. Any negative impact COVID-19 has to patient enrollment or treatment or the execution of our current product candidates and any future product candidates could cause costly delays to clinical trial activities, which could adversely affect our ability to obtain regulatory approval for and to commercialize our current product candidate and any future product candidates, increase our operating expenses, and have a material adverse effect on our financial results.</w:t>
      </w:r>
    </w:p>
    <w:p>
      <w:pPr>
        <w:spacing w:after="0" w:line="7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Further, the COVID-19 outbreak may delay enrollment in our clinical trials due to diversion or prioritization of trial site resources away from the conduct of clinical trials and toward the COVID-19 pandemic. Key clinical trial activities, such as site monitoring, may be interrupted due to restrictions in travel, and some patients may be unwilling to enroll in our trials or be unable to comply with clinical trial protocols if quarantines or travel restrictions impede patient movement or interrupt healthcare services, which would delay our ability to conduct clinical trials or release clinical trial results. The spread of COVID-19, or another infectious disease, could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3" w:name="page34"/>
    <w:bookmarkEnd w:id="33"/>
    <w:p>
      <w:pPr>
        <w:ind w:right="20"/>
        <w:spacing w:after="0" w:line="301" w:lineRule="auto"/>
        <w:rPr>
          <w:sz w:val="20"/>
          <w:szCs w:val="20"/>
          <w:color w:val="auto"/>
        </w:rPr>
      </w:pPr>
      <w:r>
        <w:rPr>
          <w:rFonts w:ascii="Arial" w:cs="Arial" w:eastAsia="Arial" w:hAnsi="Arial"/>
          <w:sz w:val="16"/>
          <w:szCs w:val="16"/>
          <w:color w:val="auto"/>
        </w:rPr>
        <w:t>also negatively affect the operations at our third-party manufacturers, which could result in delays or disruptions in the supply of our current product candidates and any future product candidates. In addition, we may continue to take temporary precautionary measures intended to help minimize the risk of the virus to our employees, including temporarily requiring all employees to work remotely, suspending all non-essential travel worldwide for our employees, and discouraging employee attendance at industry events and in-person work-related meetings, which could negatively affect our business.</w:t>
      </w:r>
    </w:p>
    <w:p>
      <w:pPr>
        <w:spacing w:after="0" w:line="4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Additionally, timely enrollment in our clinical trials is dependent upon clinical trial sites which may be adversely affected by global health matters, such as pandemics. Some factors from the COVID-19 outbreak that may adversely affect enrollment in the clinical trials of our product candidates include:</w:t>
      </w:r>
    </w:p>
    <w:p>
      <w:pPr>
        <w:spacing w:after="0" w:line="16" w:lineRule="exact"/>
        <w:rPr>
          <w:sz w:val="20"/>
          <w:szCs w:val="20"/>
          <w:color w:val="auto"/>
        </w:rPr>
      </w:pPr>
    </w:p>
    <w:p>
      <w:pPr>
        <w:ind w:left="740" w:right="120" w:hanging="368"/>
        <w:spacing w:after="0" w:line="263"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clinical trials;</w:t>
      </w:r>
    </w:p>
    <w:p>
      <w:pPr>
        <w:spacing w:after="0" w:line="75" w:lineRule="exact"/>
        <w:rPr>
          <w:rFonts w:ascii="Arial" w:cs="Arial" w:eastAsia="Arial" w:hAnsi="Arial"/>
          <w:sz w:val="18"/>
          <w:szCs w:val="18"/>
          <w:color w:val="auto"/>
        </w:rPr>
      </w:pPr>
    </w:p>
    <w:p>
      <w:pPr>
        <w:ind w:left="740" w:right="80" w:hanging="368"/>
        <w:spacing w:after="0" w:line="308" w:lineRule="auto"/>
        <w:tabs>
          <w:tab w:leader="none" w:pos="7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limitations on travel that could interrupt key trial activities, such as clinical trial site initiations and monitoring, domestic and international travel by employees, contractors or patients to clinical trial sites, and delay or inability to secure visas or entry permission, as applicable;</w:t>
      </w:r>
    </w:p>
    <w:p>
      <w:pPr>
        <w:spacing w:after="0" w:line="38" w:lineRule="exact"/>
        <w:rPr>
          <w:rFonts w:ascii="Arial" w:cs="Arial" w:eastAsia="Arial" w:hAnsi="Arial"/>
          <w:sz w:val="17"/>
          <w:szCs w:val="17"/>
          <w:color w:val="auto"/>
        </w:rPr>
      </w:pPr>
    </w:p>
    <w:p>
      <w:pPr>
        <w:ind w:left="740" w:right="660" w:hanging="368"/>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interruption in global shipping affecting the transport of clinical trial materials, such as patient samples, investigational drug product and conditioning drugs and other supplies used in our clinical trials; and</w:t>
      </w:r>
    </w:p>
    <w:p>
      <w:pPr>
        <w:spacing w:after="0" w:line="62" w:lineRule="exact"/>
        <w:rPr>
          <w:rFonts w:ascii="Arial" w:cs="Arial" w:eastAsia="Arial" w:hAnsi="Arial"/>
          <w:sz w:val="18"/>
          <w:szCs w:val="18"/>
          <w:color w:val="auto"/>
        </w:rPr>
      </w:pPr>
    </w:p>
    <w:p>
      <w:pPr>
        <w:ind w:left="740" w:right="60" w:hanging="368"/>
        <w:spacing w:after="0" w:line="342" w:lineRule="auto"/>
        <w:tabs>
          <w:tab w:leader="none" w:pos="7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employee disruptions caused by workplace closures, staffing shortages, travel limitations or mass transit disruptions, that could adversely impact our business operations or delay necessary interactions with local regulators, ethics committees and other important agencies and contractors.</w:t>
      </w:r>
    </w:p>
    <w:p>
      <w:pPr>
        <w:spacing w:after="0" w:line="16" w:lineRule="exact"/>
        <w:rPr>
          <w:sz w:val="20"/>
          <w:szCs w:val="20"/>
          <w:color w:val="auto"/>
        </w:rPr>
      </w:pPr>
    </w:p>
    <w:p>
      <w:pPr>
        <w:jc w:val="both"/>
        <w:ind w:right="440"/>
        <w:spacing w:after="0" w:line="311" w:lineRule="auto"/>
        <w:rPr>
          <w:sz w:val="20"/>
          <w:szCs w:val="20"/>
          <w:color w:val="auto"/>
        </w:rPr>
      </w:pPr>
      <w:r>
        <w:rPr>
          <w:rFonts w:ascii="Arial" w:cs="Arial" w:eastAsia="Arial" w:hAnsi="Arial"/>
          <w:sz w:val="16"/>
          <w:szCs w:val="16"/>
          <w:color w:val="auto"/>
        </w:rPr>
        <w:t>We cannot presently predict the scope and severity of any potential business shutdowns or disruptions. If we or any of the third parties with whom we engage were to experience additional shutdowns or other prolonged business disruptions, our ability to conduct our business in the manner and on the timelines presently planned could have a material adverse impact on our business and our results of operation and financial condition.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Development of our Product Candidates</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depend heavily on the success of our product candidates. Even if we obtain favorable clinical results, we may not be able to obtain regulatory approval for, or successfully commercialize any of our product candidates.</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rely on our lead product candidates, and our business depends almost entirely on the successful clinical development, regulatory approval and commercialization of such product candidates, which may never occur. We have experienced setbacks in the development of our product candidates and we are currently evaluating our development options. For example, in January 2021, following the announcement regarding the topline results from the Phase</w:t>
      </w:r>
    </w:p>
    <w:p>
      <w:pPr>
        <w:spacing w:after="0" w:line="2" w:lineRule="exact"/>
        <w:rPr>
          <w:sz w:val="20"/>
          <w:szCs w:val="20"/>
          <w:color w:val="auto"/>
        </w:rPr>
      </w:pPr>
    </w:p>
    <w:p>
      <w:pPr>
        <w:jc w:val="both"/>
        <w:ind w:right="80"/>
        <w:spacing w:after="0" w:line="277" w:lineRule="auto"/>
        <w:rPr>
          <w:sz w:val="20"/>
          <w:szCs w:val="20"/>
          <w:color w:val="auto"/>
        </w:rPr>
      </w:pPr>
      <w:r>
        <w:rPr>
          <w:rFonts w:ascii="Arial" w:cs="Arial" w:eastAsia="Arial" w:hAnsi="Arial"/>
          <w:sz w:val="17"/>
          <w:szCs w:val="17"/>
          <w:color w:val="auto"/>
        </w:rPr>
        <w:t>2 clinical trial of razuprotafib in patients with elevated IOP associated with OAG or OHT, we initiated a process to explore a range of strategic alternatives focused on maximizing stockholder value from our clinical assets and cash resources. While the Phase 2 trial met the primary efficacy endpoint at Day 28 with the BID group, the IOP decrease was not at a level deemed sufficient to move to Phase 3 development.</w:t>
      </w:r>
    </w:p>
    <w:p>
      <w:pPr>
        <w:spacing w:after="0" w:line="65"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In addition, in May 2020, we were selected by Quantum Leap Healthcare Collaborative to participate in the I-SPY COVID Trial to evaluate razuprotafib for the treatment of COVID-19 related ARDS in adult patients with critical COVID-19. In September 2020, we announced the first patient was dosed with razuprotafib in the I-SPY COVID-19 trial. The I-SPY COVID trial is an investigator-sponsored clinical trial, which is being conducted by Quantum Leap Healthcare Collaborative. While we have provided input to I-SPY with respect to the razuprotafib arm of the I-SPY COVID clinical trial, we have not controlled and do not control the design or administration of investigator-sponsored clinical trials, nor the submission or approval of any IND or foreign equivalent required to conduct these trials. As a result, investigator-sponsored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this or other investigator-sponsored trials are inconsistent with, or different from, the results of our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while investigator-sponsored trials could be useful to inform our own clinical development efforts, there is no guarantee that we will be able to use the data from these trials to form the basis for regulatory approval of our product candidates.</w:t>
      </w:r>
    </w:p>
    <w:p>
      <w:pPr>
        <w:spacing w:after="0" w:line="7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January 2021, the Data Monitoring Committee recommended discontinuation of razuprotafib in the I-SPY COVID-19 trial after 21 patients due to the complexity of monitoring patients in the setting of a surge in ICU patients. There were no apparent safety signals associated with razuprotafib in these 21 patients and we believe the scientific basis is sound for continuing to evaluate the drug in patients presenting with ARDS across a broader array of infections.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4" w:name="page35"/>
    <w:bookmarkEnd w:id="34"/>
    <w:p>
      <w:pPr>
        <w:ind w:right="80"/>
        <w:spacing w:after="0" w:line="269" w:lineRule="auto"/>
        <w:rPr>
          <w:sz w:val="20"/>
          <w:szCs w:val="20"/>
          <w:color w:val="auto"/>
        </w:rPr>
      </w:pPr>
      <w:r>
        <w:rPr>
          <w:rFonts w:ascii="Arial" w:cs="Arial" w:eastAsia="Arial" w:hAnsi="Arial"/>
          <w:sz w:val="17"/>
          <w:szCs w:val="17"/>
          <w:color w:val="auto"/>
        </w:rPr>
        <w:t>In August 2020, we announced a second COVID-19 trial to evaluate subcutaneous razuprotafib for the prevention and treatment of ARDS in adult patients with moderate to severe COVID-19 as part of the MTEC-20-09-COVID-19 Treatment Military Infectious Disease Research Program (“MIDRP”) (“RESCUE” trial). The Medical Technology Enterprise Consortium (“MTEC”), a non-profit organization primarily funded by the U.S. Army Medical Research and Development Command, will provide up to $5.1 million of reimbursement related to qualified internal and external spending, as it relates to the clinical trial. In February 2021, we decided to stop recruiting after the first 31 patients were enrolled based on challenges recruiting and monitoring patients in the current pandemic environment. Based on topline data in the RESCUE trial, there were no apparent safety signals associated with dosing COVID-19 patients with razuprotafib. There was a mechanism-based, dose-dependent reduction of blood pressure which was not associated with other adverse events. There was an apparent dose-dependent decrease in Angiopoietin 2 (“Ang2”) that would be consistent with the Tie2 activation mechanism. The efficacy of razuprotafib could not be fully assessed due to the limited number of patients treated in the drug and standard of care arms. At the 28 day study endpoint, there were an equal number of deaths in each group (one per group). Further analysis of the full data set is ongoing. There were no apparent safety signals associated with dosing COVID-19 patients in the RESCUE trial and we plan to further analyze the data to assess trends in efficacy and biomarkers</w:t>
      </w:r>
    </w:p>
    <w:p>
      <w:pPr>
        <w:spacing w:after="0" w:line="7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We currently have no products for sale, generate no revenues from sales of any drugs, and may never be able to develop marketable products. Our product candidates will require substantial additional clinical development, testing, manufacturing process development, and regulatory approval before we are permitted to commence commercialization. We are currently evaluating our options for all of our assets as part of our strategic review process. None of our product candidates has advanced into a pivotal trial, and it may be years before such a trial is initiated, if ever. As part of our strategic review process, we may determine to out-license, partner or otherwise dispose of our assets, and we may never derive value from such assets. The clinical trials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candidates. Before obtaining regulatory approval for the commercial sale of any product candidate, we must demonstrate through extensive preclinical testing and clinical trials that any drug candidate is safe and effective and any biological product candidate is safe, pure, and potent for use in each target indication. This process can take many years. Of the large number of drugs in development in the United States, only a small percentage successfully complete the FDA regulatory approval process and are commercialized. Accordingly, even if we are able to obtain the requisite capital to continue to fund our development and clinical programs, we may be unable to successfully develop or commercialize any of our product candidates. In the event that any of our assets are partnered for development, our collaborators would face these and other risks described in these risk factors in the development, approval and commercialization of our product candidates. As a result, we may never derive the intended benefits of such collaborations.</w:t>
      </w:r>
    </w:p>
    <w:p>
      <w:pPr>
        <w:spacing w:after="0" w:line="63"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are not permitted to market any of our product candidates in the United States until we receive approval of an NDA from the FDA, or in any foreign countries until we receive the requisite approval from such countries. As a condition to submitting an NDA to the FDA, we must conduct and complete further clinical trials, including Phase 3 clinical trials, and any additional nonclinical studies or clinical trials required by the FDA. To date, we have completed only a limited number of clinical trials with our product candidates. Obtaining approval of an NDA is a complex, lengthy, expensive and uncertain process that typically takes many years following the commencement of clinical trials and depends upon numerous factors, including the substantial discretion of the regulatory authorities. In addition, the policies or regulations, or the type and amount of clinical data necessary to gain approval, may change during the course of a product candidate’s clinical development and may vary among jurisdictions. Our development activities could be harmed or delayed by a partial shutdown of the U.S. government, including the FDA. We have not obtained regulatory approval for any product candidate and it is possible that none of our product candidates will ever receive regulatory approval. The FDA may delay, limit or deny approval of our product candidates for many reasons, including, among others:</w:t>
      </w:r>
    </w:p>
    <w:p>
      <w:pPr>
        <w:spacing w:after="0" w:line="77" w:lineRule="exact"/>
        <w:rPr>
          <w:sz w:val="20"/>
          <w:szCs w:val="20"/>
          <w:color w:val="auto"/>
        </w:rPr>
      </w:pPr>
    </w:p>
    <w:p>
      <w:pPr>
        <w:ind w:left="880" w:right="340" w:hanging="373"/>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able to demonstrate that our product candidates are safe and effective in any indications that may be pursued for the product candidate, to the satisfaction of the FDA;</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results of our clinical trials may not meet the level of statistical or clinical significance required by the FDA for marketing approval;</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FDA may disagree with the number, design, size, conduct or implementation of our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FDA may not approve the formulation, labeling or specifications of our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FDA may require that we conduct additional clinical trials;</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contract research organizations (“CROs”) or the clinical investigators that we retain to conduct our clinical trials may take actions outside of our control that materially adversely impact our clinical trials;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our CROs or clinical investigators may fail to perform in accordance with the FDA’s good clinical practice (“GCP”) requirements;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FDA may disagree with our interpretation of data from our preclinical studies and clinical trials;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5" w:name="page36"/>
    <w:bookmarkEnd w:id="35"/>
    <w:p>
      <w:pPr>
        <w:ind w:left="880" w:hanging="373"/>
        <w:spacing w:after="0"/>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FDA may find deficiencies with the manufacturing processes or facilities of third-party manufacturers with which we contract; or</w:t>
      </w:r>
    </w:p>
    <w:p>
      <w:pPr>
        <w:spacing w:after="0" w:line="128" w:lineRule="exact"/>
        <w:rPr>
          <w:rFonts w:ascii="Arial" w:cs="Arial" w:eastAsia="Arial" w:hAnsi="Arial"/>
          <w:sz w:val="17"/>
          <w:szCs w:val="17"/>
          <w:color w:val="auto"/>
        </w:rPr>
      </w:pPr>
    </w:p>
    <w:p>
      <w:pPr>
        <w:ind w:left="880" w:right="440" w:hanging="373"/>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policies or regulations of the FDA may significantly change in a manner that renders our clinical data insufficient for approval or may require that we amend or submit new clinical protocols.</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similar reasons may cause the EMA or other regulatory authorities to delay, limit or deny approval of our product candidates outside the United States.</w:t>
      </w:r>
    </w:p>
    <w:p>
      <w:pPr>
        <w:spacing w:after="0" w:line="62"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Any of these factors, many of which are beyond our control, could jeopardize our ability to obtain regulatory approval for and successfully market our product candidates. Because our business is substantially dependent upon our product candidates, any such setback in our pursuit of regulatory approval would have a material adverse effect on our business and prospects.</w:t>
      </w:r>
    </w:p>
    <w:p>
      <w:pPr>
        <w:spacing w:after="0" w:line="7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Alternatively, even if we obtain regulatory approval, that approval may be for indications or patient populations that are not as broad as we intend or desire or may require labeling that includes significant use or distribution restrictions or safety warnings. We may also be required to perform additional, unanticipated clinical trials to obtain approval or be subject to additional post marketing testing requirements to maintain regulatory approval. In addition, regulatory authorities may withdraw their approval of a product or the FDA may require a risk evaluation and mitigation strategy (“REMS”) for a product, which could impose restrictions on its distribution. Any of the foregoing scenarios could materially harm the commercial prospects for our product candidates.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find it difficult to enroll patients in our clinical trials, which could delay or prevent clinical trials of our product candidates.</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Identifying and qualifying patients to participate in clinical trials of our product candidates is critical to our success. The timing of our clinical trials depends on the speed at which we can recruit patients to participate in testing our product candidates, and there is no guarantee that we can successfully enroll patients in a timely manner for our clinical trials. Our competitors may have ongoing clinical trials for product candidates that could be competitive with our product candidates, and patients who would otherwise be eligible for our clinical trials may instead enroll in clinical trials of our competitors’ product candidates.</w:t>
      </w:r>
    </w:p>
    <w:p>
      <w:pPr>
        <w:spacing w:after="0" w:line="8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may not be able to identify, recruit and enroll a sufficient number of patients, or those with required or desired characteristics to achieve diversity in a trial, to complete our clinical trials in a timely manner. Patient enrollment is affected by factors including:</w:t>
      </w:r>
    </w:p>
    <w:p>
      <w:pPr>
        <w:spacing w:after="0" w:line="62" w:lineRule="exact"/>
        <w:rPr>
          <w:sz w:val="20"/>
          <w:szCs w:val="20"/>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eligibility criteria for the trial in question;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117" w:lineRule="exact"/>
        <w:rPr>
          <w:rFonts w:ascii="Arial" w:cs="Arial" w:eastAsia="Arial" w:hAnsi="Arial"/>
          <w:sz w:val="18"/>
          <w:szCs w:val="18"/>
          <w:color w:val="auto"/>
        </w:rPr>
      </w:pPr>
    </w:p>
    <w:p>
      <w:pPr>
        <w:ind w:left="880" w:right="140" w:hanging="373"/>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 and clinicians’ and patients’ perceptions as to the potential advantages of razuprotafib or any other product candidate in relation to available therapies or other products under development;</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 and</w:t>
      </w:r>
    </w:p>
    <w:p>
      <w:pPr>
        <w:spacing w:after="0" w:line="117" w:lineRule="exact"/>
        <w:rPr>
          <w:rFonts w:ascii="Arial" w:cs="Arial" w:eastAsia="Arial" w:hAnsi="Arial"/>
          <w:sz w:val="18"/>
          <w:szCs w:val="18"/>
          <w:color w:val="auto"/>
        </w:rPr>
      </w:pPr>
    </w:p>
    <w:p>
      <w:pPr>
        <w:ind w:left="880" w:right="140" w:hanging="373"/>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factors we may not be able to control, such as current or potential pandemics that may limit patients, principal investigators or staff or clinical site availability (</w:t>
      </w:r>
      <w:r>
        <w:rPr>
          <w:rFonts w:ascii="Arial" w:cs="Arial" w:eastAsia="Arial" w:hAnsi="Arial"/>
          <w:sz w:val="18"/>
          <w:szCs w:val="18"/>
          <w:i w:val="1"/>
          <w:iCs w:val="1"/>
          <w:color w:val="auto"/>
        </w:rPr>
        <w:t>e.g.,</w:t>
      </w:r>
      <w:r>
        <w:rPr>
          <w:rFonts w:ascii="Arial" w:cs="Arial" w:eastAsia="Arial" w:hAnsi="Arial"/>
          <w:sz w:val="18"/>
          <w:szCs w:val="18"/>
          <w:color w:val="auto"/>
        </w:rPr>
        <w:t xml:space="preserve"> the COVID-19 pandemic).</w:t>
      </w:r>
    </w:p>
    <w:p>
      <w:pPr>
        <w:spacing w:after="0" w:line="62"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b w:val="1"/>
          <w:bCs w:val="1"/>
          <w:i w:val="1"/>
          <w:iCs w:val="1"/>
          <w:color w:val="auto"/>
        </w:rPr>
        <w:t>Clinical drug development is a lengthy and expensive process with an uncertain outcome, and positive results from preclinical studies or earlier stage clinical trials are not necessarily predictive of the results of our future clinical trials. If we cannot replicate the positive results from preclinical studies or earlier stage clinical trials in subsequent clinical trials, we may be unable to successfully develop, obtain regulatory approval for and commercialize our product candidates.</w:t>
      </w:r>
    </w:p>
    <w:p>
      <w:pPr>
        <w:spacing w:after="0" w:line="7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Clinical testing is expensive and can take many years to complete, and its outcome is inherently uncertain. Failure can occur at any time during the clinical trial process. Success in preclinical studies may not be predictive of similar results in humans during clinical trials, and successful results from early or small clinical trials may not be replicated in later and larger clinical trials. For example, while our Phase 2 trial met the primary efficacy endpoint at Day 28 with the BID group, the IOP decrease was not at a level deemed sufficient to move to Phase 3 development. There can be no assurance that the results of any clinical trials that we may undertake in the future will produce positive results. In addition, later stage clinical trials are expected to enroll a larger number of subjects and will treat subjects for longer periods than earlier stage trials, which will result in a greater likelihood that adverse events may be observed.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36" w:name="page37"/>
    <w:bookmarkEnd w:id="36"/>
    <w:p>
      <w:pPr>
        <w:ind w:right="180"/>
        <w:spacing w:after="0" w:line="277" w:lineRule="auto"/>
        <w:rPr>
          <w:sz w:val="20"/>
          <w:szCs w:val="20"/>
          <w:color w:val="auto"/>
        </w:rPr>
      </w:pPr>
      <w:r>
        <w:rPr>
          <w:rFonts w:ascii="Arial" w:cs="Arial" w:eastAsia="Arial" w:hAnsi="Arial"/>
          <w:sz w:val="18"/>
          <w:szCs w:val="18"/>
          <w:color w:val="auto"/>
        </w:rPr>
        <w:t>Many companies in the pharmaceutical and biotechnology industries have suffered significant setbacks in late-stage clinical trials after achieving positive results in early stage development, and we may face similar setbacks.</w:t>
      </w:r>
    </w:p>
    <w:p>
      <w:pPr>
        <w:spacing w:after="0" w:line="62"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5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From time to time, we may also disclose interim data from our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common stock after this offering.</w:t>
      </w:r>
    </w:p>
    <w:p>
      <w:pPr>
        <w:spacing w:after="0" w:line="8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80" w:lineRule="exact"/>
        <w:rPr>
          <w:sz w:val="20"/>
          <w:szCs w:val="20"/>
          <w:color w:val="auto"/>
        </w:rPr>
      </w:pPr>
    </w:p>
    <w:p>
      <w:pPr>
        <w:ind w:right="640"/>
        <w:spacing w:after="0" w:line="263" w:lineRule="auto"/>
        <w:rPr>
          <w:sz w:val="20"/>
          <w:szCs w:val="20"/>
          <w:color w:val="auto"/>
        </w:rPr>
      </w:pPr>
      <w:r>
        <w:rPr>
          <w:rFonts w:ascii="Arial" w:cs="Arial" w:eastAsia="Arial" w:hAnsi="Arial"/>
          <w:sz w:val="18"/>
          <w:szCs w:val="18"/>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8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experience delays in the conduct of any clinical trials we may undertake in the future, and we do not know whether such clinical trials will begin on time, need to be redesigned, enroll patients on time or be completed on schedule, if at all.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can be delayed or aborted for a variety of reasons, including delay or failure to:</w:t>
      </w:r>
    </w:p>
    <w:p>
      <w:pPr>
        <w:spacing w:after="0" w:line="117" w:lineRule="exact"/>
        <w:rPr>
          <w:sz w:val="20"/>
          <w:szCs w:val="20"/>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regulatory approval to commence a clinical trial;</w:t>
      </w:r>
    </w:p>
    <w:p>
      <w:pPr>
        <w:spacing w:after="0" w:line="117" w:lineRule="exact"/>
        <w:rPr>
          <w:rFonts w:ascii="Arial" w:cs="Arial" w:eastAsia="Arial" w:hAnsi="Arial"/>
          <w:sz w:val="18"/>
          <w:szCs w:val="18"/>
          <w:color w:val="auto"/>
        </w:rPr>
      </w:pPr>
    </w:p>
    <w:p>
      <w:pPr>
        <w:ind w:left="880" w:right="140" w:hanging="373"/>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reach agreement on acceptable terms with prospective CROs and clinical trial sites, the terms of which can be subject to extensive negotiation and may vary significantly among different CROs and trial sites;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institutional review board (“IRB”) approval at each site;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recruit, enroll and retain patients through the completion of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clinical sites in compliance with trial protocols and regulatory requirements through the completion of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address any patient safety concerns that arise during the course of the trial;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initiate or add a sufficient number of clinical trial sites; or</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manufacture sufficient quantities of our product candidate for use in clinical trials.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addition, disruptions caused by the COVID-19 pandemic may increase the likelihood that we encounter such difficulties or delays in initiating, enrolling, conducting or completing our planned and ongoing clinical trials. We could encounter delays if a clinical trial is suspended or terminated by us, by the relevant IRBs at the sites at which such trials are being conducted, by the Data Safety Monitoring Board (“DSMB”) for such trial or by the FDA or other regulatory authorities. Such authorities may impose such a suspension or termination, including a clinical hold, due to a number of factors, including failure to conduct the clinical trial in accordance with regulatory requirements or our clinical protocols, inspection of the clinical trial operations or trial site by the FDA or other regulatory authorities, unforeseen safety issues or adverse side effects including those experienced by other product candidates in the same class as our product candidates, changes in laws or regulations, or lack of adequate funding to continue the clinical trial. Any delays in completing our clinical trials will increase our costs, slow down our product candidate development and approval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ind w:right="60"/>
        <w:spacing w:after="0" w:line="277" w:lineRule="auto"/>
        <w:rPr>
          <w:sz w:val="20"/>
          <w:szCs w:val="20"/>
          <w:color w:val="auto"/>
        </w:rPr>
      </w:pPr>
      <w:r>
        <w:rPr>
          <w:rFonts w:ascii="Arial" w:cs="Arial" w:eastAsia="Arial" w:hAnsi="Arial"/>
          <w:sz w:val="18"/>
          <w:szCs w:val="18"/>
          <w:color w:val="auto"/>
        </w:rPr>
        <w:t>process and jeopardize our ability to commence product sales and generate revenues. Any of these occurrences may harm our business, financial condition and prospects significantly.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Regulatory Review and Approval of Product Candidates</w:t>
      </w:r>
    </w:p>
    <w:p>
      <w:pPr>
        <w:spacing w:after="0" w:line="225" w:lineRule="exact"/>
        <w:rPr>
          <w:sz w:val="20"/>
          <w:szCs w:val="20"/>
          <w:color w:val="auto"/>
        </w:rPr>
      </w:pPr>
    </w:p>
    <w:p>
      <w:pPr>
        <w:jc w:val="both"/>
        <w:ind w:right="320"/>
        <w:spacing w:after="0" w:line="311" w:lineRule="auto"/>
        <w:rPr>
          <w:sz w:val="20"/>
          <w:szCs w:val="20"/>
          <w:color w:val="auto"/>
        </w:rPr>
      </w:pPr>
      <w:r>
        <w:rPr>
          <w:rFonts w:ascii="Arial" w:cs="Arial" w:eastAsia="Arial" w:hAnsi="Arial"/>
          <w:sz w:val="16"/>
          <w:szCs w:val="16"/>
          <w:b w:val="1"/>
          <w:bCs w:val="1"/>
          <w:i w:val="1"/>
          <w:iCs w:val="1"/>
          <w:color w:val="auto"/>
        </w:rPr>
        <w:t>Even if we receive regulatory approval for our product candidates, such products will be subject to ongoing regulatory review, which may result in significant additional expense. Additionally, our product candidates, if approved, could be subject to labeling and other restrictions, and we may be subject to penalties if we fail to comply with regulatory requirements or experience unanticipated problems with our products.</w:t>
      </w:r>
    </w:p>
    <w:p>
      <w:pPr>
        <w:spacing w:after="0" w:line="4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Any regulatory approvals that we receive for our product candidates may be subject to limitations on the approved indicated uses for which the product may be marketed or to conditions of approval, or contain requirements for potentially costly post-marketing testing, including Phase 4 clinical trials, and surveillance to monitor the safety and efficacy of the products. In addition, if the FDA approves any of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establishment registration, as well as continued compliance with current Good Manufacturing Practice (“cGMP”) requirements and GCP requirements for any clinical trials that we conduct post-approval.</w:t>
      </w:r>
    </w:p>
    <w:p>
      <w:pPr>
        <w:spacing w:after="0" w:line="8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Post-approval discovery of previously unknown problems with an approved product, including adverse events of unanticipated severity or frequency or relating to manufacturing operations or processes, or failure to comply with regulatory requirements, may result in, among other things:</w:t>
      </w:r>
    </w:p>
    <w:p>
      <w:pPr>
        <w:spacing w:after="0" w:line="16" w:lineRule="exact"/>
        <w:rPr>
          <w:sz w:val="20"/>
          <w:szCs w:val="20"/>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product recalls;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fines, untitled or warning letters or holds on clinical trials;</w:t>
      </w:r>
    </w:p>
    <w:p>
      <w:pPr>
        <w:spacing w:after="0" w:line="117" w:lineRule="exact"/>
        <w:rPr>
          <w:rFonts w:ascii="Arial" w:cs="Arial" w:eastAsia="Arial" w:hAnsi="Arial"/>
          <w:sz w:val="18"/>
          <w:szCs w:val="18"/>
          <w:color w:val="auto"/>
        </w:rPr>
      </w:pPr>
    </w:p>
    <w:p>
      <w:pPr>
        <w:ind w:left="880" w:right="180" w:hanging="373"/>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submitted by us, or suspension or revocation of product approvals;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REMS program;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1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FDA’s policies may change and additional government regulations may be enacted.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are not able to maintain regulatory compliance, we may lose any marketing approval that may have been obtained and we may not achieve or sustain profitability, which would adversely affect our business.</w:t>
      </w:r>
    </w:p>
    <w:p>
      <w:pPr>
        <w:spacing w:after="0" w:line="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not be able to comply with requirements of foreign jurisdictions in conducting trials outside of the United States. In addition, we may not be able to obtain regulatory approval in foreign jurisdictions.</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may conduct our clinical trials for our product candidates in trial sites outside of the United States, including Japan, the United Kingdom and the European Union, and seek regulatory approval for our product candidates in major markets in addition to the United States, including the European Union, the United Kingdom and Japan. Our ability to successfully initiate, enroll and complete a clinical trial in any foreign country, should we attempt to do so, is subject to numerous risks unique to conducting business in international markets, including:</w:t>
      </w:r>
    </w:p>
    <w:p>
      <w:pPr>
        <w:spacing w:after="0" w:line="79" w:lineRule="exact"/>
        <w:rPr>
          <w:sz w:val="20"/>
          <w:szCs w:val="20"/>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qualified CROs and physicians;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different local standards for the conduct of clinical trials;</w:t>
      </w:r>
    </w:p>
    <w:p>
      <w:pPr>
        <w:spacing w:after="0" w:line="117" w:lineRule="exact"/>
        <w:rPr>
          <w:rFonts w:ascii="Arial" w:cs="Arial" w:eastAsia="Arial" w:hAnsi="Arial"/>
          <w:sz w:val="18"/>
          <w:szCs w:val="18"/>
          <w:color w:val="auto"/>
        </w:rPr>
      </w:pPr>
    </w:p>
    <w:p>
      <w:pPr>
        <w:ind w:left="880" w:right="240" w:hanging="373"/>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foreign laws, medical standards and regulatory requirements, including the regulation of pharmaceutical and biotechnology products and treatments;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acceptability of data obtained from trials conducted in the United States to the EMA and other regulatory authorities.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If we fail to successfully meet requirements for the conduct of clinical trials outside of the United States, we may be delayed in obtaining, or be unable to obtain, regulatory approval for our product candidates in countries outside of the United States.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8" w:name="page39"/>
    <w:bookmarkEnd w:id="38"/>
    <w:p>
      <w:pPr>
        <w:spacing w:after="0" w:line="270" w:lineRule="auto"/>
        <w:rPr>
          <w:sz w:val="20"/>
          <w:szCs w:val="20"/>
          <w:color w:val="auto"/>
        </w:rPr>
      </w:pPr>
      <w:r>
        <w:rPr>
          <w:rFonts w:ascii="Arial" w:cs="Arial" w:eastAsia="Arial" w:hAnsi="Arial"/>
          <w:sz w:val="17"/>
          <w:szCs w:val="17"/>
          <w:color w:val="auto"/>
        </w:rPr>
        <w:t>Regulatory authorities outside the United States will require compliance with numerous and varying regulatory requirements. The approval procedures vary among jurisdictions and may involve requirements for additional testing, and the time required to obtain approval may differ from that required to obtain FDA approval. In addition, in many countries outside the United States, a product must be approved for reimbursement before it can be approved for sale in that country. In some cases, the price that we intend to charge for our products is also subject to approval. Approval by the FDA does not ensure approval by regulatory authorities in other countries or jurisdictions, and approval by one foreign regulatory authority does not ensure approval by regulatory authorities in other foreign countries or by the FDA. However, the failure to obtain approval in one jurisdiction may negatively impact our ability to obtain approval in another jurisdiction. The foreign regulatory approval process may include all of the risks associated with obtaining FDA approval. We may not obtain foreign regulatory approvals on a timely basis, if at all. We may not be able to file for regulatory approvals and may not receive necessary approvals to commercialize our products in any market.</w:t>
      </w:r>
    </w:p>
    <w:p>
      <w:pPr>
        <w:spacing w:after="0" w:line="73" w:lineRule="exact"/>
        <w:rPr>
          <w:sz w:val="20"/>
          <w:szCs w:val="20"/>
          <w:color w:val="auto"/>
        </w:rPr>
      </w:pPr>
    </w:p>
    <w:p>
      <w:pPr>
        <w:ind w:right="320"/>
        <w:spacing w:after="0" w:line="340" w:lineRule="auto"/>
        <w:rPr>
          <w:sz w:val="20"/>
          <w:szCs w:val="20"/>
          <w:color w:val="auto"/>
        </w:rPr>
      </w:pPr>
      <w:r>
        <w:rPr>
          <w:rFonts w:ascii="Arial" w:cs="Arial" w:eastAsia="Arial" w:hAnsi="Arial"/>
          <w:sz w:val="15"/>
          <w:szCs w:val="15"/>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3"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4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Disruptions at the FDA and other agencies may also slow the time necessary for new drugs to be reviewed and/or approved by necessary government agencies, which would adversely affect our business. For example, over the last several years, including beginning on December 22, 2018,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5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Since March 2020 when foreign and domestic inspections were largely placed on hold, the FDA has been working to resume routine surveillance, bioresearch monitoring and pre-approval inspections on a prioritized basis. The FDA has developed a rating system to assist in determining when and where it is safest to conduct prioritized domestic inspections and resumed inspections in China and India in early 2021. The FDA has developed a rating system to assist in determining when and where it is safest to conduct prioritized domestic inspections and resumed inspections in China and India in early 2021. In April 2021, the FDA issued guidance for industry formally announcing plans to employ remote interactive evaluations, using risk management methods, to meet user fee commitments and goal dates and in May 2021 announced plans to continue progress toward resuming standard operational levels. Should the FDA determine that an inspection is necessary for approval and an inspection cannot be completed during the review cycle due to restrictions on travel, and the FDA does not determine a remote interactive evaluation to be appropriate, the FDA has stated that it generally intends to issue a complete response letter. Further, if there is inadequate information to make a determination on the acceptability of a facility, the FDA may defer action on the application until an inspection can be completed. In 2020, several companies announced receipt of complete response letters due to the FDA’s inability to complete required inspections for their applications. Regulatory authorities outside the U.S. may adopt similar restrictions or other policy measures in response to the COVID-19 pandemic and may experience delays in their regulatory activities.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Protecting Our Intellectual Property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efforts to protect our proprietary technologies are not adequate, we may not be able to compete effectively in our market.</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rely upon a combination of patents, trade secret protection and confidentiality agreements to protect the intellectual property related to our technologies. We will only be able to protect our product candidates, proprietary technologies and their uses from unauthorized use by third parties to the extent that valid and enforceable patents or trade secrets cover them. Any disclosure to or misappropriation by third parties of our confidential proprietary information could enable competitors to quickly duplicate or surpass our technological achievements, thus eroding our competitive position in our market.</w:t>
      </w:r>
    </w:p>
    <w:p>
      <w:pPr>
        <w:spacing w:after="0" w:line="4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patenting process is expensive and time-consuming,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output before it is too late to obtain patent protection. Our pending and future patent applications may not result in issued patents that protect our technology or products, in whole or in part. In addition, our existing patents and any future patents we obtain may not be sufficiently broad to prevent others from using our technology or from developing competing products and technologies. Composition-of-matter patents on the active pharmaceutical ingredient are generally considered to be the strongest form of intellectual property protection for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9" w:name="page40"/>
    <w:bookmarkEnd w:id="39"/>
    <w:p>
      <w:pPr>
        <w:ind w:right="20"/>
        <w:spacing w:after="0" w:line="277" w:lineRule="auto"/>
        <w:rPr>
          <w:sz w:val="20"/>
          <w:szCs w:val="20"/>
          <w:color w:val="auto"/>
        </w:rPr>
      </w:pPr>
      <w:r>
        <w:rPr>
          <w:rFonts w:ascii="Arial" w:cs="Arial" w:eastAsia="Arial" w:hAnsi="Arial"/>
          <w:sz w:val="18"/>
          <w:szCs w:val="18"/>
          <w:color w:val="auto"/>
        </w:rPr>
        <w:t>pharmaceutical products, as such patents provide protection without regard to any method of use. Method-of-use patents protect the use of a product for the specified method.</w:t>
      </w:r>
    </w:p>
    <w:p>
      <w:pPr>
        <w:spacing w:after="0" w:line="6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This type of patent does not prevent a competitor from making and marketing a product that is identical to our products for an indication that is outside the scope of the patented method. Likewise, a competitor may make and market a product similar to our products but that are not covered by the scope of our patents. Moreover, even if competitors do not actively promote their product for our targeted indications, physicians may prescribe these products “off-label.” Although off-label prescriptions may infringe or contribute to the infringement of method-of-use patents, the practice is common and such infringement is difficult to prevent or prosecute. In addition, our patents will eventually expire, and the active pharmaceutical ingredients in our current product candidates will become commercially available in generic drug products. Thus, no patent protection may be available with regard to formulation or method of use.</w:t>
      </w:r>
    </w:p>
    <w:p>
      <w:pPr>
        <w:spacing w:after="0" w:line="8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strength of patents in the biotechnology and pharmaceutical field involves complex legal and scientific questions and can be uncertain. The patent applications that we own or license may fail to result in issued patents in the United States or in other foreign countries. Even if the patents do successfully issue, third parties may challenge the validity, enforceability, inventorship, or scope thereof, which may result in such patents being narrowed, invalidated or held unenforceable. Furthermore, even if they are unchallenged, our patents and patent applications may not adequately protect our intellectual property or prevent others from designing around our claims. If the breadth or strength of protection provided by the patent applications we hold with respect to our product candidates is threatened, it could dissuade companies from collaborating with us to develop, and threaten our ability to commercialize, our product candidates. Moreover, the inventors of our patents or patent applications or our scientific consultants may become involved with competitors, develop products or processes which design around our patents, or become hostile to us or the patents or patent applications on which they are named as inventors. Likewise, our collaborators may become hostile to us or develop products or processes that are adjacent to or compete with us, including products and processes outside the scope of our patents. For example, a hostile collaborator may use technology similar to ours to pursue treatment of an indication that we plan to pursue, and may obtain approval for a product before we do. A hostile collaborator may file patent applications based on information learned from us. Such patent applications may become prior art that will be detrimental to future patent applications by us on similar technology.</w:t>
      </w:r>
    </w:p>
    <w:p>
      <w:pPr>
        <w:spacing w:after="0" w:line="7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Further, if we encounter delays in our clinical trials, the period of time during which we could market our product candidates under patent protection would be reduced. Since patent applications in the United States and most other countries are confidential for a period of time after filing, we cannot be certain that we were the first to file any patent application related to our product candidates. Furthermore, for applications in which all claims are entitled to a priority date before March 16, 2013, an interference proceeding can be provoked by a third-party or instituted by the United States Patent and Trademark Office (“USPTO”) to determine who was the first to invent any of the subject matter covered by the patent claims of our applications. For applications containing a claim not entitled to priority before March 16, 2013, there is greater level of uncertainty in the patent law with the passage of the America Invents Act (2011), which brings into effect significant changes to the U.S. patent laws and which introduces new procedures for challenging pending patent applications and issued patents. A primary change under this reform is creating a “first to file” system in the United States. We, or our collaborators, might not have been the first to file patent applications on certain inventions. Likewise, our collaborators may file patent applications on certain inventions without our knowledge, prior to our filing patent applications on those inventions. This will require us to be cognizant of the time from invention to filing of a patent application.</w:t>
      </w:r>
    </w:p>
    <w:p>
      <w:pPr>
        <w:spacing w:after="0" w:line="7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addition to the protection afforded by patents, we seek to rely on trade secret protection and confidentiality agreements to protect proprietary know-how that is not patentable, processes for which patents are difficult to enforce and any other elements of our drug discovery and development processes that involve proprietary know-how, information or technology that is not covered by patents. Although we require all of our employees to assign their inventions to us, and require all of our employees, consultants, advisors and any third parties who have access to our proprietary know-how, information or technology to enter into confidentiality agreements, we cannot be certain that our trade secrets and other confidential proprietary information will not be disclosed, willfully or unintentionally, or that competitors will not otherwise gain access to our trade secrets or independently develop substantially equivalent information and techniques. Trade secrets are difficult to protect, and we have limited control over the protection of trade secrets used by our licensors, collaborators, and suppliers.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which could materially adversely affect our business, operating results and financial condition.</w:t>
      </w:r>
    </w:p>
    <w:p>
      <w:pPr>
        <w:spacing w:after="0" w:line="6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currently have a non-exclusive license to one U.S. patent, which we have licensed to Gossamer as part of the June 24, 2018 license agreement. We rely on the licensor to maintain this patent and otherwise protect the intellectual property covered by this non-exclusive license. We have limited control over these activities or over any other intellectual property that may be related to our in-licensed intellectual property. For example, we cannot be certain that activities by the licensor have been or will be conducted in compliance with applicable laws and regulations. We may have no control or input over whether, and in what manner, our licensor may enforce or defend the patent against a third-party. The licensor may enforce or defend the patent less vigorously than if we had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0" w:name="page41"/>
    <w:bookmarkEnd w:id="40"/>
    <w:p>
      <w:pPr>
        <w:spacing w:after="0" w:line="289" w:lineRule="auto"/>
        <w:rPr>
          <w:sz w:val="20"/>
          <w:szCs w:val="20"/>
          <w:color w:val="auto"/>
        </w:rPr>
      </w:pPr>
      <w:r>
        <w:rPr>
          <w:rFonts w:ascii="Arial" w:cs="Arial" w:eastAsia="Arial" w:hAnsi="Arial"/>
          <w:sz w:val="16"/>
          <w:szCs w:val="16"/>
          <w:color w:val="auto"/>
        </w:rPr>
        <w:t>enforced or defended the patent ourselves. Further, the licensor may not necessarily seek enforcement in scenarios in which we would feel that enforcement was in our best interests. For example, the licensor may not enforce the patent against a competitor of ours who is not a direct competitor of the licensor. If our in-licensed intellectual property is found to be invalid or unenforceable, then the licensor may not be able to enforce the patent against a competitor of ours. Our non-exclusive license does not prevent a third party from seeking and obtaining a non-exclusive license to the same patent that we license. If we fail to meet our obligations under the non-exclusive license agreement, then the licensor may terminate the license agreement. If the license agreement is terminated, the former licensor may seek to enforce the intellectual property against us. We may choose to terminate the license agreement, and doing so would allow a third party to seek and obtain an exclusive license to the patent. If a third party obtains an exclusive license to intellectual property formerly licensed to us, then the third party may seek to enforce the intellectual property against us. The occurrence of any of the foregoing may negatively impair our collaboration with Gossamer and prevent us from realizing the intended benefits of this collaboration.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patents covering one or more of our products or product candidates could be found invalid or unenforceable if challenged.</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73"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With respect to challenges to the validity of our patents, for example, there might be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 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 even if we are successful in stopping infringement of our patents.</w:t>
      </w:r>
    </w:p>
    <w:p>
      <w:pPr>
        <w:spacing w:after="0" w:line="7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There is also the risk that, even if the validity of these patents is upheld, the court will refuse to stop the third party on the ground that such third party’s activities do not infringe our patents. In addition, the U.S. Supreme Court has recently changed some legal principles that affect patent applications, granted patents and assessment of the eligibility or validity of these patents.</w:t>
      </w:r>
    </w:p>
    <w:p>
      <w:pPr>
        <w:spacing w:after="0" w:line="76"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As a consequence, issued patents may be found to contain invalid claims according to the newly revised eligibility and validity standards. Some of our patents may be subject to challenge and subsequent invalidation or significant narrowing of claim scope in proceedings before the USPTO, or during litigation, under the revised criteria which could also make it more difficult to obtain patents.</w:t>
      </w:r>
    </w:p>
    <w:p>
      <w:pPr>
        <w:spacing w:after="0" w:line="7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may not be able to detect infringement against our patents, as the case may be, which may be especially difficult for formulation patents. Even if we detect infringement by a third party of our patents, we may choose not to pursue litigation against or settlement with the third party. If we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to enforce our patents against such third party.</w:t>
      </w:r>
    </w:p>
    <w:p>
      <w:pPr>
        <w:spacing w:after="0" w:line="8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If another party questions the patentability of any of our claims in our U.S. patents, the third party can request that the USPTO review the patent claims such as in an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w:t>
      </w:r>
      <w:r>
        <w:rPr>
          <w:rFonts w:ascii="Arial" w:cs="Arial" w:eastAsia="Arial" w:hAnsi="Arial"/>
          <w:sz w:val="17"/>
          <w:szCs w:val="17"/>
          <w:i w:val="1"/>
          <w:iCs w:val="1"/>
          <w:color w:val="auto"/>
        </w:rPr>
        <w:t>ex parte</w:t>
      </w:r>
      <w:r>
        <w:rPr>
          <w:rFonts w:ascii="Arial" w:cs="Arial" w:eastAsia="Arial" w:hAnsi="Arial"/>
          <w:sz w:val="17"/>
          <w:szCs w:val="17"/>
          <w:color w:val="auto"/>
        </w:rPr>
        <w:t xml:space="preserve"> re-exam or post-grant review proceedings. These proceedings are expensive and may result in a loss of scope of some claims or a loss of the entire patent. In addition to potential USPTO review proceedings, we may become a party to patent opposition proceedings in the European Patent Office (“EPO”) or similar proceedings in other foreign patent offices, where our foreign patents are challenged. The costs of these opposition or similar proceedings could be substantial, and may result in a loss of scope of some claims or a loss of the entire patent. An unfavorable result at the USPTO, EPO or other patent office may result in the loss of our right to exclude others from practicing one or more of our inventions in the relevant country or jurisdiction, which could have a material adverse effect on our business.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1" w:name="page42"/>
    <w:bookmarkEnd w:id="41"/>
    <w:p>
      <w:pPr>
        <w:ind w:right="2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Because we rely on third parties to research and develop and to manufacture our product candidates, we must, at times, share trade secrets with them.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 Moreover, enforcing a claim that a third party illegally obtained and is using any of our trade secrets is expensive and time consuming, and the outcome is unpredictable. In addition, courts outside the United States are sometimes less willing to protect trade secrets. If we choose to go to court to stop a third party from using any of our trade secrets, we may incur substantial costs. These lawsuits may consume our time and other resources even if we are successful. These lawsuits also may impact our ability to pursue agreements with third parties in the future.</w:t>
      </w:r>
    </w:p>
    <w:p>
      <w:pPr>
        <w:spacing w:after="0" w:line="6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will usually expect to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In the future we may also conduct joint research and development programs that may require us to share trade secrets under the terms of our research and development or similar agreements. A collaborator at such academic institution may use the information learned from the collaboration to compete with us, either in an academic or commercial setting. The collaborator may use the results obtained through the academic collaboration for the benefit of another commercial entity. The collaborator may use technology for the benefit of a third party even if we were entitled to a license or the right to negotiate for a license to the technology from the academic institution.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6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Moreover, our reliance on third parties may be exploited by a third party with knowledge of our Company, including knowledge of our Company strategies, intellectual property, research programs, trade secrets, and scientific discovery including, for example, drug targets, pharmaceutically active ingredients, dosing regimens and mechanisms of action. A third party may start a competing company or may join a competing company. If a third party with whom we have an agreement does become a competitor, this may lead to questions of intellectual property ownership, ownership of physical assets, inventorship and breach of contracts in place with the third party. If we seek to resolve this issue by a lawsuit, then we expect counter claims that may jeopardize the validity and enforceability of our patents. The third parties with whom we collaborate also may have business or legal conflicts of interest. These conflicts of interest can lead to litigation or impact the ability of the third party to fulfill their obligations to us.</w:t>
      </w:r>
    </w:p>
    <w:p>
      <w:pPr>
        <w:spacing w:after="0" w:line="69"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The USPTO and various foreign governmental patent agencies also require compliance with a number of procedural, documentary, fee payment (such as annuities)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countries do not protect intellectual property rights to the same extent as laws in the United States. Consequently, we may not be able to prevent third parties from practicing our inventions in all countries outside the United States, or from selling or importing products made using our inventions in and into the United States or other countries. Competitors may use our technologies in countries where we have not obtained patent protection to develop their own products and further, may infringe our patents in territories where we have patent protection, but enforcement is not as strong as in the United States. These products may compete with our products and our patents or other intellectual property rights may not be effective or sufficient to prevent them from competing.</w:t>
      </w:r>
    </w:p>
    <w:p>
      <w:pPr>
        <w:spacing w:after="0" w:line="5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certain countries. The legal systems of certain countries, particularly certain developing countries, do not favor the enforcement of patents, trade secrets and other intellectual property, particularly those relating to pharmaceutical and biotechnology products, which could make it difficult for us to stop the infringement of our patents or marketing of competing products in violation of our proprietary rights generally. Proceedings to enforce our patent rights in foreign countries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Intellectual Property Litigation</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Third-party claims of intellectual property infringement may be costly and time consuming and may delay or harm our drug discovery and development efforts.</w:t>
      </w:r>
    </w:p>
    <w:p>
      <w:pPr>
        <w:spacing w:after="0" w:line="62"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color w:val="auto"/>
        </w:rPr>
        <w:t>Our commercial success depends in part on our avoiding infringement of the patents and proprietary rights of third parties. The pharmaceutical and biotechnology industries are characterized by extensive litigation over patent and other intellectual property rights. We may become a party to, or threatened with, future adversarial litigation or other proceedings regarding intellectual property rights with respect to our drug candidates. As the pharmaceutical and biotechnology industries expand and more patents are issued, the risk increases that our drug candidates may give rise to claims of infringement of the patent rights of others.</w:t>
      </w:r>
    </w:p>
    <w:p>
      <w:pPr>
        <w:spacing w:after="0" w:line="8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While our product candidates are in preclinical studies and clinical trials, we believe that the use of our product candidates in these preclinical studies and clinical trials in the United States falls within the scope of the exemptions provided by 35 U.S.C. Section 271(e), which provides that it shall not be an act of infringement to make, use, offer to sell, or sell within the United States or import into the United States a patented invention solely for uses reasonably related to the development and submission of information to the FDA. As our product candidates progress toward commercialization, the possibility of a patent infringement claim against us increases. We attempt to ensure that our product candidates and the methods we employ to manufacture them, as well as the methods for their use we intend to promote, do not infringe other parties’ patents and other proprietary rights. There can be no assurance they do not, however, and competitors or other parties may assert that we infringe their proprietary rights in any event. Third parties may hold or obtain patents or other intellectual property rights and allege in the future that the use of our product candidates infringes these patents or intellectual property rights, or that we are employing their proprietary technology without authorization. Under U.S. law, a party may be able to patent a discovery of a new way to use a previously known compound, even if such compound itself is patented, provided the newly discovered use is novel and nonobvious. Such a method-of-use patent, however, if valid, only protects the use of a claimed compound for the specified methods claimed in the patent. This type of patent does not prevent persons from using the compound for any previously known use of the compound. Further, this type of patent does not prevent persons from making and marketing the compound for an indication that is outside the scope of the patented method.</w:t>
      </w:r>
    </w:p>
    <w:p>
      <w:pPr>
        <w:spacing w:after="0" w:line="66"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There may be patents of third parties of which we are currently unaware with claims to materials, formulations, methods of manufacture or methods for treatment related to the use or manufacture of our drug candidates. Also, because patent applications can take many years to issue, there may be currently pending patent applications which may later result in issued patents that our product candidates may infringe. Notwithstanding the above, third parties may in the future claim that our product candidates and other technologies infringe upon these patents and may file suit against us.</w:t>
      </w:r>
    </w:p>
    <w:p>
      <w:pPr>
        <w:spacing w:after="0" w:line="4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Parties making claims against us may seek and obtain injunctive or other equitable relief, which could effectively block our ability to further develop and commercialize razuprotafib or other product candidates. If any third-party patents were held by a court of competent jurisdiction to cover the manufacturing process of any of our product candidates, any molecules formed during the manufacturing process or any final product itself, then the holders of any such patents may be able to block our ability to commercialize such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our intended methods of use, then the holders of any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3" w:name="page44"/>
    <w:bookmarkEnd w:id="43"/>
    <w:p>
      <w:pPr>
        <w:ind w:right="140"/>
        <w:spacing w:after="0" w:line="257" w:lineRule="auto"/>
        <w:rPr>
          <w:sz w:val="20"/>
          <w:szCs w:val="20"/>
          <w:color w:val="auto"/>
        </w:rPr>
      </w:pPr>
      <w:r>
        <w:rPr>
          <w:rFonts w:ascii="Arial" w:cs="Arial" w:eastAsia="Arial" w:hAnsi="Arial"/>
          <w:sz w:val="18"/>
          <w:szCs w:val="18"/>
          <w:color w:val="auto"/>
        </w:rPr>
        <w:t>such patent may be able to block or impair our ability to develop and commercialize the applicable product candidate unless we obtained a license or until such patent expires or is finally determined to be held invalid or unenforceable. We may also elect to enter into a license in order to settle litigation or in order to resolve disputes prior to litigation. Furthermore, even in the absence of litigation, we may need to acquire or obtain licenses from third parties to advance our research or allow commercialization of our product candidates, and there can be no assurance that we will be able to do so on commercially reasonable terms or at all.</w:t>
      </w:r>
    </w:p>
    <w:p>
      <w:pPr>
        <w:spacing w:after="0" w:line="8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Additionally, we may in the future from time to time collaborate with academic institutions to accelerate our preclinical research or development under written agreements with these institutions. In certain cases, these institutions may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The institution also may only offer a nonexclusive license, providing an opportunity for competitors to license intellectual property important to us. If we are unable to successfully obtain rights to required third-party intellectual property or to maintain the existing intellectual property rights we have, we may have to abandon development of such program and our business and financial condition could suffer. The academic institutions, or our collaborators at those institutions, also may violate the terms of our agreements with them. For example, a collaborator could use proprietary knowledge based on the collaboration to compete with us. These violations may result in litigation, which can be costly and may impact our ability to use resources for product development or other necessary functions.</w:t>
      </w:r>
    </w:p>
    <w:p>
      <w:pPr>
        <w:spacing w:after="0" w:line="7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Further, defense of infringement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or redesign our products, which may be impossible or require substantial time and monetary expenditure.</w:t>
      </w:r>
    </w:p>
    <w:p>
      <w:pPr>
        <w:spacing w:after="0" w:line="7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6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Competitors may infringe or otherwise violate our patents, trademarks, copyrights or other intellectual property. To counter infringement or other violations, we may be required to file claims, which can be expensive and time consuming.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Our Employee Matters</w:t>
      </w:r>
    </w:p>
    <w:p>
      <w:pPr>
        <w:spacing w:after="0" w:line="11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we fail to attract and keep senior management and key scientific personnel, we may be unable to successfully develop our product candidates, conduct our clinical trials and commercialize our products.</w:t>
      </w:r>
    </w:p>
    <w:p>
      <w:pPr>
        <w:spacing w:after="0" w:line="6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are highly dependent on members of our senior management and loss of the services of any of these persons could impede the achievement of our objectives, including with respect to our efforts for the exploration of strategic alternatives.</w:t>
      </w:r>
    </w:p>
    <w:p>
      <w:pPr>
        <w:spacing w:after="0" w:line="62"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We may be unable to hire, train, retain or motivate these key personnel on acceptable terms given the intense competition among numerous biopharmaceutical companies for similar personnel. In addition, in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ind w:right="280"/>
        <w:spacing w:after="0" w:line="263" w:lineRule="auto"/>
        <w:rPr>
          <w:sz w:val="20"/>
          <w:szCs w:val="20"/>
          <w:color w:val="auto"/>
        </w:rPr>
      </w:pPr>
      <w:r>
        <w:rPr>
          <w:rFonts w:ascii="Arial" w:cs="Arial" w:eastAsia="Arial" w:hAnsi="Arial"/>
          <w:sz w:val="18"/>
          <w:szCs w:val="18"/>
          <w:color w:val="auto"/>
        </w:rPr>
        <w:t>January 2021, we adopted a realignment plan to reduce operating costs and better align our workforce with the needs of our ongoing business. The realignment plan reduced our workforce by seven employees, representing approximately 58% of our workforce. As a result, while we have undertaken efforts to retain our current employees, we may experience challenges in doing so.</w:t>
      </w:r>
    </w:p>
    <w:p>
      <w:pPr>
        <w:spacing w:after="0" w:line="7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conduct our business will be limited.</w:t>
      </w:r>
    </w:p>
    <w:p>
      <w:pPr>
        <w:spacing w:after="0" w:line="8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principal investigators, contract research organizations, consultants and vendors may engage in misconduct or other improper activities, including noncompliance with regulatory standards and requirements and insider trading.</w:t>
      </w:r>
    </w:p>
    <w:p>
      <w:pPr>
        <w:spacing w:after="0" w:line="3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are exposed to the risk that our employees, independent contractors, principal investigators, CROs, consultants and vendors may engage in fraudulent conduct or other illegal activity. Misconduct by these parties could include intentional, reckless and/or negligent conduct or unauthorized activities that violate: (1) FDA regulations, including those laws that require the reporting of true, complete and accurate information to the FDA, (2) manufacturing standards, (3) federal and state healthcare fraud and abuse laws and regulations, or (4) laws that require the reporting of true and accurate financial information and data.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if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have received confidential and proprietary information from collaborators, prospective licensees and other third parties.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We may also be subject to claims that former employees, collaborators or other third parties have an ownership interest in our patents or other intellectual property. We may be subject to ownership disputes in the future arising, for example, from conflicting obligations of consultants or others who are involved in developing our drug candidates. Litigation may be necessary to defend against these claims.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these claims, litigation could result in substantial cost and be a distraction to our management and employees.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Our Business Operations and Growth</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a successful defense would require significant financial and management resources. Regardless of the merits or eventual outcome, liability claims may result in:</w:t>
      </w:r>
    </w:p>
    <w:p>
      <w:pPr>
        <w:spacing w:after="0" w:line="87" w:lineRule="exact"/>
        <w:rPr>
          <w:sz w:val="20"/>
          <w:szCs w:val="20"/>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5" w:name="page46"/>
    <w:bookmarkEnd w:id="45"/>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candidates that we may develop;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117"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Failure to obtain and retain sufficient product liability insurance at an acceptable cost to protect against potential product liability claims could prevent or inhibit the commercialization of products we develop. We currently carry product liability insurance covering our clinical trials in the amount of</w:t>
      </w:r>
    </w:p>
    <w:p>
      <w:pPr>
        <w:ind w:right="20"/>
        <w:spacing w:after="0" w:line="253" w:lineRule="auto"/>
        <w:rPr>
          <w:sz w:val="20"/>
          <w:szCs w:val="20"/>
          <w:color w:val="auto"/>
        </w:rPr>
      </w:pPr>
      <w:r>
        <w:rPr>
          <w:rFonts w:ascii="Arial" w:cs="Arial" w:eastAsia="Arial" w:hAnsi="Arial"/>
          <w:sz w:val="18"/>
          <w:szCs w:val="18"/>
          <w:color w:val="auto"/>
        </w:rPr>
        <w:t>$10 million in the aggregate. Although we maintain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8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w:t>
      </w:r>
    </w:p>
    <w:p>
      <w:pPr>
        <w:spacing w:after="0" w:line="7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9"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b w:val="1"/>
          <w:bCs w:val="1"/>
          <w:i w:val="1"/>
          <w:iCs w:val="1"/>
          <w:color w:val="auto"/>
        </w:rPr>
        <w:t>We may not be successful in establishing and maintaining strategic collaborations, which could adversely affect our ability to develop and commercialize our product candidates, negatively impacting our operating results.</w:t>
      </w:r>
    </w:p>
    <w:p>
      <w:pPr>
        <w:spacing w:after="0" w:line="6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are currently exploring our development options for our product candidates, and such options may include strategic collaborations and licenses for the future development of our assets. We face competition in seeking appropriate collaborators for our product candidates, and the negotiation process is time-consuming and complex. In order for us to successfully collaborate with a third party on our product candidates, potential collaborators must view these product candidates as economically valuable. Even if we are successful in our efforts to establish strategic collaborations, the terms that we agree upon may not be favorable to us, and we may not be able to maintain such strategic collaborations if, for example, development or approval of a product is delayed or sales of an approved product are disappointing. Any delay in entering into strategic collaboration agreements related to our product candidates could delay the development and commercialization of our product candidates and reduce their competitiveness even if they reach the market. In addition, our strategic collaborators may terminate any agreements they enter into with us, and we may not be able to adequately protect our rights under these agreements. Furthermore, our strategic collaborators will likely negotiate for certain rights to control decisions regarding the development and commercialization of our product candidates, if approved, and may not conduct those activities in the same manner as we do.</w:t>
      </w:r>
    </w:p>
    <w:p>
      <w:pPr>
        <w:spacing w:after="0" w:line="6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June 24, 2018, we entered into a license agreement with Gossamer (the “Gossamer License Agreement”) pursuant to which we granted to Gossamer an exclusive, sublicensable license to develop and commercialize AKB-4924 and other structurally related products worldwide. We received an upfront payment of $20.0 million in connection with the Gossamer License Agreement and are eligible to receive additional payments contingent upon the achievement of specified milestones. On May 12, 2020, we entered into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6" w:name="page47"/>
    <w:bookmarkEnd w:id="46"/>
    <w:p>
      <w:pPr>
        <w:spacing w:after="0" w:line="286" w:lineRule="auto"/>
        <w:rPr>
          <w:sz w:val="20"/>
          <w:szCs w:val="20"/>
          <w:color w:val="auto"/>
        </w:rPr>
      </w:pPr>
      <w:r>
        <w:rPr>
          <w:rFonts w:ascii="Arial" w:cs="Arial" w:eastAsia="Arial" w:hAnsi="Arial"/>
          <w:sz w:val="16"/>
          <w:szCs w:val="16"/>
          <w:color w:val="auto"/>
        </w:rPr>
        <w:t>that certain Amendment No. 1 to the Gossamer License Agreement (“Amendment No. 1” and together with the Gossamer License Agreement, as amended by Amendment No. 1, the “Amended Gossamer License Agreement”) and received a payment of $15.0 million in conjunction with the terms of the Amendment 1. We are also eligible to receive tiered royalties on sales of licensed products and additional payments upon the occurrence of specified events involving the licensed products. However, there can be no assurance that we will satisfy the conditions to receive any such payments from Gossamer in a timely manner or at all. While Gossamer is obligated to use its commercially reasonable efforts to develop and commercialize the licensed products, there can be no assurance that such products would be successfully developed and commercialized. In addition, the Amended Gossamer License Agreement contains an exclusivity provision pursuant to which we are prohibited from developing, manufacturing or commercializing certain HIF stabilizing compounds as described in the agreement. While the license agreement expires on a licensed product-by-licensed product and country-by-country basis on the later of fifteen years from the date or first commercial sale or when there is no longer a valid patent claim covering such licensed product in such country, either party may terminate the Amended Gossamer License Agreement for an uncured material breach by the other party or upon the bankruptcy or insolvency of the other party. In addition, Gossamer may terminate the Amended Gossamer License Agreement in the event it determines that there is a potential safety or efficacy issue with the licensed products. Therefore, there can be no assurance that the Amended Gossamer License Agreement will continue for its full duration or that we will realize the intended benefits.</w:t>
      </w:r>
    </w:p>
    <w:p>
      <w:pPr>
        <w:spacing w:after="0" w:line="6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If we fail to establish and maintain strategic collaborations related to our product candidates for the indications and in the geographies in which we do not intend develop and commercialize ourselves, we will bear all of the risk and costs related to the development and commercialization of any such product candidate, and we may need to seek additional financing, hire additional employees and otherwise develop expertise. This could negatively affect the development of any product candidate for which we do not locate a suitable strategic partner.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Past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14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commenced active operations in 2011, and our operations to date have been limited to organizing and staffing our Company, business planning, raising capital, identifying potential product candidates, undertaking preclinical studies and conducting clinical trials. We currently have two product candidates that we are developing internally, one of which is in preclinical development. Biopharmaceutical product development is a highly speculative undertaking and involves a substantial degree of risk. Only a small fraction of biopharmaceutical development programs ultimately results in commercial products or even product candidates and a number of events could delay our development efforts and negatively impact our ability to obtain regulatory approval for, and to manufacture, market and sell, a product. We have not yet demonstrated our ability to successfully complete later stage clinical trials, obtain regulatory approvals, manufacture a commercial scale product, or arrange for a third party to do so on our behalf, or conduct sales and marketing activities necessary for successful product commercialization. Consequently, any predictions you make about our future success or viability may not be as accurate as they could be if we had a longer operating history.</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as a young business, we may encounter unforeseen expenses, difficulties, complications, delays and other known and unknown factors. We will need to expand our capabilities to support commercial activities. We may not be successful in adding such capabilities.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inception and anticipate that we will continue to incur significant losses for the foreseeable future and may never achieve or maintain profitability.</w:t>
      </w:r>
    </w:p>
    <w:p>
      <w:pPr>
        <w:spacing w:after="0" w:line="62"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We have incurred net and comprehensive losses each year since our inception, with the exception of the three months ended September 30, 2018 and June 30, 2020, as a result of the upfront Gossamer payments discussed above. For the three months ended March 31, 2021 and 2020, we incurred net and comprehensive loss of $4.4 million and $3.9 million, respectively. As of March 31, 2021, we had an accumulated deficit of $151.0 million. To date, we have not commercialized any products or generated any revenues from the sale of products, and we do not expect to generate any product revenues in the foreseeable future. We do not know whether or when we will generate revenue or become profitable.</w:t>
      </w:r>
    </w:p>
    <w:p>
      <w:pPr>
        <w:spacing w:after="0" w:line="6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devoted most of our financial resources to research and development, including our clinical and preclinical development activities. The amount of our future net losses will depend, in part, on the rate of our future expenditures, and our financial position will depend, in part, on our plans for development of our product candidates and our ability to obtain funding through equity or debt financings, strategic collaborations or grants to fund such development.</w:t>
      </w:r>
    </w:p>
    <w:p>
      <w:pPr>
        <w:spacing w:after="0" w:line="79"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We expect to continue to incur significant expenses and operating losses for the foreseeable future, including to sustain our operations while we evaluate our development options for our product candidates, seek strategic alternatives and to operate as a public reporting company.</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7" w:name="page48"/>
    <w:bookmarkEnd w:id="47"/>
    <w:p>
      <w:pPr>
        <w:ind w:right="280"/>
        <w:spacing w:after="0" w:line="301" w:lineRule="auto"/>
        <w:rPr>
          <w:sz w:val="20"/>
          <w:szCs w:val="20"/>
          <w:color w:val="auto"/>
        </w:rPr>
      </w:pPr>
      <w:r>
        <w:rPr>
          <w:rFonts w:ascii="Arial" w:cs="Arial" w:eastAsia="Arial" w:hAnsi="Arial"/>
          <w:sz w:val="16"/>
          <w:szCs w:val="16"/>
          <w:color w:val="auto"/>
        </w:rPr>
        <w:t>Because of the numerous risks and uncertainties associated with pharmaceutical product development, we are unable to accurately predict the timing or amount of increased expenses or when, if at all, we will be able to achieve profitability. If we are required by the United States Food and Drug Administration (“FDA”) the European Medicines Agency (“EMA”) or other regulatory authorities to perform studies in addition to those currently expected, or if there are any delays in completing our clinical trials or the development of any of our product candidates, our expenses could increase.</w:t>
      </w:r>
    </w:p>
    <w:p>
      <w:pPr>
        <w:spacing w:after="0" w:line="4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net and comprehensive income (loss) we incur may fluctuate significantly from quarter to quarter and year to year, such that a period-to-period comparison of our results of operations may not be a good indication of our future performance. In any particular quarter or quarters, our operating results could be below the expectations of securities analysts or investors, which could cause our stock price to decline.</w:t>
      </w:r>
    </w:p>
    <w:p>
      <w:pPr>
        <w:spacing w:after="0" w:line="5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To become and remain profitable, we must succeed in developing and commercializing our product candidates, which must generate significant revenue. This will require us to be successful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may obtain regulatory approval. We are only in the preliminary stages of most of these activities. We may never succeed in these activities and, even if we do, may never generate revenues that are significant enough to achieve profitability.</w:t>
      </w:r>
    </w:p>
    <w:p>
      <w:pPr>
        <w:spacing w:after="0" w:line="6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could depress the value of our Company and could impair our ability to raise capital, expand our business, maintain our research and development efforts, diversify our product offerings or even continue our operations. A decline in the value of our Company could cause you to lose all or part of your investment.</w:t>
      </w:r>
    </w:p>
    <w:p>
      <w:pPr>
        <w:spacing w:after="0" w:line="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corporate restructuring and the associated headcount reduction may not result in anticipated savings, could result in total costs and expenses that are greater than expected and could disrupt our business.</w:t>
      </w:r>
    </w:p>
    <w:p>
      <w:pPr>
        <w:spacing w:after="0" w:line="6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January 2021, we initiated a realignment plan to reduce operating costs and better align its workforce with the needs of our ongoing business. The realignment plan, reduces its current workforce by seven employees, representing approximately 58% of our workforce. As a result of this realignment plan, we incurred a one-time employee related severance expenses of approximately $1.2 million in the first quarter of 2021. We anticipate the majority of the one-time employee severance liability to be paid during 2021. We may not realize, in full or in part, the anticipated benefits, savings and improvements in our cost structure from our restructuring efforts due to unforeseen difficulties, delays or unexpected costs. If we are unable to realize the expected operational efficiencies and cost savings from the restructuring, our operating results and financial condition would be adversely affected. Furthermore, our restructuring plan may be disruptive to our operations. For example, our headcount reductions could yield unanticipated consequences, such as increased difficulties in implementing our business strategy, including retention of our remaining employees.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Future Financial Condition</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do not have any committed sources of outside capital. A failure to obtain necessary capital when needed to sustain our business could force us to suspend our operations.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2021, our cash and cash equivalents were $39.0 million. We are currently evaluating our development options for our product candidates.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efforts for continued program development will be time-consuming and expensive.</w:t>
      </w:r>
    </w:p>
    <w:p>
      <w:pPr>
        <w:spacing w:after="0" w:line="10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Based on our current operating plan, and absent any future financings or strategic partnerships, we believe that our existing cash and cash equivalents will be sufficient to fund our projected operating expenses and capital expenditure requirements through the fourth quarter of 2022. However, our operating plan may change as a result of many factors currently unknown to us, and we may need additional funds sooner than planned. Additional funds may not be available when we need them on terms that are acceptable to us, or at all. Market volatility resulting from the COVID-19 pandemic or other factors could also adversely impact our ability to access capital as and when needed. If adequate funds are not available to us on a timely basis, we may be required to suspend our operations.</w:t>
      </w:r>
    </w:p>
    <w:p>
      <w:pPr>
        <w:spacing w:after="0" w:line="8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product candidates on unfavorable terms to us.</w:t>
      </w:r>
    </w:p>
    <w:p>
      <w:pPr>
        <w:spacing w:after="0" w:line="62"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We expect to finance our cash needs through a combination of equity offerings, debt financings and license, development and commercialization agreements with collaborators. To the extent that we raise additional capital through the sale of equity or convertible debt securities, your ownership interest will be diluted, and the terms may include liquidation or other preferences and anti-dilution protections that adversely affect your rights as a stockholder. Debt financing, if available, may involve agreements that include covenants limiting or restricting our ability to take certain actions, such as incurring additional debt, making capital expenditures or declaring dividends. If we raise additional funds through strategic collaborations with third parties, we may have to relinquish valuable rights to our product candidates, future revenue streams, research programs or product candidates or grant licenses on terms that are not favorable to us. For example, in June 2018, we entered into a license agreement with Gossamer for the development and commercialization of AKB-4924.</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If we are unable to raise additional funds through equity or debt financing when needed, we may be required to suspend our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Sales, Marketing and Competition</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future commercial success depends upon attaining significant market acceptance of our product candidates, if approved, among physicians, patients, third-party payors and others in the medical community.</w:t>
      </w:r>
    </w:p>
    <w:p>
      <w:pPr>
        <w:spacing w:after="0" w:line="62" w:lineRule="exact"/>
        <w:rPr>
          <w:sz w:val="20"/>
          <w:szCs w:val="20"/>
          <w:color w:val="auto"/>
        </w:rPr>
      </w:pPr>
    </w:p>
    <w:p>
      <w:pPr>
        <w:ind w:right="560"/>
        <w:spacing w:after="0" w:line="263" w:lineRule="auto"/>
        <w:rPr>
          <w:sz w:val="20"/>
          <w:szCs w:val="20"/>
          <w:color w:val="auto"/>
        </w:rPr>
      </w:pPr>
      <w:r>
        <w:rPr>
          <w:rFonts w:ascii="Arial" w:cs="Arial" w:eastAsia="Arial" w:hAnsi="Arial"/>
          <w:sz w:val="18"/>
          <w:szCs w:val="18"/>
          <w:color w:val="auto"/>
        </w:rPr>
        <w:t>Even if we obtain marketing approval for one or more of our product candidates, these product candidates may not gain market acceptance among physicians, third-party payors, patients and others in the medical community. In addition, market acceptance of any approved products depends on a number of other factors, including:</w:t>
      </w:r>
    </w:p>
    <w:p>
      <w:pPr>
        <w:spacing w:after="0" w:line="76" w:lineRule="exact"/>
        <w:rPr>
          <w:sz w:val="20"/>
          <w:szCs w:val="20"/>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efficacy and safety of the product, as demonstrated in clinical trials;</w:t>
      </w:r>
    </w:p>
    <w:p>
      <w:pPr>
        <w:spacing w:after="0" w:line="117" w:lineRule="exact"/>
        <w:rPr>
          <w:rFonts w:ascii="Arial" w:cs="Arial" w:eastAsia="Arial" w:hAnsi="Arial"/>
          <w:sz w:val="18"/>
          <w:szCs w:val="18"/>
          <w:color w:val="auto"/>
        </w:rPr>
      </w:pPr>
    </w:p>
    <w:p>
      <w:pPr>
        <w:ind w:left="880" w:right="220" w:hanging="373"/>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 and the label approved by regulatory authorities for use with the product, including any warnings that may be required on the label;</w:t>
      </w:r>
    </w:p>
    <w:p>
      <w:pPr>
        <w:spacing w:after="0" w:line="62" w:lineRule="exact"/>
        <w:rPr>
          <w:rFonts w:ascii="Arial" w:cs="Arial" w:eastAsia="Arial" w:hAnsi="Arial"/>
          <w:sz w:val="18"/>
          <w:szCs w:val="18"/>
          <w:color w:val="auto"/>
        </w:rPr>
      </w:pPr>
    </w:p>
    <w:p>
      <w:pPr>
        <w:ind w:left="880" w:right="80" w:hanging="373"/>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acceptance by physicians and patients of the product as a safe and effective treatment and the willingness of the target patient population to try new therapies and of physicians to prescribe new therapies;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safety and efficacy of treatment in relation to alternative treatments;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of adequate coverage and reimbursement by third party payors and government authorities;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restrictions on the use of our products together with other medications, if any.</w:t>
      </w:r>
    </w:p>
    <w:p>
      <w:pPr>
        <w:spacing w:after="0" w:line="11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Market acceptance is critical to our ability to generate significant revenue. In addition, any product candidate, if approved and commercialized, may be accepted in only limited capacities or not at all. If any approved products are not accepted by the market at all or to the extent that we expect, we may not be able to generate significant revenue and our business would suffer.</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2"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development and commercialization of new products is highly competitive. Our future success depends on our ability to demonstrate and maintain a competitive advantage with respect to the development and commercialization of our product candidates. Our objective is to develop and commercialize new products with superior efficacy, convenience, tolerability and safety. In many cases, the products that we commercialize will compete with existing, market-leading products.</w:t>
      </w:r>
    </w:p>
    <w:p>
      <w:pPr>
        <w:spacing w:after="0" w:line="7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Many of our potential competitors have significantly greater financial, manufacturing, marketing, drug development, technical and human resources than we do. Large pharmaceutical companies, in particular, have extensive experience in clinical testing, obtaining regulatory approvals, recruiting patients and in manufacturing pharmaceutical products. In particular, these companies have greater experience and expertise in securing government contracts and grants to support their research and development efforts, conducting testing and clinical trials, obtaining regulatory approvals to market products, manufacturing such products on a broad scale and marketing approved products. These companies also have significantly greater research and marketing capabilities than we do and may also have products that have been approved or are in late stages of development, and have collaborative arrangements in our target markets with leading companies and research institutions. Established pharmaceutical companies may also invest heavily to accelerate discovery and development of novel compounds or to in-license novel compounds that could make the product that we develop obsolete. As a result of all of these factors, our competitors may succeed in obtaining patent protection and/or FDA approval or discovering, developing and commercializing products before, or more effectively than, we do. In addition, any new product that competes with an approved product must demonstrate compelling advantages in efficacy, convenience, tolerability and safety in order to overcome price competition and to be commercially successful. If we are not able to compete effectively against potential competitors, our business will not grow and our financial condition and operations will suffer.</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9" w:name="page50"/>
    <w:bookmarkEnd w:id="49"/>
    <w:p>
      <w:pPr>
        <w:ind w:right="120"/>
        <w:spacing w:after="0" w:line="308" w:lineRule="auto"/>
        <w:rPr>
          <w:sz w:val="20"/>
          <w:szCs w:val="20"/>
          <w:color w:val="auto"/>
        </w:rPr>
      </w:pPr>
      <w:r>
        <w:rPr>
          <w:rFonts w:ascii="Arial" w:cs="Arial" w:eastAsia="Arial" w:hAnsi="Arial"/>
          <w:sz w:val="17"/>
          <w:szCs w:val="17"/>
          <w:b w:val="1"/>
          <w:bCs w:val="1"/>
          <w:i w:val="1"/>
          <w:iCs w:val="1"/>
          <w:color w:val="auto"/>
        </w:rPr>
        <w:t>If we are unable to establish sales, marketing and distribution capabilities or to enter into agreements with third parties to market and sell our product candidates, we may not be successful in commercializing our product candidates if and when they are approved.</w:t>
      </w:r>
    </w:p>
    <w:p>
      <w:pPr>
        <w:spacing w:after="0" w:line="3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do not have a sales or marketing infrastructure and have no experience in the sale, marketing or distribution of pharmaceutical products. To achieve commercial success for any product for which we obtain marketing approval, we will need to establish a sales and marketing organization or make arrangements with third parties to perform these services. There are risks involved with establishing our own sales, marketing and distribution capabilities. For example, recruiting and training a sales force are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 Factors that may inhibit our efforts to commercialize our products on our own include:</w:t>
      </w:r>
    </w:p>
    <w:p>
      <w:pPr>
        <w:spacing w:after="0" w:line="58" w:lineRule="exact"/>
        <w:rPr>
          <w:sz w:val="20"/>
          <w:szCs w:val="20"/>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products;</w:t>
      </w:r>
    </w:p>
    <w:p>
      <w:pPr>
        <w:spacing w:after="0" w:line="140" w:lineRule="exact"/>
        <w:rPr>
          <w:rFonts w:ascii="Arial" w:cs="Arial" w:eastAsia="Arial" w:hAnsi="Arial"/>
          <w:sz w:val="16"/>
          <w:szCs w:val="16"/>
          <w:color w:val="auto"/>
        </w:rPr>
      </w:pPr>
    </w:p>
    <w:p>
      <w:pPr>
        <w:ind w:left="880" w:right="100" w:hanging="373"/>
        <w:spacing w:after="0" w:line="263"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state and federal transparency reporting requirements that require us to register our sales representatives and report any gifts, payments for speaking engagements, travel costs, donations, or other support offered to physicians or teaching hospitals which may create additional burden on sales and marketing personnel;</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inability to effectively manage a geographically dispersed sales and marketing team;</w:t>
      </w:r>
    </w:p>
    <w:p>
      <w:pPr>
        <w:spacing w:after="0" w:line="117" w:lineRule="exact"/>
        <w:rPr>
          <w:rFonts w:ascii="Arial" w:cs="Arial" w:eastAsia="Arial" w:hAnsi="Arial"/>
          <w:sz w:val="18"/>
          <w:szCs w:val="18"/>
          <w:color w:val="auto"/>
        </w:rPr>
      </w:pPr>
    </w:p>
    <w:p>
      <w:pPr>
        <w:ind w:left="880" w:right="320" w:hanging="373"/>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117"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If we are unable to establish our own sales, marketing and distribution capabilities and have to enter into arrangements with third parties to perform these services, our profitability, if any, is likely to be materially diminished in relation to if we were to market, sell and distribute any products that we develop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5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delay or prevent their regulatory approval or limit their commercial potential.</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Undesirable side effects caused by our product candidates or even competing products in development that utilize a common mechanism of action could cause us or regulatory authorities to interrupt, delay or halt clinical trials and could result in the denial of regulatory approval by the FDA or other regulatory authorities and potential products liability claims. Serious adverse events deemed to be caused by our product candidates could have a material adverse effect on the development of our product candidates and our business as a whole. The most common drug-related adverse events to date in the clinical trials evaluating the safety and tolerability of subcutaneous razuprotafib have been dizziness and asymptomatic decreases in blood pressure, and these adverse events may occur in future development by this route of administration. The most common adverse event seen in the Phase 1b and Phase 2 clinical trials evaluating the safety and tolerability of topical ocular razuprotafib was mild conjunctival hyperemia. Our understanding of the relationship between razuprotafib and these events, as well as our understanding of adverse events in future clinical trials of other product candidates, may change as we gather more information, and additional unexpected adverse events may be observed.</w:t>
      </w:r>
    </w:p>
    <w:p>
      <w:pPr>
        <w:spacing w:after="0" w:line="73"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If we or others identify undesirable side effects caused by our product candidates either before or after receipt of marketing approval, a number of potentially significant negative consequences could result, including:</w:t>
      </w:r>
    </w:p>
    <w:p>
      <w:pPr>
        <w:spacing w:after="0" w:line="62" w:lineRule="exact"/>
        <w:rPr>
          <w:sz w:val="20"/>
          <w:szCs w:val="20"/>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clinical trials may be put on hold;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patient recruitment could be slowed, or enrolled patients may not want to complete a clinical trial;</w:t>
      </w:r>
    </w:p>
    <w:p>
      <w:pPr>
        <w:spacing w:after="0" w:line="117" w:lineRule="exact"/>
        <w:rPr>
          <w:rFonts w:ascii="Arial" w:cs="Arial" w:eastAsia="Arial" w:hAnsi="Arial"/>
          <w:sz w:val="18"/>
          <w:szCs w:val="18"/>
          <w:color w:val="auto"/>
        </w:rPr>
      </w:pPr>
    </w:p>
    <w:p>
      <w:pPr>
        <w:ind w:left="880" w:right="580" w:hanging="373"/>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unable to obtain regulatory approval for our product candidates or regulatory authorities may withdraw approvals of product candidates;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medication guide outlining the risks of such side effects for distribution to patients may be required;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0" w:name="page51"/>
    <w:bookmarkEnd w:id="50"/>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17"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With respect to the potential use of razuprotafib for the treatment of ARDS associated with COVID-19, clinical development remains in the early stages. As a result, while we believe razuprotafib may have a favorable tolerability profile in this patient population, there can be no assurance that we will not observe the incidence of adverse events or serious adverse events upon further development of razuprotafib. For example, the incidence of adverse events and serious adverse events may be magnified in this patient population due to the critical and often life-threatening nature of the underlying disease.</w:t>
      </w:r>
    </w:p>
    <w:p>
      <w:pPr>
        <w:spacing w:after="0" w:line="4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products and could substantially increase commercialization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Healthcare Regulation</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any approved products, which could make it difficult for us to sell our products profitably.</w:t>
      </w:r>
    </w:p>
    <w:p>
      <w:pPr>
        <w:spacing w:after="0" w:line="1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future revenues and profitability will be adversely affected if United States and foreign governmental, private third-party insurers and payors and other third-party payors, including Medicare and Medicaid, do not agree to defray or reimburse the cost of our products to the patients. If these entities fail to provide coverage and reimbursement with respect to our products or provide an insufficient level of coverage and reimbursement, our products may be too costly for some patients to afford them and physicians may not prescribe them. Market acceptance and sales of any approved products will depend significantly on the availability of adequate coverage and reimbursement from third-party payors and may be affected by existing and future healthcare reform measures. Government authorities and third-party payors decide which drugs they will pay for and establish formularies and reimbursement levels. Coverage and reimbursement by a third-party payor may depend upon a number of factors, including the third-party payor’s determination that use of a product is:</w:t>
      </w:r>
    </w:p>
    <w:p>
      <w:pPr>
        <w:spacing w:after="0" w:line="84" w:lineRule="exact"/>
        <w:rPr>
          <w:sz w:val="20"/>
          <w:szCs w:val="20"/>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Obtaining coverage and reimbursement approval for a product from a government or other third-party payor is a time consuming and costly process that could require us to provide supporting scientific, clinical and cost-effectiveness data for the use of our products to the payor. Additionally, we may be required to enter into contracts with third-party payors to obtain favorable formulary status. We may not be able to provide data sufficient to gain acceptance with respect to coverage and reimbursement. We cannot be sure that coverage or adequate reimbursement will be available for any of our product candidates. Third-party payors often rely upon Medicare coverage policy and payment limitations in setting their own reimbursement rates, but also have their own methods and approval process apart from Medicate determinations. Therefore, coverage and reimbursement for drug products can differ significantly from payor to payor. Even if we obtain coverage for our product candidates, third-party payors may not establish adequate reimbursement amounts, which may reduce the demand for, or the price of, our products. If reimbursement is not available or is available only to limited levels, we may not be able to commercialize certain of our products. In addition, in the United States, third-party payors are increasingly attempting to contain healthcare costs by limiting both coverage and the level of reimbursement of new drugs. As a result, significant uncertainty exists as to whether and how much third-party payors will reimburse patients for their use of newly approved drugs, which in turn will put pressure on the pricing of drugs. Further, due to the COVID-19 pandemic, millions of individuals have lost or will be losing employer-based insurance coverage, which may adversely affect our ability to commercialize our product candidates even if there is adequate coverage and reimbursement from third party payors.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 controls may be imposed, which may adversely affect our future profitability.</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the United States and some foreign jurisdictions, there have been, and we expect there will continue to be, actions and proposals to control and reduce healthcare costs. There have been a number of legislative and regulatory changes and proposed changes regarding the healthcare system that could prevent or delay marketing approval for our product candidates, restrict or regulate post-approval activities and affect our ability to profitably sell any of our products or product candidates for which we obtain marketing approval.</w:t>
      </w:r>
    </w:p>
    <w:p>
      <w:pPr>
        <w:spacing w:after="0" w:line="7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some countries, particularly Member States of the European Union, the pricing of prescription pharmaceuticals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51" w:name="page52"/>
    <w:bookmarkEnd w:id="51"/>
    <w:p>
      <w:pPr>
        <w:ind w:right="80"/>
        <w:spacing w:after="0" w:line="272" w:lineRule="auto"/>
        <w:rPr>
          <w:sz w:val="20"/>
          <w:szCs w:val="20"/>
          <w:color w:val="auto"/>
        </w:rPr>
      </w:pPr>
      <w:r>
        <w:rPr>
          <w:rFonts w:ascii="Arial" w:cs="Arial" w:eastAsia="Arial" w:hAnsi="Arial"/>
          <w:sz w:val="17"/>
          <w:szCs w:val="17"/>
          <w:color w:val="auto"/>
        </w:rPr>
        <w:t>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may be required to conduct a clinical trial or other studies that compare the cost-effectiveness of our product candidates to other available products in order to obtain or maintain reimbursement or pricing approval. Publication of discounts by third-party payors or authorities may lead to further pressure on the prices or reimbursement levels within the country of publication and other countries. If reimbursement of our products is unavailable or limited in scope or amount, or if pricing is set at unsatisfactory levels, our business could be adversely affected.</w:t>
      </w:r>
    </w:p>
    <w:p>
      <w:pPr>
        <w:spacing w:after="0" w:line="6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The impact of recent healthcare reform and other changes in the healthcare industry and in healthcare spending is currently unknown and may adversely affect our business model.</w:t>
      </w:r>
    </w:p>
    <w:p>
      <w:pPr>
        <w:spacing w:after="0" w:line="62"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4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the United States, the Medicare Prescription Drug, Improvement, and Modernization Act of 2003, also called the MMA,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As a result of this legislation and the expansion of federal coverage of products, we expect that there will be additional pressure to reduce costs. While the MMA applies only to drug benefits for Medicare beneficiaries, private payors often follow Medicare coverage policies and payment limitations in setting their own reimbursement rates, and any reduction in reimbursement that results from the MMA may cause a similar reduction in payments from private payors. Similar regulations or reimbursement policies may be enacted in international markets which could similarly impact our business.</w:t>
      </w:r>
    </w:p>
    <w:p>
      <w:pPr>
        <w:spacing w:after="0" w:line="84"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In addition, the Affordable Care Act (“ACA”) was enacted in 2010 with a goal of reducing the cost of healthcare and substantially changing the way healthcare is financed by both government and private insurers. The ACA, among other things,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biologic products, and creates a new Medicare Part D coverage gap discount program, in which manufacturers must agree to offer 50% (increased to 70% as of January 1, 2019 pursuant to subsequent legislation) point-of-sale discounts off negotiated prices of applicable brand drugs to eligible beneficiaries during their coverage gap period as a condition for the manufacturer’s outpatient drugs to be covered under Medicare Part D. In addition, other legislative changes have been proposed and adopted in the United States since the ACA was enacted. On August 2, 2011, the Budget Control Act of 2011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up to 2% per fiscal year, which went into effect on April 1, 2013. Pursuant to the Coronavirus Aid, Relief, and Economic Security Act, also known as the CARES Act, and the 2020 Omnibus Bill, these reductions are suspended from May 1, 2020 through December 31, 2021 due to the COVID-19 pandemic. As the legislation currently stands, the reductions will go back into effect April 2021 and will remain in effect through 2030 unless additional Congressional action is taken.</w:t>
      </w:r>
    </w:p>
    <w:p>
      <w:pPr>
        <w:spacing w:after="0" w:line="7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Since its enactment, there have been numerous judicial, administrative, executive, and legislative challenges to certain aspects of the ACA, and we expect there will be additional challenges and amendments to the ACA in the future. Various portions of the ACA are currently undergoing legal and constitutional challenges in the United States Supreme Court; the former Trump Administration had issued various Executive Orders which eliminated cost sharing subsidies and various provisions that would impose a fiscal burden on states or a cost, fee, tax, penalty or regulatory burden on individuals, healthcare providers, health insurers, or manufacturers of pharmaceuticals or medical devices; and Congress has introduced several pieces of legislation aimed at significantly revising or repealing the ACA. The United States Supreme Court is expected to rule on a legal challenge to the constitutionality of the ACA in early 2021. As implementation of the ACA is ongoing, the law appears likely to continue the downward pressure on pharmaceutical pricing, especially under the Medicare program, and may also increase our regulatory burdens and operating costs. Litigation and legislation related to the ACA are likely to continue, with unpredictable and uncertain results. We will continue to evaluate the effect that the ACA and its possible repeal and replacement has on our business.</w:t>
      </w:r>
    </w:p>
    <w:p>
      <w:pPr>
        <w:spacing w:after="0" w:line="77"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Moreover, the Drug Supply Chain Security Act imposed new obligations on manufacturers of pharmaceutical products related to product tracking and tracing. Legislative and regulatory proposals have been made to expand post-approval requirements and restrict sales and promotional activities for pharmaceutical products. We are not sure whether additional legislative changes will be enacted, or whether the current regulations, guidance or interpretations will be changed, or what the impact of such changes on our business, if any, may be.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2" w:name="page53"/>
    <w:bookmarkEnd w:id="52"/>
    <w:p>
      <w:pPr>
        <w:ind w:right="200"/>
        <w:spacing w:after="0" w:line="255" w:lineRule="auto"/>
        <w:rPr>
          <w:sz w:val="20"/>
          <w:szCs w:val="20"/>
          <w:color w:val="auto"/>
        </w:rPr>
      </w:pPr>
      <w:r>
        <w:rPr>
          <w:rFonts w:ascii="Arial" w:cs="Arial" w:eastAsia="Arial" w:hAnsi="Arial"/>
          <w:sz w:val="18"/>
          <w:szCs w:val="18"/>
          <w:color w:val="auto"/>
        </w:rPr>
        <w:t>The former Trump administration released a plan to lower drug prices and reduce out of pocket costs of drugs that contained proposals to increase drug manufacturer competition, increase the negotiating power of certain federal healthcare programs, incentivize manufacturers to lower the list price of their products, and reduce the out of pocket costs of drug products paid by consumers. On July 24, 2020 and September 13, 2020, former President Trump announced several executive orders related to prescription drug pricing that seek to implement several of the administration’s proposals. The FDA also released a final rule on September 24, 2020, which went into effect on November 30, 2020, providing guidance for states to build and submit importation plans for drugs from Canada.</w:t>
      </w:r>
    </w:p>
    <w:p>
      <w:pPr>
        <w:spacing w:after="0" w:line="8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November 20, 2020, CMS issued an Interim Final Rule implementing the Most Favored Nation, or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would have applied in all U.S. states and territories for a seven-year period beginning January 1, 2021, and ending December 31, 2027. However, in response to a lawsuit filed by several industry groups, on December 28, 2020, the U.S. District Court for the Northern District of California issued a nationwide preliminary injunction enjoining government defendants from implementing the MFN Rule pending completion of notice-and-comment procedures under the Administrative Procedure Act. On January 13, 2021, in a separate lawsuit brought by industry groups in the U.S. District of Maryland, the government defendants entered a joint motion to stay litigation on the condition that the government would not appeal the preliminary injunction granted in the U.S. District Court for the Northern District of California and that performance for any final regulation stemming from the MFN Interim Final Rule shall not commence earlier than 60 days after publication of that regulation in the Federal Register. Further, authorities in Canada have passed rules designed to safeguard the Canadian drug supply from shortages. If implemented, importation of drugs from Canada and the MFN Model may materially and adversely affect the price we receive for any of our product candidates. Additionally, on November 20,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w:t>
      </w:r>
    </w:p>
    <w:p>
      <w:pPr>
        <w:spacing w:after="0" w:line="59"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Although a number of these and other proposed measures may require authorization through additional legislation to become effective, and the Biden administration may reverse, revoke, or otherwise change these measures, Congress has indicated that it will continue to seek new legislative measures to control drug costs.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It is unclear what effect such changes will have on our business and our ability to receive adequate reimbursement for our future products. Some of these proposed measures, including drug importation and pharmacy benefit manager rebate rule changes, face legal challenges from industry groups and participants. We cannot predict whether additional reform initiatives may be adopted in the future or whether initiatives that have been adopted will be repealed or modified, or whether legal challenges will be successful. The continuing efforts of the government, insurance companies, managed care organizations and other payors of healthcare services to contain or reduce costs of healthcare may adversely affect:</w:t>
      </w:r>
    </w:p>
    <w:p>
      <w:pPr>
        <w:spacing w:after="0" w:line="60" w:lineRule="exact"/>
        <w:rPr>
          <w:sz w:val="20"/>
          <w:szCs w:val="20"/>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obtain coverage and reimbursement approval for a product;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and the level of taxes that we are required to pay.</w:t>
      </w:r>
    </w:p>
    <w:p>
      <w:pPr>
        <w:spacing w:after="0" w:line="11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We expect that changes and challenges to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future approved product.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3" w:name="page54"/>
    <w:bookmarkEnd w:id="53"/>
    <w:p>
      <w:pPr>
        <w:spacing w:after="0" w:line="311" w:lineRule="auto"/>
        <w:rPr>
          <w:sz w:val="20"/>
          <w:szCs w:val="20"/>
          <w:color w:val="auto"/>
        </w:rPr>
      </w:pPr>
      <w:r>
        <w:rPr>
          <w:rFonts w:ascii="Arial" w:cs="Arial" w:eastAsia="Arial" w:hAnsi="Arial"/>
          <w:sz w:val="16"/>
          <w:szCs w:val="16"/>
          <w:b w:val="1"/>
          <w:bCs w:val="1"/>
          <w:i w:val="1"/>
          <w:iCs w:val="1"/>
          <w:color w:val="auto"/>
        </w:rPr>
        <w:t>If we obtain regulatory approval for any of our product candidates, we may be subject to various federal and state laws targeting fraud and abuse in the healthcare industry. These laws may impact, among other things, our proposed sales, marketing and education programs. In addition, we may be subject to patient privacy regulation by both the federal government and the states in which we conduct our business.</w:t>
      </w:r>
    </w:p>
    <w:p>
      <w:pPr>
        <w:spacing w:after="0" w:line="5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Healthcare providers, physicians and third-party payors in the United States and elsewhere play a primary role in the recommendation and prescription of pharmaceutical products. Arrangements with third-party payors and customers can expose pharmaceutical manufacturers to broadly applicable fraud and abuse and other healthcare laws and regulations, which may constrain the business or financial arrangements and relationships through which such companies sell, market and distribute pharmaceutical products. In particular, the promotion, sales and marketing of healthcare items and services, as well as a wide range of pricing, discounting, marketing and promotion, structuring and commission(s), certain customer incentive programs and other business arrangements, are subject to extensive laws designed to prevent fraud, kickbacks, self-dealing and other abusive practices. The applicable federal and state healthcare laws and regulations laws that may affect our ability to operate include, but are not limited to:</w:t>
      </w:r>
    </w:p>
    <w:p>
      <w:pPr>
        <w:spacing w:after="0" w:line="72" w:lineRule="exact"/>
        <w:rPr>
          <w:sz w:val="20"/>
          <w:szCs w:val="20"/>
          <w:color w:val="auto"/>
        </w:rPr>
      </w:pPr>
    </w:p>
    <w:p>
      <w:pPr>
        <w:ind w:left="880" w:hanging="373"/>
        <w:spacing w:after="0" w:line="288" w:lineRule="auto"/>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persons from knowingly and willfully soliciting, receiving, offering or paying remuneration, directly or indirectly, overtly or covertly, in cash or in kind, to induce, or in return for, the purchase or recommendation of an item or service reimbursable under a federal healthcare program, such as the Medicare and Medicaid programs. This statute has been interpreted to apply to arrangements between pharmaceutical manufacturers on the one hand and prescribers, purchasers and formulary managers on the other. Although there are several statutory exceptions and regulatory safe harbors protecting certain common activities from prosecution, they are drawn narrowly, and practices that involve remuneration intended to induce prescribing, purchasing or recommending may be subject to scrutiny if they do not qualify for an exception or safe harbor. In addition, the government may assert that a claim including items or services resulting from a violation of the AKS constitutes a false or fraudulent claim for purposes of the federal False Claims Act or federal civil money penalties statute. Violations of the AKS carry potentially significant civil and criminal penalties, including imprisonment, fines, administrative civil monetary penalties, and exclusion from participation in federal healthcare programs.</w:t>
      </w:r>
    </w:p>
    <w:p>
      <w:pPr>
        <w:spacing w:after="0" w:line="73" w:lineRule="exact"/>
        <w:rPr>
          <w:rFonts w:ascii="Arial" w:cs="Arial" w:eastAsia="Arial" w:hAnsi="Arial"/>
          <w:sz w:val="16"/>
          <w:szCs w:val="16"/>
          <w:color w:val="auto"/>
        </w:rPr>
      </w:pPr>
    </w:p>
    <w:p>
      <w:pPr>
        <w:ind w:left="880" w:right="180" w:hanging="373"/>
        <w:spacing w:after="0" w:line="259"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p>
      <w:pPr>
        <w:spacing w:after="0" w:line="78" w:lineRule="exact"/>
        <w:rPr>
          <w:rFonts w:ascii="Arial" w:cs="Arial" w:eastAsia="Arial" w:hAnsi="Arial"/>
          <w:sz w:val="18"/>
          <w:szCs w:val="18"/>
          <w:color w:val="auto"/>
        </w:rPr>
      </w:pPr>
    </w:p>
    <w:p>
      <w:pPr>
        <w:ind w:left="880" w:right="60" w:hanging="373"/>
        <w:spacing w:after="0" w:line="269" w:lineRule="auto"/>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Federal civil and criminal false claims laws and civil monetary penalty laws, including the federal False Claims Act, or the FCA, which prohibit, among other things, individuals or entities from knowingly presenting, or causing to be presented, to the federal government, claims for payment or approval that are false, fictitious or fraudulent; knowingly making, using or causing to be made or used, a false statement or record material to a false or fraudulent claim or obligation to pay or transmit money or property to the federal government; or knowingly concealing or knowingly and improperly avoiding or decreasing an obligation to pay money to the federal government. Manufacturers can be held liable under the FCA even when they do not submit claims directly to government payors if they are deemed to “cause” the submission of false or fraudulent claims. Companies that submit claims directly to payors may also be liable under the FCA for the direct submission of such claims. The FCA also permits a private individual acting as a “whistleblower” to bring actions on behalf of the federal government alleging violations of the FCA and to share in any monetary recovery. When an entity is determined to have violated the federal civil False Claims Act, the government may impose civil fines and penalties for each false claim, plus treble damages, and exclude the entity from participation in Medicare, Medicaid and other federal healthcare programs.</w:t>
      </w:r>
    </w:p>
    <w:p>
      <w:pPr>
        <w:spacing w:after="0" w:line="87" w:lineRule="exact"/>
        <w:rPr>
          <w:rFonts w:ascii="Arial" w:cs="Arial" w:eastAsia="Arial" w:hAnsi="Arial"/>
          <w:sz w:val="17"/>
          <w:szCs w:val="17"/>
          <w:color w:val="auto"/>
        </w:rPr>
      </w:pPr>
    </w:p>
    <w:p>
      <w:pPr>
        <w:ind w:left="880" w:hanging="373"/>
        <w:spacing w:after="0" w:line="272" w:lineRule="auto"/>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and its implementing regulations, which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82" w:lineRule="exact"/>
        <w:rPr>
          <w:rFonts w:ascii="Arial" w:cs="Arial" w:eastAsia="Arial" w:hAnsi="Arial"/>
          <w:sz w:val="17"/>
          <w:szCs w:val="17"/>
          <w:color w:val="auto"/>
        </w:rPr>
      </w:pPr>
    </w:p>
    <w:p>
      <w:pPr>
        <w:ind w:left="880" w:right="20" w:hanging="373"/>
        <w:spacing w:after="0" w:line="255"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and Clinical Health Act, or HITECH, and its implementing regulations, which imposes certain requirements on certain covered healthcare providers, health plans, and healthcare clearinghouses, otherwise known as covered entities, relating to the privacy, security and transmission of individually identifiable health information, including mandatory contractual terms and required implementation of technical safeguards of such information. HITECH also created new tiers of civil monetary penalties, amended HIPAA to make civil and criminal penalties directly applicable to business associates, and gave state attorneys general new authority to file civil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4" w:name="page55"/>
    <w:bookmarkEnd w:id="54"/>
    <w:p>
      <w:pPr>
        <w:ind w:left="880" w:right="520"/>
        <w:spacing w:after="0" w:line="277" w:lineRule="auto"/>
        <w:rPr>
          <w:sz w:val="20"/>
          <w:szCs w:val="20"/>
          <w:color w:val="auto"/>
        </w:rPr>
      </w:pPr>
      <w:r>
        <w:rPr>
          <w:rFonts w:ascii="Arial" w:cs="Arial" w:eastAsia="Arial" w:hAnsi="Arial"/>
          <w:sz w:val="18"/>
          <w:szCs w:val="18"/>
          <w:color w:val="auto"/>
        </w:rPr>
        <w:t>actions for damages or injunctions in federal courts to enforce the federal HIPAA laws and seek attorneys’ fees and costs associated with pursuing federal civil actions.</w:t>
      </w:r>
    </w:p>
    <w:p>
      <w:pPr>
        <w:spacing w:after="0" w:line="76" w:lineRule="exact"/>
        <w:rPr>
          <w:sz w:val="20"/>
          <w:szCs w:val="20"/>
          <w:color w:val="auto"/>
        </w:rPr>
      </w:pPr>
    </w:p>
    <w:p>
      <w:pPr>
        <w:ind w:left="880" w:right="40" w:hanging="373"/>
        <w:spacing w:after="0" w:line="271" w:lineRule="auto"/>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federal transparency requirements under the Affordable Care Act, including the Physician Payment Sunshine Act, which require drug and biologics manufacturers eligible for payment under Medicare, Medicaid or the Children’s Health Insurance Program to report annually to HHS, information related to payments or other “transfers of value” made or distributed to physicians (defined to include doctors, dentists, optometrists, podiatrists and chiropractors) and teaching hospitals, as well as ownership and investment interests held by the physicians described above and their immediate family members. Failure to submit required information may result in civil monetary penalties for all payments, transfers of value or ownership or investment interests that are not timely, accurately, and completely reported in an annual submission. Effective January 1, 2022, these reporting obligations will extend to include transfers of value made to certain non-physician providers such as physician assistants and nurse practitioners.</w:t>
      </w:r>
    </w:p>
    <w:p>
      <w:pPr>
        <w:spacing w:after="0" w:line="83" w:lineRule="exact"/>
        <w:rPr>
          <w:rFonts w:ascii="Arial" w:cs="Arial" w:eastAsia="Arial" w:hAnsi="Arial"/>
          <w:sz w:val="17"/>
          <w:szCs w:val="17"/>
          <w:color w:val="auto"/>
        </w:rPr>
      </w:pPr>
    </w:p>
    <w:p>
      <w:pPr>
        <w:ind w:left="880" w:right="340" w:hanging="373"/>
        <w:spacing w:after="0" w:line="277"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75" w:lineRule="exact"/>
        <w:rPr>
          <w:rFonts w:ascii="Arial" w:cs="Arial" w:eastAsia="Arial" w:hAnsi="Arial"/>
          <w:sz w:val="18"/>
          <w:szCs w:val="18"/>
          <w:color w:val="auto"/>
        </w:rPr>
      </w:pPr>
    </w:p>
    <w:p>
      <w:pPr>
        <w:ind w:left="880" w:right="400" w:hanging="373"/>
        <w:spacing w:after="0" w:line="259"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State and foreign law equivalents of each of the above federal laws, such as anti-kickback and false claims laws that may apply to items or services reimbursed by any third-party payor, including commercial insurers, and state laws governing the privacy and security of health information in certain circumstances, many of which differ from each other in significant ways and may not have the same effect, thus complicating compliance efforts.</w:t>
      </w:r>
    </w:p>
    <w:p>
      <w:pPr>
        <w:spacing w:after="0" w:line="79"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continue to give regular and close scrutiny to interactions between healthcare companies, including pharmaceutical manufacturers, and healthcare providers, and such scrutiny often leads to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w:t>
      </w:r>
    </w:p>
    <w:p>
      <w:pPr>
        <w:spacing w:after="0" w:line="84"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Affordable Care Act broadened the reach of the fraud and abuse laws by, among other things, amending the intent requirement of the federal Anti-Kickback Statute and the applicable criminal healthcare fraud statutes contained within 42 U.S.C. § 1320a-7b. Pursuant to the statutory amendment, a person or entity no longer needs to have actual knowledge of this statute or specific intent to violate it in order to have committed a violation. In addition, the Affordable Care Act provides that the government may assert that a claim including items or services resulting from a violation of the federal Anti-Kickback Statute constitutes a false or fraudulent claim for purposes of the civil False Claims Act or the civil monetary penalties statute. Many states have adopted laws similar to the federal Anti-Kickback Statute, some of which apply to the referral of patients for healthcare items or services reimbursed by any source, not only the Medicare and Medicaid programs.</w:t>
      </w:r>
    </w:p>
    <w:p>
      <w:pPr>
        <w:spacing w:after="0" w:line="6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are also subject to the U.S. Foreign Corrupt Practices Act, or FCPA, which prohibits improper payments or offers of payments to foreign governments and their officials for the purpose of obtaining or retaining business and requires companies to maintain accurate books and records and a system of internal accounting controls. Safeguards we implement to discourage improper payments or offers of payments by our employees, consultants, and others may be ineffective, and violations of the FCPA and similar laws may result in severe criminal or civil sanctions, or other liabilities or proceedings against us, any of which would likely harm our reputation, business, financial condition and result of operations.</w:t>
      </w:r>
    </w:p>
    <w:p>
      <w:pPr>
        <w:spacing w:after="0" w:line="6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governmental regulations that apply to us, including environmental, health and safety laws and regulations, we may be subject to penalties, including administrative, civil and criminal penalties, exclusion from participation in government healthcare programs, such as Medicare and Medicaid and imprisonment, damages, fines and the curtailment or restructuring of our operations, any of which could adversely affect our ability to operate our business and our results of operations. Any action for violation of these laws, even if successfully defended, could cause a pharmaceutical manufacturer to incur significant legal expenses and divert management’s attention from the operation of the business.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 Prohibitions or restrictions on sales or withdrawal of future marketed products could materially affect business in an adverse way.</w:t>
      </w:r>
    </w:p>
    <w:p>
      <w:pPr>
        <w:spacing w:after="0" w:line="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Although compliance programs can mitigate the risk of investigation and prosecution for violations of these laws,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 In addition, the approval and commercialization of any of our products outside the United States will also likely subject us to foreign equivalents of the healthcare laws mentioned above, among other foreign laws.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Investments in Our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may be highly volatile, and may be influenced by numerous factors, some of which are beyond our control.</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market price of our common stock is likely to be volatile. Since our common stock became listed on Nasdaq Capital Market on June 26, 2018, the trading price of our common stock has ranged from $0.42 to $4.35 per share. The market price of our common stock may continue to fluctuate substantially due to a variety of factors, including market perception of our ability to meet our growth projections and expectations, quarterly operating results of other companies in the same industry, trading volume in our common stock, changes in general conditions in the economy and the financial markets or other developments affecting our business and the business of others in our industry. In addition, the stock market itself is subject to extreme price and volume fluctuations.</w:t>
      </w:r>
    </w:p>
    <w:p>
      <w:pPr>
        <w:spacing w:after="0" w:line="84"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This volatility has had a significant effect on the market price of securities issued by many companies for reasons related and unrelated to their operating performance and could have the same effect on our common stock. The market price of shares of our common stock may continue to be subject to wide fluctuations in response to many risk factors listed in this section, and others beyond our control, including:</w:t>
      </w:r>
    </w:p>
    <w:p>
      <w:pPr>
        <w:spacing w:after="0" w:line="76" w:lineRule="exact"/>
        <w:rPr>
          <w:sz w:val="20"/>
          <w:szCs w:val="20"/>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the release of results of our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results of clinical trials of our competitors’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safety issues with respect to our products or our competitors’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publication of research reports by securities analysts about us or our competitors or our industry;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17" w:lineRule="exact"/>
        <w:rPr>
          <w:rFonts w:ascii="Arial" w:cs="Arial" w:eastAsia="Arial" w:hAnsi="Arial"/>
          <w:sz w:val="18"/>
          <w:szCs w:val="18"/>
          <w:color w:val="auto"/>
        </w:rPr>
      </w:pPr>
    </w:p>
    <w:p>
      <w:pPr>
        <w:ind w:left="880" w:right="400" w:hanging="373"/>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passage of legislation or other regulatory developments affecting us or our industry;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natural disasters and other calamities;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market conditions for biopharmaceutical stocks;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general market and economic conditions.</w:t>
      </w:r>
    </w:p>
    <w:p>
      <w:pPr>
        <w:spacing w:after="0" w:line="11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addition, the stock market has recently experienced significant volatility, particularly with respect to pharmaceutical, biotechnology and other life sciences company stocks. The volatility of pharmaceutical, biotechnology and other life sciences company stocks often does not relate to the operating performance of the companies represented by the stock. As we operate in a single industry, we are especially vulnerable to these factors to the extent that they affect our industry or our products, or to a lesser extent our markets. 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6" w:name="page57"/>
    <w:bookmarkEnd w:id="56"/>
    <w:p>
      <w:pPr>
        <w:jc w:val="both"/>
        <w:ind w:right="460"/>
        <w:spacing w:after="0" w:line="375" w:lineRule="auto"/>
        <w:rPr>
          <w:sz w:val="20"/>
          <w:szCs w:val="20"/>
          <w:color w:val="auto"/>
        </w:rPr>
      </w:pPr>
      <w:r>
        <w:rPr>
          <w:rFonts w:ascii="Arial" w:cs="Arial" w:eastAsia="Arial" w:hAnsi="Arial"/>
          <w:sz w:val="15"/>
          <w:szCs w:val="15"/>
          <w:b w:val="1"/>
          <w:bCs w:val="1"/>
          <w:i w:val="1"/>
          <w:iCs w:val="1"/>
          <w:color w:val="auto"/>
        </w:rPr>
        <w:t>We are eligible to be treated as an “emerging growth company” as defined in the Jumpstart Our Business Startups Act of 2012, and we cannot be certain if the reduced disclosure requirements applicable to emerging growth companies will make our common stock less attractive to investors.</w:t>
      </w:r>
    </w:p>
    <w:p>
      <w:pPr>
        <w:spacing w:after="0" w:line="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We are an “emerging growth company”, as defined in the Jumpstart Our Business Startups Act of 2012 (“JOBS Act”). For as long as we continue to be an emerging growth company, we may take advantage of exemptions from various reporting requirements that are applicable to other public companies that are not emerging growth companies. These exemptions include:</w:t>
      </w:r>
    </w:p>
    <w:p>
      <w:pPr>
        <w:spacing w:after="0" w:line="76" w:lineRule="exact"/>
        <w:rPr>
          <w:sz w:val="20"/>
          <w:szCs w:val="20"/>
          <w:color w:val="auto"/>
        </w:rPr>
      </w:pPr>
    </w:p>
    <w:p>
      <w:pPr>
        <w:ind w:left="880" w:right="240" w:hanging="373"/>
        <w:spacing w:after="0" w:line="342" w:lineRule="auto"/>
        <w:tabs>
          <w:tab w:leader="none" w:pos="8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15" w:lineRule="exact"/>
        <w:rPr>
          <w:rFonts w:ascii="Arial" w:cs="Arial" w:eastAsia="Arial" w:hAnsi="Arial"/>
          <w:sz w:val="16"/>
          <w:szCs w:val="16"/>
          <w:color w:val="auto"/>
        </w:rPr>
      </w:pPr>
    </w:p>
    <w:p>
      <w:pPr>
        <w:ind w:left="880" w:hanging="373"/>
        <w:spacing w:after="0"/>
        <w:tabs>
          <w:tab w:leader="none" w:pos="8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not being required to comply with the auditor attestation requirements regarding the assessment of our internal control over financial reporting;</w:t>
      </w:r>
    </w:p>
    <w:p>
      <w:pPr>
        <w:spacing w:after="0" w:line="140" w:lineRule="exact"/>
        <w:rPr>
          <w:rFonts w:ascii="Arial" w:cs="Arial" w:eastAsia="Arial" w:hAnsi="Arial"/>
          <w:sz w:val="16"/>
          <w:szCs w:val="16"/>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17" w:lineRule="exact"/>
        <w:rPr>
          <w:rFonts w:ascii="Arial" w:cs="Arial" w:eastAsia="Arial" w:hAnsi="Arial"/>
          <w:sz w:val="18"/>
          <w:szCs w:val="18"/>
          <w:color w:val="auto"/>
        </w:rPr>
      </w:pPr>
    </w:p>
    <w:p>
      <w:pPr>
        <w:ind w:left="880" w:right="180" w:hanging="373"/>
        <w:spacing w:after="0" w:line="277"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w:t>
      </w:r>
    </w:p>
    <w:p>
      <w:pPr>
        <w:spacing w:after="0" w:line="6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have taken advantage of these reduced reporting burdens. In particular, we have provided only two years of audited consolidated financial statements and have not included all of the executive compensation related information that would be required if we were not an emerging growth company. Investors may find our common stock less attractive if we continue to rely on these exemptions. If some investors find our common stock less attractive as a result, there may be a less active trading market for our common stock and our stock price may be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We could be an emerging growth company for up to five years following the date of completion of our initial public offering, although circumstances could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cause us to lose that status earlier, including if the market value of our common stock held by non-affiliates exceeds $700 million as of any June 30 before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time or if we have total annual gross revenue of $1.07 billion (as may be inflation-adjusted by the SEC from time to time) or more during any fiscal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year before that time, in which cases we would no longer be an emerging growth company as of the following December 31 or, if we issue more than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$1.07 billion in non-convertible debt during any three-year period before that time, we would cease to be an emerging growth company immediately. Even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after we no longer qualify as an emerging growth company, we may still qualify as a “smaller reporting company” if the market value of our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held by non-affiliates is below $250 million as of June 30 in any given year (or $700 million if we had less than $100 million in revenues), which would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allow us to take advantage of many of the same exemptions from disclosure requirements, including exemption from the auditor attestation requirements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404 of the Sarbanes-Oxley Act and reduced disclosure obligations regarding executive compensation in our periodic reports and proxy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FINRA sales practice requirements may limit a stockholder’s ability to buy and sell our stock.</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Financial Industry Regulatory Authority (“FINRA”) has adopted rules requiring that, in recommending an investment to a customer, a broker-dealer must have reasonable grounds for believing that the investment is suitable for that customer. Prior to recommending speculative or low-priced securities to their non-institutional customers, broker-dealers must make reasonable efforts to obtain information about the customer’s financial status, tax status, investment objectives and other information. Under interpretations of these rules, FINRA has indicated its belief that there is a high probability that speculative or low-priced securities will not be suitable for at least some customers. If these FINRA requirements are applicable to us or our securities, they may make it more difficult for broker-dealers to recommend that at least some of their customers buy our common stock, which may limit the ability of our stockholders to buy and sell our common stock and could have an adverse effect on the market for and price of our common stock.</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7" w:name="page58"/>
    <w:bookmarkEnd w:id="57"/>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If we are unable to maintain compliance with Nasdaq Capital Market listing standards, including maintenance of at least $2.5 million of stockholders’ equity and maintenance of a $1.00 minimum bid price, our common stock may be delisted from the Nasdaq Capital Market and you may face significant restrictions on the resale of your shares due to state “blue sky” laws.</w:t>
      </w:r>
    </w:p>
    <w:p>
      <w:pPr>
        <w:spacing w:after="0" w:line="8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There can be no assurances that we will be able to maintain our Nasdaq Capital Market listing in the future. On July 24, 2019, we were notified by Nasdaq Stock Market, LLC (“Nasdaq”) that we were not in compliance with the minimum bid price requirements set forth in Nasdaq Listing Rule 5550(a)(2) for continued listing on the Nasdaq Capital Market. Nasdaq Listing Rule 5550(a)(2) requires listed securities to maintain a minimum bid price of $1.00 per share and Nasdaq Listing Rule 5810(c)(3)(A) provides that a failure to meet the minimum bid price requirement exists if the deficiency continues for a period of 30 consecutive business days. To regain compliance, the bid price of our common stock must have a closing bid price of at least $1.00 per share for a minimum of 10 consecutive business days. In June 2020, we were notified by Nasdaq that the closing bid price of our common stock was maintained for a minimum of 10 consecutive business days and, therefore, we regained compliance with the minimum bid price requirement. However, there can be no assurance that we will not encounter challenges with maintaining compliance with Nasdaq Capital Market listing standards in the future.</w:t>
      </w:r>
    </w:p>
    <w:p>
      <w:pPr>
        <w:spacing w:after="0" w:line="7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the event we are unable to maintain compliance with the Nasdaq Capital Market listing standards and our common stock is delisted from the Nasdaq Capital Market, it would, among other things, likely lead to a number of negative implications, including an adverse effect on the price of our common stock, reduced liquidity in our common stock, the loss of federal preemption of state securities laws and greater difficulty in obtaining financing. In the event of a de-listing, we would take actions to restore our compliance with Nasdaq’s listing requirements, but we can provide no assurance that any such action taken by us would allow our common stock to become listed again, stabilize the market price or improve the liquidity of our common stock, prevent our common stock from dropping below the Nasdaq Capital Market minimum bid price requirement in the future, or prevent future non-compliance with Nasdaq’s listing requirements. If we cannot restore our compliance with Nasdaq’s listing requirements, we would pursue eligibility for trading of these securities on other markets or exchanges, such as the OTCQB or OTCQX, which are unorganized, inter-dealer, over-the-counter markets which provides significantly less liquidity than the Nasdaq Capital Market or other national securities exchanges.</w:t>
      </w:r>
    </w:p>
    <w:p>
      <w:pPr>
        <w:spacing w:after="0" w:line="73"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Furthermore, each state has its own securities laws, often called “blue sky” laws, which (1) limit sales of securities to a state’s residents unless the securities are registered in that state or qualify for an exemption from registration, and (2) govern the reporting requirements for broker-dealers doing business directly or indirectly in the state. Before a security is sold in a state, there must be a registration in place to cover the transaction, or it must be exempt from registration. The applicable broker-dealer must also be registered in that state. If we fail to maintain our Nasdaq Capital Market listing, then we may not be considered to be on a national exchange and do not know whether our securities will be registered or exempt from registration under the laws of any state.</w:t>
      </w:r>
    </w:p>
    <w:p>
      <w:pPr>
        <w:spacing w:after="0" w:line="5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 determination regarding registration will be made by those broker-dealers, if any, who agree to serve as market makers for our common stock. There may be significant state blue sky law restrictions on the ability of investors to sell, and on purchasers to buy, our securities. You should therefore consider the resale market for our common stock to be limited, as you may be unable to resell your shares without the significant expense of state registration or qualification.</w:t>
      </w:r>
    </w:p>
    <w:p>
      <w:pPr>
        <w:spacing w:after="0" w:line="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exercise significant influence over matters subject to stockholder approval.</w:t>
      </w:r>
    </w:p>
    <w:p>
      <w:pPr>
        <w:spacing w:after="0" w:line="6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As of March 31, 2021, our executive officers, directors and principal stockholders, together with their respective affiliates, owned approximately 33.46% of our common stock, including shares subject to outstanding options that are exercisable within 60 days after such date. Accordingly, these stockholders will be able to exert a significant degree of influence over our management and affairs and over matters requiring stockholder approval, including the election of our Board of Directors and approval of significant corporate transactions. This concentration of ownership could have the effect of entrenching our management and/or the Board of Directors, delaying or preventing a change in our control or otherwise discouraging a potential acquirer from attempting to obtain control of us, which in turn could have a material and adverse effect on the fair market value of our common stock.</w:t>
      </w:r>
    </w:p>
    <w:p>
      <w:pPr>
        <w:spacing w:after="0" w:line="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Because we became a reporting company under the Exchange Act by means other than a traditional underwritten initial public offering, we may not be able to attract the attention of research analysts at major brokerage firms.</w:t>
      </w:r>
    </w:p>
    <w:p>
      <w:pPr>
        <w:spacing w:after="0" w:line="6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Because we did not become a reporting company by conducting an underwritten initial public offering of our common stock, and because we only recently became listed on a national securities exchange, we may obtain research coverage from fewer analysts than we would have obtained. In addition, investment banks may be less likely to agree to underwrite secondary offerings on our behalf or recommend the purchase of our common stock than if we became a public reporting company by means of an underwritten initial public offering, because they may be less familiar with our Company as a result of more limited coverage by analysts and the media, and because we became public at an early stage in our development. The failure to receive research coverage or support in the market for our shares could have an adverse effect on our ability to develop a liquid market for our common stock.</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8" w:name="page59"/>
    <w:bookmarkEnd w:id="58"/>
    <w:p>
      <w:pPr>
        <w:ind w:right="140"/>
        <w:spacing w:after="0" w:line="277" w:lineRule="auto"/>
        <w:rPr>
          <w:sz w:val="20"/>
          <w:szCs w:val="20"/>
          <w:color w:val="auto"/>
        </w:rPr>
      </w:pPr>
      <w:r>
        <w:rPr>
          <w:rFonts w:ascii="Arial" w:cs="Arial" w:eastAsia="Arial" w:hAnsi="Arial"/>
          <w:sz w:val="18"/>
          <w:szCs w:val="18"/>
          <w:b w:val="1"/>
          <w:bCs w:val="1"/>
          <w:i w:val="1"/>
          <w:iCs w:val="1"/>
          <w:color w:val="auto"/>
        </w:rPr>
        <w:t>The resale of shares covered by a registration statement could adversely affect the market price of our common stock in the public market, should one develop, which result would in turn negatively affect our ability to raise additional equity capital.</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sale, or availability for sale, of our common stock in the public market may adversely affect the prevailing market price of our common stock and may impair our ability to raise additional capital by selling equity or equity-linked securities. We filed and caused to become effective a registration statement with the SEC registering the resale of 27,367,117 shares of our common stock issued in connection with the reverse merger and the concurrent private placement offering in March 2017 and an additional registration statement covering 9,497,337 shares purchased by certain stockholders in June 2018 and subsequent open market purchases. This registration statement permits the resale of these shares at any time. The resale of a substantial number of shares of our common stock in the public market could adversely affect the market price for our common stock and make it more difficult for you to sell shares of our common stock at times and prices that you feel are appropriate. Furthermore, we expect that, because there will be a large number of shares registered pursuant to a registration statement, selling stockholders will continue to offer shares covered by such registration statement for a significant period of time, the precise duration of which cannot be predicted. Accordingly, the adverse market and price pressures resulting from an offering pursuant to a registration statement may continue for an extended period of time and continued negative pressure on the market price of our common stock could have a material adverse effect on our ability to raise additional equity capital.</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stock to fund our operations may dilute your investment and reduce your equity interest.</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may need to raise capital in the future to fund the development of our drug candidates or for other purposes. Any equity financing may have significant dilutive effect to stockholders and a material decrease in our stockholders’ equity interest in us. Equity financing, if obtained, could result in substantial dilution to our existing stockholders. At its sole discretion, our Board of Directors may issue additional securities without seeking stockholder approval, and we do not know when we will need additional capital or, if we do, whether it will be available to us.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our cash and may not use them effectively.</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currently intend to preserve our cash resources during our efforts to explore strategic alternatives for our company. Although we currently intend to use our cash and cash equivalents in such a manner, we will have broad discretion in the application of such cash and cash equivalents. Pending their use, we may invest our cash and cash equivalents in a manner that does not produce income or loses value.</w:t>
      </w:r>
    </w:p>
    <w:p>
      <w:pPr>
        <w:spacing w:after="0" w:line="5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As a result of becoming a public company, we are incurring increased costs and our management devotes substantial time to public company compliance programs.</w:t>
      </w:r>
    </w:p>
    <w:p>
      <w:pPr>
        <w:spacing w:after="0" w:line="6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As a public company, we incur significant legal, insurance, accounting and other expenses that we did not incur as a private company. In addition, our administrative staff is required to perform additional tasks. We are investing resources to comply with evolving laws, regulations and standards, and this investment will result in increased general and administrative expenses and may divert management’s time and attention from product development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connection with the reverse merger, pursuant to which we acquired Aerpio, we increased our directors’ and officers’ insurance coverage, which increased our insurance cost. In the future, it will be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5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addition, in order to comply with the requirements of being a public company, we may need to undertake various actions, including implementing new internal controls and procedures and hiring new accounting or internal audit staff. The Sarbanes-Oxley Act requires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the SEC’s rules and forms, and that information required to be disclosed in reports under the Exchange Act, is accumulated and communicated to our principal executive and financial officers. Any failure to develop or maintain effective controls could adversely affect the results of periodic management evaluations. In the event we are not able to demonstrate compliance with the Sarbanes-Oxley Act, our internal control over financial reporting is perceived as inadequate, or we are unable to produce timely or accurate financial statements, investors may lose confidence in our operating results and the price of our ordinary shares could decline. In addition, if we are unable to continue to meet these requirements, we may not be able to maintain our listing on a national securities exchange.</w:t>
      </w:r>
    </w:p>
    <w:p>
      <w:pPr>
        <w:spacing w:after="0" w:line="7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management team and Board of Directors will need to devote significant efforts to maintaining adequate and effective disclosure controls and procedures and internal control over financial reporting in order to comply with applicable regulations, which may include hiring additional legal, financial reporting and other finance and accounting staff and engaging consultants to assist in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9" w:name="page60"/>
    <w:bookmarkEnd w:id="59"/>
    <w:p>
      <w:pPr>
        <w:ind w:right="40"/>
        <w:spacing w:after="0" w:line="269" w:lineRule="auto"/>
        <w:rPr>
          <w:sz w:val="20"/>
          <w:szCs w:val="20"/>
          <w:color w:val="auto"/>
        </w:rPr>
      </w:pPr>
      <w:r>
        <w:rPr>
          <w:rFonts w:ascii="Arial" w:cs="Arial" w:eastAsia="Arial" w:hAnsi="Arial"/>
          <w:sz w:val="17"/>
          <w:szCs w:val="17"/>
          <w:color w:val="auto"/>
        </w:rPr>
        <w:t>designing and implementing such procedures. Additionally, any of our efforts to improve our internal controls and design, implement and maintain an adequate system of disclosure controls may not be successful and will require that we expend significant cash and other resources. In addition, our management will be required to certify financial and other information in our quarterly and annual reports and provide an annual management report on the effectiveness of our internal control over financial reporting commencing with our second annual report. This assessment will need to include the disclosure of any material weaknesses in our internal control over financial reporting identified by our management or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w:t>
      </w:r>
    </w:p>
    <w:p>
      <w:pPr>
        <w:spacing w:after="0" w:line="77"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consolidated financial statements.</w:t>
      </w:r>
    </w:p>
    <w:p>
      <w:pPr>
        <w:spacing w:after="0" w:line="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independent registered public accounting firm will not be required to formally attest to the effectiveness of our internal control over financial reporting following this annual report until the first annual report required to be filed with the SEC following the date we are no longer an “emerging growth company” as defined in the JOBS Act. We cannot assure you that there will not be material weaknesses or significant deficiencies in our internal controls in the future.</w:t>
      </w:r>
    </w:p>
    <w:p>
      <w:pPr>
        <w:spacing w:after="0" w:line="7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You should not rely on an investment in our common stock to provide dividend income. We do not anticipate that we will pay any cash dividends to holders of our common stock in the foreseeable future. Instead, we plan to retain any earnings to maintain and expand our operations. In addition, any future debt financing arrangement may contain terms prohibiting or limiting the amount of dividends that may be declared or paid on our common stock. Accordingly, investors must rely on sales of their common stock after price appreciation, which may never occur, as the only way to realize any return on their investment. As a result, investors seeking cash dividends should not purchase our common stock.</w:t>
      </w:r>
    </w:p>
    <w:p>
      <w:pPr>
        <w:spacing w:after="0" w:line="68"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An active trading market for our common stock may not develop or be sustainable. If an active trading market does not develop, investors may not be able to resell their shares at or above the purchase price and our ability to raise capital in the future may be impaired.</w:t>
      </w:r>
    </w:p>
    <w:p>
      <w:pPr>
        <w:spacing w:after="0" w:line="1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Our common stock has been listed on The Nasdaq Capital Market since June 26, 2018. The initial listing price for our common stock was determined through negotiations with the underwriters. This price may not reflect the price at which investors in the market will be willing to buy and sell our shares. Although our common stock is listed on The Nasdaq Capital Market, an active trading market for our shares may never develop or, if developed, be maintained. If an active market for our common stock does not develop or is not maintained, it may be difficult for you to sell shares you purchase without depressing the market price for the shares or at all. An inactive trading market may also impair our ability to raise capital to continue to fund operations by selling shares and may impair our ability to acquire other companies or technologies by using our shares as consideration.</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Unstable market and economic conditions may have serious adverse consequences on our business, financial condition and stock price.</w:t>
      </w:r>
    </w:p>
    <w:p>
      <w:pPr>
        <w:spacing w:after="0" w:line="12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global credit and financial markets have experienced extreme volatility and disruptions in the past several years, including severely diminished liquidity and credit availability, declines in consumer confidence, declines in economic growth, increases in unemployment rates and uncertainty about economic stability. We believe that the state of global economic conditions are particularly volatile and uncertain, not only in light of the COVID-19 pandemic and the potential global recession resulting therefrom, but also due to recent and expected shifts in political, legislative and regulatory conditions concerning, among other matters, international trade and taxation, and that an uneven recovery or a renewed global downturn may negatively impact our ability to conduct clinical trials on the scale and timelines anticipated. There can be no assurance that further deterioration in credit and financial markets and confidence in economic conditions will not occur. Our general business strategy may be adversely affected by any such economic downturn, volatile business or political environment or continued unpredictable and unstable market conditions. If the current equity and credit markets deteriorate, it may make obtaining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and other partners may not survive an economic downturn, which could directly affect our ability to attain our operating goals on schedule and on budget. To the extent that our profitability and strategies are negatively affected by downturns or volatility in general economic conditions, our business and results of operations may be materially adversely affected.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auto"/>
        </w:rPr>
        <w:t>Risks Related to Our Charter and Bylaws</w:t>
      </w:r>
    </w:p>
    <w:p>
      <w:pPr>
        <w:spacing w:after="0" w:line="117" w:lineRule="exact"/>
        <w:rPr>
          <w:sz w:val="20"/>
          <w:szCs w:val="20"/>
          <w:color w:val="auto"/>
        </w:rPr>
      </w:pPr>
    </w:p>
    <w:p>
      <w:pPr>
        <w:ind w:right="120"/>
        <w:spacing w:after="0" w:line="375" w:lineRule="auto"/>
        <w:rPr>
          <w:sz w:val="20"/>
          <w:szCs w:val="20"/>
          <w:color w:val="auto"/>
        </w:rPr>
      </w:pPr>
      <w:r>
        <w:rPr>
          <w:rFonts w:ascii="Arial" w:cs="Arial" w:eastAsia="Arial" w:hAnsi="Arial"/>
          <w:sz w:val="15"/>
          <w:szCs w:val="15"/>
          <w:b w:val="1"/>
          <w:bCs w:val="1"/>
          <w:i w:val="1"/>
          <w:iCs w:val="1"/>
          <w:color w:val="auto"/>
        </w:rPr>
        <w:t>Provisions in our charter documents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4" w:lineRule="exact"/>
        <w:rPr>
          <w:sz w:val="20"/>
          <w:szCs w:val="20"/>
          <w:color w:val="auto"/>
        </w:rPr>
      </w:pPr>
    </w:p>
    <w:p>
      <w:pPr>
        <w:ind w:left="740" w:hanging="368"/>
        <w:spacing w:after="0" w:line="263" w:lineRule="auto"/>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 create a classified Board of Directors whose members serve staggered three-year terms;</w:t>
      </w:r>
    </w:p>
    <w:p>
      <w:pPr>
        <w:spacing w:after="0" w:line="75" w:lineRule="exact"/>
        <w:rPr>
          <w:rFonts w:ascii="Arial" w:cs="Arial" w:eastAsia="Arial" w:hAnsi="Arial"/>
          <w:sz w:val="18"/>
          <w:szCs w:val="18"/>
          <w:color w:val="auto"/>
        </w:rPr>
      </w:pPr>
    </w:p>
    <w:p>
      <w:pPr>
        <w:ind w:left="880" w:right="40" w:hanging="373"/>
        <w:spacing w:after="0" w:line="277" w:lineRule="auto"/>
        <w:tabs>
          <w:tab w:leader="none" w:pos="8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pursuant to a resolution adopted by a majority of the directors then in office;</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17" w:lineRule="exact"/>
        <w:rPr>
          <w:rFonts w:ascii="Arial" w:cs="Arial" w:eastAsia="Arial" w:hAnsi="Arial"/>
          <w:sz w:val="18"/>
          <w:szCs w:val="18"/>
          <w:color w:val="auto"/>
        </w:rPr>
      </w:pPr>
    </w:p>
    <w:p>
      <w:pPr>
        <w:ind w:left="880" w:right="660" w:hanging="373"/>
        <w:spacing w:after="0" w:line="277" w:lineRule="auto"/>
        <w:tabs>
          <w:tab w:leader="none" w:pos="8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2" w:lineRule="exact"/>
        <w:rPr>
          <w:rFonts w:ascii="Arial" w:cs="Arial" w:eastAsia="Arial" w:hAnsi="Arial"/>
          <w:sz w:val="18"/>
          <w:szCs w:val="18"/>
          <w:color w:val="auto"/>
        </w:rPr>
      </w:pPr>
    </w:p>
    <w:p>
      <w:pPr>
        <w:ind w:left="880" w:right="40" w:hanging="373"/>
        <w:spacing w:after="0" w:line="277" w:lineRule="auto"/>
        <w:tabs>
          <w:tab w:leader="none" w:pos="8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prohibit the consummation of a liquidation event unless approved by a supermajority (66 2/3% and majority of the minority, if applicable) vote of the holders of our voting stock;</w:t>
      </w:r>
    </w:p>
    <w:p>
      <w:pPr>
        <w:spacing w:after="0" w:line="62" w:lineRule="exact"/>
        <w:rPr>
          <w:rFonts w:ascii="Arial" w:cs="Arial" w:eastAsia="Arial" w:hAnsi="Arial"/>
          <w:sz w:val="18"/>
          <w:szCs w:val="18"/>
          <w:color w:val="auto"/>
        </w:rPr>
      </w:pPr>
    </w:p>
    <w:p>
      <w:pPr>
        <w:ind w:left="880" w:right="180" w:hanging="373"/>
        <w:spacing w:after="0" w:line="277" w:lineRule="auto"/>
        <w:tabs>
          <w:tab w:leader="none" w:pos="8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prohibit the consummation of an affiliate transaction with a majority stockholder that holds more than 50% of the voting power of our capital stock unless approved by a supermajority (66 2/3%) vote of directors then in office;</w:t>
      </w:r>
    </w:p>
    <w:p>
      <w:pPr>
        <w:spacing w:after="0" w:line="62" w:lineRule="exact"/>
        <w:rPr>
          <w:rFonts w:ascii="Arial" w:cs="Arial" w:eastAsia="Arial" w:hAnsi="Arial"/>
          <w:sz w:val="18"/>
          <w:szCs w:val="18"/>
          <w:color w:val="auto"/>
        </w:rPr>
      </w:pPr>
    </w:p>
    <w:p>
      <w:pPr>
        <w:ind w:left="880" w:right="60" w:hanging="373"/>
        <w:spacing w:after="0" w:line="277" w:lineRule="auto"/>
        <w:tabs>
          <w:tab w:leader="none" w:pos="8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provide that the number of directors on our Board of Directors may only be changed with a supermajority (66 2/3%) of directors then in office, even though less than a quorum;</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1"/>
          <w:numId w:val="29"/>
        </w:numPr>
        <w:rPr>
          <w:rFonts w:ascii="Arial" w:cs="Arial" w:eastAsia="Arial" w:hAnsi="Arial"/>
          <w:sz w:val="17"/>
          <w:szCs w:val="17"/>
          <w:color w:val="auto"/>
        </w:rPr>
      </w:pPr>
      <w:r>
        <w:rPr>
          <w:rFonts w:ascii="Arial" w:cs="Arial" w:eastAsia="Arial" w:hAnsi="Arial"/>
          <w:sz w:val="17"/>
          <w:szCs w:val="17"/>
          <w:color w:val="auto"/>
        </w:rPr>
        <w:t>provide that our directors may be removed only for cause and by a supermajority (66 2/3%) vote of the holders of our voting stock;</w:t>
      </w:r>
    </w:p>
    <w:p>
      <w:pPr>
        <w:spacing w:after="0" w:line="128" w:lineRule="exact"/>
        <w:rPr>
          <w:rFonts w:ascii="Arial" w:cs="Arial" w:eastAsia="Arial" w:hAnsi="Arial"/>
          <w:sz w:val="17"/>
          <w:szCs w:val="17"/>
          <w:color w:val="auto"/>
        </w:rPr>
      </w:pPr>
    </w:p>
    <w:p>
      <w:pPr>
        <w:ind w:left="880" w:right="160" w:hanging="373"/>
        <w:spacing w:after="0" w:line="277" w:lineRule="auto"/>
        <w:tabs>
          <w:tab w:leader="none" w:pos="8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supermajority (66 2/3%) of directors then in office, even though less than a quorum;</w:t>
      </w:r>
    </w:p>
    <w:p>
      <w:pPr>
        <w:spacing w:after="0" w:line="62" w:lineRule="exact"/>
        <w:rPr>
          <w:rFonts w:ascii="Arial" w:cs="Arial" w:eastAsia="Arial" w:hAnsi="Arial"/>
          <w:sz w:val="18"/>
          <w:szCs w:val="18"/>
          <w:color w:val="auto"/>
        </w:rPr>
      </w:pPr>
    </w:p>
    <w:p>
      <w:pPr>
        <w:ind w:left="880" w:right="260" w:hanging="373"/>
        <w:spacing w:after="0" w:line="308" w:lineRule="auto"/>
        <w:tabs>
          <w:tab w:leader="none" w:pos="880" w:val="left"/>
        </w:tabs>
        <w:numPr>
          <w:ilvl w:val="1"/>
          <w:numId w:val="29"/>
        </w:numPr>
        <w:rPr>
          <w:rFonts w:ascii="Arial" w:cs="Arial" w:eastAsia="Arial" w:hAnsi="Arial"/>
          <w:sz w:val="17"/>
          <w:szCs w:val="17"/>
          <w:color w:val="auto"/>
        </w:rPr>
      </w:pPr>
      <w:r>
        <w:rPr>
          <w:rFonts w:ascii="Arial" w:cs="Arial" w:eastAsia="Arial" w:hAnsi="Arial"/>
          <w:sz w:val="17"/>
          <w:szCs w:val="17"/>
          <w:color w:val="auto"/>
        </w:rPr>
        <w:t>require a supermajority (66 2/3% and majority of the minority, if applicable) vote of the holders of our voting stock or the supermajority (66 2/3%) vote of the members of our Board of Directors then in office to amend our amended and restated by-laws; and</w:t>
      </w:r>
    </w:p>
    <w:p>
      <w:pPr>
        <w:spacing w:after="0" w:line="38" w:lineRule="exact"/>
        <w:rPr>
          <w:rFonts w:ascii="Arial" w:cs="Arial" w:eastAsia="Arial" w:hAnsi="Arial"/>
          <w:sz w:val="17"/>
          <w:szCs w:val="17"/>
          <w:color w:val="auto"/>
        </w:rPr>
      </w:pPr>
    </w:p>
    <w:p>
      <w:pPr>
        <w:jc w:val="both"/>
        <w:ind w:left="880" w:right="280" w:hanging="373"/>
        <w:spacing w:after="0" w:line="263" w:lineRule="auto"/>
        <w:tabs>
          <w:tab w:leader="none" w:pos="8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require a supermajority (66 2/3% and majority of the minority, if applicable) vote of the holders of our voting stock and a supermajority (66 2/3%) vote of the holders of each class of our voting stock entitled to vote thereon to amend certain provisions of our amended and restated certificate of incorporation.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79"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76"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Our charter and bylaws contain exclusive forum provisions, which may limit a stockholder’s ability to bring a claim in a judicial forum it finds favorable and may discourage lawsuits with respect to such claims.</w:t>
      </w:r>
    </w:p>
    <w:p>
      <w:pPr>
        <w:spacing w:after="0" w:line="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amended and restated charter provides that, unless we consent in writing to an alternative forum, the Court of Chancery of the State of Delaware (or if such court does not have jurisdiction, the U.S. District Court for the District of Delaware) will be the sole and exclusive forum for (1) any derivative action or proceeding brought on our behalf; (2) any action asserting a claim of breach of or based on a fiduciary duty owed by any of our current or former directors, officers or other employees to us or our stockholders; (3) any action asserting a claim against us or any of our current or former directors, officers, employees or stockholders arising pursuant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1" w:name="page62"/>
    <w:bookmarkEnd w:id="61"/>
    <w:p>
      <w:pPr>
        <w:spacing w:after="0"/>
        <w:rPr>
          <w:sz w:val="20"/>
          <w:szCs w:val="20"/>
          <w:color w:val="auto"/>
        </w:rPr>
      </w:pPr>
      <w:r>
        <w:rPr>
          <w:rFonts w:ascii="Arial" w:cs="Arial" w:eastAsia="Arial" w:hAnsi="Arial"/>
          <w:sz w:val="16"/>
          <w:szCs w:val="16"/>
          <w:color w:val="auto"/>
        </w:rPr>
        <w:t>to any provision of the Delaware General Corporation Law, our amended and restated certificate of incorporation or our amended and restated bylaws; or</w:t>
      </w:r>
    </w:p>
    <w:p>
      <w:pPr>
        <w:spacing w:after="0" w:line="46" w:lineRule="exact"/>
        <w:rPr>
          <w:sz w:val="20"/>
          <w:szCs w:val="20"/>
          <w:color w:val="auto"/>
        </w:rPr>
      </w:pPr>
    </w:p>
    <w:p>
      <w:pPr>
        <w:ind w:right="120" w:firstLine="8"/>
        <w:spacing w:after="0" w:line="253" w:lineRule="auto"/>
        <w:tabs>
          <w:tab w:leader="none" w:pos="2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action asserting a claim governed by the internal affairs doctrine, or the Delaware Forum Provision. The Delaware Forum Provision will not apply to any causes of action arising under the Securities Act or the Exchange Act. Our amended and restated bylaws further provide that, unless we consent in writing to an alternative forum, the U.S. federal district courts will be the exclusive forum for resolving any complaint asserting a cause of action arising under the Securities Act, or the Federal Forum Provision.</w:t>
      </w:r>
    </w:p>
    <w:p>
      <w:pPr>
        <w:spacing w:after="0" w:line="8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recognize that the Delaware Forum Provision and the Federal Forum Provision may impose additional litigation costs on stockholders who assert the provision is not enforceable and may impose more general additional litigation costs in pursuing any such claims, particularly if the stockholders do not reside in or near the State of Delaware. Additionally, these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The Federal Forum Provision may also impose additional litigation costs on stockholders who assert the provision is unenforceable, and if the Federal Forum Provision is found to be unenforceable, we may incur additional costs with resolving such matters. The courts mandated by our charter and bylaws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Tax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117"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In general, under Section 382 of the Internal Revenue Code of 1986, as amended (the “Code”) a corporation that undergoes an “ownership change” is subject to limitations on its ability to utilize its pre-change net operating losses (“NOLs”), to offset future taxable income. Our existing NOLs may be subject to substantial limitations arising from previous ownership changes under Section 382 of the Code. Future analysis will still be required on any historical NOLs as no studies have been performed to evaluate a change in ownership. In addition, future changes in our stock ownership, many of which are outside of our control, could result in an ownership change under Section 382 of the Code. Our NOLs may also be impaired under state law. Accordingly, we may not be able to utilize a material portion of our NOLs. Furthermore, our ability to utilize our NOLs is conditioned upon our attaining profitability and generating U.S. federal taxable income. As described above under “—Risks Related to Our Financial Position and Need for Additional Capital,” we have incurred significant net losses since our inception and anticipate that we will continue to incur significant losses for the foreseeable future; thus, we do not know whether or when we will generate the U.S. federal taxable income necessary to utilize our NOLs. A full valuation allowance has been provided for the entire amount of our NOLs.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 may adversely affect us or our investors.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rules dealing with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In recent years, many such changes have been made and changes are likely to continue to occur in the future. It cannot be predicted whether, when, in what form or with what effective dates tax laws, regulations and rulings may be enacted, promulgated or issued, which could result in an increase in our or our shareholders’ tax liability or require changes in the manner in which we operate in order to minimize or mitigate any adverse effects of changes in tax law.</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and operations would suffer if we sustain cyber-attacks or other privacy or data security incidents that result in security breaches.</w:t>
      </w:r>
    </w:p>
    <w:p>
      <w:pPr>
        <w:spacing w:after="0" w:line="14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information technology may be subject to cyber-attacks, security breaches or computer hacking. Experienced computer programmers and hackers may be able to penetrate our security controls and misappropriate or compromise sensitive personal, proprietary or confidential information, create system disruptions or cause shutdowns. They also may be able to develop and deploy malicious software programs that attack our systems or otherwise exploit any security vulnerabilities. Our systems and the data stored on those systems may also be vulnerable to security incidents or security attacks, acts of vandalism or theft, misplaced or lost data, human errors, or other similar events that could negatively affect our systems and our data, as well as the data of our business partners. Further, third parties that provide services to us, could also be a source of security risk in the event of a failure of their own security systems and infrastructure.</w:t>
      </w:r>
    </w:p>
    <w:p>
      <w:pPr>
        <w:spacing w:after="0" w:line="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costs to eliminate or address the foregoing security threats and vulnerabilities before or after a cyber-incident could be significant. Our remediation efforts may not be successful and could result in interruptions, delays or cessation of service, and loss of existing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2" w:name="page63"/>
    <w:bookmarkEnd w:id="62"/>
    <w:p>
      <w:pPr>
        <w:spacing w:after="0" w:line="291" w:lineRule="auto"/>
        <w:rPr>
          <w:sz w:val="20"/>
          <w:szCs w:val="20"/>
          <w:color w:val="auto"/>
        </w:rPr>
      </w:pPr>
      <w:r>
        <w:rPr>
          <w:rFonts w:ascii="Arial" w:cs="Arial" w:eastAsia="Arial" w:hAnsi="Arial"/>
          <w:sz w:val="16"/>
          <w:szCs w:val="16"/>
          <w:color w:val="auto"/>
        </w:rPr>
        <w:t>potential suppliers, manufacturers or other third parties. In addition, breaches of our security measures and the unauthorized dissemination of sensitive personal, proprietary or confidential information about us, our business partners, participants in our clinical trials or other third parties could expose us to significant potential liability and reputational harm. In addition, the loss of clinical trial data from completed or ongoing or planned clinical trials as a result of a data security incident or other systems failure could result in delays in our regulatory approval efforts and significantly increase our costs to recover or reproduce the data. As threats related to cyber-attacks develop and grow, we may also find it necessary to make additional investments to protect our data and infrastructure, which may impact our profitability. We could also be negatively impacted by existing and proposed laws and regulations, as well as government policies and practices related to cybersecurity, data privacy, data localization and data protection such as GDPR.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may be negatively impacted by the United Kingdom’s withdrawal from the European Union.</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June 23, 2016, the United Kingdom held a referendum in which a majority of the eligible members of the electorate voted to leave the European Union, commonly referred to as Brexit. Pursuant to Article 50 of the Treaty on European Union, the United Kingdom ceased being a Member State of the European Union on January 31, 2020. There was a transitional period, during which European Union’s rules continued to apply in the United Kingdom, however this ended on December 31, 2020. The United Kingdom and European Union have signed a EU-UK Trade and Cooperation Agreement, which became provisionally applicable on January 1, 2021 and will become formally applicable once ratified by both the United Kingdom and the European Union. This agreement provides details on how some aspects of the United Kingdom and European Union’s relationship regarding medicinal products will operate, particularly in relation to Good Manufacturing Practice, however there are still many uncertainties. Many of the regulations that now apply in the United Kingdom following the transition period (including financial laws and regulations, tax, intellectual property rights, data protection laws, supply chain logistics, environmental, health and safety laws and regulations, medicine approval and regulations, immigration laws and employment laws), will likely be amended in future as the United Kingdom determines its new approach, which may result in significant divergence from European Union regulations. This lack of clarity on future United Kingdom laws and regulations and their interaction with the European Union laws and regulations increases our regulatory burden of operating in and doing business with both the United Kingdom and the European Union.</w:t>
      </w:r>
    </w:p>
    <w:p>
      <w:pPr>
        <w:spacing w:after="0" w:line="6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long-term effects of Brexit will depend in part on how the EU-UK Trade and Cooperation Agreement, and any future agreements signed by the United Kingdom and the European Union, take effect in practice. Such a withdrawal from the European Union is unprecedented, and it is unclear how the restrictions on the United Kingdom’s access to the European single market for goods, capital, services and labor and the wider commercial, legal and regulatory environment, could impact our current and future operations and clinical activities in the United Kingdom. We may also face new regulatory costs and challenges that could have an adverse effect on our operations as a result of Brexit.</w:t>
      </w:r>
    </w:p>
    <w:p>
      <w:pPr>
        <w:spacing w:after="0" w:line="80" w:lineRule="exact"/>
        <w:rPr>
          <w:sz w:val="20"/>
          <w:szCs w:val="20"/>
          <w:color w:val="auto"/>
        </w:rPr>
      </w:pPr>
    </w:p>
    <w:p>
      <w:pPr>
        <w:ind w:right="300"/>
        <w:spacing w:after="0" w:line="296" w:lineRule="auto"/>
        <w:rPr>
          <w:sz w:val="20"/>
          <w:szCs w:val="20"/>
          <w:color w:val="auto"/>
        </w:rPr>
      </w:pPr>
      <w:r>
        <w:rPr>
          <w:rFonts w:ascii="Arial" w:cs="Arial" w:eastAsia="Arial" w:hAnsi="Arial"/>
          <w:sz w:val="16"/>
          <w:szCs w:val="16"/>
          <w:color w:val="auto"/>
        </w:rPr>
        <w:t>The United Kingdom will lose the benefits of global trade agreements negotiated by the European Union on behalf of its members, which may result in increased trade barriers that could make our doing business in the European Union or European Economic Area more difficult. We expect that, now the transition period has expired, Brexit could lead to legal uncertainty and potentially divergent national laws and regulations as the United Kingdom determines which European Union laws to replicate or replace, including those related to the regulation of medicinal products. Any of these effects of Brexit, and others we cannot anticipate, could negatively impact our business and results of operations in the United Kingdom.</w:t>
      </w:r>
    </w:p>
    <w:p>
      <w:pPr>
        <w:spacing w:after="0" w:line="53"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uncertainty concerning the United Kingdom’s legal, political and economic relationship with the European Union following Brexit may also be a source of instability in the international markets, create significant currency fluctuations, and/or otherwise adversely affect trading agreements or similar cross-border co-operation arrangements (whether economic, tax, fiscal, legal, regulatory or otherwise).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exhibits listed on the Exhibit Index immediately preceding such exhibits, which is incorporated herein by reference, are filed or furnished as part of this Quarterly Report on Form 10-Q.</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60" w:type="dxa"/>
            <w:vAlign w:val="bottom"/>
            <w:gridSpan w:val="16"/>
            <w:vMerge w:val="restart"/>
          </w:tcPr>
          <w:p>
            <w:pPr>
              <w:ind w:left="30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60" w:type="dxa"/>
            <w:vAlign w:val="bottom"/>
            <w:gridSpan w:val="1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1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10100" w:type="dxa"/>
            <w:vAlign w:val="bottom"/>
            <w:tcBorders>
              <w:top w:val="single" w:sz="8" w:color="auto"/>
            </w:tcBorders>
            <w:gridSpan w:val="20"/>
          </w:tcPr>
          <w:p>
            <w:pPr>
              <w:spacing w:after="0"/>
              <w:rPr>
                <w:rFonts w:ascii="Arial" w:cs="Arial" w:eastAsia="Arial" w:hAnsi="Arial"/>
                <w:sz w:val="18"/>
                <w:szCs w:val="18"/>
                <w:color w:val="0000EE"/>
                <w:w w:val="91"/>
              </w:rPr>
            </w:pPr>
            <w:hyperlink r:id="rId83">
              <w:r>
                <w:rPr>
                  <w:rFonts w:ascii="Arial" w:cs="Arial" w:eastAsia="Arial" w:hAnsi="Arial"/>
                  <w:sz w:val="18"/>
                  <w:szCs w:val="18"/>
                  <w:color w:val="0000EE"/>
                  <w:w w:val="91"/>
                </w:rPr>
                <w:t>Agreement and Plan of Merger, dated May 16, 2021, by and among the registrant, Aadi Bioscience, Inc. and Aspen Merger Subsidiary, Inc.</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Borders>
              <w:top w:val="single" w:sz="8" w:color="0000EE"/>
            </w:tcBorders>
            <w:gridSpan w:val="18"/>
          </w:tcPr>
          <w:p>
            <w:pPr>
              <w:spacing w:after="0" w:line="196" w:lineRule="exact"/>
              <w:rPr>
                <w:rFonts w:ascii="Arial" w:cs="Arial" w:eastAsia="Arial" w:hAnsi="Arial"/>
                <w:sz w:val="18"/>
                <w:szCs w:val="18"/>
                <w:color w:val="0000EE"/>
                <w:w w:val="92"/>
              </w:rPr>
            </w:pPr>
            <w:hyperlink r:id="rId83">
              <w:r>
                <w:rPr>
                  <w:rFonts w:ascii="Arial" w:cs="Arial" w:eastAsia="Arial" w:hAnsi="Arial"/>
                  <w:sz w:val="18"/>
                  <w:szCs w:val="18"/>
                  <w:color w:val="0000EE"/>
                  <w:w w:val="92"/>
                </w:rPr>
                <w:t>(incorporated by reference to Exhibit 2.1 to the Registrant’s Current Report on Form 8-K (File No. 001-38560) filed with the SEC on May</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83">
              <w:r>
                <w:rPr>
                  <w:rFonts w:ascii="Arial" w:cs="Arial" w:eastAsia="Arial" w:hAnsi="Arial"/>
                  <w:sz w:val="18"/>
                  <w:szCs w:val="18"/>
                  <w:color w:val="0000EE"/>
                  <w:w w:val="89"/>
                </w:rPr>
                <w:t>17, 2021)</w:t>
              </w:r>
            </w:hyperlink>
          </w:p>
        </w:tc>
        <w:tc>
          <w:tcPr>
            <w:tcW w:w="2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3340" w:type="dxa"/>
            <w:vAlign w:val="bottom"/>
            <w:tcBorders>
              <w:top w:val="single" w:sz="8" w:color="0000EE"/>
            </w:tcBorders>
          </w:tcPr>
          <w:p>
            <w:pPr>
              <w:spacing w:after="0"/>
              <w:rPr>
                <w:sz w:val="17"/>
                <w:szCs w:val="17"/>
                <w:color w:val="auto"/>
              </w:rPr>
            </w:pPr>
          </w:p>
        </w:tc>
        <w:tc>
          <w:tcPr>
            <w:tcW w:w="2280" w:type="dxa"/>
            <w:vAlign w:val="bottom"/>
            <w:tcBorders>
              <w:top w:val="single" w:sz="8" w:color="0000EE"/>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0100" w:type="dxa"/>
            <w:vAlign w:val="bottom"/>
            <w:gridSpan w:val="20"/>
          </w:tcPr>
          <w:p>
            <w:pPr>
              <w:spacing w:after="0"/>
              <w:rPr>
                <w:rFonts w:ascii="Arial" w:cs="Arial" w:eastAsia="Arial" w:hAnsi="Arial"/>
                <w:sz w:val="18"/>
                <w:szCs w:val="18"/>
                <w:color w:val="0000EE"/>
                <w:w w:val="97"/>
              </w:rPr>
            </w:pPr>
            <w:hyperlink r:id="rId84">
              <w:r>
                <w:rPr>
                  <w:rFonts w:ascii="Arial" w:cs="Arial" w:eastAsia="Arial" w:hAnsi="Arial"/>
                  <w:sz w:val="18"/>
                  <w:szCs w:val="18"/>
                  <w:color w:val="0000EE"/>
                  <w:w w:val="97"/>
                </w:rPr>
                <w:t>Amendment to the Amended and Restated By-laws of Aerpio Pharmaceuticals, Inc. (incorporated by reference to Exhibit 3.1 to the</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84">
              <w:r>
                <w:rPr>
                  <w:rFonts w:ascii="Arial" w:cs="Arial" w:eastAsia="Arial" w:hAnsi="Arial"/>
                  <w:sz w:val="18"/>
                  <w:szCs w:val="18"/>
                  <w:color w:val="0000EE"/>
                </w:rPr>
                <w:t>Registrant’s Current Report on Form 8-K (File No. 001-38560) filed with the SEC on May 17, 2021)</w:t>
              </w:r>
            </w:hyperlink>
          </w:p>
        </w:tc>
        <w:tc>
          <w:tcPr>
            <w:tcW w:w="6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0100" w:type="dxa"/>
            <w:vAlign w:val="bottom"/>
            <w:gridSpan w:val="20"/>
          </w:tcPr>
          <w:p>
            <w:pPr>
              <w:spacing w:after="0"/>
              <w:rPr>
                <w:rFonts w:ascii="Arial" w:cs="Arial" w:eastAsia="Arial" w:hAnsi="Arial"/>
                <w:sz w:val="18"/>
                <w:szCs w:val="18"/>
                <w:color w:val="0000EE"/>
                <w:w w:val="90"/>
              </w:rPr>
            </w:pPr>
            <w:hyperlink r:id="rId85">
              <w:r>
                <w:rPr>
                  <w:rFonts w:ascii="Arial" w:cs="Arial" w:eastAsia="Arial" w:hAnsi="Arial"/>
                  <w:sz w:val="18"/>
                  <w:szCs w:val="18"/>
                  <w:color w:val="0000EE"/>
                  <w:w w:val="90"/>
                </w:rPr>
                <w:t>Second Amendment to Employment Agreement dated January 31, 2021, by and between the Registrant and Joseph Gardner (incorporated</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40" w:type="dxa"/>
            <w:vAlign w:val="bottom"/>
            <w:tcBorders>
              <w:top w:val="single" w:sz="8" w:color="0000EE"/>
            </w:tcBorders>
            <w:gridSpan w:val="14"/>
          </w:tcPr>
          <w:p>
            <w:pPr>
              <w:spacing w:after="0" w:line="196" w:lineRule="exact"/>
              <w:rPr>
                <w:rFonts w:ascii="Arial" w:cs="Arial" w:eastAsia="Arial" w:hAnsi="Arial"/>
                <w:sz w:val="18"/>
                <w:szCs w:val="18"/>
                <w:color w:val="0000EE"/>
                <w:w w:val="91"/>
              </w:rPr>
            </w:pPr>
            <w:hyperlink r:id="rId85">
              <w:r>
                <w:rPr>
                  <w:rFonts w:ascii="Arial" w:cs="Arial" w:eastAsia="Arial" w:hAnsi="Arial"/>
                  <w:sz w:val="18"/>
                  <w:szCs w:val="18"/>
                  <w:color w:val="0000EE"/>
                  <w:w w:val="91"/>
                </w:rPr>
                <w:t>herein by reference to Exhibit 10.1 to the Registrant’s Form 8-K filed with the Securities and Exchange Commission on February 1, 2021</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(File No. 001-38560)).</w:t>
              </w:r>
            </w:hyperlink>
          </w:p>
        </w:tc>
        <w:tc>
          <w:tcPr>
            <w:tcW w:w="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9980" w:type="dxa"/>
            <w:vAlign w:val="bottom"/>
            <w:tcBorders>
              <w:bottom w:val="single" w:sz="8" w:color="0000EE"/>
            </w:tcBorders>
            <w:gridSpan w:val="16"/>
          </w:tcPr>
          <w:p>
            <w:pPr>
              <w:spacing w:after="0"/>
              <w:rPr>
                <w:rFonts w:ascii="Arial" w:cs="Arial" w:eastAsia="Arial" w:hAnsi="Arial"/>
                <w:sz w:val="18"/>
                <w:szCs w:val="18"/>
                <w:color w:val="0000EE"/>
                <w:w w:val="89"/>
              </w:rPr>
            </w:pPr>
            <w:hyperlink r:id="rId86">
              <w:r>
                <w:rPr>
                  <w:rFonts w:ascii="Arial" w:cs="Arial" w:eastAsia="Arial" w:hAnsi="Arial"/>
                  <w:sz w:val="18"/>
                  <w:szCs w:val="18"/>
                  <w:color w:val="0000EE"/>
                  <w:w w:val="89"/>
                </w:rPr>
                <w:t>Transitional Services and Separation Agreement dated February 9, 2021, by and between the Registrant and Kevin G. Peters (incorporated</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86">
              <w:r>
                <w:rPr>
                  <w:rFonts w:ascii="Arial" w:cs="Arial" w:eastAsia="Arial" w:hAnsi="Arial"/>
                  <w:sz w:val="18"/>
                  <w:szCs w:val="18"/>
                  <w:color w:val="0000EE"/>
                  <w:w w:val="91"/>
                </w:rPr>
                <w:t>herein by reference to Exhibit 10.1 to the Registrant’s Form 8-K filed with the Securities and Exchange Commission on February 16, 2021</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0"/>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(File No. 001-38560)).</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9760" w:type="dxa"/>
            <w:vAlign w:val="bottom"/>
            <w:tcBorders>
              <w:bottom w:val="single" w:sz="8" w:color="0000EE"/>
            </w:tcBorders>
            <w:gridSpan w:val="11"/>
          </w:tcPr>
          <w:p>
            <w:pPr>
              <w:spacing w:after="0"/>
              <w:rPr>
                <w:rFonts w:ascii="Arial" w:cs="Arial" w:eastAsia="Arial" w:hAnsi="Arial"/>
                <w:sz w:val="18"/>
                <w:szCs w:val="18"/>
                <w:color w:val="0000EE"/>
                <w:w w:val="90"/>
              </w:rPr>
            </w:pPr>
            <w:hyperlink r:id="rId87">
              <w:r>
                <w:rPr>
                  <w:rFonts w:ascii="Arial" w:cs="Arial" w:eastAsia="Arial" w:hAnsi="Arial"/>
                  <w:sz w:val="18"/>
                  <w:szCs w:val="18"/>
                  <w:color w:val="0000EE"/>
                  <w:w w:val="90"/>
                </w:rPr>
                <w:t>Amendment to Transitional Services Agreement, dated April 1, 2021, by and between the Registrant and Kevin G. Peters (incorporated</w:t>
              </w:r>
            </w:hyperlink>
          </w:p>
        </w:tc>
        <w:tc>
          <w:tcPr>
            <w:tcW w:w="3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0"/>
          </w:tcPr>
          <w:p>
            <w:pPr>
              <w:spacing w:after="0" w:line="196" w:lineRule="exact"/>
              <w:rPr>
                <w:rFonts w:ascii="Arial" w:cs="Arial" w:eastAsia="Arial" w:hAnsi="Arial"/>
                <w:sz w:val="18"/>
                <w:szCs w:val="18"/>
                <w:color w:val="0000EE"/>
                <w:w w:val="92"/>
              </w:rPr>
            </w:pPr>
            <w:hyperlink r:id="rId87">
              <w:r>
                <w:rPr>
                  <w:rFonts w:ascii="Arial" w:cs="Arial" w:eastAsia="Arial" w:hAnsi="Arial"/>
                  <w:sz w:val="18"/>
                  <w:szCs w:val="18"/>
                  <w:color w:val="0000EE"/>
                  <w:w w:val="92"/>
                </w:rPr>
                <w:t>herein by reference to Exhibit 10. 1 to the Registrant’s Form 8-K filed with the Securities and Exchange Commission on April 1, 2021 (File</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87">
              <w:r>
                <w:rPr>
                  <w:rFonts w:ascii="Arial" w:cs="Arial" w:eastAsia="Arial" w:hAnsi="Arial"/>
                  <w:sz w:val="18"/>
                  <w:szCs w:val="18"/>
                  <w:color w:val="0000EE"/>
                  <w:w w:val="91"/>
                </w:rPr>
                <w:t>No. 001-38560)).</w:t>
              </w:r>
            </w:hyperlink>
          </w:p>
        </w:tc>
        <w:tc>
          <w:tcPr>
            <w:tcW w:w="8800" w:type="dxa"/>
            <w:vAlign w:val="bottom"/>
            <w:tcBorders>
              <w:top w:val="single" w:sz="8" w:color="0000EE"/>
            </w:tcBorders>
            <w:gridSpan w:val="16"/>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10100" w:type="dxa"/>
            <w:vAlign w:val="bottom"/>
            <w:gridSpan w:val="20"/>
          </w:tcPr>
          <w:p>
            <w:pPr>
              <w:spacing w:after="0"/>
              <w:rPr>
                <w:rFonts w:ascii="Arial" w:cs="Arial" w:eastAsia="Arial" w:hAnsi="Arial"/>
                <w:sz w:val="18"/>
                <w:szCs w:val="18"/>
                <w:color w:val="0000EE"/>
                <w:w w:val="91"/>
              </w:rPr>
            </w:pPr>
            <w:hyperlink r:id="rId88">
              <w:r>
                <w:rPr>
                  <w:rFonts w:ascii="Arial" w:cs="Arial" w:eastAsia="Arial" w:hAnsi="Arial"/>
                  <w:sz w:val="18"/>
                  <w:szCs w:val="18"/>
                  <w:color w:val="0000EE"/>
                  <w:w w:val="91"/>
                </w:rPr>
                <w:t>Consulting Services Agreement, dated April 1, 2021, by and between the Registrant and Kevin G. Peters (incorporated herein by reference</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tcBorders>
              <w:top w:val="single" w:sz="8" w:color="0000EE"/>
            </w:tcBorders>
            <w:gridSpan w:val="16"/>
          </w:tcPr>
          <w:p>
            <w:pPr>
              <w:spacing w:after="0" w:line="196" w:lineRule="exact"/>
              <w:rPr>
                <w:rFonts w:ascii="Arial" w:cs="Arial" w:eastAsia="Arial" w:hAnsi="Arial"/>
                <w:sz w:val="18"/>
                <w:szCs w:val="18"/>
                <w:color w:val="0000EE"/>
                <w:w w:val="93"/>
              </w:rPr>
            </w:pPr>
            <w:hyperlink r:id="rId88">
              <w:r>
                <w:rPr>
                  <w:rFonts w:ascii="Arial" w:cs="Arial" w:eastAsia="Arial" w:hAnsi="Arial"/>
                  <w:sz w:val="18"/>
                  <w:szCs w:val="18"/>
                  <w:color w:val="0000EE"/>
                  <w:w w:val="93"/>
                </w:rPr>
                <w:t>to Exhibit 10.2 to the Registrant’s Form 8-K filed with the Securities and Exchange Commission on April 1, 2021 (File No. 001-38560)).</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9880" w:type="dxa"/>
            <w:vAlign w:val="bottom"/>
            <w:tcBorders>
              <w:top w:val="single" w:sz="8" w:color="0000EE"/>
            </w:tcBorders>
            <w:gridSpan w:val="12"/>
          </w:tcPr>
          <w:p>
            <w:pPr>
              <w:spacing w:after="0"/>
              <w:rPr>
                <w:rFonts w:ascii="Arial" w:cs="Arial" w:eastAsia="Arial" w:hAnsi="Arial"/>
                <w:sz w:val="18"/>
                <w:szCs w:val="18"/>
                <w:color w:val="0000EE"/>
                <w:w w:val="91"/>
              </w:rPr>
            </w:pPr>
            <w:hyperlink r:id="rId89">
              <w:r>
                <w:rPr>
                  <w:rFonts w:ascii="Arial" w:cs="Arial" w:eastAsia="Arial" w:hAnsi="Arial"/>
                  <w:sz w:val="18"/>
                  <w:szCs w:val="18"/>
                  <w:color w:val="0000EE"/>
                  <w:w w:val="91"/>
                </w:rPr>
                <w:t>Subscription Agreement, dated May 16, 2021, by and among the registrant and the investors party thereto (incorporated by reference to</w:t>
              </w:r>
            </w:hyperlink>
          </w:p>
        </w:tc>
        <w:tc>
          <w:tcPr>
            <w:tcW w:w="2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89">
              <w:r>
                <w:rPr>
                  <w:rFonts w:ascii="Arial" w:cs="Arial" w:eastAsia="Arial" w:hAnsi="Arial"/>
                  <w:sz w:val="18"/>
                  <w:szCs w:val="18"/>
                  <w:color w:val="0000EE"/>
                  <w:w w:val="92"/>
                </w:rPr>
                <w:t>Exhibit 10.1 to the Registrant’s Current Report on Form 8-K (File No. 001-38560) filed with the SEC on May 17, 2021)</w:t>
              </w:r>
            </w:hyperlink>
          </w:p>
        </w:tc>
        <w:tc>
          <w:tcPr>
            <w:tcW w:w="1080" w:type="dxa"/>
            <w:vAlign w:val="bottom"/>
            <w:tcBorders>
              <w:top w:val="single" w:sz="8" w:color="0000EE"/>
            </w:tcBorders>
            <w:gridSpan w:val="3"/>
          </w:tcPr>
          <w:p>
            <w:pPr>
              <w:spacing w:after="0"/>
              <w:rPr>
                <w:sz w:val="17"/>
                <w:szCs w:val="17"/>
                <w:color w:val="auto"/>
              </w:rPr>
            </w:pPr>
          </w:p>
        </w:tc>
        <w:tc>
          <w:tcPr>
            <w:tcW w:w="3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102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962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66">
              <w:r>
                <w:rPr>
                  <w:rFonts w:ascii="Arial" w:cs="Arial" w:eastAsia="Arial" w:hAnsi="Arial"/>
                  <w:sz w:val="18"/>
                  <w:szCs w:val="18"/>
                  <w:color w:val="0000EE"/>
                  <w:w w:val="91"/>
                </w:rPr>
                <w:t>Certification of Principal Executive Officer Pursuant to Rules 13a-14(a) and 15d-14(a) under the Securities Exchange Act of 1934, as</w:t>
              </w:r>
            </w:hyperlink>
          </w:p>
        </w:tc>
        <w:tc>
          <w:tcPr>
            <w:tcW w:w="4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0"/>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80" w:type="dxa"/>
            <w:vAlign w:val="bottom"/>
            <w:gridSpan w:val="3"/>
            <w:shd w:val="clear" w:color="auto" w:fill="0000EE"/>
          </w:tcPr>
          <w:p>
            <w:pPr>
              <w:spacing w:after="0" w:line="20" w:lineRule="exact"/>
              <w:rPr>
                <w:sz w:val="1"/>
                <w:szCs w:val="1"/>
                <w:color w:val="auto"/>
              </w:rPr>
            </w:pPr>
          </w:p>
        </w:tc>
        <w:tc>
          <w:tcPr>
            <w:tcW w:w="502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100" w:type="dxa"/>
            <w:vAlign w:val="bottom"/>
            <w:tcBorders>
              <w:bottom w:val="single" w:sz="8" w:color="0000EE"/>
            </w:tcBorders>
            <w:gridSpan w:val="20"/>
          </w:tcPr>
          <w:p>
            <w:pPr>
              <w:spacing w:after="0"/>
              <w:rPr>
                <w:rFonts w:ascii="Arial" w:cs="Arial" w:eastAsia="Arial" w:hAnsi="Arial"/>
                <w:sz w:val="18"/>
                <w:szCs w:val="18"/>
                <w:color w:val="0000EE"/>
                <w:w w:val="96"/>
              </w:rPr>
            </w:pPr>
            <w:hyperlink w:anchor="page67">
              <w:r>
                <w:rPr>
                  <w:rFonts w:ascii="Arial" w:cs="Arial" w:eastAsia="Arial" w:hAnsi="Arial"/>
                  <w:sz w:val="18"/>
                  <w:szCs w:val="18"/>
                  <w:color w:val="0000EE"/>
                  <w:w w:val="96"/>
                </w:rPr>
                <w:t>Certification of Principal Financial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0"/>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80" w:type="dxa"/>
            <w:vAlign w:val="bottom"/>
            <w:gridSpan w:val="3"/>
            <w:shd w:val="clear" w:color="auto" w:fill="0000EE"/>
          </w:tcPr>
          <w:p>
            <w:pPr>
              <w:spacing w:after="0" w:line="20" w:lineRule="exact"/>
              <w:rPr>
                <w:sz w:val="1"/>
                <w:szCs w:val="1"/>
                <w:color w:val="auto"/>
              </w:rPr>
            </w:pPr>
          </w:p>
        </w:tc>
        <w:tc>
          <w:tcPr>
            <w:tcW w:w="502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100" w:type="dxa"/>
            <w:vAlign w:val="bottom"/>
            <w:gridSpan w:val="20"/>
          </w:tcPr>
          <w:p>
            <w:pPr>
              <w:spacing w:after="0"/>
              <w:rPr>
                <w:rFonts w:ascii="Arial" w:cs="Arial" w:eastAsia="Arial" w:hAnsi="Arial"/>
                <w:sz w:val="18"/>
                <w:szCs w:val="18"/>
                <w:color w:val="0000EE"/>
                <w:w w:val="91"/>
              </w:rPr>
            </w:pPr>
            <w:hyperlink w:anchor="page68">
              <w:r>
                <w:rPr>
                  <w:rFonts w:ascii="Arial" w:cs="Arial" w:eastAsia="Arial" w:hAnsi="Arial"/>
                  <w:sz w:val="18"/>
                  <w:szCs w:val="18"/>
                  <w:color w:val="0000EE"/>
                  <w:w w:val="91"/>
                </w:rPr>
                <w:t>Certification of Principal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Act of 2002.</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100" w:type="dxa"/>
            <w:vAlign w:val="bottom"/>
            <w:gridSpan w:val="1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000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69">
              <w:r>
                <w:rPr>
                  <w:rFonts w:ascii="Arial" w:cs="Arial" w:eastAsia="Arial" w:hAnsi="Arial"/>
                  <w:sz w:val="18"/>
                  <w:szCs w:val="18"/>
                  <w:color w:val="0000EE"/>
                  <w:w w:val="91"/>
                </w:rPr>
                <w:t>Certification of Principal Financial Officer Pursuant to 18 U.S.C. Section 1350, as Adopted Pursuant to Section 906 of the Sarbanes-Oxley</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0"/>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Act of 2002.</w:t>
              </w:r>
            </w:hyperlink>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20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20"/>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20"/>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20"/>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20"/>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20"/>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20"/>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10100" w:type="dxa"/>
            <w:vAlign w:val="bottom"/>
            <w:gridSpan w:val="20"/>
          </w:tcPr>
          <w:p>
            <w:pPr>
              <w:spacing w:after="0"/>
              <w:rPr>
                <w:sz w:val="20"/>
                <w:szCs w:val="20"/>
                <w:color w:val="auto"/>
              </w:rPr>
            </w:pPr>
            <w:r>
              <w:rPr>
                <w:rFonts w:ascii="Arial" w:cs="Arial" w:eastAsia="Arial" w:hAnsi="Arial"/>
                <w:sz w:val="18"/>
                <w:szCs w:val="18"/>
                <w:color w:val="auto"/>
                <w:w w:val="94"/>
              </w:rPr>
              <w:t>Cover Page Interactive Data File (formatted as inline XBRL with applicable taxonomy extension information contained in Exhibits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55" w:lineRule="exact"/>
        <w:rPr>
          <w:sz w:val="20"/>
          <w:szCs w:val="20"/>
          <w:color w:val="auto"/>
        </w:rPr>
      </w:pPr>
    </w:p>
    <w:p>
      <w:pPr>
        <w:ind w:left="500" w:hanging="49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right="260" w:firstLine="8"/>
        <w:spacing w:after="0" w:line="263" w:lineRule="auto"/>
        <w:tabs>
          <w:tab w:leader="none" w:pos="8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certifications furnished in Exhibit 32.1 and Exhibit 32.2 hereto are deemed to be furnished with this Quarterly Report on Form 10-Q and will not be deemed to be “filed” for purposes of Section 18 of the Securities Exchange Act of 1934, as amended, except to the extent that the Registrant specifically incorporates them by reference.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spacing w:after="0"/>
              <w:rPr>
                <w:sz w:val="20"/>
                <w:szCs w:val="20"/>
                <w:color w:val="auto"/>
              </w:rPr>
            </w:pPr>
          </w:p>
        </w:tc>
        <w:tc>
          <w:tcPr>
            <w:tcW w:w="7140" w:type="dxa"/>
            <w:vAlign w:val="bottom"/>
            <w:gridSpan w:val="2"/>
          </w:tcPr>
          <w:p>
            <w:pPr>
              <w:ind w:left="2600"/>
              <w:spacing w:after="0"/>
              <w:rPr>
                <w:sz w:val="20"/>
                <w:szCs w:val="20"/>
                <w:color w:val="auto"/>
              </w:rPr>
            </w:pPr>
            <w:r>
              <w:rPr>
                <w:rFonts w:ascii="Arial" w:cs="Arial" w:eastAsia="Arial" w:hAnsi="Arial"/>
                <w:sz w:val="18"/>
                <w:szCs w:val="18"/>
                <w:color w:val="auto"/>
              </w:rPr>
              <w:t>AERPIO PHARMACEUTICALS, INC.</w:t>
            </w:r>
          </w:p>
        </w:tc>
      </w:tr>
      <w:tr>
        <w:trPr>
          <w:trHeight w:val="459"/>
        </w:trPr>
        <w:tc>
          <w:tcPr>
            <w:tcW w:w="4100" w:type="dxa"/>
            <w:vAlign w:val="bottom"/>
          </w:tcPr>
          <w:p>
            <w:pPr>
              <w:spacing w:after="0"/>
              <w:rPr>
                <w:sz w:val="20"/>
                <w:szCs w:val="20"/>
                <w:color w:val="auto"/>
              </w:rPr>
            </w:pPr>
            <w:r>
              <w:rPr>
                <w:rFonts w:ascii="Arial" w:cs="Arial" w:eastAsia="Arial" w:hAnsi="Arial"/>
                <w:sz w:val="18"/>
                <w:szCs w:val="18"/>
                <w:color w:val="auto"/>
              </w:rPr>
              <w:t>Date: May 17, 2021</w:t>
            </w:r>
          </w:p>
        </w:tc>
        <w:tc>
          <w:tcPr>
            <w:tcW w:w="2880" w:type="dxa"/>
            <w:vAlign w:val="bottom"/>
          </w:tcPr>
          <w:p>
            <w:pPr>
              <w:ind w:left="2600"/>
              <w:spacing w:after="0"/>
              <w:rPr>
                <w:sz w:val="20"/>
                <w:szCs w:val="20"/>
                <w:color w:val="auto"/>
              </w:rPr>
            </w:pPr>
            <w:r>
              <w:rPr>
                <w:rFonts w:ascii="Arial" w:cs="Arial" w:eastAsia="Arial" w:hAnsi="Arial"/>
                <w:sz w:val="18"/>
                <w:szCs w:val="18"/>
                <w:color w:val="auto"/>
                <w:w w:val="99"/>
              </w:rPr>
              <w:t>By:</w:t>
            </w:r>
          </w:p>
        </w:tc>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Joseph Gardner, Ph.D.</w:t>
            </w:r>
          </w:p>
        </w:tc>
      </w:tr>
      <w:tr>
        <w:trPr>
          <w:trHeight w:val="218"/>
        </w:trPr>
        <w:tc>
          <w:tcPr>
            <w:tcW w:w="4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0"/>
              </w:rPr>
              <w:t>Joseph Gardner, Ph.D.</w:t>
            </w:r>
          </w:p>
        </w:tc>
      </w:tr>
      <w:tr>
        <w:trPr>
          <w:trHeight w:val="220"/>
        </w:trPr>
        <w:tc>
          <w:tcPr>
            <w:tcW w:w="41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President</w:t>
            </w:r>
          </w:p>
        </w:tc>
      </w:tr>
      <w:tr>
        <w:trPr>
          <w:trHeight w:val="230"/>
        </w:trPr>
        <w:tc>
          <w:tcPr>
            <w:tcW w:w="41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Principal Executive Officer</w:t>
            </w:r>
            <w:r>
              <w:rPr>
                <w:rFonts w:ascii="Arial" w:cs="Arial" w:eastAsia="Arial" w:hAnsi="Arial"/>
                <w:sz w:val="18"/>
                <w:szCs w:val="18"/>
                <w:color w:val="auto"/>
                <w:w w:val="93"/>
              </w:rPr>
              <w:t>)</w:t>
            </w:r>
          </w:p>
        </w:tc>
      </w:tr>
      <w:tr>
        <w:trPr>
          <w:trHeight w:val="459"/>
        </w:trPr>
        <w:tc>
          <w:tcPr>
            <w:tcW w:w="4100" w:type="dxa"/>
            <w:vAlign w:val="bottom"/>
          </w:tcPr>
          <w:p>
            <w:pPr>
              <w:spacing w:after="0"/>
              <w:rPr>
                <w:sz w:val="20"/>
                <w:szCs w:val="20"/>
                <w:color w:val="auto"/>
              </w:rPr>
            </w:pPr>
            <w:r>
              <w:rPr>
                <w:rFonts w:ascii="Arial" w:cs="Arial" w:eastAsia="Arial" w:hAnsi="Arial"/>
                <w:sz w:val="18"/>
                <w:szCs w:val="18"/>
                <w:color w:val="auto"/>
              </w:rPr>
              <w:t>Date: May 17, 2021</w:t>
            </w:r>
          </w:p>
        </w:tc>
        <w:tc>
          <w:tcPr>
            <w:tcW w:w="2880" w:type="dxa"/>
            <w:vAlign w:val="bottom"/>
          </w:tcPr>
          <w:p>
            <w:pPr>
              <w:ind w:left="2600"/>
              <w:spacing w:after="0"/>
              <w:rPr>
                <w:sz w:val="20"/>
                <w:szCs w:val="20"/>
                <w:color w:val="auto"/>
              </w:rPr>
            </w:pPr>
            <w:r>
              <w:rPr>
                <w:rFonts w:ascii="Arial" w:cs="Arial" w:eastAsia="Arial" w:hAnsi="Arial"/>
                <w:sz w:val="18"/>
                <w:szCs w:val="18"/>
                <w:color w:val="auto"/>
                <w:w w:val="99"/>
              </w:rPr>
              <w:t>By:</w:t>
            </w:r>
          </w:p>
        </w:tc>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Regina Marek</w:t>
            </w:r>
          </w:p>
        </w:tc>
      </w:tr>
      <w:tr>
        <w:trPr>
          <w:trHeight w:val="218"/>
        </w:trPr>
        <w:tc>
          <w:tcPr>
            <w:tcW w:w="4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5"/>
              </w:rPr>
              <w:t>Regina Marek</w:t>
            </w:r>
          </w:p>
        </w:tc>
      </w:tr>
      <w:tr>
        <w:trPr>
          <w:trHeight w:val="234"/>
        </w:trPr>
        <w:tc>
          <w:tcPr>
            <w:tcW w:w="41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9"/>
              </w:rPr>
              <w:t>Vice President Finance</w:t>
            </w:r>
          </w:p>
        </w:tc>
      </w:tr>
    </w:tbl>
    <w:p>
      <w:pPr>
        <w:ind w:left="7100"/>
        <w:spacing w:after="0"/>
        <w:rPr>
          <w:sz w:val="20"/>
          <w:szCs w:val="20"/>
          <w:color w:val="auto"/>
        </w:rPr>
      </w:pPr>
      <w:r>
        <w:rPr>
          <w:rFonts w:ascii="Arial" w:cs="Arial" w:eastAsia="Arial" w:hAnsi="Arial"/>
          <w:sz w:val="17"/>
          <w:szCs w:val="17"/>
          <w:i w:val="1"/>
          <w:iCs w:val="1"/>
          <w:color w:val="auto"/>
        </w:rPr>
        <w:t>(Principal Financial and Principal Accounting Officer)</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337"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Joseph Gardner, certify that:</w:t>
      </w:r>
    </w:p>
    <w:p>
      <w:pPr>
        <w:spacing w:after="0" w:line="225" w:lineRule="exact"/>
        <w:rPr>
          <w:sz w:val="20"/>
          <w:szCs w:val="20"/>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Aerpio Pharmaceuticals,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6740" w:val="left"/>
          <w:tab w:leader="none" w:pos="8220" w:val="left"/>
        </w:tabs>
        <w:rPr>
          <w:sz w:val="20"/>
          <w:szCs w:val="20"/>
          <w:color w:val="auto"/>
        </w:rPr>
      </w:pPr>
      <w:r>
        <w:rPr>
          <w:rFonts w:ascii="Arial" w:cs="Arial" w:eastAsia="Arial" w:hAnsi="Arial"/>
          <w:sz w:val="18"/>
          <w:szCs w:val="18"/>
          <w:color w:val="auto"/>
        </w:rPr>
        <w:t>Date: May 17,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Gardner,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2"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Joseph Gardner, Ph.D.</w:t>
      </w:r>
    </w:p>
    <w:p>
      <w:pPr>
        <w:spacing w:after="0" w:line="27"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President</w:t>
      </w:r>
    </w:p>
    <w:p>
      <w:pPr>
        <w:spacing w:after="0" w:line="23" w:lineRule="exact"/>
        <w:rPr>
          <w:sz w:val="20"/>
          <w:szCs w:val="20"/>
          <w:color w:val="auto"/>
        </w:rPr>
      </w:pPr>
    </w:p>
    <w:p>
      <w:pPr>
        <w:jc w:val="center"/>
        <w:ind w:left="70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Regina Marek, certify that:</w:t>
      </w:r>
    </w:p>
    <w:p>
      <w:pPr>
        <w:spacing w:after="0" w:line="225"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Aerpio Pharmaceuticals,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6740" w:val="left"/>
          <w:tab w:leader="none" w:pos="8520" w:val="left"/>
        </w:tabs>
        <w:rPr>
          <w:sz w:val="20"/>
          <w:szCs w:val="20"/>
          <w:color w:val="auto"/>
        </w:rPr>
      </w:pPr>
      <w:r>
        <w:rPr>
          <w:rFonts w:ascii="Arial" w:cs="Arial" w:eastAsia="Arial" w:hAnsi="Arial"/>
          <w:sz w:val="18"/>
          <w:szCs w:val="18"/>
          <w:color w:val="auto"/>
        </w:rPr>
        <w:t>Date: May 17,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Regina Marek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2"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Regina Marek</w:t>
      </w:r>
    </w:p>
    <w:p>
      <w:pPr>
        <w:spacing w:after="0" w:line="27"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Vice President Finance</w:t>
      </w:r>
    </w:p>
    <w:p>
      <w:pPr>
        <w:spacing w:after="0" w:line="23" w:lineRule="exact"/>
        <w:rPr>
          <w:sz w:val="20"/>
          <w:szCs w:val="20"/>
          <w:color w:val="auto"/>
        </w:rPr>
      </w:pPr>
    </w:p>
    <w:p>
      <w:pPr>
        <w:jc w:val="center"/>
        <w:ind w:left="7060"/>
        <w:spacing w:after="0"/>
        <w:rPr>
          <w:sz w:val="20"/>
          <w:szCs w:val="20"/>
          <w:color w:val="auto"/>
        </w:rPr>
      </w:pPr>
      <w:r>
        <w:rPr>
          <w:rFonts w:ascii="Arial" w:cs="Arial" w:eastAsia="Arial" w:hAnsi="Arial"/>
          <w:sz w:val="18"/>
          <w:szCs w:val="18"/>
          <w:i w:val="1"/>
          <w:iCs w:val="1"/>
          <w:color w:val="auto"/>
        </w:rPr>
        <w:t>(Principal Financial Officer and</w:t>
      </w:r>
    </w:p>
    <w:p>
      <w:pPr>
        <w:spacing w:after="0" w:line="23" w:lineRule="exact"/>
        <w:rPr>
          <w:sz w:val="20"/>
          <w:szCs w:val="20"/>
          <w:color w:val="auto"/>
        </w:rPr>
      </w:pPr>
    </w:p>
    <w:p>
      <w:pPr>
        <w:jc w:val="center"/>
        <w:ind w:left="7060"/>
        <w:spacing w:after="0"/>
        <w:rPr>
          <w:sz w:val="20"/>
          <w:szCs w:val="20"/>
          <w:color w:val="auto"/>
        </w:rPr>
      </w:pPr>
      <w:r>
        <w:rPr>
          <w:rFonts w:ascii="Arial" w:cs="Arial" w:eastAsia="Arial" w:hAnsi="Arial"/>
          <w:sz w:val="18"/>
          <w:szCs w:val="18"/>
          <w:i w:val="1"/>
          <w:iCs w:val="1"/>
          <w:color w:val="auto"/>
        </w:rPr>
        <w:t>Principal Accounting Officer)</w:t>
      </w:r>
    </w:p>
    <w:p>
      <w:pPr>
        <w:sectPr>
          <w:pgSz w:w="11900" w:h="16838" w:orient="portrait"/>
          <w:cols w:equalWidth="0" w:num="1">
            <w:col w:w="11240"/>
          </w:cols>
          <w:pgMar w:left="320" w:top="121"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In connection with the Quarterly Report of Aerpio Pharmaceuticals, Inc., (the “Company”) on Form 10-Q for the period ended March 31, 2021 as filed with the Securities and Exchange Commission on the date hereof (the “Report”), I, Joseph Gardner, President of the Company, certify, pursuant to 18 U.S.C. § 1350, as adopted pursuant to § 906 of the Sarbanes-Oxley Act of 2002, that to my knowledge:</w:t>
      </w:r>
    </w:p>
    <w:p>
      <w:pPr>
        <w:spacing w:after="0" w:line="76" w:lineRule="exact"/>
        <w:rPr>
          <w:sz w:val="20"/>
          <w:szCs w:val="20"/>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00" w:right="640" w:hanging="493"/>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4" w:lineRule="exact"/>
        <w:rPr>
          <w:sz w:val="20"/>
          <w:szCs w:val="20"/>
          <w:color w:val="auto"/>
        </w:rPr>
      </w:pPr>
    </w:p>
    <w:p>
      <w:pPr>
        <w:spacing w:after="0"/>
        <w:tabs>
          <w:tab w:leader="none" w:pos="6740" w:val="left"/>
          <w:tab w:leader="none" w:pos="8220" w:val="left"/>
        </w:tabs>
        <w:rPr>
          <w:sz w:val="20"/>
          <w:szCs w:val="20"/>
          <w:color w:val="auto"/>
        </w:rPr>
      </w:pPr>
      <w:r>
        <w:rPr>
          <w:rFonts w:ascii="Arial" w:cs="Arial" w:eastAsia="Arial" w:hAnsi="Arial"/>
          <w:sz w:val="18"/>
          <w:szCs w:val="18"/>
          <w:color w:val="auto"/>
        </w:rPr>
        <w:t>Date: May 17,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Gardner,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2"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Joseph Gardner, Ph.D.</w:t>
      </w:r>
    </w:p>
    <w:p>
      <w:pPr>
        <w:spacing w:after="0" w:line="27"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President</w:t>
      </w:r>
    </w:p>
    <w:p>
      <w:pPr>
        <w:spacing w:after="0" w:line="23" w:lineRule="exact"/>
        <w:rPr>
          <w:sz w:val="20"/>
          <w:szCs w:val="20"/>
          <w:color w:val="auto"/>
        </w:rPr>
      </w:pPr>
    </w:p>
    <w:p>
      <w:pPr>
        <w:jc w:val="center"/>
        <w:ind w:left="70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20" w:firstLine="510"/>
        <w:spacing w:after="0" w:line="286" w:lineRule="auto"/>
        <w:rPr>
          <w:sz w:val="20"/>
          <w:szCs w:val="20"/>
          <w:color w:val="auto"/>
        </w:rPr>
      </w:pPr>
      <w:r>
        <w:rPr>
          <w:rFonts w:ascii="Arial" w:cs="Arial" w:eastAsia="Arial" w:hAnsi="Arial"/>
          <w:sz w:val="17"/>
          <w:szCs w:val="17"/>
          <w:color w:val="auto"/>
        </w:rPr>
        <w:t>In connection with the Quarterly Report of Aerpio Pharmaceuticals, Inc., (the “Company”) on Form 10-Q for the period ended March 31, 2021 as filed with the Securities and Exchange Commission on the date hereof (the “Report”), I, Regina Marek, Vice President Finance of the Company, certify, pursuant to 18 U.S.C. § 1350, as adopted pursuant to § 906 of the Sarbanes-Oxley Act of 2002, that to my knowledge:</w:t>
      </w:r>
    </w:p>
    <w:p>
      <w:pPr>
        <w:spacing w:after="0" w:line="57" w:lineRule="exact"/>
        <w:rPr>
          <w:sz w:val="20"/>
          <w:szCs w:val="20"/>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00" w:right="640" w:hanging="493"/>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4" w:lineRule="exact"/>
        <w:rPr>
          <w:sz w:val="20"/>
          <w:szCs w:val="20"/>
          <w:color w:val="auto"/>
        </w:rPr>
      </w:pPr>
    </w:p>
    <w:p>
      <w:pPr>
        <w:spacing w:after="0"/>
        <w:tabs>
          <w:tab w:leader="none" w:pos="6740" w:val="left"/>
          <w:tab w:leader="none" w:pos="8520" w:val="left"/>
        </w:tabs>
        <w:rPr>
          <w:sz w:val="20"/>
          <w:szCs w:val="20"/>
          <w:color w:val="auto"/>
        </w:rPr>
      </w:pPr>
      <w:r>
        <w:rPr>
          <w:rFonts w:ascii="Arial" w:cs="Arial" w:eastAsia="Arial" w:hAnsi="Arial"/>
          <w:sz w:val="18"/>
          <w:szCs w:val="18"/>
          <w:color w:val="auto"/>
        </w:rPr>
        <w:t>Date: May 17,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Regina Marek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2"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Regina Marek</w:t>
      </w:r>
    </w:p>
    <w:p>
      <w:pPr>
        <w:spacing w:after="0" w:line="27"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Vice President Finance</w:t>
      </w:r>
    </w:p>
    <w:p>
      <w:pPr>
        <w:spacing w:after="0" w:line="23" w:lineRule="exact"/>
        <w:rPr>
          <w:sz w:val="20"/>
          <w:szCs w:val="20"/>
          <w:color w:val="auto"/>
        </w:rPr>
      </w:pPr>
    </w:p>
    <w:p>
      <w:pPr>
        <w:jc w:val="center"/>
        <w:ind w:left="7060"/>
        <w:spacing w:after="0"/>
        <w:rPr>
          <w:sz w:val="20"/>
          <w:szCs w:val="20"/>
          <w:color w:val="auto"/>
        </w:rPr>
      </w:pPr>
      <w:r>
        <w:rPr>
          <w:rFonts w:ascii="Arial" w:cs="Arial" w:eastAsia="Arial" w:hAnsi="Arial"/>
          <w:sz w:val="18"/>
          <w:szCs w:val="18"/>
          <w:i w:val="1"/>
          <w:iCs w:val="1"/>
          <w:color w:val="auto"/>
        </w:rPr>
        <w:t>(Principal Financial Officer and</w:t>
      </w:r>
    </w:p>
    <w:p>
      <w:pPr>
        <w:spacing w:after="0" w:line="23" w:lineRule="exact"/>
        <w:rPr>
          <w:sz w:val="20"/>
          <w:szCs w:val="20"/>
          <w:color w:val="auto"/>
        </w:rPr>
      </w:pPr>
    </w:p>
    <w:p>
      <w:pPr>
        <w:jc w:val="center"/>
        <w:ind w:left="7060"/>
        <w:spacing w:after="0"/>
        <w:rPr>
          <w:sz w:val="20"/>
          <w:szCs w:val="20"/>
          <w:color w:val="auto"/>
        </w:rPr>
      </w:pPr>
      <w:r>
        <w:rPr>
          <w:rFonts w:ascii="Arial" w:cs="Arial" w:eastAsia="Arial" w:hAnsi="Arial"/>
          <w:sz w:val="18"/>
          <w:szCs w:val="18"/>
          <w:i w:val="1"/>
          <w:iCs w:val="1"/>
          <w:color w:val="auto"/>
        </w:rPr>
        <w:t>Principal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1."/>
      <w:numFmt w:val="decimal"/>
      <w:start w:val="2"/>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lvl w:ilvl="1">
      <w:lvlJc w:val="left"/>
      <w:lvlText w:val="•"/>
      <w:numFmt w:val="bullet"/>
      <w:start w:val="1"/>
    </w:lvl>
  </w:abstractNum>
  <w:abstractNum w:abstractNumId="29">
    <w:nsid w:val="4516DDE9"/>
    <w:multiLevelType w:val="hybridMultilevel"/>
    <w:lvl w:ilvl="0">
      <w:lvlJc w:val="left"/>
      <w:lvlText w:val="(%1)"/>
      <w:numFmt w:val="decimal"/>
      <w:start w:val="4"/>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83" Type="http://schemas.openxmlformats.org/officeDocument/2006/relationships/hyperlink" Target="http://www.sec.gov/Archives/edgar/data/0001422142/000119312521162770/d120588dex21.htm" TargetMode="External"/><Relationship Id="rId84" Type="http://schemas.openxmlformats.org/officeDocument/2006/relationships/hyperlink" Target="http://www.sec.gov/Archives/edgar/data/0001422142/000119312521162770/d120588dex31.htm" TargetMode="External"/><Relationship Id="rId85" Type="http://schemas.openxmlformats.org/officeDocument/2006/relationships/hyperlink" Target="http://www.sec.gov/Archives/edgar/data/0001422142/000119312521024764/d122520dex101.htm" TargetMode="External"/><Relationship Id="rId86" Type="http://schemas.openxmlformats.org/officeDocument/2006/relationships/hyperlink" Target="http://www.sec.gov/Archives/edgar/data/0001422142/000119312521044954/d15639dex101.htm" TargetMode="External"/><Relationship Id="rId87" Type="http://schemas.openxmlformats.org/officeDocument/2006/relationships/hyperlink" Target="http://www.sec.gov/Archives/edgar/data/0001422142/000119312521104183/d324269dex101.htm" TargetMode="External"/><Relationship Id="rId88" Type="http://schemas.openxmlformats.org/officeDocument/2006/relationships/hyperlink" Target="http://www.sec.gov/Archives/edgar/data/0001422142/000119312521104183/d324269dex102.htm" TargetMode="External"/><Relationship Id="rId89" Type="http://schemas.openxmlformats.org/officeDocument/2006/relationships/hyperlink" Target="http://www.sec.gov/Archives/edgar/data/0001422142/000119312521162770/d12058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2021-05-17T07:59:51Z</dcterms:created>
  <dcterms:modified xsi:type="dcterms:W3CDTF">2021-05-17T07:59:51Z</dcterms:modified>
</cp:coreProperties>
</file>